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sz w:val="84"/>
          <w:szCs w:val="84"/>
        </w:rPr>
      </w:pPr>
    </w:p>
    <w:p>
      <w:pPr>
        <w:pStyle w:val="16"/>
        <w:jc w:val="center"/>
        <w:rPr>
          <w:sz w:val="84"/>
          <w:szCs w:val="84"/>
        </w:rPr>
      </w:pPr>
      <w:r>
        <w:rPr>
          <w:sz w:val="84"/>
          <w:szCs w:val="84"/>
        </w:rPr>
        <w:t>2021</w:t>
      </w:r>
      <w:r>
        <w:rPr>
          <w:rFonts w:hint="eastAsia"/>
          <w:sz w:val="84"/>
          <w:szCs w:val="84"/>
        </w:rPr>
        <w:t>年度</w:t>
      </w:r>
    </w:p>
    <w:p>
      <w:pPr>
        <w:pStyle w:val="16"/>
        <w:jc w:val="center"/>
        <w:rPr>
          <w:rFonts w:hint="eastAsia"/>
          <w:sz w:val="84"/>
          <w:szCs w:val="84"/>
          <w:lang w:eastAsia="zh-CN"/>
        </w:rPr>
      </w:pPr>
      <w:r>
        <w:rPr>
          <w:rFonts w:hint="eastAsia"/>
          <w:sz w:val="84"/>
          <w:szCs w:val="84"/>
          <w:lang w:eastAsia="zh-CN"/>
        </w:rPr>
        <w:t>会同县工商业联合会</w:t>
      </w:r>
    </w:p>
    <w:p>
      <w:pPr>
        <w:pStyle w:val="16"/>
        <w:jc w:val="center"/>
        <w:rPr>
          <w:sz w:val="84"/>
          <w:szCs w:val="84"/>
        </w:rPr>
      </w:pPr>
      <w:r>
        <w:rPr>
          <w:rFonts w:hint="eastAsia"/>
          <w:sz w:val="84"/>
          <w:szCs w:val="84"/>
        </w:rPr>
        <w:t>部门决算</w:t>
      </w: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spacing w:line="500" w:lineRule="exact"/>
        <w:jc w:val="both"/>
        <w:rPr>
          <w:rFonts w:hint="eastAsia" w:eastAsia="黑体"/>
          <w:b/>
          <w:sz w:val="36"/>
          <w:szCs w:val="28"/>
          <w:lang w:val="en-US" w:eastAsia="zh-CN"/>
        </w:rPr>
      </w:pPr>
    </w:p>
    <w:p>
      <w:pPr>
        <w:pStyle w:val="16"/>
        <w:spacing w:line="500" w:lineRule="exact"/>
        <w:jc w:val="both"/>
        <w:rPr>
          <w:rFonts w:hint="eastAsia" w:eastAsia="黑体"/>
          <w:b/>
          <w:sz w:val="36"/>
          <w:szCs w:val="28"/>
          <w:lang w:val="en-US" w:eastAsia="zh-CN"/>
        </w:rPr>
      </w:pPr>
    </w:p>
    <w:p>
      <w:pPr>
        <w:pStyle w:val="16"/>
        <w:spacing w:line="500" w:lineRule="exact"/>
        <w:jc w:val="center"/>
        <w:rPr>
          <w:b/>
          <w:sz w:val="36"/>
          <w:szCs w:val="28"/>
        </w:rPr>
      </w:pPr>
      <w:r>
        <w:rPr>
          <w:rFonts w:hint="eastAsia"/>
          <w:b/>
          <w:sz w:val="36"/>
          <w:szCs w:val="28"/>
        </w:rPr>
        <w:t>目录</w:t>
      </w:r>
    </w:p>
    <w:p>
      <w:pPr>
        <w:pStyle w:val="16"/>
        <w:spacing w:line="500" w:lineRule="exact"/>
        <w:rPr>
          <w:rFonts w:ascii="仿宋_GB2312" w:eastAsia="仿宋_GB2312" w:cs="仿宋_GB2312"/>
          <w:b/>
          <w:sz w:val="28"/>
          <w:szCs w:val="28"/>
        </w:rPr>
      </w:pPr>
      <w:r>
        <w:rPr>
          <w:rFonts w:hint="eastAsia"/>
          <w:b/>
          <w:sz w:val="28"/>
          <w:szCs w:val="28"/>
        </w:rPr>
        <w:t>第一部分单位概况</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6"/>
        <w:spacing w:line="500" w:lineRule="exact"/>
        <w:ind w:firstLine="700" w:firstLineChars="250"/>
        <w:rPr>
          <w:rFonts w:hint="default" w:ascii="宋体" w:hAnsi="宋体" w:eastAsia="宋体" w:cs="仿宋_GB2312"/>
          <w:sz w:val="28"/>
          <w:szCs w:val="28"/>
          <w:lang w:val="en-US" w:eastAsia="zh-CN"/>
        </w:rPr>
      </w:pPr>
      <w:r>
        <w:rPr>
          <w:rFonts w:hint="eastAsia" w:ascii="宋体" w:hAnsi="宋体" w:eastAsia="宋体" w:cs="仿宋_GB2312"/>
          <w:sz w:val="28"/>
          <w:szCs w:val="28"/>
        </w:rPr>
        <w:t>二、机构设置</w:t>
      </w:r>
      <w:r>
        <w:rPr>
          <w:rFonts w:hint="eastAsia" w:ascii="宋体" w:hAnsi="宋体" w:eastAsia="宋体" w:cs="仿宋_GB2312"/>
          <w:sz w:val="28"/>
          <w:szCs w:val="28"/>
          <w:lang w:val="en-US" w:eastAsia="zh-CN"/>
        </w:rPr>
        <w:t>及决算单位构成</w:t>
      </w:r>
    </w:p>
    <w:p>
      <w:pPr>
        <w:pStyle w:val="16"/>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2021</w:t>
      </w:r>
      <w:r>
        <w:rPr>
          <w:rFonts w:hint="eastAsia" w:hAnsi="仿宋_GB2312"/>
          <w:b/>
          <w:sz w:val="28"/>
          <w:szCs w:val="28"/>
        </w:rPr>
        <w:t>年度部门决算表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6"/>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2021</w:t>
      </w:r>
      <w:r>
        <w:rPr>
          <w:rFonts w:hint="eastAsia" w:hAnsi="仿宋_GB2312"/>
          <w:b/>
          <w:sz w:val="28"/>
          <w:szCs w:val="28"/>
        </w:rPr>
        <w:t>年度部门决算情况说明</w:t>
      </w:r>
    </w:p>
    <w:p>
      <w:pPr>
        <w:pStyle w:val="16"/>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6"/>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6"/>
        <w:spacing w:line="500" w:lineRule="exact"/>
        <w:ind w:firstLine="700" w:firstLineChars="250"/>
        <w:rPr>
          <w:rFonts w:hint="eastAsia" w:ascii="仿宋_GB2312" w:hAnsi="仿宋_GB2312" w:eastAsia="宋体" w:cs="仿宋_GB2312"/>
          <w:sz w:val="28"/>
          <w:szCs w:val="28"/>
        </w:rPr>
      </w:pPr>
      <w:r>
        <w:rPr>
          <w:rFonts w:hint="eastAsia" w:ascii="仿宋_GB2312" w:hAnsi="仿宋_GB2312" w:eastAsia="宋体" w:cs="仿宋_GB2312"/>
          <w:sz w:val="28"/>
          <w:szCs w:val="28"/>
        </w:rPr>
        <w:t>十三、</w:t>
      </w:r>
      <w:r>
        <w:rPr>
          <w:rFonts w:ascii="宋体" w:hAnsi="宋体" w:eastAsia="宋体" w:cs="仿宋_GB2312"/>
          <w:sz w:val="28"/>
          <w:szCs w:val="28"/>
        </w:rPr>
        <w:t>2021</w:t>
      </w:r>
      <w:r>
        <w:rPr>
          <w:rFonts w:hint="eastAsia" w:ascii="宋体" w:hAnsi="宋体" w:eastAsia="宋体" w:cs="仿宋_GB2312"/>
          <w:sz w:val="28"/>
          <w:szCs w:val="28"/>
        </w:rPr>
        <w:t>年</w:t>
      </w:r>
      <w:r>
        <w:rPr>
          <w:rFonts w:hint="eastAsia" w:ascii="仿宋_GB2312" w:hAnsi="仿宋_GB2312" w:eastAsia="宋体" w:cs="仿宋_GB2312"/>
          <w:sz w:val="28"/>
          <w:szCs w:val="28"/>
        </w:rPr>
        <w:t>度预算绩效情况说明</w:t>
      </w:r>
    </w:p>
    <w:p>
      <w:pPr>
        <w:pStyle w:val="16"/>
        <w:spacing w:line="500" w:lineRule="exact"/>
        <w:ind w:firstLine="700" w:firstLineChars="250"/>
        <w:rPr>
          <w:rFonts w:hint="eastAsia" w:ascii="仿宋_GB2312" w:hAnsi="仿宋_GB2312" w:eastAsia="宋体" w:cs="仿宋_GB2312"/>
          <w:sz w:val="28"/>
          <w:szCs w:val="28"/>
        </w:rPr>
      </w:pPr>
      <w:r>
        <w:rPr>
          <w:rFonts w:hint="eastAsia" w:ascii="宋体" w:hAnsi="宋体" w:eastAsia="宋体" w:cs="宋体"/>
          <w:sz w:val="28"/>
          <w:szCs w:val="28"/>
          <w:lang w:eastAsia="zh-CN"/>
        </w:rPr>
        <w:t>十四、国有资本经营预算财政拨款支出决算情况</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6"/>
        <w:jc w:val="center"/>
        <w:rPr>
          <w:sz w:val="84"/>
          <w:szCs w:val="84"/>
        </w:rPr>
      </w:pPr>
      <w:r>
        <w:rPr>
          <w:rFonts w:hint="eastAsia"/>
          <w:sz w:val="84"/>
          <w:szCs w:val="84"/>
        </w:rPr>
        <w:t>第一部分</w:t>
      </w:r>
      <w:r>
        <w:rPr>
          <w:sz w:val="84"/>
          <w:szCs w:val="84"/>
        </w:rPr>
        <w:t xml:space="preserve"> </w:t>
      </w:r>
    </w:p>
    <w:p>
      <w:pPr>
        <w:pStyle w:val="16"/>
        <w:jc w:val="center"/>
        <w:rPr>
          <w:sz w:val="84"/>
          <w:szCs w:val="84"/>
        </w:rPr>
      </w:pPr>
    </w:p>
    <w:p>
      <w:pPr>
        <w:pStyle w:val="16"/>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7"/>
        <w:ind w:left="720" w:firstLine="0" w:firstLineChars="0"/>
        <w:jc w:val="left"/>
        <w:rPr>
          <w:rFonts w:ascii="黑体" w:hAnsi="黑体" w:eastAsia="黑体"/>
          <w:sz w:val="32"/>
          <w:szCs w:val="32"/>
        </w:rPr>
      </w:pPr>
    </w:p>
    <w:p>
      <w:pPr>
        <w:pStyle w:val="17"/>
        <w:ind w:left="720" w:firstLine="0" w:firstLineChars="0"/>
        <w:jc w:val="left"/>
        <w:rPr>
          <w:rFonts w:ascii="黑体" w:hAnsi="黑体" w:eastAsia="黑体"/>
          <w:sz w:val="32"/>
          <w:szCs w:val="32"/>
        </w:rPr>
      </w:pPr>
    </w:p>
    <w:p>
      <w:pPr>
        <w:pStyle w:val="17"/>
        <w:ind w:left="720" w:firstLine="0" w:firstLineChars="0"/>
        <w:jc w:val="left"/>
        <w:rPr>
          <w:rFonts w:ascii="黑体" w:hAnsi="黑体" w:eastAsia="黑体"/>
          <w:sz w:val="32"/>
          <w:szCs w:val="32"/>
        </w:rPr>
      </w:pPr>
    </w:p>
    <w:p>
      <w:pPr>
        <w:pStyle w:val="17"/>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pStyle w:val="17"/>
        <w:widowControl/>
        <w:ind w:left="0" w:leftChars="0" w:firstLine="640" w:firstLineChars="200"/>
        <w:jc w:val="left"/>
        <w:rPr>
          <w:rFonts w:hint="eastAsia" w:ascii="宋体" w:hAnsi="宋体" w:eastAsia="宋体" w:cs="宋体"/>
          <w:sz w:val="32"/>
          <w:szCs w:val="32"/>
          <w:lang w:val="en-US"/>
        </w:rPr>
      </w:pPr>
      <w:r>
        <w:rPr>
          <w:rFonts w:hint="eastAsia" w:ascii="宋体" w:hAnsi="宋体" w:eastAsia="宋体" w:cs="宋体"/>
          <w:color w:val="333333"/>
          <w:kern w:val="0"/>
          <w:sz w:val="32"/>
          <w:szCs w:val="32"/>
          <w:lang w:eastAsia="zh-CN"/>
        </w:rPr>
        <w:t>会同县</w:t>
      </w:r>
      <w:r>
        <w:rPr>
          <w:rFonts w:hint="eastAsia" w:ascii="宋体" w:hAnsi="宋体" w:eastAsia="宋体" w:cs="宋体"/>
          <w:color w:val="333333"/>
          <w:kern w:val="0"/>
          <w:sz w:val="32"/>
          <w:szCs w:val="32"/>
          <w:lang w:val="en-US" w:eastAsia="zh-CN"/>
        </w:rPr>
        <w:t>工商联</w:t>
      </w:r>
      <w:r>
        <w:rPr>
          <w:rFonts w:hint="eastAsia" w:ascii="宋体" w:hAnsi="宋体" w:eastAsia="宋体" w:cs="宋体"/>
          <w:color w:val="333333"/>
          <w:kern w:val="0"/>
          <w:sz w:val="32"/>
          <w:szCs w:val="32"/>
          <w:lang w:eastAsia="zh-CN"/>
        </w:rPr>
        <w:t>是中国共产党领导的以非公有制企业和非公有制经济人士为主体，具有统战性、经济性、民间性有机统一基本特征的人民团体和商会组织。主要职能和任务：</w:t>
      </w:r>
    </w:p>
    <w:p>
      <w:pPr>
        <w:pStyle w:val="7"/>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团结、服务、引导、教育非公有制经济人士爱国、敬业、诚信、守法、贡献，培养拥护党的领导、走中国特色社会主义道路的非公有制经济人士队伍。</w:t>
      </w:r>
    </w:p>
    <w:p>
      <w:pPr>
        <w:pStyle w:val="7"/>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lang w:eastAsia="zh-CN"/>
        </w:rPr>
      </w:pPr>
      <w:r>
        <w:rPr>
          <w:rFonts w:hint="eastAsia" w:ascii="宋体" w:hAnsi="宋体" w:eastAsia="宋体" w:cs="宋体"/>
          <w:caps w:val="0"/>
          <w:color w:val="auto"/>
          <w:spacing w:val="0"/>
          <w:sz w:val="32"/>
          <w:szCs w:val="32"/>
          <w:shd w:val="clear" w:color="auto" w:fill="FFFFFF"/>
        </w:rPr>
        <w:t>做好非公有制经济代表人士政治安排的推荐工作。参与政治协商，发挥民主监督作用，积极参政议政。</w:t>
      </w:r>
    </w:p>
    <w:p>
      <w:pPr>
        <w:pStyle w:val="7"/>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lang w:eastAsia="zh-CN"/>
        </w:rPr>
      </w:pPr>
      <w:r>
        <w:rPr>
          <w:rFonts w:hint="eastAsia" w:ascii="宋体" w:hAnsi="宋体" w:eastAsia="宋体" w:cs="宋体"/>
          <w:caps w:val="0"/>
          <w:color w:val="auto"/>
          <w:spacing w:val="0"/>
          <w:sz w:val="32"/>
          <w:szCs w:val="32"/>
          <w:shd w:val="clear" w:color="auto" w:fill="FFFFFF"/>
        </w:rPr>
        <w:t>参与政府相关的经济活动，广泛联系各地工商界人士，开展民间外交，推动经贸交流和协作，促进经济社会发展。</w:t>
      </w:r>
    </w:p>
    <w:p>
      <w:pPr>
        <w:pStyle w:val="7"/>
        <w:keepNext w:val="0"/>
        <w:keepLines w:val="0"/>
        <w:pageBreakBefore w:val="0"/>
        <w:widowControl/>
        <w:numPr>
          <w:ilvl w:val="0"/>
          <w:numId w:val="2"/>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lang w:eastAsia="zh-CN"/>
        </w:rPr>
      </w:pPr>
      <w:r>
        <w:rPr>
          <w:rFonts w:hint="eastAsia" w:ascii="宋体" w:hAnsi="宋体" w:eastAsia="宋体" w:cs="宋体"/>
          <w:caps w:val="0"/>
          <w:color w:val="auto"/>
          <w:spacing w:val="0"/>
          <w:sz w:val="32"/>
          <w:szCs w:val="32"/>
          <w:shd w:val="clear" w:color="auto" w:fill="FFFFFF"/>
        </w:rPr>
        <w:t>参与协调劳动关系，促进和谐社会建设。</w:t>
      </w:r>
    </w:p>
    <w:p>
      <w:pPr>
        <w:pStyle w:val="7"/>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（五）指导</w:t>
      </w:r>
      <w:r>
        <w:rPr>
          <w:rFonts w:hint="eastAsia" w:ascii="宋体" w:hAnsi="宋体" w:eastAsia="宋体" w:cs="宋体"/>
          <w:caps w:val="0"/>
          <w:color w:val="auto"/>
          <w:spacing w:val="0"/>
          <w:sz w:val="32"/>
          <w:szCs w:val="32"/>
          <w:shd w:val="clear" w:color="auto" w:fill="FFFFFF"/>
          <w:lang w:val="en-US" w:eastAsia="zh-CN"/>
        </w:rPr>
        <w:t>基层</w:t>
      </w:r>
      <w:r>
        <w:rPr>
          <w:rFonts w:hint="eastAsia" w:ascii="宋体" w:hAnsi="宋体" w:eastAsia="宋体" w:cs="宋体"/>
          <w:caps w:val="0"/>
          <w:color w:val="auto"/>
          <w:spacing w:val="0"/>
          <w:sz w:val="32"/>
          <w:szCs w:val="32"/>
          <w:shd w:val="clear" w:color="auto" w:fill="FFFFFF"/>
        </w:rPr>
        <w:t>商会工作，积极参与社会组织建设工作，促进行业协会商会改革发展。</w:t>
      </w:r>
    </w:p>
    <w:p>
      <w:pPr>
        <w:pStyle w:val="7"/>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20" w:lineRule="exact"/>
        <w:ind w:right="45" w:rightChars="0" w:firstLine="640" w:firstLineChars="200"/>
        <w:textAlignment w:val="auto"/>
        <w:outlineLvl w:val="9"/>
        <w:rPr>
          <w:rFonts w:hint="eastAsia" w:ascii="宋体" w:hAnsi="宋体" w:eastAsia="宋体" w:cs="宋体"/>
          <w:color w:val="auto"/>
          <w:sz w:val="32"/>
          <w:szCs w:val="32"/>
        </w:rPr>
      </w:pPr>
      <w:r>
        <w:rPr>
          <w:rFonts w:hint="eastAsia" w:ascii="宋体" w:hAnsi="宋体" w:eastAsia="宋体" w:cs="宋体"/>
          <w:caps w:val="0"/>
          <w:color w:val="auto"/>
          <w:spacing w:val="0"/>
          <w:sz w:val="32"/>
          <w:szCs w:val="32"/>
          <w:shd w:val="clear" w:color="auto" w:fill="FFFFFF"/>
        </w:rPr>
        <w:t xml:space="preserve">（六）反映非公有制企业和非公有制经济人士利益诉求，维护其合法权益。 </w:t>
      </w:r>
    </w:p>
    <w:p>
      <w:pPr>
        <w:pStyle w:val="16"/>
        <w:widowControl/>
        <w:numPr>
          <w:ilvl w:val="0"/>
          <w:numId w:val="0"/>
        </w:numPr>
        <w:spacing w:line="520" w:lineRule="exact"/>
        <w:ind w:right="0" w:rightChars="0" w:firstLine="640" w:firstLineChars="200"/>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（七）为会员提供政策信息、人才交流培训等服务。组织会员企业参加各类经贸活动，外出参观考察，帮助会员企业拓展市场。</w:t>
      </w:r>
    </w:p>
    <w:p>
      <w:pPr>
        <w:pStyle w:val="16"/>
        <w:widowControl/>
        <w:numPr>
          <w:ilvl w:val="0"/>
          <w:numId w:val="0"/>
        </w:numPr>
        <w:spacing w:line="520" w:lineRule="exact"/>
        <w:ind w:right="0" w:rightChars="0" w:firstLine="640" w:firstLineChars="200"/>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（八）</w:t>
      </w:r>
      <w:r>
        <w:rPr>
          <w:rFonts w:hint="eastAsia" w:ascii="宋体" w:hAnsi="宋体" w:eastAsia="宋体" w:cs="宋体"/>
          <w:caps w:val="0"/>
          <w:color w:val="auto"/>
          <w:spacing w:val="0"/>
          <w:sz w:val="32"/>
          <w:szCs w:val="32"/>
          <w:shd w:val="clear" w:color="auto" w:fill="FFFFFF"/>
          <w:lang w:eastAsia="zh-CN"/>
        </w:rPr>
        <w:t>指导基层商会、会员企业</w:t>
      </w:r>
      <w:r>
        <w:rPr>
          <w:rFonts w:hint="eastAsia" w:ascii="宋体" w:hAnsi="宋体" w:eastAsia="宋体" w:cs="宋体"/>
          <w:caps w:val="0"/>
          <w:color w:val="auto"/>
          <w:spacing w:val="0"/>
          <w:sz w:val="32"/>
          <w:szCs w:val="32"/>
          <w:shd w:val="clear" w:color="auto" w:fill="FFFFFF"/>
        </w:rPr>
        <w:t>开展非公党建工作。</w:t>
      </w:r>
    </w:p>
    <w:p>
      <w:pPr>
        <w:pStyle w:val="16"/>
        <w:widowControl/>
        <w:numPr>
          <w:ilvl w:val="0"/>
          <w:numId w:val="0"/>
        </w:numPr>
        <w:spacing w:line="520" w:lineRule="exact"/>
        <w:ind w:right="0" w:rightChars="0" w:firstLine="640" w:firstLineChars="200"/>
        <w:rPr>
          <w:rFonts w:hint="eastAsia" w:ascii="宋体" w:hAnsi="宋体" w:eastAsia="宋体" w:cs="宋体"/>
          <w:caps w:val="0"/>
          <w:color w:val="auto"/>
          <w:spacing w:val="0"/>
          <w:sz w:val="32"/>
          <w:szCs w:val="32"/>
          <w:shd w:val="clear" w:color="auto" w:fill="FFFFFF"/>
        </w:rPr>
      </w:pPr>
      <w:r>
        <w:rPr>
          <w:rFonts w:hint="eastAsia" w:ascii="宋体" w:hAnsi="宋体" w:eastAsia="宋体" w:cs="宋体"/>
          <w:caps w:val="0"/>
          <w:color w:val="auto"/>
          <w:spacing w:val="0"/>
          <w:sz w:val="32"/>
          <w:szCs w:val="32"/>
          <w:shd w:val="clear" w:color="auto" w:fill="FFFFFF"/>
        </w:rPr>
        <w:t>（九）积极引导非公有制企业及其非公有制经济人士承担社会责任，大力支持慈善公益事业发展，积极投身光彩事业。</w:t>
      </w:r>
    </w:p>
    <w:p>
      <w:pPr>
        <w:ind w:firstLine="640" w:firstLineChars="200"/>
        <w:jc w:val="left"/>
        <w:rPr>
          <w:rFonts w:ascii="宋体"/>
          <w:sz w:val="32"/>
          <w:szCs w:val="32"/>
        </w:rPr>
      </w:pPr>
      <w:r>
        <w:rPr>
          <w:rFonts w:hint="eastAsia" w:ascii="宋体" w:hAnsi="宋体" w:eastAsia="宋体" w:cs="宋体"/>
          <w:caps w:val="0"/>
          <w:color w:val="auto"/>
          <w:spacing w:val="0"/>
          <w:sz w:val="32"/>
          <w:szCs w:val="32"/>
          <w:shd w:val="clear" w:color="auto" w:fill="FFFFFF"/>
        </w:rPr>
        <w:t>（十）承办县委、县政府和上级工商联交办的其它任务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宋体" w:hAnsi="宋体"/>
          <w:bCs/>
          <w:kern w:val="0"/>
          <w:sz w:val="32"/>
          <w:szCs w:val="32"/>
        </w:rPr>
      </w:pPr>
      <w:r>
        <w:rPr>
          <w:rFonts w:hint="eastAsia" w:ascii="宋体" w:hAnsi="宋体"/>
          <w:bCs/>
          <w:kern w:val="0"/>
          <w:sz w:val="32"/>
          <w:szCs w:val="32"/>
        </w:rPr>
        <w:t>（一）内设机构设置。</w:t>
      </w:r>
    </w:p>
    <w:p>
      <w:pPr>
        <w:widowControl/>
        <w:spacing w:line="600" w:lineRule="exact"/>
        <w:ind w:firstLine="640" w:firstLineChars="200"/>
        <w:rPr>
          <w:rFonts w:hint="eastAsia" w:ascii="宋体" w:hAnsi="宋体"/>
          <w:bCs/>
          <w:kern w:val="0"/>
          <w:sz w:val="32"/>
          <w:szCs w:val="32"/>
        </w:rPr>
      </w:pPr>
      <w:r>
        <w:rPr>
          <w:rFonts w:hint="eastAsia" w:ascii="宋体" w:hAnsi="宋体" w:eastAsia="宋体" w:cs="宋体"/>
          <w:color w:val="auto"/>
          <w:sz w:val="32"/>
          <w:szCs w:val="32"/>
        </w:rPr>
        <w:t>本部门有内设机构</w:t>
      </w:r>
      <w:r>
        <w:rPr>
          <w:rFonts w:hint="eastAsia" w:ascii="宋体" w:hAnsi="宋体" w:eastAsia="宋体" w:cs="宋体"/>
          <w:color w:val="auto"/>
          <w:sz w:val="32"/>
          <w:szCs w:val="32"/>
          <w:lang w:val="en-US" w:eastAsia="zh-CN"/>
        </w:rPr>
        <w:t>2</w:t>
      </w:r>
      <w:r>
        <w:rPr>
          <w:rFonts w:hint="eastAsia" w:ascii="宋体" w:hAnsi="宋体" w:eastAsia="宋体" w:cs="宋体"/>
          <w:color w:val="auto"/>
          <w:sz w:val="32"/>
          <w:szCs w:val="32"/>
        </w:rPr>
        <w:t>个，为：办公室</w:t>
      </w:r>
      <w:r>
        <w:rPr>
          <w:rFonts w:hint="eastAsia" w:ascii="宋体" w:hAnsi="宋体" w:eastAsia="宋体" w:cs="宋体"/>
          <w:color w:val="auto"/>
          <w:sz w:val="32"/>
          <w:szCs w:val="32"/>
          <w:lang w:eastAsia="zh-CN"/>
        </w:rPr>
        <w:t>、经济联络服务中心</w:t>
      </w:r>
      <w:r>
        <w:rPr>
          <w:rFonts w:hint="eastAsia" w:ascii="宋体" w:hAnsi="宋体" w:eastAsia="宋体" w:cs="宋体"/>
          <w:color w:val="auto"/>
          <w:sz w:val="32"/>
          <w:szCs w:val="32"/>
        </w:rPr>
        <w:t>。</w:t>
      </w:r>
    </w:p>
    <w:p>
      <w:pPr>
        <w:widowControl/>
        <w:numPr>
          <w:ilvl w:val="0"/>
          <w:numId w:val="3"/>
        </w:numPr>
        <w:spacing w:line="600" w:lineRule="exact"/>
        <w:ind w:firstLine="640" w:firstLineChars="200"/>
        <w:rPr>
          <w:rFonts w:hint="eastAsia" w:ascii="宋体" w:hAnsi="宋体"/>
          <w:bCs/>
          <w:kern w:val="0"/>
          <w:sz w:val="32"/>
          <w:szCs w:val="32"/>
        </w:rPr>
      </w:pPr>
      <w:r>
        <w:rPr>
          <w:rFonts w:hint="eastAsia" w:ascii="宋体" w:hAnsi="宋体"/>
          <w:bCs/>
          <w:kern w:val="0"/>
          <w:sz w:val="32"/>
          <w:szCs w:val="32"/>
        </w:rPr>
        <w:t>决算单位构成。</w:t>
      </w:r>
    </w:p>
    <w:p>
      <w:pPr>
        <w:widowControl/>
        <w:numPr>
          <w:ilvl w:val="0"/>
          <w:numId w:val="0"/>
        </w:numPr>
        <w:spacing w:line="600" w:lineRule="exact"/>
        <w:ind w:firstLine="640" w:firstLineChars="200"/>
        <w:rPr>
          <w:sz w:val="72"/>
          <w:szCs w:val="72"/>
        </w:rPr>
      </w:pPr>
      <w:r>
        <w:rPr>
          <w:rFonts w:ascii="宋体" w:hAnsi="宋体"/>
          <w:bCs/>
          <w:kern w:val="0"/>
          <w:sz w:val="32"/>
          <w:szCs w:val="32"/>
        </w:rPr>
        <w:t>202</w:t>
      </w:r>
      <w:r>
        <w:rPr>
          <w:rFonts w:hint="eastAsia" w:ascii="宋体" w:hAnsi="宋体"/>
          <w:bCs/>
          <w:kern w:val="0"/>
          <w:sz w:val="32"/>
          <w:szCs w:val="32"/>
          <w:lang w:val="en-US" w:eastAsia="zh-CN"/>
        </w:rPr>
        <w:t>1</w:t>
      </w:r>
      <w:r>
        <w:rPr>
          <w:rFonts w:hint="eastAsia" w:ascii="宋体" w:hAnsi="宋体"/>
          <w:bCs/>
          <w:kern w:val="0"/>
          <w:sz w:val="32"/>
          <w:szCs w:val="32"/>
        </w:rPr>
        <w:t>年部门决算汇总公开单位构成包括：</w:t>
      </w:r>
      <w:r>
        <w:rPr>
          <w:rFonts w:hint="eastAsia" w:ascii="宋体" w:hAnsi="宋体"/>
          <w:bCs/>
          <w:kern w:val="0"/>
          <w:sz w:val="32"/>
          <w:szCs w:val="32"/>
          <w:lang w:eastAsia="zh-CN"/>
        </w:rPr>
        <w:t>会同县</w:t>
      </w:r>
      <w:r>
        <w:rPr>
          <w:rFonts w:hint="eastAsia" w:ascii="宋体" w:cs="宋体"/>
          <w:bCs/>
          <w:kern w:val="0"/>
          <w:sz w:val="32"/>
          <w:szCs w:val="32"/>
          <w:lang w:val="en-US" w:eastAsia="zh-CN" w:bidi="ar"/>
        </w:rPr>
        <w:t>工商业联合会</w:t>
      </w:r>
      <w:r>
        <w:rPr>
          <w:rFonts w:hint="eastAsia" w:ascii="宋体" w:hAnsi="宋体" w:eastAsia="宋体" w:cs="宋体"/>
          <w:bCs/>
          <w:kern w:val="0"/>
          <w:sz w:val="32"/>
          <w:szCs w:val="32"/>
          <w:lang w:val="en-US" w:eastAsia="zh-CN" w:bidi="ar"/>
        </w:rPr>
        <w:t>本级</w:t>
      </w:r>
      <w:r>
        <w:rPr>
          <w:rFonts w:hint="eastAsia" w:ascii="宋体" w:hAnsi="宋体" w:cs="宋体"/>
          <w:bCs/>
          <w:kern w:val="0"/>
          <w:sz w:val="32"/>
          <w:szCs w:val="32"/>
          <w:lang w:val="en-US" w:eastAsia="zh-CN" w:bidi="ar"/>
        </w:rPr>
        <w:t>。</w:t>
      </w:r>
    </w:p>
    <w:p>
      <w:pPr>
        <w:jc w:val="center"/>
        <w:rPr>
          <w:rFonts w:hint="eastAsia" w:ascii="黑体" w:hAnsi="黑体" w:eastAsia="黑体"/>
          <w:sz w:val="84"/>
          <w:szCs w:val="84"/>
        </w:rPr>
      </w:pPr>
    </w:p>
    <w:p>
      <w:pPr>
        <w:jc w:val="center"/>
        <w:rPr>
          <w:rFonts w:hint="eastAsia" w:ascii="黑体" w:hAnsi="黑体" w:eastAsia="黑体"/>
          <w:sz w:val="84"/>
          <w:szCs w:val="84"/>
        </w:rPr>
      </w:pPr>
    </w:p>
    <w:p>
      <w:pPr>
        <w:jc w:val="center"/>
        <w:rPr>
          <w:rFonts w:hint="eastAsia" w:ascii="黑体" w:hAnsi="黑体" w:eastAsia="黑体"/>
          <w:sz w:val="84"/>
          <w:szCs w:val="84"/>
        </w:rPr>
      </w:pPr>
    </w:p>
    <w:p>
      <w:pPr>
        <w:jc w:val="both"/>
        <w:rPr>
          <w:rFonts w:hint="eastAsia"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第二部分</w:t>
      </w:r>
    </w:p>
    <w:p>
      <w:pPr>
        <w:jc w:val="cente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9"/>
        <w:tblW w:w="13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autofit"/>
        <w:tblCellMar>
          <w:top w:w="0" w:type="dxa"/>
          <w:left w:w="108" w:type="dxa"/>
          <w:bottom w:w="0" w:type="dxa"/>
          <w:right w:w="108" w:type="dxa"/>
        </w:tblCellMar>
      </w:tblPr>
      <w:tblGrid>
        <w:gridCol w:w="4677"/>
        <w:gridCol w:w="821"/>
        <w:gridCol w:w="1097"/>
        <w:gridCol w:w="4401"/>
        <w:gridCol w:w="821"/>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41" w:hRule="atLeast"/>
        </w:trPr>
        <w:tc>
          <w:tcPr>
            <w:tcW w:w="13840" w:type="dxa"/>
            <w:gridSpan w:val="6"/>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0" w:hRule="atLeast"/>
        </w:trPr>
        <w:tc>
          <w:tcPr>
            <w:tcW w:w="0" w:type="auto"/>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0" w:hRule="atLeast"/>
        </w:trPr>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gridSpan w:val="3"/>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0" w:type="auto"/>
            <w:gridSpan w:val="6"/>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6"/>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9"/>
        <w:tblW w:w="15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9"/>
        <w:gridCol w:w="261"/>
        <w:gridCol w:w="261"/>
        <w:gridCol w:w="4657"/>
        <w:gridCol w:w="1208"/>
        <w:gridCol w:w="1208"/>
        <w:gridCol w:w="597"/>
        <w:gridCol w:w="597"/>
        <w:gridCol w:w="597"/>
        <w:gridCol w:w="597"/>
        <w:gridCol w:w="2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528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169"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215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697"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36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369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r>
              <w:rPr>
                <w:rFonts w:hint="eastAsia" w:ascii="宋体" w:hAnsi="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r>
              <w:rPr>
                <w:rFonts w:hint="eastAsia" w:ascii="宋体" w:hAnsi="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r>
              <w:rPr>
                <w:rFonts w:hint="eastAsia" w:ascii="宋体" w:hAnsi="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r>
              <w:rPr>
                <w:rFonts w:hint="eastAsia" w:ascii="宋体" w:hAnsi="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widowControl/>
        <w:jc w:val="left"/>
        <w:rPr>
          <w:rFonts w:ascii="Times New Roman" w:hAnsi="Times New Roman" w:eastAsia="黑体"/>
          <w:bCs/>
          <w:kern w:val="0"/>
          <w:sz w:val="32"/>
          <w:szCs w:val="32"/>
        </w:rPr>
      </w:pPr>
    </w:p>
    <w:tbl>
      <w:tblPr>
        <w:tblStyle w:val="9"/>
        <w:tblW w:w="14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fixed"/>
        <w:tblCellMar>
          <w:top w:w="0" w:type="dxa"/>
          <w:left w:w="108" w:type="dxa"/>
          <w:bottom w:w="0" w:type="dxa"/>
          <w:right w:w="108" w:type="dxa"/>
        </w:tblCellMar>
      </w:tblPr>
      <w:tblGrid>
        <w:gridCol w:w="2812"/>
        <w:gridCol w:w="238"/>
        <w:gridCol w:w="238"/>
        <w:gridCol w:w="4253"/>
        <w:gridCol w:w="1237"/>
        <w:gridCol w:w="1327"/>
        <w:gridCol w:w="1112"/>
        <w:gridCol w:w="1209"/>
        <w:gridCol w:w="1225"/>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34" w:hRule="atLeast"/>
        </w:trPr>
        <w:tc>
          <w:tcPr>
            <w:tcW w:w="14980" w:type="dxa"/>
            <w:gridSpan w:val="10"/>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17" w:hRule="atLeast"/>
        </w:trPr>
        <w:tc>
          <w:tcPr>
            <w:tcW w:w="2812" w:type="dxa"/>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238"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38"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4253"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3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2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112"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09"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25"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29" w:type="dxa"/>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34" w:hRule="atLeast"/>
        </w:trPr>
        <w:tc>
          <w:tcPr>
            <w:tcW w:w="2812" w:type="dxa"/>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238"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38"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4253"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3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2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112"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09"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25"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29" w:type="dxa"/>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7541" w:type="dxa"/>
            <w:gridSpan w:val="4"/>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37"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327"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12"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09"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25"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329" w:type="dxa"/>
            <w:vMerge w:val="restart"/>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3" w:hRule="atLeast"/>
        </w:trPr>
        <w:tc>
          <w:tcPr>
            <w:tcW w:w="3288" w:type="dxa"/>
            <w:gridSpan w:val="3"/>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253" w:type="dxa"/>
            <w:vMerge w:val="restart"/>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3" w:hRule="atLeast"/>
        </w:trPr>
        <w:tc>
          <w:tcPr>
            <w:tcW w:w="3288" w:type="dxa"/>
            <w:gridSpan w:val="3"/>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4253" w:type="dxa"/>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3" w:hRule="atLeast"/>
        </w:trPr>
        <w:tc>
          <w:tcPr>
            <w:tcW w:w="3288" w:type="dxa"/>
            <w:gridSpan w:val="3"/>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4253" w:type="dxa"/>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0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25"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7541" w:type="dxa"/>
            <w:gridSpan w:val="4"/>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37"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2"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09"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25"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9"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7541" w:type="dxa"/>
            <w:gridSpan w:val="4"/>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116.58</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98.72</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17.86</w:t>
            </w: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b/>
                <w:bCs/>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b/>
                <w:bCs/>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88" w:type="dxa"/>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25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23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2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112"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0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25"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29"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980" w:type="dxa"/>
            <w:gridSpan w:val="10"/>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rPr>
          <w:rFonts w:ascii="Times New Roman" w:hAnsi="Times New Roman" w:eastAsia="方正小标宋_GBK"/>
          <w:color w:val="000000"/>
          <w:kern w:val="0"/>
          <w:sz w:val="36"/>
          <w:szCs w:val="21"/>
        </w:rPr>
      </w:pPr>
    </w:p>
    <w:p>
      <w:pPr>
        <w:pStyle w:val="2"/>
      </w:pPr>
    </w:p>
    <w:tbl>
      <w:tblPr>
        <w:tblStyle w:val="9"/>
        <w:tblW w:w="15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autofit"/>
        <w:tblCellMar>
          <w:top w:w="0" w:type="dxa"/>
          <w:left w:w="108" w:type="dxa"/>
          <w:bottom w:w="0" w:type="dxa"/>
          <w:right w:w="108" w:type="dxa"/>
        </w:tblCellMar>
      </w:tblPr>
      <w:tblGrid>
        <w:gridCol w:w="3744"/>
        <w:gridCol w:w="597"/>
        <w:gridCol w:w="1158"/>
        <w:gridCol w:w="4231"/>
        <w:gridCol w:w="597"/>
        <w:gridCol w:w="980"/>
        <w:gridCol w:w="1241"/>
        <w:gridCol w:w="943"/>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90" w:hRule="atLeast"/>
        </w:trPr>
        <w:tc>
          <w:tcPr>
            <w:tcW w:w="15320" w:type="dxa"/>
            <w:gridSpan w:val="9"/>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92" w:hRule="atLeast"/>
        </w:trPr>
        <w:tc>
          <w:tcPr>
            <w:tcW w:w="3613" w:type="dxa"/>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9"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93"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4045"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29"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42"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50"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51"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15" w:hRule="atLeast"/>
        </w:trPr>
        <w:tc>
          <w:tcPr>
            <w:tcW w:w="3613" w:type="dxa"/>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629"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4045"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629"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342"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50"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65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solid" w:color="FFFFFF" w:themeColor="background1" w:fill="auto"/>
            <w:noWrap/>
            <w:vAlign w:val="center"/>
          </w:tcPr>
          <w:p>
            <w:pPr>
              <w:jc w:val="left"/>
              <w:rPr>
                <w:rFonts w:hint="eastAsia" w:ascii="宋体" w:hAnsi="宋体" w:eastAsia="宋体" w:cs="宋体"/>
                <w:i w:val="0"/>
                <w:iCs w:val="0"/>
                <w:color w:val="000000"/>
                <w:sz w:val="20"/>
                <w:szCs w:val="20"/>
                <w:u w:val="none"/>
              </w:rPr>
            </w:pPr>
          </w:p>
        </w:tc>
      </w:tr>
    </w:tbl>
    <w:p>
      <w:pPr>
        <w:widowControl/>
        <w:rPr>
          <w:rFonts w:ascii="Times New Roman" w:hAnsi="Times New Roman" w:eastAsia="方正小标宋_GBK"/>
          <w:color w:val="000000"/>
          <w:kern w:val="0"/>
          <w:sz w:val="36"/>
          <w:szCs w:val="21"/>
        </w:rPr>
      </w:pPr>
    </w:p>
    <w:p>
      <w:pPr>
        <w:widowControl/>
        <w:rPr>
          <w:rFonts w:ascii="Times New Roman" w:hAnsi="Times New Roman" w:eastAsia="方正小标宋_GBK"/>
          <w:color w:val="000000"/>
          <w:kern w:val="0"/>
          <w:sz w:val="36"/>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p>
      <w:pPr>
        <w:widowControl/>
        <w:jc w:val="left"/>
        <w:rPr>
          <w:rFonts w:ascii="Times New Roman" w:hAnsi="Times New Roman" w:eastAsia="仿宋_GB2312"/>
          <w:bCs/>
          <w:kern w:val="0"/>
          <w:szCs w:val="21"/>
        </w:rPr>
      </w:pPr>
    </w:p>
    <w:tbl>
      <w:tblPr>
        <w:tblStyle w:val="9"/>
        <w:tblW w:w="15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autofit"/>
        <w:tblCellMar>
          <w:top w:w="0" w:type="dxa"/>
          <w:left w:w="108" w:type="dxa"/>
          <w:bottom w:w="0" w:type="dxa"/>
          <w:right w:w="108" w:type="dxa"/>
        </w:tblCellMar>
      </w:tblPr>
      <w:tblGrid>
        <w:gridCol w:w="3429"/>
        <w:gridCol w:w="291"/>
        <w:gridCol w:w="291"/>
        <w:gridCol w:w="5185"/>
        <w:gridCol w:w="1606"/>
        <w:gridCol w:w="1416"/>
        <w:gridCol w:w="2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87" w:hRule="atLeast"/>
        </w:trPr>
        <w:tc>
          <w:tcPr>
            <w:tcW w:w="15080" w:type="dxa"/>
            <w:gridSpan w:val="7"/>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43" w:hRule="atLeast"/>
        </w:trPr>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43" w:hRule="atLeast"/>
        </w:trPr>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4"/>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8" w:type="dxa"/>
            <w:gridSpan w:val="3"/>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4087" w:type="dxa"/>
            <w:gridSpan w:val="3"/>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68"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89"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751"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4087" w:type="dxa"/>
            <w:gridSpan w:val="3"/>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568"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75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4087" w:type="dxa"/>
            <w:gridSpan w:val="3"/>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rPr>
            </w:pPr>
          </w:p>
        </w:tc>
        <w:tc>
          <w:tcPr>
            <w:tcW w:w="1568"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75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4"/>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4"/>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116.58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98.72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81.54</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2012899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3"/>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gridSpan w:val="7"/>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both"/>
        <w:rPr>
          <w:rFonts w:ascii="Times New Roman" w:hAnsi="Times New Roman" w:eastAsia="方正小标宋_GBK"/>
          <w:color w:val="000000"/>
          <w:kern w:val="0"/>
          <w:sz w:val="36"/>
          <w:szCs w:val="36"/>
        </w:rPr>
      </w:pPr>
      <w:bookmarkStart w:id="0" w:name="RANGE!A1:I34"/>
      <w:bookmarkEnd w:id="0"/>
    </w:p>
    <w:tbl>
      <w:tblPr>
        <w:tblStyle w:val="9"/>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fixed"/>
        <w:tblCellMar>
          <w:top w:w="0" w:type="dxa"/>
          <w:left w:w="108" w:type="dxa"/>
          <w:bottom w:w="0" w:type="dxa"/>
          <w:right w:w="108" w:type="dxa"/>
        </w:tblCellMar>
      </w:tblPr>
      <w:tblGrid>
        <w:gridCol w:w="1441"/>
        <w:gridCol w:w="2973"/>
        <w:gridCol w:w="1377"/>
        <w:gridCol w:w="1316"/>
        <w:gridCol w:w="2066"/>
        <w:gridCol w:w="1050"/>
        <w:gridCol w:w="1241"/>
        <w:gridCol w:w="2864"/>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55" w:hRule="atLeast"/>
        </w:trPr>
        <w:tc>
          <w:tcPr>
            <w:tcW w:w="1441" w:type="dxa"/>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2973"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7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16"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066"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050"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41"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864"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193" w:type="dxa"/>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255" w:hRule="atLeast"/>
        </w:trPr>
        <w:tc>
          <w:tcPr>
            <w:tcW w:w="1441" w:type="dxa"/>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2973"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会同县工商业联合会</w:t>
            </w:r>
          </w:p>
        </w:tc>
        <w:tc>
          <w:tcPr>
            <w:tcW w:w="1377"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316"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066"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050"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241"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2864" w:type="dxa"/>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1193" w:type="dxa"/>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5791" w:type="dxa"/>
            <w:gridSpan w:val="3"/>
            <w:tcBorders>
              <w:top w:val="single" w:color="000000" w:sz="4" w:space="0"/>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730" w:type="dxa"/>
            <w:gridSpan w:val="6"/>
            <w:tcBorders>
              <w:top w:val="single" w:color="000000" w:sz="4" w:space="0"/>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73"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7"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316"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066"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50"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41"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864"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93"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973"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77"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066"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24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2864"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489"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82.41</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w:t>
            </w:r>
            <w:r>
              <w:rPr>
                <w:rFonts w:hint="eastAsia" w:ascii="宋体" w:hAnsi="宋体" w:cs="宋体"/>
                <w:i w:val="0"/>
                <w:iCs w:val="0"/>
                <w:color w:val="000000"/>
                <w:kern w:val="0"/>
                <w:sz w:val="22"/>
                <w:szCs w:val="22"/>
                <w:u w:val="none"/>
                <w:lang w:val="en-US" w:eastAsia="zh-CN" w:bidi="ar"/>
              </w:rPr>
              <w:t>73</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22.59</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r>
              <w:rPr>
                <w:rFonts w:hint="eastAsia" w:ascii="宋体" w:hAnsi="宋体" w:cs="宋体"/>
                <w:i w:val="0"/>
                <w:iCs w:val="0"/>
                <w:color w:val="000000"/>
                <w:kern w:val="0"/>
                <w:sz w:val="22"/>
                <w:szCs w:val="22"/>
                <w:u w:val="none"/>
                <w:lang w:val="en-US" w:eastAsia="zh-CN" w:bidi="ar"/>
              </w:rPr>
              <w:t>2</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90"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08" w:hRule="atLeast"/>
        </w:trPr>
        <w:tc>
          <w:tcPr>
            <w:tcW w:w="1441" w:type="dxa"/>
            <w:tcBorders>
              <w:top w:val="nil"/>
              <w:left w:val="single" w:color="000000" w:sz="4" w:space="0"/>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2973"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31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066"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50"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c>
          <w:tcPr>
            <w:tcW w:w="1241"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2864" w:type="dxa"/>
            <w:tcBorders>
              <w:top w:val="nil"/>
              <w:left w:val="nil"/>
              <w:bottom w:val="single" w:color="000000" w:sz="4" w:space="0"/>
              <w:right w:val="single" w:color="000000" w:sz="4" w:space="0"/>
            </w:tcBorders>
            <w:shd w:val="solid" w:color="FFFFFF" w:themeColor="background1" w:fill="auto"/>
            <w:noWrap/>
            <w:vAlign w:val="center"/>
          </w:tcPr>
          <w:p>
            <w:pPr>
              <w:jc w:val="left"/>
              <w:rPr>
                <w:rFonts w:hint="eastAsia" w:ascii="宋体" w:hAnsi="宋体" w:eastAsia="宋体" w:cs="宋体"/>
                <w:i w:val="0"/>
                <w:iCs w:val="0"/>
                <w:color w:val="000000"/>
                <w:sz w:val="22"/>
                <w:szCs w:val="22"/>
                <w:u w:val="none"/>
              </w:rPr>
            </w:pP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4" w:type="dxa"/>
            <w:gridSpan w:val="2"/>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377"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88.31</w:t>
            </w:r>
          </w:p>
        </w:tc>
        <w:tc>
          <w:tcPr>
            <w:tcW w:w="8537" w:type="dxa"/>
            <w:gridSpan w:val="5"/>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93" w:type="dxa"/>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521" w:type="dxa"/>
            <w:gridSpan w:val="9"/>
            <w:tcBorders>
              <w:top w:val="nil"/>
              <w:left w:val="nil"/>
              <w:bottom w:val="nil"/>
              <w:right w:val="nil"/>
            </w:tcBorders>
            <w:shd w:val="solid" w:color="FFFFFF" w:themeColor="background1"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pStyle w:val="2"/>
        <w:rPr>
          <w:rFonts w:ascii="Times New Roman" w:hAnsi="Times New Roman" w:eastAsia="方正小标宋_GBK"/>
          <w:color w:val="000000"/>
          <w:kern w:val="0"/>
          <w:sz w:val="36"/>
          <w:szCs w:val="36"/>
        </w:rPr>
      </w:pPr>
    </w:p>
    <w:p>
      <w:pPr>
        <w:pStyle w:val="2"/>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tbl>
      <w:tblPr>
        <w:tblStyle w:val="9"/>
        <w:tblW w:w="15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Layout w:type="autofit"/>
        <w:tblCellMar>
          <w:top w:w="0" w:type="dxa"/>
          <w:left w:w="108" w:type="dxa"/>
          <w:bottom w:w="0" w:type="dxa"/>
          <w:right w:w="108" w:type="dxa"/>
        </w:tblCellMar>
      </w:tblPr>
      <w:tblGrid>
        <w:gridCol w:w="2930"/>
        <w:gridCol w:w="1410"/>
        <w:gridCol w:w="907"/>
        <w:gridCol w:w="958"/>
        <w:gridCol w:w="1261"/>
        <w:gridCol w:w="1261"/>
        <w:gridCol w:w="755"/>
        <w:gridCol w:w="1563"/>
        <w:gridCol w:w="790"/>
        <w:gridCol w:w="958"/>
        <w:gridCol w:w="865"/>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56" w:hRule="atLeast"/>
        </w:trPr>
        <w:tc>
          <w:tcPr>
            <w:tcW w:w="15480" w:type="dxa"/>
            <w:gridSpan w:val="12"/>
            <w:tcBorders>
              <w:top w:val="nil"/>
              <w:left w:val="nil"/>
              <w:bottom w:val="nil"/>
              <w:right w:val="nil"/>
            </w:tcBorders>
            <w:shd w:val="solid" w:color="FFFFFF" w:themeColor="background1"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8" w:hRule="atLeast"/>
        </w:trPr>
        <w:tc>
          <w:tcPr>
            <w:tcW w:w="0" w:type="auto"/>
            <w:tcBorders>
              <w:top w:val="nil"/>
              <w:left w:val="nil"/>
              <w:bottom w:val="nil"/>
              <w:right w:val="nil"/>
            </w:tcBorders>
            <w:shd w:val="solid" w:color="FFFFFF" w:themeColor="background1"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28" w:hRule="atLeast"/>
        </w:trPr>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部门：会同县工商业联合会</w:t>
            </w: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solid" w:color="FFFFFF" w:themeColor="background1"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349" w:hRule="atLeast"/>
        </w:trPr>
        <w:tc>
          <w:tcPr>
            <w:tcW w:w="8727" w:type="dxa"/>
            <w:gridSpan w:val="6"/>
            <w:tcBorders>
              <w:top w:val="single" w:color="000000" w:sz="4" w:space="0"/>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753" w:type="dxa"/>
            <w:gridSpan w:val="6"/>
            <w:tcBorders>
              <w:top w:val="single" w:color="000000" w:sz="4" w:space="0"/>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677" w:hRule="atLeast"/>
        </w:trPr>
        <w:tc>
          <w:tcPr>
            <w:tcW w:w="2930" w:type="dxa"/>
            <w:vMerge w:val="restart"/>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26" w:type="dxa"/>
            <w:gridSpan w:val="3"/>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61"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55"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63"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613" w:type="dxa"/>
            <w:gridSpan w:val="3"/>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822" w:type="dxa"/>
            <w:vMerge w:val="restart"/>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solid" w:color="FFFFFF" w:themeColor="background1" w:fill="auto"/>
          <w:tblCellMar>
            <w:top w:w="0" w:type="dxa"/>
            <w:left w:w="108" w:type="dxa"/>
            <w:bottom w:w="0" w:type="dxa"/>
            <w:right w:w="108" w:type="dxa"/>
          </w:tblCellMar>
        </w:tblPrEx>
        <w:trPr>
          <w:trHeight w:val="1332" w:hRule="atLeast"/>
        </w:trPr>
        <w:tc>
          <w:tcPr>
            <w:tcW w:w="2930" w:type="dxa"/>
            <w:vMerge w:val="continue"/>
            <w:tcBorders>
              <w:top w:val="nil"/>
              <w:left w:val="single" w:color="000000" w:sz="4" w:space="0"/>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907"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58"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61"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261"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755"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1563"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c>
          <w:tcPr>
            <w:tcW w:w="790"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58"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65"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822" w:type="dxa"/>
            <w:vMerge w:val="continue"/>
            <w:tcBorders>
              <w:top w:val="nil"/>
              <w:left w:val="nil"/>
              <w:bottom w:val="single" w:color="000000" w:sz="4" w:space="0"/>
              <w:right w:val="single" w:color="000000" w:sz="4" w:space="0"/>
            </w:tcBorders>
            <w:shd w:val="solid" w:color="FFFFFF" w:themeColor="background1"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930" w:type="dxa"/>
            <w:tcBorders>
              <w:top w:val="nil"/>
              <w:left w:val="single" w:color="000000" w:sz="4" w:space="0"/>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7"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8"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1"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1"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5"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63"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0"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58"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5"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22" w:type="dxa"/>
            <w:tcBorders>
              <w:top w:val="nil"/>
              <w:left w:val="nil"/>
              <w:bottom w:val="single" w:color="000000" w:sz="4" w:space="0"/>
              <w:right w:val="single" w:color="000000" w:sz="4" w:space="0"/>
            </w:tcBorders>
            <w:shd w:val="solid" w:color="FFFFFF" w:themeColor="background1"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tcBorders>
              <w:top w:val="nil"/>
              <w:left w:val="single" w:color="000000" w:sz="4" w:space="0"/>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solid" w:color="FFFFFF" w:themeColor="background1"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5480" w:type="dxa"/>
            <w:gridSpan w:val="12"/>
            <w:tcBorders>
              <w:top w:val="nil"/>
              <w:left w:val="nil"/>
              <w:bottom w:val="nil"/>
              <w:right w:val="nil"/>
            </w:tcBorders>
            <w:shd w:val="solid" w:color="FFFFFF" w:themeColor="background1"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政府性基金预算财政拨款收入支出决算表</w:t>
      </w:r>
    </w:p>
    <w:p>
      <w:pPr>
        <w:widowControl/>
        <w:wordWrap w:val="0"/>
        <w:ind w:right="21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w:t>
      </w:r>
      <w:r>
        <w:rPr>
          <w:rFonts w:hint="eastAsia" w:ascii="Times New Roman" w:hAnsi="Times New Roman" w:eastAsia="仿宋_GB2312"/>
          <w:color w:val="000000"/>
          <w:kern w:val="0"/>
          <w:szCs w:val="21"/>
        </w:rPr>
        <w:t>部门：</w:t>
      </w:r>
      <w:r>
        <w:rPr>
          <w:rFonts w:hint="eastAsia" w:ascii="宋体" w:hAnsi="宋体" w:eastAsia="宋体" w:cs="宋体"/>
          <w:i w:val="0"/>
          <w:iCs w:val="0"/>
          <w:color w:val="000000"/>
          <w:kern w:val="0"/>
          <w:sz w:val="20"/>
          <w:szCs w:val="20"/>
          <w:u w:val="none"/>
          <w:lang w:val="en-US" w:eastAsia="zh-CN" w:bidi="ar"/>
        </w:rPr>
        <w:t>会同县工商业联合会</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08</w:t>
      </w:r>
      <w:r>
        <w:rPr>
          <w:rFonts w:hint="eastAsia" w:ascii="Times New Roman" w:hAnsi="Times New Roman" w:eastAsia="仿宋_GB2312"/>
          <w:color w:val="000000"/>
          <w:kern w:val="0"/>
          <w:szCs w:val="21"/>
        </w:rPr>
        <w:t>表</w:t>
      </w:r>
    </w:p>
    <w:p>
      <w:pPr>
        <w:widowControl/>
        <w:ind w:right="21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w:t>
            </w:r>
            <w:r>
              <w:rPr>
                <w:rFonts w:ascii="Times New Roman" w:hAnsi="Times New Roman" w:eastAsia="仿宋_GB2312"/>
                <w:b/>
                <w:kern w:val="0"/>
                <w:szCs w:val="21"/>
              </w:rPr>
              <w:t xml:space="preserve"> </w:t>
            </w:r>
            <w:r>
              <w:rPr>
                <w:rFonts w:ascii="Times New Roman" w:hAnsi="Times New Roman" w:eastAsia="仿宋_GB2312"/>
                <w:b/>
                <w:color w:val="000000"/>
                <w:kern w:val="0"/>
                <w:szCs w:val="21"/>
              </w:rPr>
              <w:t xml:space="preserve">   </w:t>
            </w:r>
            <w:r>
              <w:rPr>
                <w:rFonts w:hint="eastAsia" w:ascii="Times New Roman" w:hAnsi="Times New Roman" w:eastAsia="仿宋_GB2312"/>
                <w:b/>
                <w:kern w:val="0"/>
                <w:szCs w:val="21"/>
              </w:rPr>
              <w:t>目</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年初结转和结余</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本年收入</w:t>
            </w:r>
          </w:p>
        </w:tc>
        <w:tc>
          <w:tcPr>
            <w:tcW w:w="6000" w:type="dxa"/>
            <w:gridSpan w:val="3"/>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本年支出</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功能分类科目编码</w:t>
            </w:r>
          </w:p>
        </w:tc>
        <w:tc>
          <w:tcPr>
            <w:tcW w:w="13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科目名称</w:t>
            </w: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小计</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基本支出</w:t>
            </w:r>
            <w:r>
              <w:rPr>
                <w:rFonts w:ascii="Times New Roman" w:hAnsi="Times New Roman" w:eastAsia="仿宋_GB2312"/>
                <w:b/>
                <w:kern w:val="0"/>
                <w:szCs w:val="21"/>
              </w:rPr>
              <w:t xml:space="preserve">  </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项目支出</w:t>
            </w:r>
          </w:p>
        </w:tc>
        <w:tc>
          <w:tcPr>
            <w:tcW w:w="2000" w:type="dxa"/>
            <w:vMerge w:val="continue"/>
            <w:vAlign w:val="center"/>
          </w:tcPr>
          <w:p>
            <w:pPr>
              <w:widowControl/>
              <w:jc w:val="left"/>
              <w:rPr>
                <w:rFonts w:ascii="Times New Roman" w:hAnsi="Times New Roman"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栏次</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000" w:type="dxa"/>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bl>
    <w:p>
      <w:pPr>
        <w:widowControl/>
        <w:ind w:firstLine="420" w:firstLineChars="200"/>
        <w:jc w:val="left"/>
        <w:rPr>
          <w:rFonts w:ascii="Times New Roman" w:hAnsi="Times New Roman" w:eastAsia="仿宋_GB2312"/>
          <w:kern w:val="0"/>
          <w:szCs w:val="21"/>
        </w:rPr>
      </w:pPr>
      <w:r>
        <w:rPr>
          <w:rFonts w:hint="eastAsia" w:ascii="Times New Roman" w:hAnsi="Times New Roman" w:eastAsia="仿宋_GB2312"/>
          <w:kern w:val="0"/>
          <w:szCs w:val="21"/>
        </w:rPr>
        <w:t>注：本表反映部门本年度政府性基金预算财政拨款收入、支出及结转和结余情况</w:t>
      </w:r>
    </w:p>
    <w:p>
      <w:pPr>
        <w:widowControl/>
        <w:ind w:firstLine="413" w:firstLineChars="196"/>
        <w:jc w:val="left"/>
        <w:rPr>
          <w:rFonts w:ascii="Times New Roman" w:hAnsi="Times New Roman" w:eastAsia="仿宋_GB2312"/>
          <w:b/>
          <w:kern w:val="0"/>
          <w:szCs w:val="21"/>
        </w:rPr>
      </w:pPr>
      <w:r>
        <w:rPr>
          <w:rFonts w:hint="eastAsia" w:ascii="Times New Roman" w:hAnsi="Times New Roman" w:eastAsia="仿宋_GB2312"/>
          <w:b/>
          <w:kern w:val="0"/>
          <w:szCs w:val="21"/>
        </w:rPr>
        <w:t>本单位没有政府性基金收入，也没有使用政府性基金安排的支出，故本表无数据。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9"/>
        <w:tblW w:w="14190" w:type="dxa"/>
        <w:jc w:val="center"/>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jc w:val="center"/>
        </w:trPr>
        <w:tc>
          <w:tcPr>
            <w:tcW w:w="14190" w:type="dxa"/>
            <w:gridSpan w:val="9"/>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1060" w:type="dxa"/>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60" w:type="dxa"/>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215" w:type="dxa"/>
            <w:gridSpan w:val="2"/>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25" w:type="dxa"/>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jc w:val="center"/>
        </w:trPr>
        <w:tc>
          <w:tcPr>
            <w:tcW w:w="4835" w:type="dxa"/>
            <w:gridSpan w:val="4"/>
            <w:noWrap/>
            <w:vAlign w:val="center"/>
          </w:tcPr>
          <w:p>
            <w:pPr>
              <w:widowControl/>
              <w:jc w:val="left"/>
              <w:rPr>
                <w:rFonts w:ascii="宋体" w:cs="宋体"/>
                <w:kern w:val="0"/>
                <w:sz w:val="20"/>
                <w:szCs w:val="20"/>
              </w:rPr>
            </w:pPr>
            <w:r>
              <w:rPr>
                <w:rFonts w:hint="eastAsia" w:ascii="宋体" w:hAnsi="宋体" w:cs="宋体"/>
                <w:color w:val="000000"/>
                <w:kern w:val="0"/>
                <w:sz w:val="20"/>
                <w:szCs w:val="20"/>
              </w:rPr>
              <w:t>部门：</w:t>
            </w:r>
            <w:r>
              <w:rPr>
                <w:rFonts w:hint="eastAsia" w:ascii="宋体" w:hAnsi="宋体" w:eastAsia="宋体" w:cs="宋体"/>
                <w:i w:val="0"/>
                <w:iCs w:val="0"/>
                <w:color w:val="000000"/>
                <w:kern w:val="0"/>
                <w:sz w:val="20"/>
                <w:szCs w:val="20"/>
                <w:u w:val="none"/>
                <w:lang w:val="en-US" w:eastAsia="zh-CN" w:bidi="ar"/>
              </w:rPr>
              <w:t>会同县工商业联合会</w:t>
            </w:r>
            <w:r>
              <w:rPr>
                <w:rFonts w:hint="eastAsia" w:ascii="宋体" w:hAnsi="宋体" w:cs="宋体"/>
                <w:kern w:val="0"/>
                <w:sz w:val="20"/>
                <w:szCs w:val="20"/>
              </w:rPr>
              <w:t>　</w:t>
            </w:r>
          </w:p>
        </w:tc>
        <w:tc>
          <w:tcPr>
            <w:tcW w:w="1225" w:type="dxa"/>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jc w:val="center"/>
        </w:trPr>
        <w:tc>
          <w:tcPr>
            <w:tcW w:w="4835" w:type="dxa"/>
            <w:gridSpan w:val="4"/>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ascii="宋体" w:hAnsi="宋体" w:cs="宋体"/>
                <w:color w:val="000000"/>
                <w:kern w:val="0"/>
                <w:sz w:val="22"/>
              </w:rPr>
              <w:t xml:space="preserve">   </w:t>
            </w:r>
            <w:r>
              <w:rPr>
                <w:rFonts w:hint="eastAsia" w:ascii="宋体" w:hAnsi="宋体" w:cs="宋体"/>
                <w:kern w:val="0"/>
                <w:sz w:val="24"/>
                <w:szCs w:val="24"/>
              </w:rPr>
              <w:t>目</w:t>
            </w:r>
          </w:p>
        </w:tc>
        <w:tc>
          <w:tcPr>
            <w:tcW w:w="9355" w:type="dxa"/>
            <w:gridSpan w:val="5"/>
            <w:vAlign w:val="center"/>
          </w:tcPr>
          <w:p>
            <w:pPr>
              <w:widowControl/>
              <w:jc w:val="center"/>
              <w:rPr>
                <w:rFonts w:asci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jc w:val="center"/>
        </w:trPr>
        <w:tc>
          <w:tcPr>
            <w:tcW w:w="2709" w:type="dxa"/>
            <w:gridSpan w:val="3"/>
            <w:vMerge w:val="restart"/>
            <w:vAlign w:val="center"/>
          </w:tcPr>
          <w:p>
            <w:pPr>
              <w:widowControl/>
              <w:jc w:val="center"/>
              <w:rPr>
                <w:rFonts w:ascii="宋体" w:cs="宋体"/>
                <w:kern w:val="0"/>
                <w:sz w:val="24"/>
                <w:szCs w:val="24"/>
              </w:rPr>
            </w:pPr>
            <w:r>
              <w:rPr>
                <w:rFonts w:hint="eastAsia" w:ascii="宋体" w:hAnsi="宋体" w:cs="宋体"/>
                <w:kern w:val="0"/>
                <w:sz w:val="24"/>
                <w:szCs w:val="24"/>
              </w:rPr>
              <w:t>功能分类科目编码</w:t>
            </w:r>
          </w:p>
        </w:tc>
        <w:tc>
          <w:tcPr>
            <w:tcW w:w="2126"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科目名称</w:t>
            </w:r>
          </w:p>
        </w:tc>
        <w:tc>
          <w:tcPr>
            <w:tcW w:w="2551" w:type="dxa"/>
            <w:gridSpan w:val="2"/>
            <w:vMerge w:val="restart"/>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977" w:type="dxa"/>
            <w:gridSpan w:val="2"/>
            <w:vMerge w:val="restart"/>
            <w:vAlign w:val="center"/>
          </w:tcPr>
          <w:p>
            <w:pPr>
              <w:widowControl/>
              <w:jc w:val="center"/>
              <w:rPr>
                <w:rFonts w:ascii="宋体" w:cs="宋体"/>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vAlign w:val="center"/>
          </w:tcPr>
          <w:p>
            <w:pPr>
              <w:widowControl/>
              <w:jc w:val="center"/>
              <w:rPr>
                <w:rFonts w:asci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jc w:val="center"/>
        </w:trPr>
        <w:tc>
          <w:tcPr>
            <w:tcW w:w="2709" w:type="dxa"/>
            <w:gridSpan w:val="3"/>
            <w:vMerge w:val="continue"/>
            <w:vAlign w:val="center"/>
          </w:tcPr>
          <w:p>
            <w:pPr>
              <w:widowControl/>
              <w:jc w:val="left"/>
              <w:rPr>
                <w:rFonts w:ascii="宋体" w:cs="宋体"/>
                <w:kern w:val="0"/>
                <w:sz w:val="24"/>
                <w:szCs w:val="24"/>
              </w:rPr>
            </w:pPr>
          </w:p>
        </w:tc>
        <w:tc>
          <w:tcPr>
            <w:tcW w:w="2126" w:type="dxa"/>
            <w:vMerge w:val="continue"/>
            <w:vAlign w:val="center"/>
          </w:tcPr>
          <w:p>
            <w:pPr>
              <w:widowControl/>
              <w:jc w:val="left"/>
              <w:rPr>
                <w:rFonts w:ascii="宋体" w:cs="宋体"/>
                <w:kern w:val="0"/>
                <w:sz w:val="24"/>
                <w:szCs w:val="24"/>
              </w:rPr>
            </w:pPr>
          </w:p>
        </w:tc>
        <w:tc>
          <w:tcPr>
            <w:tcW w:w="2551" w:type="dxa"/>
            <w:gridSpan w:val="2"/>
            <w:vMerge w:val="continue"/>
            <w:vAlign w:val="center"/>
          </w:tcPr>
          <w:p>
            <w:pPr>
              <w:widowControl/>
              <w:jc w:val="left"/>
              <w:rPr>
                <w:rFonts w:ascii="宋体" w:cs="宋体"/>
                <w:kern w:val="0"/>
                <w:sz w:val="24"/>
                <w:szCs w:val="24"/>
              </w:rPr>
            </w:pPr>
          </w:p>
        </w:tc>
        <w:tc>
          <w:tcPr>
            <w:tcW w:w="2977" w:type="dxa"/>
            <w:gridSpan w:val="2"/>
            <w:vMerge w:val="continue"/>
            <w:vAlign w:val="center"/>
          </w:tcPr>
          <w:p>
            <w:pPr>
              <w:widowControl/>
              <w:jc w:val="left"/>
              <w:rPr>
                <w:rFonts w:ascii="宋体" w:cs="宋体"/>
                <w:kern w:val="0"/>
                <w:sz w:val="24"/>
                <w:szCs w:val="24"/>
              </w:rPr>
            </w:pPr>
          </w:p>
        </w:tc>
        <w:tc>
          <w:tcPr>
            <w:tcW w:w="3827" w:type="dxa"/>
            <w:vMerge w:val="continue"/>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jc w:val="center"/>
        </w:trPr>
        <w:tc>
          <w:tcPr>
            <w:tcW w:w="2709" w:type="dxa"/>
            <w:gridSpan w:val="3"/>
            <w:vMerge w:val="continue"/>
            <w:vAlign w:val="center"/>
          </w:tcPr>
          <w:p>
            <w:pPr>
              <w:widowControl/>
              <w:jc w:val="left"/>
              <w:rPr>
                <w:rFonts w:ascii="宋体" w:cs="宋体"/>
                <w:kern w:val="0"/>
                <w:sz w:val="24"/>
                <w:szCs w:val="24"/>
              </w:rPr>
            </w:pPr>
          </w:p>
        </w:tc>
        <w:tc>
          <w:tcPr>
            <w:tcW w:w="2126" w:type="dxa"/>
            <w:vMerge w:val="continue"/>
            <w:vAlign w:val="center"/>
          </w:tcPr>
          <w:p>
            <w:pPr>
              <w:widowControl/>
              <w:jc w:val="left"/>
              <w:rPr>
                <w:rFonts w:ascii="宋体" w:cs="宋体"/>
                <w:kern w:val="0"/>
                <w:sz w:val="24"/>
                <w:szCs w:val="24"/>
              </w:rPr>
            </w:pPr>
          </w:p>
        </w:tc>
        <w:tc>
          <w:tcPr>
            <w:tcW w:w="2551" w:type="dxa"/>
            <w:gridSpan w:val="2"/>
            <w:vMerge w:val="continue"/>
            <w:vAlign w:val="center"/>
          </w:tcPr>
          <w:p>
            <w:pPr>
              <w:widowControl/>
              <w:jc w:val="left"/>
              <w:rPr>
                <w:rFonts w:ascii="宋体" w:cs="宋体"/>
                <w:kern w:val="0"/>
                <w:sz w:val="24"/>
                <w:szCs w:val="24"/>
              </w:rPr>
            </w:pPr>
          </w:p>
        </w:tc>
        <w:tc>
          <w:tcPr>
            <w:tcW w:w="2977" w:type="dxa"/>
            <w:gridSpan w:val="2"/>
            <w:vMerge w:val="continue"/>
            <w:vAlign w:val="center"/>
          </w:tcPr>
          <w:p>
            <w:pPr>
              <w:widowControl/>
              <w:jc w:val="left"/>
              <w:rPr>
                <w:rFonts w:ascii="宋体" w:cs="宋体"/>
                <w:kern w:val="0"/>
                <w:sz w:val="24"/>
                <w:szCs w:val="24"/>
              </w:rPr>
            </w:pPr>
          </w:p>
        </w:tc>
        <w:tc>
          <w:tcPr>
            <w:tcW w:w="3827" w:type="dxa"/>
            <w:vMerge w:val="continue"/>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jc w:val="center"/>
        </w:trPr>
        <w:tc>
          <w:tcPr>
            <w:tcW w:w="4835" w:type="dxa"/>
            <w:gridSpan w:val="4"/>
            <w:vAlign w:val="center"/>
          </w:tcPr>
          <w:p>
            <w:pPr>
              <w:widowControl/>
              <w:jc w:val="center"/>
              <w:rPr>
                <w:rFonts w:ascii="宋体" w:cs="宋体"/>
                <w:kern w:val="0"/>
                <w:sz w:val="24"/>
                <w:szCs w:val="24"/>
              </w:rPr>
            </w:pPr>
            <w:r>
              <w:rPr>
                <w:rFonts w:hint="eastAsia" w:ascii="宋体" w:hAnsi="宋体" w:cs="宋体"/>
                <w:kern w:val="0"/>
                <w:sz w:val="24"/>
                <w:szCs w:val="24"/>
              </w:rPr>
              <w:t>栏次</w:t>
            </w:r>
          </w:p>
        </w:tc>
        <w:tc>
          <w:tcPr>
            <w:tcW w:w="2551" w:type="dxa"/>
            <w:gridSpan w:val="2"/>
            <w:vAlign w:val="center"/>
          </w:tcPr>
          <w:p>
            <w:pPr>
              <w:widowControl/>
              <w:jc w:val="center"/>
              <w:rPr>
                <w:rFonts w:ascii="宋体" w:cs="宋体"/>
                <w:kern w:val="0"/>
                <w:sz w:val="24"/>
                <w:szCs w:val="24"/>
              </w:rPr>
            </w:pPr>
            <w:r>
              <w:rPr>
                <w:rFonts w:ascii="宋体" w:hAnsi="宋体" w:cs="宋体"/>
                <w:kern w:val="0"/>
                <w:sz w:val="24"/>
                <w:szCs w:val="24"/>
              </w:rPr>
              <w:t>1</w:t>
            </w:r>
          </w:p>
        </w:tc>
        <w:tc>
          <w:tcPr>
            <w:tcW w:w="2977" w:type="dxa"/>
            <w:gridSpan w:val="2"/>
            <w:vAlign w:val="center"/>
          </w:tcPr>
          <w:p>
            <w:pPr>
              <w:widowControl/>
              <w:jc w:val="center"/>
              <w:rPr>
                <w:rFonts w:ascii="宋体" w:cs="宋体"/>
                <w:kern w:val="0"/>
                <w:sz w:val="24"/>
                <w:szCs w:val="24"/>
              </w:rPr>
            </w:pPr>
            <w:r>
              <w:rPr>
                <w:rFonts w:ascii="宋体" w:hAnsi="宋体" w:cs="宋体"/>
                <w:kern w:val="0"/>
                <w:sz w:val="24"/>
                <w:szCs w:val="24"/>
              </w:rPr>
              <w:t>2</w:t>
            </w:r>
          </w:p>
        </w:tc>
        <w:tc>
          <w:tcPr>
            <w:tcW w:w="3827" w:type="dxa"/>
            <w:vAlign w:val="center"/>
          </w:tcPr>
          <w:p>
            <w:pPr>
              <w:widowControl/>
              <w:jc w:val="center"/>
              <w:rPr>
                <w:rFonts w:ascii="宋体" w:cs="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jc w:val="center"/>
        </w:trPr>
        <w:tc>
          <w:tcPr>
            <w:tcW w:w="4835" w:type="dxa"/>
            <w:gridSpan w:val="4"/>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551" w:type="dxa"/>
            <w:gridSpan w:val="2"/>
            <w:vAlign w:val="center"/>
          </w:tcPr>
          <w:p>
            <w:pPr>
              <w:widowControl/>
              <w:jc w:val="center"/>
              <w:rPr>
                <w:rFonts w:ascii="宋体" w:cs="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c>
          <w:tcPr>
            <w:tcW w:w="2977" w:type="dxa"/>
            <w:gridSpan w:val="2"/>
            <w:vAlign w:val="center"/>
          </w:tcPr>
          <w:p>
            <w:pPr>
              <w:widowControl/>
              <w:jc w:val="center"/>
              <w:rPr>
                <w:rFonts w:ascii="宋体" w:cs="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c>
          <w:tcPr>
            <w:tcW w:w="3827" w:type="dxa"/>
            <w:vAlign w:val="center"/>
          </w:tcPr>
          <w:p>
            <w:pPr>
              <w:widowControl/>
              <w:jc w:val="center"/>
              <w:rPr>
                <w:rFonts w:hint="default" w:ascii="宋体" w:cs="宋体"/>
                <w:kern w:val="0"/>
                <w:sz w:val="24"/>
                <w:szCs w:val="24"/>
              </w:rPr>
            </w:pPr>
            <w:r>
              <w:rPr>
                <w:rFonts w:hint="eastAsia" w:ascii="宋体" w:hAnsi="宋体" w:cs="宋体"/>
                <w:kern w:val="0"/>
                <w:sz w:val="24"/>
                <w:szCs w:val="24"/>
                <w:lang w:val="en-US" w:eastAsia="zh-CN"/>
              </w:rPr>
              <w:t>0</w:t>
            </w: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jc w:val="center"/>
        </w:trPr>
        <w:tc>
          <w:tcPr>
            <w:tcW w:w="162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jc w:val="center"/>
        </w:trPr>
        <w:tc>
          <w:tcPr>
            <w:tcW w:w="14190" w:type="dxa"/>
            <w:gridSpan w:val="9"/>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注：本表反映部门本年度国有资本经营预算财政拨款支出情况。</w:t>
            </w:r>
          </w:p>
        </w:tc>
      </w:tr>
    </w:tbl>
    <w:p>
      <w:pPr>
        <w:widowControl/>
        <w:ind w:firstLine="632" w:firstLineChars="300"/>
        <w:jc w:val="left"/>
        <w:rPr>
          <w:rFonts w:ascii="Times New Roman" w:hAnsi="Times New Roman" w:eastAsia="仿宋_GB2312"/>
          <w:b/>
          <w:kern w:val="0"/>
          <w:szCs w:val="21"/>
        </w:rPr>
      </w:pPr>
      <w:r>
        <w:rPr>
          <w:rFonts w:hint="eastAsia" w:ascii="Times New Roman" w:hAnsi="Times New Roman" w:eastAsia="仿宋_GB2312"/>
          <w:b/>
          <w:kern w:val="0"/>
          <w:szCs w:val="21"/>
        </w:rPr>
        <w:t>本单位没有国有资本经营收入，也没有使用国有资本经营安排的支出，故本表无数据。</w:t>
      </w:r>
    </w:p>
    <w:p>
      <w:pPr>
        <w:pStyle w:val="16"/>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r>
        <w:rPr>
          <w:rFonts w:hint="eastAsia"/>
          <w:sz w:val="72"/>
          <w:szCs w:val="72"/>
        </w:rPr>
        <w:t>第三部分</w:t>
      </w:r>
    </w:p>
    <w:p>
      <w:pPr>
        <w:pStyle w:val="16"/>
        <w:jc w:val="center"/>
        <w:rPr>
          <w:sz w:val="70"/>
          <w:szCs w:val="70"/>
        </w:rPr>
      </w:pPr>
    </w:p>
    <w:p>
      <w:pPr>
        <w:pStyle w:val="16"/>
        <w:jc w:val="center"/>
        <w:rPr>
          <w:sz w:val="70"/>
          <w:szCs w:val="70"/>
        </w:rPr>
      </w:pPr>
      <w:r>
        <w:rPr>
          <w:sz w:val="70"/>
          <w:szCs w:val="70"/>
        </w:rPr>
        <w:t>2021</w:t>
      </w:r>
      <w:r>
        <w:rPr>
          <w:rFonts w:hint="eastAsia"/>
          <w:sz w:val="70"/>
          <w:szCs w:val="70"/>
        </w:rPr>
        <w:t>年度部门决算情况说明</w:t>
      </w:r>
    </w:p>
    <w:p>
      <w:pPr>
        <w:widowControl/>
        <w:spacing w:line="600" w:lineRule="exact"/>
        <w:jc w:val="left"/>
        <w:rPr>
          <w:rFonts w:hint="eastAsia" w:ascii="黑体" w:hAnsi="黑体" w:eastAsia="黑体" w:cs="黑体"/>
          <w:b/>
          <w:color w:val="000000"/>
          <w:kern w:val="0"/>
          <w:sz w:val="32"/>
          <w:szCs w:val="32"/>
        </w:rPr>
      </w:pPr>
      <w:r>
        <w:br w:type="page"/>
      </w:r>
      <w:r>
        <w:rPr>
          <w:rFonts w:hint="eastAsia" w:ascii="黑体" w:hAnsi="黑体" w:eastAsia="黑体" w:cs="黑体"/>
          <w:b/>
          <w:sz w:val="32"/>
          <w:szCs w:val="32"/>
        </w:rPr>
        <w:t>一、收入支出决算总体情况说明</w:t>
      </w:r>
    </w:p>
    <w:p>
      <w:pPr>
        <w:pStyle w:val="16"/>
        <w:spacing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2021年度收入总计</w:t>
      </w:r>
      <w:r>
        <w:rPr>
          <w:rFonts w:hint="eastAsia" w:ascii="宋体" w:hAnsi="宋体" w:eastAsia="宋体" w:cs="宋体"/>
          <w:sz w:val="32"/>
          <w:szCs w:val="32"/>
          <w:lang w:val="en-US" w:eastAsia="zh-CN"/>
        </w:rPr>
        <w:t>116.58</w:t>
      </w:r>
      <w:r>
        <w:rPr>
          <w:rFonts w:hint="eastAsia" w:ascii="宋体" w:hAnsi="宋体" w:eastAsia="宋体" w:cs="宋体"/>
          <w:sz w:val="32"/>
          <w:szCs w:val="32"/>
        </w:rPr>
        <w:t>万元（含年初结转和结余资金</w:t>
      </w:r>
      <w:r>
        <w:rPr>
          <w:rFonts w:hint="eastAsia" w:ascii="宋体" w:hAnsi="宋体" w:eastAsia="宋体" w:cs="宋体"/>
          <w:sz w:val="32"/>
          <w:szCs w:val="32"/>
          <w:lang w:val="en-US" w:eastAsia="zh-CN"/>
        </w:rPr>
        <w:t>0.52</w:t>
      </w:r>
      <w:r>
        <w:rPr>
          <w:rFonts w:hint="eastAsia" w:ascii="宋体" w:hAnsi="宋体" w:eastAsia="宋体" w:cs="宋体"/>
          <w:sz w:val="32"/>
          <w:szCs w:val="32"/>
        </w:rPr>
        <w:t>万元），与上年相比，减少</w:t>
      </w:r>
      <w:r>
        <w:rPr>
          <w:rFonts w:hint="eastAsia" w:ascii="宋体" w:hAnsi="宋体" w:eastAsia="宋体" w:cs="宋体"/>
          <w:sz w:val="32"/>
          <w:szCs w:val="32"/>
          <w:lang w:val="en-US" w:eastAsia="zh-CN"/>
        </w:rPr>
        <w:t>17.43</w:t>
      </w:r>
      <w:r>
        <w:rPr>
          <w:rFonts w:hint="eastAsia" w:ascii="宋体" w:hAnsi="宋体" w:eastAsia="宋体" w:cs="宋体"/>
          <w:sz w:val="32"/>
          <w:szCs w:val="32"/>
        </w:rPr>
        <w:t>万元，减少</w:t>
      </w:r>
      <w:r>
        <w:rPr>
          <w:rFonts w:hint="eastAsia" w:ascii="宋体" w:hAnsi="宋体" w:eastAsia="宋体" w:cs="宋体"/>
          <w:sz w:val="32"/>
          <w:szCs w:val="32"/>
          <w:lang w:val="en-US" w:eastAsia="zh-CN"/>
        </w:rPr>
        <w:t>13</w:t>
      </w:r>
      <w:r>
        <w:rPr>
          <w:rFonts w:hint="eastAsia" w:ascii="宋体" w:hAnsi="宋体" w:eastAsia="宋体" w:cs="宋体"/>
          <w:sz w:val="32"/>
          <w:szCs w:val="32"/>
        </w:rPr>
        <w:t>%，主要是因为</w:t>
      </w:r>
      <w:r>
        <w:rPr>
          <w:rFonts w:hint="eastAsia" w:ascii="宋体" w:hAnsi="宋体" w:eastAsia="宋体" w:cs="宋体"/>
          <w:sz w:val="32"/>
          <w:szCs w:val="32"/>
          <w:lang w:eastAsia="zh-CN"/>
        </w:rPr>
        <w:t>厉行节约，压减支出；年底支付系统升级导致部分费用未及时支付，余下经费被财政收回。</w:t>
      </w:r>
    </w:p>
    <w:p>
      <w:pPr>
        <w:pStyle w:val="16"/>
        <w:spacing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2021年度支出总计</w:t>
      </w:r>
      <w:r>
        <w:rPr>
          <w:rFonts w:hint="eastAsia" w:ascii="宋体" w:hAnsi="宋体" w:eastAsia="宋体" w:cs="宋体"/>
          <w:sz w:val="32"/>
          <w:szCs w:val="32"/>
          <w:lang w:val="en-US" w:eastAsia="zh-CN"/>
        </w:rPr>
        <w:t>116.58</w:t>
      </w:r>
      <w:r>
        <w:rPr>
          <w:rFonts w:hint="eastAsia" w:ascii="宋体" w:hAnsi="宋体" w:eastAsia="宋体" w:cs="宋体"/>
          <w:sz w:val="32"/>
          <w:szCs w:val="32"/>
          <w:lang w:eastAsia="zh-CN"/>
        </w:rPr>
        <w:t>万元（含年末结转和结余资金0万元），与上年相比，减少</w:t>
      </w:r>
      <w:r>
        <w:rPr>
          <w:rFonts w:hint="eastAsia" w:ascii="宋体" w:hAnsi="宋体" w:eastAsia="宋体" w:cs="宋体"/>
          <w:sz w:val="32"/>
          <w:szCs w:val="32"/>
          <w:lang w:val="en-US" w:eastAsia="zh-CN"/>
        </w:rPr>
        <w:t>17.43</w:t>
      </w:r>
      <w:r>
        <w:rPr>
          <w:rFonts w:hint="eastAsia" w:ascii="宋体" w:hAnsi="宋体" w:eastAsia="宋体" w:cs="宋体"/>
          <w:sz w:val="32"/>
          <w:szCs w:val="32"/>
          <w:lang w:eastAsia="zh-CN"/>
        </w:rPr>
        <w:t>万元，减少</w:t>
      </w:r>
      <w:r>
        <w:rPr>
          <w:rFonts w:hint="eastAsia" w:ascii="宋体" w:hAnsi="宋体" w:eastAsia="宋体" w:cs="宋体"/>
          <w:sz w:val="32"/>
          <w:szCs w:val="32"/>
          <w:lang w:val="en-US" w:eastAsia="zh-CN"/>
        </w:rPr>
        <w:t>13</w:t>
      </w:r>
      <w:r>
        <w:rPr>
          <w:rFonts w:hint="eastAsia" w:ascii="宋体" w:hAnsi="宋体" w:eastAsia="宋体" w:cs="宋体"/>
          <w:sz w:val="32"/>
          <w:szCs w:val="32"/>
          <w:lang w:eastAsia="zh-CN"/>
        </w:rPr>
        <w:t>%，主要是因为厉行节约，压减支出；年底支付系统升级导致部分费用未及时支付，余下经费被财政收回。</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二、收入决算情况说明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本</w:t>
      </w:r>
      <w:r>
        <w:rPr>
          <w:rFonts w:hint="eastAsia" w:ascii="宋体" w:hAnsi="宋体" w:eastAsia="宋体" w:cs="宋体"/>
          <w:sz w:val="32"/>
          <w:szCs w:val="32"/>
        </w:rPr>
        <w:t>年收入合计</w:t>
      </w:r>
      <w:r>
        <w:rPr>
          <w:rFonts w:hint="eastAsia" w:ascii="宋体" w:hAnsi="宋体" w:eastAsia="宋体" w:cs="宋体"/>
          <w:sz w:val="32"/>
          <w:szCs w:val="32"/>
          <w:lang w:val="en-US" w:eastAsia="zh-CN"/>
        </w:rPr>
        <w:t>116.06</w:t>
      </w:r>
      <w:r>
        <w:rPr>
          <w:rFonts w:hint="eastAsia" w:ascii="宋体" w:hAnsi="宋体" w:eastAsia="宋体" w:cs="宋体"/>
          <w:sz w:val="32"/>
          <w:szCs w:val="32"/>
        </w:rPr>
        <w:t>万元，其中：财政拨款收入</w:t>
      </w:r>
      <w:r>
        <w:rPr>
          <w:rFonts w:hint="eastAsia" w:ascii="宋体" w:hAnsi="宋体" w:eastAsia="宋体" w:cs="宋体"/>
          <w:sz w:val="32"/>
          <w:szCs w:val="32"/>
          <w:lang w:val="en-US" w:eastAsia="zh-CN"/>
        </w:rPr>
        <w:t>116.06</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%；上级补助收入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%；事业收入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%；经营收入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%；附属单位上缴收入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%；其他收入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三、支出决算情况说明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本</w:t>
      </w:r>
      <w:r>
        <w:rPr>
          <w:rFonts w:hint="eastAsia" w:ascii="宋体" w:hAnsi="宋体" w:eastAsia="宋体" w:cs="宋体"/>
          <w:sz w:val="32"/>
          <w:szCs w:val="32"/>
        </w:rPr>
        <w:t>年支出合计</w:t>
      </w:r>
      <w:r>
        <w:rPr>
          <w:rFonts w:hint="eastAsia" w:ascii="宋体" w:hAnsi="宋体" w:eastAsia="宋体" w:cs="宋体"/>
          <w:sz w:val="32"/>
          <w:szCs w:val="32"/>
          <w:lang w:val="en-US" w:eastAsia="zh-CN"/>
        </w:rPr>
        <w:t>116.58</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98.72</w:t>
      </w:r>
      <w:r>
        <w:rPr>
          <w:rFonts w:hint="eastAsia" w:ascii="宋体" w:hAnsi="宋体" w:eastAsia="宋体" w:cs="宋体"/>
          <w:sz w:val="32"/>
          <w:szCs w:val="32"/>
        </w:rPr>
        <w:t>万元，占</w:t>
      </w:r>
      <w:r>
        <w:rPr>
          <w:rFonts w:hint="eastAsia" w:ascii="宋体" w:hAnsi="宋体" w:eastAsia="宋体" w:cs="宋体"/>
          <w:sz w:val="32"/>
          <w:szCs w:val="32"/>
          <w:lang w:val="en-US" w:eastAsia="zh-CN"/>
        </w:rPr>
        <w:t>84.68</w:t>
      </w:r>
      <w:r>
        <w:rPr>
          <w:rFonts w:hint="eastAsia" w:ascii="宋体" w:hAnsi="宋体" w:eastAsia="宋体" w:cs="宋体"/>
          <w:sz w:val="32"/>
          <w:szCs w:val="32"/>
        </w:rPr>
        <w:t>%；项目支出</w:t>
      </w:r>
      <w:r>
        <w:rPr>
          <w:rFonts w:hint="eastAsia" w:ascii="宋体" w:hAnsi="宋体" w:eastAsia="宋体" w:cs="宋体"/>
          <w:sz w:val="32"/>
          <w:szCs w:val="32"/>
          <w:lang w:val="en-US" w:eastAsia="zh-CN"/>
        </w:rPr>
        <w:t>17.86</w:t>
      </w:r>
      <w:r>
        <w:rPr>
          <w:rFonts w:hint="eastAsia" w:ascii="宋体" w:hAnsi="宋体" w:eastAsia="宋体" w:cs="宋体"/>
          <w:sz w:val="32"/>
          <w:szCs w:val="32"/>
        </w:rPr>
        <w:t>万元，占</w:t>
      </w:r>
      <w:r>
        <w:rPr>
          <w:rFonts w:hint="eastAsia" w:ascii="宋体" w:hAnsi="宋体" w:eastAsia="宋体" w:cs="宋体"/>
          <w:sz w:val="32"/>
          <w:szCs w:val="32"/>
          <w:lang w:val="en-US" w:eastAsia="zh-CN"/>
        </w:rPr>
        <w:t>15.32</w:t>
      </w:r>
      <w:r>
        <w:rPr>
          <w:rFonts w:hint="eastAsia" w:ascii="宋体" w:hAnsi="宋体" w:eastAsia="宋体" w:cs="宋体"/>
          <w:sz w:val="32"/>
          <w:szCs w:val="32"/>
        </w:rPr>
        <w:t>%；上缴上级支出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%；经营支出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%；对附属单位补助支出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四、财政拨款收入支出决算总体情况说明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2021年度财政拨款收入合计</w:t>
      </w:r>
      <w:r>
        <w:rPr>
          <w:rFonts w:hint="eastAsia" w:ascii="宋体" w:hAnsi="宋体" w:eastAsia="宋体" w:cs="宋体"/>
          <w:sz w:val="32"/>
          <w:szCs w:val="32"/>
          <w:lang w:val="en-US" w:eastAsia="zh-CN"/>
        </w:rPr>
        <w:t>116.06</w:t>
      </w:r>
      <w:r>
        <w:rPr>
          <w:rFonts w:hint="eastAsia" w:ascii="宋体" w:hAnsi="宋体" w:eastAsia="宋体" w:cs="宋体"/>
          <w:sz w:val="32"/>
          <w:szCs w:val="32"/>
        </w:rPr>
        <w:t>万元（不含年初财政拨款结转和结余资金），与上年相比，减少</w:t>
      </w:r>
      <w:r>
        <w:rPr>
          <w:rFonts w:hint="eastAsia" w:ascii="宋体" w:hAnsi="宋体" w:eastAsia="宋体" w:cs="宋体"/>
          <w:sz w:val="32"/>
          <w:szCs w:val="32"/>
          <w:lang w:val="en-US" w:eastAsia="zh-CN"/>
        </w:rPr>
        <w:t>7.77</w:t>
      </w:r>
      <w:r>
        <w:rPr>
          <w:rFonts w:hint="eastAsia" w:ascii="宋体" w:hAnsi="宋体" w:eastAsia="宋体" w:cs="宋体"/>
          <w:sz w:val="32"/>
          <w:szCs w:val="32"/>
        </w:rPr>
        <w:t>万元,减少</w:t>
      </w:r>
      <w:r>
        <w:rPr>
          <w:rFonts w:hint="eastAsia" w:ascii="宋体" w:hAnsi="宋体" w:eastAsia="宋体" w:cs="宋体"/>
          <w:sz w:val="32"/>
          <w:szCs w:val="32"/>
          <w:lang w:val="en-US" w:eastAsia="zh-CN"/>
        </w:rPr>
        <w:t>6.27</w:t>
      </w:r>
      <w:r>
        <w:rPr>
          <w:rFonts w:hint="eastAsia" w:ascii="宋体" w:hAnsi="宋体" w:eastAsia="宋体" w:cs="宋体"/>
          <w:sz w:val="32"/>
          <w:szCs w:val="32"/>
        </w:rPr>
        <w:t>%，主要是因为</w:t>
      </w:r>
      <w:r>
        <w:rPr>
          <w:rFonts w:hint="eastAsia" w:ascii="宋体" w:hAnsi="宋体" w:eastAsia="宋体" w:cs="宋体"/>
          <w:sz w:val="32"/>
          <w:szCs w:val="32"/>
          <w:lang w:eastAsia="zh-CN"/>
        </w:rPr>
        <w:t>厉行节约，年底支付系统升级导致部分费用未及时支付，余下经费被财政收回。</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2021年度财政拨款支出合计</w:t>
      </w:r>
      <w:r>
        <w:rPr>
          <w:rFonts w:hint="eastAsia" w:ascii="宋体" w:hAnsi="宋体" w:eastAsia="宋体" w:cs="宋体"/>
          <w:sz w:val="32"/>
          <w:szCs w:val="32"/>
          <w:lang w:val="en-US" w:eastAsia="zh-CN"/>
        </w:rPr>
        <w:t>116.58</w:t>
      </w:r>
      <w:r>
        <w:rPr>
          <w:rFonts w:hint="eastAsia" w:ascii="宋体" w:hAnsi="宋体" w:eastAsia="宋体" w:cs="宋体"/>
          <w:sz w:val="32"/>
          <w:szCs w:val="32"/>
        </w:rPr>
        <w:t>万元（不含年末财政拨款结转和结余资金），与上年相比，</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16.67</w:t>
      </w:r>
      <w:r>
        <w:rPr>
          <w:rFonts w:hint="eastAsia" w:ascii="宋体" w:hAnsi="宋体" w:eastAsia="宋体" w:cs="宋体"/>
          <w:sz w:val="32"/>
          <w:szCs w:val="32"/>
        </w:rPr>
        <w:t>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12.5</w:t>
      </w:r>
      <w:r>
        <w:rPr>
          <w:rFonts w:hint="eastAsia" w:ascii="宋体" w:hAnsi="宋体" w:eastAsia="宋体" w:cs="宋体"/>
          <w:sz w:val="32"/>
          <w:szCs w:val="32"/>
        </w:rPr>
        <w:t>%，主要是因为</w:t>
      </w:r>
      <w:r>
        <w:rPr>
          <w:rFonts w:hint="eastAsia" w:ascii="宋体" w:hAnsi="宋体" w:eastAsia="宋体" w:cs="宋体"/>
          <w:sz w:val="32"/>
          <w:szCs w:val="32"/>
          <w:lang w:eastAsia="zh-CN"/>
        </w:rPr>
        <w:t>厉行节约，压减支出；年底支付系统升级导致部分费用未及时支付，余下经费被财政收回。</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五、一般公共预算财政拨款支出决算情况说明</w:t>
      </w:r>
    </w:p>
    <w:p>
      <w:pPr>
        <w:pStyle w:val="16"/>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（一）财政拨款支出决算总体情况</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2021年度财政拨款支出</w:t>
      </w:r>
      <w:r>
        <w:rPr>
          <w:rFonts w:hint="eastAsia" w:ascii="宋体" w:hAnsi="宋体" w:eastAsia="宋体" w:cs="宋体"/>
          <w:sz w:val="32"/>
          <w:szCs w:val="32"/>
          <w:lang w:val="en-US" w:eastAsia="zh-CN"/>
        </w:rPr>
        <w:t>116.58</w:t>
      </w:r>
      <w:r>
        <w:rPr>
          <w:rFonts w:hint="eastAsia" w:ascii="宋体" w:hAnsi="宋体" w:eastAsia="宋体" w:cs="宋体"/>
          <w:sz w:val="32"/>
          <w:szCs w:val="32"/>
        </w:rPr>
        <w:t>万元，占本年支出合计的</w:t>
      </w:r>
      <w:r>
        <w:rPr>
          <w:rFonts w:hint="eastAsia" w:ascii="宋体" w:hAnsi="宋体" w:eastAsia="宋体" w:cs="宋体"/>
          <w:sz w:val="32"/>
          <w:szCs w:val="32"/>
          <w:lang w:val="en-US" w:eastAsia="zh-CN"/>
        </w:rPr>
        <w:t>100</w:t>
      </w:r>
      <w:r>
        <w:rPr>
          <w:rFonts w:hint="eastAsia" w:ascii="宋体" w:hAnsi="宋体" w:eastAsia="宋体" w:cs="宋体"/>
          <w:sz w:val="32"/>
          <w:szCs w:val="32"/>
        </w:rPr>
        <w:t>%，与</w:t>
      </w:r>
      <w:r>
        <w:rPr>
          <w:rFonts w:hint="eastAsia" w:ascii="宋体" w:hAnsi="宋体" w:eastAsia="宋体" w:cs="宋体"/>
          <w:sz w:val="32"/>
          <w:szCs w:val="32"/>
          <w:lang w:eastAsia="zh-CN"/>
        </w:rPr>
        <w:t>上</w:t>
      </w:r>
      <w:r>
        <w:rPr>
          <w:rFonts w:hint="eastAsia" w:ascii="宋体" w:hAnsi="宋体" w:eastAsia="宋体" w:cs="宋体"/>
          <w:sz w:val="32"/>
          <w:szCs w:val="32"/>
        </w:rPr>
        <w:t>年相比，财政拨款支出减少</w:t>
      </w:r>
      <w:r>
        <w:rPr>
          <w:rFonts w:hint="eastAsia" w:ascii="宋体" w:hAnsi="宋体" w:eastAsia="宋体" w:cs="宋体"/>
          <w:sz w:val="32"/>
          <w:szCs w:val="32"/>
          <w:lang w:val="en-US" w:eastAsia="zh-CN"/>
        </w:rPr>
        <w:t>16.87</w:t>
      </w:r>
      <w:r>
        <w:rPr>
          <w:rFonts w:hint="eastAsia" w:ascii="宋体" w:hAnsi="宋体" w:eastAsia="宋体" w:cs="宋体"/>
          <w:sz w:val="32"/>
          <w:szCs w:val="32"/>
        </w:rPr>
        <w:t>万元，减少</w:t>
      </w:r>
      <w:r>
        <w:rPr>
          <w:rFonts w:hint="eastAsia" w:ascii="宋体" w:hAnsi="宋体" w:eastAsia="宋体" w:cs="宋体"/>
          <w:sz w:val="32"/>
          <w:szCs w:val="32"/>
          <w:lang w:val="en-US" w:eastAsia="zh-CN"/>
        </w:rPr>
        <w:t>12.64</w:t>
      </w:r>
      <w:r>
        <w:rPr>
          <w:rFonts w:hint="eastAsia" w:ascii="宋体" w:hAnsi="宋体" w:eastAsia="宋体" w:cs="宋体"/>
          <w:sz w:val="32"/>
          <w:szCs w:val="32"/>
        </w:rPr>
        <w:t>%，</w:t>
      </w:r>
      <w:r>
        <w:rPr>
          <w:rFonts w:hint="eastAsia" w:ascii="宋体" w:hAnsi="宋体" w:eastAsia="宋体" w:cs="宋体"/>
          <w:sz w:val="32"/>
          <w:szCs w:val="32"/>
          <w:lang w:eastAsia="zh-CN"/>
        </w:rPr>
        <w:t>比上年减少的原因</w:t>
      </w:r>
      <w:r>
        <w:rPr>
          <w:rFonts w:hint="eastAsia" w:ascii="宋体" w:hAnsi="宋体" w:eastAsia="宋体" w:cs="宋体"/>
          <w:sz w:val="32"/>
          <w:szCs w:val="32"/>
        </w:rPr>
        <w:t>主要是因为</w:t>
      </w:r>
      <w:r>
        <w:rPr>
          <w:rFonts w:hint="eastAsia" w:ascii="宋体" w:hAnsi="宋体" w:eastAsia="宋体" w:cs="宋体"/>
          <w:sz w:val="32"/>
          <w:szCs w:val="32"/>
          <w:lang w:eastAsia="zh-CN"/>
        </w:rPr>
        <w:t>厉行节约，压减支出；年底支付系统升级导致部分费用未及时支付，余下经费被财政收回。</w:t>
      </w:r>
    </w:p>
    <w:p>
      <w:pPr>
        <w:pStyle w:val="16"/>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（二）财政拨款支出决算结构情况</w:t>
      </w:r>
    </w:p>
    <w:p>
      <w:pPr>
        <w:pStyle w:val="16"/>
        <w:spacing w:line="600" w:lineRule="exact"/>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2021年度财政拨款支出</w:t>
      </w:r>
      <w:r>
        <w:rPr>
          <w:rFonts w:hint="eastAsia" w:ascii="宋体" w:hAnsi="宋体" w:eastAsia="宋体" w:cs="宋体"/>
          <w:sz w:val="32"/>
          <w:szCs w:val="32"/>
          <w:lang w:val="en-US" w:eastAsia="zh-CN"/>
        </w:rPr>
        <w:t>116.58</w:t>
      </w:r>
      <w:r>
        <w:rPr>
          <w:rFonts w:hint="eastAsia" w:ascii="宋体" w:hAnsi="宋体" w:eastAsia="宋体" w:cs="宋体"/>
          <w:sz w:val="32"/>
          <w:szCs w:val="32"/>
        </w:rPr>
        <w:t>万元，主要用于以下方面：一般公共服务（类）支出</w:t>
      </w:r>
      <w:r>
        <w:rPr>
          <w:rFonts w:hint="eastAsia" w:ascii="宋体" w:hAnsi="宋体" w:eastAsia="宋体" w:cs="宋体"/>
          <w:sz w:val="32"/>
          <w:szCs w:val="32"/>
          <w:lang w:val="en-US" w:eastAsia="zh-CN"/>
        </w:rPr>
        <w:t>99.40</w:t>
      </w:r>
      <w:r>
        <w:rPr>
          <w:rFonts w:hint="eastAsia" w:ascii="宋体" w:hAnsi="宋体" w:eastAsia="宋体" w:cs="宋体"/>
          <w:sz w:val="32"/>
          <w:szCs w:val="32"/>
        </w:rPr>
        <w:t>万元，占</w:t>
      </w:r>
      <w:r>
        <w:rPr>
          <w:rFonts w:hint="eastAsia" w:ascii="宋体" w:hAnsi="宋体" w:eastAsia="宋体" w:cs="宋体"/>
          <w:sz w:val="32"/>
          <w:szCs w:val="32"/>
          <w:lang w:val="en-US" w:eastAsia="zh-CN"/>
        </w:rPr>
        <w:t>85.27</w:t>
      </w:r>
      <w:r>
        <w:rPr>
          <w:rFonts w:hint="eastAsia" w:ascii="宋体" w:hAnsi="宋体" w:eastAsia="宋体" w:cs="宋体"/>
          <w:sz w:val="32"/>
          <w:szCs w:val="32"/>
        </w:rPr>
        <w:t>%；</w:t>
      </w:r>
      <w:r>
        <w:rPr>
          <w:rFonts w:hint="eastAsia" w:ascii="宋体" w:hAnsi="宋体" w:eastAsia="宋体" w:cs="宋体"/>
          <w:sz w:val="32"/>
          <w:szCs w:val="32"/>
          <w:lang w:eastAsia="zh-CN"/>
        </w:rPr>
        <w:t>社会保障和就业</w:t>
      </w:r>
      <w:r>
        <w:rPr>
          <w:rFonts w:hint="eastAsia" w:ascii="宋体" w:hAnsi="宋体" w:eastAsia="宋体" w:cs="宋体"/>
          <w:sz w:val="32"/>
          <w:szCs w:val="32"/>
        </w:rPr>
        <w:t>支出</w:t>
      </w:r>
      <w:r>
        <w:rPr>
          <w:rFonts w:hint="eastAsia" w:ascii="宋体" w:hAnsi="宋体" w:eastAsia="宋体" w:cs="宋体"/>
          <w:sz w:val="32"/>
          <w:szCs w:val="32"/>
          <w:lang w:val="en-US" w:eastAsia="zh-CN"/>
        </w:rPr>
        <w:t>10.50</w:t>
      </w:r>
      <w:r>
        <w:rPr>
          <w:rFonts w:hint="eastAsia" w:ascii="宋体" w:hAnsi="宋体" w:eastAsia="宋体" w:cs="宋体"/>
          <w:sz w:val="32"/>
          <w:szCs w:val="32"/>
        </w:rPr>
        <w:t>万元，占</w:t>
      </w:r>
      <w:r>
        <w:rPr>
          <w:rFonts w:hint="eastAsia" w:ascii="宋体" w:hAnsi="宋体" w:eastAsia="宋体" w:cs="宋体"/>
          <w:sz w:val="32"/>
          <w:szCs w:val="32"/>
          <w:lang w:val="en-US" w:eastAsia="zh-CN"/>
        </w:rPr>
        <w:t>9</w:t>
      </w:r>
      <w:r>
        <w:rPr>
          <w:rFonts w:hint="eastAsia" w:ascii="宋体" w:hAnsi="宋体" w:eastAsia="宋体" w:cs="宋体"/>
          <w:sz w:val="32"/>
          <w:szCs w:val="32"/>
        </w:rPr>
        <w:t>%;</w:t>
      </w:r>
      <w:r>
        <w:rPr>
          <w:rFonts w:hint="eastAsia" w:ascii="宋体" w:hAnsi="宋体" w:eastAsia="宋体" w:cs="宋体"/>
          <w:sz w:val="32"/>
          <w:szCs w:val="32"/>
          <w:lang w:eastAsia="zh-CN"/>
        </w:rPr>
        <w:t>卫生健康支出</w:t>
      </w:r>
      <w:r>
        <w:rPr>
          <w:rFonts w:hint="eastAsia" w:ascii="宋体" w:hAnsi="宋体" w:eastAsia="宋体" w:cs="宋体"/>
          <w:sz w:val="32"/>
          <w:szCs w:val="32"/>
          <w:lang w:val="en-US" w:eastAsia="zh-CN"/>
        </w:rPr>
        <w:t>4.61</w:t>
      </w:r>
      <w:r>
        <w:rPr>
          <w:rFonts w:hint="eastAsia" w:ascii="宋体" w:hAnsi="宋体" w:eastAsia="宋体" w:cs="宋体"/>
          <w:sz w:val="32"/>
          <w:szCs w:val="32"/>
        </w:rPr>
        <w:t>万元，占</w:t>
      </w:r>
      <w:r>
        <w:rPr>
          <w:rFonts w:hint="eastAsia" w:ascii="宋体" w:hAnsi="宋体" w:eastAsia="宋体" w:cs="宋体"/>
          <w:sz w:val="32"/>
          <w:szCs w:val="32"/>
          <w:lang w:val="en-US" w:eastAsia="zh-CN"/>
        </w:rPr>
        <w:t>3.95</w:t>
      </w:r>
      <w:r>
        <w:rPr>
          <w:rFonts w:hint="eastAsia" w:ascii="宋体" w:hAnsi="宋体" w:eastAsia="宋体" w:cs="宋体"/>
          <w:sz w:val="32"/>
          <w:szCs w:val="32"/>
        </w:rPr>
        <w:t>%</w:t>
      </w:r>
      <w:r>
        <w:rPr>
          <w:rFonts w:hint="eastAsia" w:ascii="宋体" w:hAnsi="宋体" w:eastAsia="宋体" w:cs="宋体"/>
          <w:sz w:val="32"/>
          <w:szCs w:val="32"/>
          <w:lang w:eastAsia="zh-CN"/>
        </w:rPr>
        <w:t>；农林水支出</w:t>
      </w:r>
      <w:r>
        <w:rPr>
          <w:rFonts w:hint="eastAsia" w:ascii="宋体" w:hAnsi="宋体" w:eastAsia="宋体" w:cs="宋体"/>
          <w:sz w:val="32"/>
          <w:szCs w:val="32"/>
          <w:lang w:val="en-US" w:eastAsia="zh-CN"/>
        </w:rPr>
        <w:t>2.07</w:t>
      </w:r>
      <w:r>
        <w:rPr>
          <w:rFonts w:hint="eastAsia" w:ascii="宋体" w:hAnsi="宋体" w:eastAsia="宋体" w:cs="宋体"/>
          <w:sz w:val="32"/>
          <w:szCs w:val="32"/>
        </w:rPr>
        <w:t>万元，占</w:t>
      </w:r>
      <w:r>
        <w:rPr>
          <w:rFonts w:hint="eastAsia" w:ascii="宋体" w:hAnsi="宋体" w:eastAsia="宋体" w:cs="宋体"/>
          <w:sz w:val="32"/>
          <w:szCs w:val="32"/>
          <w:lang w:val="en-US" w:eastAsia="zh-CN"/>
        </w:rPr>
        <w:t>1.78</w:t>
      </w:r>
      <w:r>
        <w:rPr>
          <w:rFonts w:hint="eastAsia" w:ascii="宋体" w:hAnsi="宋体" w:eastAsia="宋体" w:cs="宋体"/>
          <w:sz w:val="32"/>
          <w:szCs w:val="32"/>
        </w:rPr>
        <w:t>%</w:t>
      </w:r>
      <w:r>
        <w:rPr>
          <w:rFonts w:hint="eastAsia" w:ascii="宋体" w:hAnsi="宋体" w:eastAsia="宋体" w:cs="宋体"/>
          <w:sz w:val="32"/>
          <w:szCs w:val="32"/>
          <w:lang w:eastAsia="zh-CN"/>
        </w:rPr>
        <w:t>。</w:t>
      </w:r>
    </w:p>
    <w:p>
      <w:pPr>
        <w:pStyle w:val="16"/>
        <w:spacing w:line="600" w:lineRule="exact"/>
        <w:ind w:firstLine="800" w:firstLineChars="250"/>
        <w:rPr>
          <w:rFonts w:hint="eastAsia" w:ascii="宋体" w:hAnsi="宋体" w:eastAsia="宋体" w:cs="宋体"/>
          <w:b/>
          <w:sz w:val="32"/>
          <w:szCs w:val="32"/>
        </w:rPr>
      </w:pPr>
      <w:r>
        <w:rPr>
          <w:rFonts w:hint="eastAsia" w:ascii="宋体" w:hAnsi="宋体" w:eastAsia="宋体" w:cs="宋体"/>
          <w:b/>
          <w:sz w:val="32"/>
          <w:szCs w:val="32"/>
        </w:rPr>
        <w:t>（三）财政拨款支出决算具体情况</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2021年度财政拨款支出年初预算数为</w:t>
      </w:r>
      <w:r>
        <w:rPr>
          <w:rFonts w:hint="eastAsia" w:ascii="宋体" w:hAnsi="宋体" w:eastAsia="宋体" w:cs="宋体"/>
          <w:sz w:val="32"/>
          <w:szCs w:val="32"/>
          <w:lang w:val="en-US" w:eastAsia="zh-CN"/>
        </w:rPr>
        <w:t>108.5</w:t>
      </w:r>
      <w:r>
        <w:rPr>
          <w:rFonts w:hint="eastAsia" w:ascii="宋体" w:hAnsi="宋体" w:eastAsia="宋体" w:cs="宋体"/>
          <w:sz w:val="32"/>
          <w:szCs w:val="32"/>
        </w:rPr>
        <w:t>万元，支出决算数为</w:t>
      </w:r>
      <w:r>
        <w:rPr>
          <w:rFonts w:hint="eastAsia" w:ascii="宋体" w:hAnsi="宋体" w:eastAsia="宋体" w:cs="宋体"/>
          <w:sz w:val="32"/>
          <w:szCs w:val="32"/>
          <w:lang w:val="en-US" w:eastAsia="zh-CN"/>
        </w:rPr>
        <w:t>116.58</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107.45</w:t>
      </w:r>
      <w:r>
        <w:rPr>
          <w:rFonts w:hint="eastAsia" w:ascii="宋体" w:hAnsi="宋体" w:eastAsia="宋体" w:cs="宋体"/>
          <w:sz w:val="32"/>
          <w:szCs w:val="32"/>
        </w:rPr>
        <w:t>%，其中：</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1、一般公共服务支出（类）</w:t>
      </w:r>
      <w:r>
        <w:rPr>
          <w:rFonts w:hint="eastAsia" w:ascii="宋体" w:hAnsi="宋体" w:eastAsia="宋体" w:cs="宋体"/>
          <w:sz w:val="32"/>
          <w:szCs w:val="32"/>
          <w:lang w:eastAsia="zh-CN"/>
        </w:rPr>
        <w:t>民主党派及工商联事务</w:t>
      </w:r>
      <w:r>
        <w:rPr>
          <w:rFonts w:hint="eastAsia" w:ascii="宋体" w:hAnsi="宋体" w:eastAsia="宋体" w:cs="宋体"/>
          <w:sz w:val="32"/>
          <w:szCs w:val="32"/>
        </w:rPr>
        <w:t>（款）</w:t>
      </w:r>
      <w:r>
        <w:rPr>
          <w:rFonts w:hint="eastAsia" w:ascii="宋体" w:hAnsi="宋体" w:eastAsia="宋体" w:cs="宋体"/>
          <w:sz w:val="32"/>
          <w:szCs w:val="32"/>
          <w:lang w:eastAsia="zh-CN"/>
        </w:rPr>
        <w:t>行政运行</w:t>
      </w:r>
      <w:r>
        <w:rPr>
          <w:rFonts w:hint="eastAsia" w:ascii="宋体" w:hAnsi="宋体" w:eastAsia="宋体" w:cs="宋体"/>
          <w:sz w:val="32"/>
          <w:szCs w:val="32"/>
        </w:rPr>
        <w:t>（项）。</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90.64</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81.54</w:t>
      </w:r>
      <w:r>
        <w:rPr>
          <w:rFonts w:hint="eastAsia" w:ascii="宋体" w:hAnsi="宋体" w:eastAsia="宋体" w:cs="宋体"/>
          <w:sz w:val="32"/>
          <w:szCs w:val="32"/>
        </w:rPr>
        <w:t>万元，完成年初预算的</w:t>
      </w:r>
      <w:r>
        <w:rPr>
          <w:rFonts w:hint="eastAsia" w:ascii="宋体" w:hAnsi="宋体" w:eastAsia="宋体" w:cs="宋体"/>
          <w:sz w:val="32"/>
          <w:szCs w:val="32"/>
          <w:lang w:val="en-US" w:eastAsia="zh-CN"/>
        </w:rPr>
        <w:t>89.96</w:t>
      </w:r>
      <w:r>
        <w:rPr>
          <w:rFonts w:hint="eastAsia" w:ascii="宋体" w:hAnsi="宋体" w:eastAsia="宋体" w:cs="宋体"/>
          <w:sz w:val="32"/>
          <w:szCs w:val="32"/>
        </w:rPr>
        <w:t>%，决算数</w:t>
      </w:r>
      <w:r>
        <w:rPr>
          <w:rFonts w:hint="eastAsia" w:ascii="宋体" w:hAnsi="宋体" w:eastAsia="宋体" w:cs="宋体"/>
          <w:sz w:val="32"/>
          <w:szCs w:val="32"/>
          <w:lang w:eastAsia="zh-CN"/>
        </w:rPr>
        <w:t>小</w:t>
      </w:r>
      <w:r>
        <w:rPr>
          <w:rFonts w:hint="eastAsia" w:ascii="宋体" w:hAnsi="宋体" w:eastAsia="宋体" w:cs="宋体"/>
          <w:sz w:val="32"/>
          <w:szCs w:val="32"/>
        </w:rPr>
        <w:t>于年初预算的主要原因是:厉行节俭，严控开支。</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2、一般公共服务支出（类）</w:t>
      </w:r>
      <w:r>
        <w:rPr>
          <w:rFonts w:hint="eastAsia" w:ascii="宋体" w:hAnsi="宋体" w:eastAsia="宋体" w:cs="宋体"/>
          <w:sz w:val="32"/>
          <w:szCs w:val="32"/>
          <w:lang w:eastAsia="zh-CN"/>
        </w:rPr>
        <w:t>民主党派及工商联事务（</w:t>
      </w:r>
      <w:r>
        <w:rPr>
          <w:rFonts w:hint="eastAsia" w:ascii="宋体" w:hAnsi="宋体" w:eastAsia="宋体" w:cs="宋体"/>
          <w:sz w:val="32"/>
          <w:szCs w:val="32"/>
        </w:rPr>
        <w:t>款）</w:t>
      </w:r>
      <w:r>
        <w:rPr>
          <w:rFonts w:hint="eastAsia" w:ascii="宋体" w:hAnsi="宋体" w:eastAsia="宋体" w:cs="宋体"/>
          <w:sz w:val="32"/>
          <w:szCs w:val="32"/>
          <w:lang w:eastAsia="zh-CN"/>
        </w:rPr>
        <w:t>其他民主党派及工商联事务</w:t>
      </w:r>
      <w:r>
        <w:rPr>
          <w:rFonts w:hint="eastAsia" w:ascii="宋体" w:hAnsi="宋体" w:eastAsia="宋体" w:cs="宋体"/>
          <w:sz w:val="32"/>
          <w:szCs w:val="32"/>
        </w:rPr>
        <w:t>（项）。</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cs="宋体"/>
          <w:sz w:val="32"/>
          <w:szCs w:val="32"/>
          <w:lang w:val="en-US" w:eastAsia="zh-CN"/>
        </w:rPr>
        <w:t>17.86</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17.86</w:t>
      </w:r>
      <w:r>
        <w:rPr>
          <w:rFonts w:hint="eastAsia" w:ascii="宋体" w:hAnsi="宋体" w:eastAsia="宋体" w:cs="宋体"/>
          <w:sz w:val="32"/>
          <w:szCs w:val="32"/>
        </w:rPr>
        <w:t>万元，完成年初预算的1</w:t>
      </w:r>
      <w:r>
        <w:rPr>
          <w:rFonts w:hint="eastAsia" w:ascii="宋体" w:hAnsi="宋体" w:cs="宋体"/>
          <w:sz w:val="32"/>
          <w:szCs w:val="32"/>
          <w:lang w:val="en-US" w:eastAsia="zh-CN"/>
        </w:rPr>
        <w:t>00</w:t>
      </w:r>
      <w:r>
        <w:rPr>
          <w:rFonts w:hint="eastAsia" w:ascii="宋体" w:hAnsi="宋体" w:eastAsia="宋体" w:cs="宋体"/>
          <w:sz w:val="32"/>
          <w:szCs w:val="32"/>
        </w:rPr>
        <w:t>%，决算数等于年初预算</w:t>
      </w:r>
      <w:r>
        <w:rPr>
          <w:rFonts w:hint="eastAsia" w:ascii="宋体" w:hAnsi="宋体" w:cs="宋体"/>
          <w:sz w:val="32"/>
          <w:szCs w:val="32"/>
          <w:lang w:val="en-US" w:eastAsia="zh-CN"/>
        </w:rPr>
        <w:t>的原因是严格按照预算执行</w:t>
      </w:r>
      <w:r>
        <w:rPr>
          <w:rFonts w:hint="eastAsia" w:ascii="宋体" w:hAnsi="宋体" w:eastAsia="宋体" w:cs="宋体"/>
          <w:sz w:val="32"/>
          <w:szCs w:val="32"/>
        </w:rPr>
        <w:t>。</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、社会保障和就业（类）行政事业单位</w:t>
      </w:r>
      <w:r>
        <w:rPr>
          <w:rFonts w:hint="eastAsia" w:ascii="宋体" w:hAnsi="宋体" w:eastAsia="宋体" w:cs="宋体"/>
          <w:sz w:val="32"/>
          <w:szCs w:val="32"/>
          <w:lang w:eastAsia="zh-CN"/>
        </w:rPr>
        <w:t>养老支出</w:t>
      </w:r>
      <w:r>
        <w:rPr>
          <w:rFonts w:hint="eastAsia" w:ascii="宋体" w:hAnsi="宋体" w:eastAsia="宋体" w:cs="宋体"/>
          <w:sz w:val="32"/>
          <w:szCs w:val="32"/>
        </w:rPr>
        <w:t>（款）</w:t>
      </w:r>
      <w:r>
        <w:rPr>
          <w:rFonts w:hint="eastAsia" w:ascii="宋体" w:hAnsi="宋体" w:eastAsia="宋体" w:cs="宋体"/>
          <w:sz w:val="32"/>
          <w:szCs w:val="32"/>
          <w:lang w:eastAsia="zh-CN"/>
        </w:rPr>
        <w:t>机关事业单位基本养老保险缴费支出</w:t>
      </w:r>
      <w:r>
        <w:rPr>
          <w:rFonts w:hint="eastAsia" w:ascii="宋体" w:hAnsi="宋体" w:eastAsia="宋体" w:cs="宋体"/>
          <w:sz w:val="32"/>
          <w:szCs w:val="32"/>
        </w:rPr>
        <w:t>（项）。</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8.68</w:t>
      </w:r>
      <w:r>
        <w:rPr>
          <w:rFonts w:hint="eastAsia" w:ascii="宋体" w:hAnsi="宋体" w:eastAsia="宋体" w:cs="宋体"/>
          <w:sz w:val="32"/>
          <w:szCs w:val="32"/>
        </w:rPr>
        <w:t>万元，</w:t>
      </w:r>
      <w:r>
        <w:rPr>
          <w:rFonts w:hint="eastAsia" w:ascii="宋体" w:hAnsi="宋体" w:eastAsia="宋体" w:cs="宋体"/>
          <w:sz w:val="32"/>
          <w:szCs w:val="32"/>
          <w:lang w:eastAsia="zh-CN"/>
        </w:rPr>
        <w:t>年初预算数为</w:t>
      </w:r>
      <w:r>
        <w:rPr>
          <w:rFonts w:hint="eastAsia" w:ascii="宋体" w:hAnsi="宋体" w:eastAsia="宋体" w:cs="宋体"/>
          <w:sz w:val="32"/>
          <w:szCs w:val="32"/>
          <w:lang w:val="en-US" w:eastAsia="zh-CN"/>
        </w:rPr>
        <w:t>0，无法计算百分比</w:t>
      </w:r>
      <w:r>
        <w:rPr>
          <w:rFonts w:hint="eastAsia" w:ascii="宋体" w:hAnsi="宋体" w:eastAsia="宋体" w:cs="宋体"/>
          <w:sz w:val="32"/>
          <w:szCs w:val="32"/>
        </w:rPr>
        <w:t>，决算数大于年初预算的主要原因是:本年度增加此项支出。</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、社会保障和就业（类）抚恤（款）死亡抚恤（项）。</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1.82</w:t>
      </w:r>
      <w:r>
        <w:rPr>
          <w:rFonts w:hint="eastAsia" w:ascii="宋体" w:hAnsi="宋体" w:eastAsia="宋体" w:cs="宋体"/>
          <w:sz w:val="32"/>
          <w:szCs w:val="32"/>
        </w:rPr>
        <w:t>万元，</w:t>
      </w:r>
      <w:r>
        <w:rPr>
          <w:rFonts w:hint="eastAsia" w:ascii="宋体" w:hAnsi="宋体" w:eastAsia="宋体" w:cs="宋体"/>
          <w:sz w:val="32"/>
          <w:szCs w:val="32"/>
          <w:lang w:eastAsia="zh-CN"/>
        </w:rPr>
        <w:t>年初预算数为</w:t>
      </w:r>
      <w:r>
        <w:rPr>
          <w:rFonts w:hint="eastAsia" w:ascii="宋体" w:hAnsi="宋体" w:eastAsia="宋体" w:cs="宋体"/>
          <w:sz w:val="32"/>
          <w:szCs w:val="32"/>
          <w:lang w:val="en-US" w:eastAsia="zh-CN"/>
        </w:rPr>
        <w:t>0，无法计算百分比</w:t>
      </w:r>
      <w:r>
        <w:rPr>
          <w:rFonts w:hint="eastAsia" w:ascii="宋体" w:hAnsi="宋体" w:eastAsia="宋体" w:cs="宋体"/>
          <w:sz w:val="32"/>
          <w:szCs w:val="32"/>
        </w:rPr>
        <w:t>，决算数大于年初预算的主要原因是:本年度增加此项支出</w:t>
      </w:r>
      <w:r>
        <w:rPr>
          <w:rFonts w:hint="eastAsia" w:ascii="宋体" w:hAnsi="宋体" w:eastAsia="宋体" w:cs="宋体"/>
          <w:sz w:val="32"/>
          <w:szCs w:val="32"/>
          <w:lang w:eastAsia="zh-CN"/>
        </w:rPr>
        <w:t>，遗属补助标准提高</w:t>
      </w:r>
      <w:r>
        <w:rPr>
          <w:rFonts w:hint="eastAsia" w:ascii="宋体" w:hAnsi="宋体" w:eastAsia="宋体" w:cs="宋体"/>
          <w:sz w:val="32"/>
          <w:szCs w:val="32"/>
        </w:rPr>
        <w:t>。</w:t>
      </w:r>
    </w:p>
    <w:p>
      <w:pPr>
        <w:pStyle w:val="16"/>
        <w:numPr>
          <w:ilvl w:val="0"/>
          <w:numId w:val="4"/>
        </w:numPr>
        <w:ind w:left="840" w:leftChars="0"/>
        <w:rPr>
          <w:rFonts w:hint="eastAsia" w:ascii="宋体" w:hAnsi="宋体" w:eastAsia="宋体" w:cs="宋体"/>
          <w:sz w:val="32"/>
          <w:szCs w:val="32"/>
          <w:lang w:eastAsia="zh-CN"/>
        </w:rPr>
      </w:pPr>
      <w:r>
        <w:rPr>
          <w:rFonts w:hint="eastAsia" w:ascii="宋体" w:hAnsi="宋体" w:eastAsia="宋体" w:cs="宋体"/>
          <w:sz w:val="32"/>
          <w:szCs w:val="32"/>
          <w:lang w:eastAsia="zh-CN"/>
        </w:rPr>
        <w:t>卫生健康支出</w:t>
      </w:r>
      <w:r>
        <w:rPr>
          <w:rFonts w:hint="eastAsia" w:ascii="宋体" w:hAnsi="宋体" w:eastAsia="宋体" w:cs="宋体"/>
          <w:sz w:val="32"/>
          <w:szCs w:val="32"/>
        </w:rPr>
        <w:t>（类）</w:t>
      </w:r>
      <w:r>
        <w:rPr>
          <w:rFonts w:hint="eastAsia" w:ascii="宋体" w:hAnsi="宋体" w:eastAsia="宋体" w:cs="宋体"/>
          <w:sz w:val="32"/>
          <w:szCs w:val="32"/>
          <w:lang w:eastAsia="zh-CN"/>
        </w:rPr>
        <w:t>财政对基本医疗保险基金的补助</w:t>
      </w:r>
      <w:r>
        <w:rPr>
          <w:rFonts w:hint="eastAsia" w:ascii="宋体" w:hAnsi="宋体" w:eastAsia="宋体" w:cs="宋体"/>
          <w:sz w:val="32"/>
          <w:szCs w:val="32"/>
        </w:rPr>
        <w:t>（款）</w:t>
      </w:r>
      <w:r>
        <w:rPr>
          <w:rFonts w:hint="eastAsia" w:ascii="宋体" w:hAnsi="宋体" w:eastAsia="宋体" w:cs="宋体"/>
          <w:sz w:val="32"/>
          <w:szCs w:val="32"/>
          <w:lang w:eastAsia="zh-CN"/>
        </w:rPr>
        <w:t>财政对</w:t>
      </w:r>
    </w:p>
    <w:p>
      <w:pPr>
        <w:pStyle w:val="16"/>
        <w:numPr>
          <w:ilvl w:val="0"/>
          <w:numId w:val="0"/>
        </w:numPr>
        <w:rPr>
          <w:rFonts w:hint="eastAsia" w:ascii="宋体" w:hAnsi="宋体" w:eastAsia="宋体" w:cs="宋体"/>
          <w:sz w:val="32"/>
          <w:szCs w:val="32"/>
        </w:rPr>
      </w:pPr>
      <w:r>
        <w:rPr>
          <w:rFonts w:hint="eastAsia" w:ascii="宋体" w:hAnsi="宋体" w:eastAsia="宋体" w:cs="宋体"/>
          <w:sz w:val="32"/>
          <w:szCs w:val="32"/>
          <w:lang w:eastAsia="zh-CN"/>
        </w:rPr>
        <w:t>职工基本医疗保险基金的补助</w:t>
      </w:r>
      <w:r>
        <w:rPr>
          <w:rFonts w:hint="eastAsia" w:ascii="宋体" w:hAnsi="宋体" w:eastAsia="宋体" w:cs="宋体"/>
          <w:sz w:val="32"/>
          <w:szCs w:val="32"/>
        </w:rPr>
        <w:t>（项）。</w:t>
      </w:r>
    </w:p>
    <w:p>
      <w:pPr>
        <w:pStyle w:val="16"/>
        <w:ind w:firstLine="800" w:firstLineChars="250"/>
        <w:rPr>
          <w:rFonts w:hint="eastAsia" w:ascii="宋体" w:hAnsi="宋体" w:eastAsia="宋体" w:cs="宋体"/>
          <w:sz w:val="32"/>
          <w:szCs w:val="32"/>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4.61</w:t>
      </w:r>
      <w:r>
        <w:rPr>
          <w:rFonts w:hint="eastAsia" w:ascii="宋体" w:hAnsi="宋体" w:eastAsia="宋体" w:cs="宋体"/>
          <w:sz w:val="32"/>
          <w:szCs w:val="32"/>
        </w:rPr>
        <w:t>万元，</w:t>
      </w:r>
      <w:r>
        <w:rPr>
          <w:rFonts w:hint="eastAsia" w:ascii="宋体" w:hAnsi="宋体" w:eastAsia="宋体" w:cs="宋体"/>
          <w:sz w:val="32"/>
          <w:szCs w:val="32"/>
          <w:lang w:eastAsia="zh-CN"/>
        </w:rPr>
        <w:t>年初预算数为</w:t>
      </w:r>
      <w:r>
        <w:rPr>
          <w:rFonts w:hint="eastAsia" w:ascii="宋体" w:hAnsi="宋体" w:eastAsia="宋体" w:cs="宋体"/>
          <w:sz w:val="32"/>
          <w:szCs w:val="32"/>
          <w:lang w:val="en-US" w:eastAsia="zh-CN"/>
        </w:rPr>
        <w:t>0，无法计算百分比</w:t>
      </w:r>
      <w:r>
        <w:rPr>
          <w:rFonts w:hint="eastAsia" w:ascii="宋体" w:hAnsi="宋体" w:eastAsia="宋体" w:cs="宋体"/>
          <w:sz w:val="32"/>
          <w:szCs w:val="32"/>
        </w:rPr>
        <w:t>，决算数大于年初预算的主要原因是:本年度增加此项支出</w:t>
      </w:r>
      <w:r>
        <w:rPr>
          <w:rFonts w:hint="eastAsia" w:ascii="宋体" w:hAnsi="宋体" w:eastAsia="宋体" w:cs="宋体"/>
          <w:sz w:val="32"/>
          <w:szCs w:val="32"/>
          <w:lang w:eastAsia="zh-CN"/>
        </w:rPr>
        <w:t>。</w:t>
      </w:r>
    </w:p>
    <w:p>
      <w:pPr>
        <w:pStyle w:val="16"/>
        <w:ind w:firstLine="800" w:firstLineChars="25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农林水支出</w:t>
      </w:r>
      <w:r>
        <w:rPr>
          <w:rFonts w:hint="eastAsia" w:ascii="宋体" w:hAnsi="宋体" w:eastAsia="宋体" w:cs="宋体"/>
          <w:sz w:val="32"/>
          <w:szCs w:val="32"/>
        </w:rPr>
        <w:t>（类）</w:t>
      </w:r>
      <w:r>
        <w:rPr>
          <w:rFonts w:hint="eastAsia" w:ascii="宋体" w:hAnsi="宋体" w:eastAsia="宋体" w:cs="宋体"/>
          <w:sz w:val="32"/>
          <w:szCs w:val="32"/>
          <w:lang w:eastAsia="zh-CN"/>
        </w:rPr>
        <w:t>扶贫</w:t>
      </w:r>
      <w:r>
        <w:rPr>
          <w:rFonts w:hint="eastAsia" w:ascii="宋体" w:hAnsi="宋体" w:eastAsia="宋体" w:cs="宋体"/>
          <w:sz w:val="32"/>
          <w:szCs w:val="32"/>
        </w:rPr>
        <w:t>（款）</w:t>
      </w:r>
      <w:r>
        <w:rPr>
          <w:rFonts w:hint="eastAsia" w:ascii="宋体" w:hAnsi="宋体" w:eastAsia="宋体" w:cs="宋体"/>
          <w:sz w:val="32"/>
          <w:szCs w:val="32"/>
          <w:lang w:eastAsia="zh-CN"/>
        </w:rPr>
        <w:t>其他扶贫支出</w:t>
      </w:r>
      <w:r>
        <w:rPr>
          <w:rFonts w:hint="eastAsia" w:ascii="宋体" w:hAnsi="宋体" w:eastAsia="宋体" w:cs="宋体"/>
          <w:sz w:val="32"/>
          <w:szCs w:val="32"/>
        </w:rPr>
        <w:t>（项）。</w:t>
      </w:r>
    </w:p>
    <w:p>
      <w:pPr>
        <w:pStyle w:val="16"/>
        <w:ind w:firstLine="800" w:firstLineChars="250"/>
        <w:rPr>
          <w:rFonts w:hint="eastAsia" w:ascii="宋体" w:hAnsi="宋体" w:eastAsia="宋体" w:cs="宋体"/>
          <w:sz w:val="32"/>
          <w:szCs w:val="32"/>
          <w:lang w:eastAsia="zh-CN"/>
        </w:rPr>
      </w:pPr>
      <w:r>
        <w:rPr>
          <w:rFonts w:hint="eastAsia" w:ascii="宋体" w:hAnsi="宋体" w:eastAsia="宋体" w:cs="宋体"/>
          <w:sz w:val="32"/>
          <w:szCs w:val="32"/>
        </w:rPr>
        <w:t>年初预算为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2.07</w:t>
      </w:r>
      <w:r>
        <w:rPr>
          <w:rFonts w:hint="eastAsia" w:ascii="宋体" w:hAnsi="宋体" w:eastAsia="宋体" w:cs="宋体"/>
          <w:sz w:val="32"/>
          <w:szCs w:val="32"/>
        </w:rPr>
        <w:t>万元，</w:t>
      </w:r>
      <w:r>
        <w:rPr>
          <w:rFonts w:hint="eastAsia" w:ascii="宋体" w:hAnsi="宋体" w:eastAsia="宋体" w:cs="宋体"/>
          <w:sz w:val="32"/>
          <w:szCs w:val="32"/>
          <w:lang w:eastAsia="zh-CN"/>
        </w:rPr>
        <w:t>年初预算数为</w:t>
      </w:r>
      <w:r>
        <w:rPr>
          <w:rFonts w:hint="eastAsia" w:ascii="宋体" w:hAnsi="宋体" w:eastAsia="宋体" w:cs="宋体"/>
          <w:sz w:val="32"/>
          <w:szCs w:val="32"/>
          <w:lang w:val="en-US" w:eastAsia="zh-CN"/>
        </w:rPr>
        <w:t>0，无法计算百分比</w:t>
      </w:r>
      <w:r>
        <w:rPr>
          <w:rFonts w:hint="eastAsia" w:ascii="宋体" w:hAnsi="宋体" w:eastAsia="宋体" w:cs="宋体"/>
          <w:sz w:val="32"/>
          <w:szCs w:val="32"/>
        </w:rPr>
        <w:t>，决算数大于年初预算的主要原因是:本年度增加此项支出</w:t>
      </w:r>
      <w:r>
        <w:rPr>
          <w:rFonts w:hint="eastAsia" w:ascii="宋体" w:hAnsi="宋体" w:eastAsia="宋体" w:cs="宋体"/>
          <w:sz w:val="32"/>
          <w:szCs w:val="32"/>
          <w:lang w:eastAsia="zh-CN"/>
        </w:rPr>
        <w:t>。</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六、一般公共预算财政拨款基本支出决算情况说明</w:t>
      </w:r>
    </w:p>
    <w:p>
      <w:pPr>
        <w:pStyle w:val="16"/>
        <w:spacing w:line="600" w:lineRule="exact"/>
        <w:ind w:firstLine="640" w:firstLineChars="200"/>
        <w:rPr>
          <w:rFonts w:hint="eastAsia" w:ascii="宋体" w:hAnsi="宋体" w:eastAsia="宋体" w:cs="宋体"/>
          <w:i/>
          <w:color w:val="FF0000"/>
          <w:sz w:val="32"/>
          <w:szCs w:val="32"/>
        </w:rPr>
      </w:pPr>
      <w:r>
        <w:rPr>
          <w:rFonts w:hint="eastAsia" w:ascii="宋体" w:hAnsi="宋体" w:eastAsia="宋体" w:cs="宋体"/>
          <w:sz w:val="32"/>
          <w:szCs w:val="32"/>
        </w:rPr>
        <w:t>2021年度财政拨款基本支出</w:t>
      </w:r>
      <w:r>
        <w:rPr>
          <w:rFonts w:hint="eastAsia" w:ascii="宋体" w:hAnsi="宋体" w:eastAsia="宋体" w:cs="宋体"/>
          <w:sz w:val="32"/>
          <w:szCs w:val="32"/>
          <w:lang w:val="en-US" w:eastAsia="zh-CN"/>
        </w:rPr>
        <w:t>98.72</w:t>
      </w:r>
      <w:r>
        <w:rPr>
          <w:rFonts w:hint="eastAsia" w:ascii="宋体" w:hAnsi="宋体" w:eastAsia="宋体" w:cs="宋体"/>
          <w:sz w:val="32"/>
          <w:szCs w:val="32"/>
        </w:rPr>
        <w:t>万元，其中：</w:t>
      </w:r>
      <w:r>
        <w:rPr>
          <w:rFonts w:hint="eastAsia" w:ascii="宋体" w:hAnsi="宋体" w:eastAsia="宋体" w:cs="宋体"/>
          <w:b/>
          <w:sz w:val="32"/>
          <w:szCs w:val="32"/>
        </w:rPr>
        <w:t>人员经费</w:t>
      </w:r>
      <w:r>
        <w:rPr>
          <w:rFonts w:hint="eastAsia" w:ascii="宋体" w:hAnsi="宋体" w:eastAsia="宋体" w:cs="宋体"/>
          <w:b/>
          <w:sz w:val="32"/>
          <w:szCs w:val="32"/>
          <w:lang w:val="en-US" w:eastAsia="zh-CN"/>
        </w:rPr>
        <w:t>88.31</w:t>
      </w:r>
      <w:r>
        <w:rPr>
          <w:rFonts w:hint="eastAsia" w:ascii="宋体" w:hAnsi="宋体" w:eastAsia="宋体" w:cs="宋体"/>
          <w:b/>
          <w:sz w:val="32"/>
          <w:szCs w:val="32"/>
        </w:rPr>
        <w:t>万元</w:t>
      </w:r>
      <w:r>
        <w:rPr>
          <w:rFonts w:hint="eastAsia" w:ascii="宋体" w:hAnsi="宋体" w:eastAsia="宋体" w:cs="宋体"/>
          <w:sz w:val="32"/>
          <w:szCs w:val="32"/>
        </w:rPr>
        <w:t>，占基本支出的</w:t>
      </w:r>
      <w:r>
        <w:rPr>
          <w:rFonts w:hint="eastAsia" w:ascii="宋体" w:hAnsi="宋体" w:eastAsia="宋体" w:cs="宋体"/>
          <w:sz w:val="32"/>
          <w:szCs w:val="32"/>
          <w:lang w:val="en-US" w:eastAsia="zh-CN"/>
        </w:rPr>
        <w:t>89.46</w:t>
      </w:r>
      <w:r>
        <w:rPr>
          <w:rFonts w:hint="eastAsia" w:ascii="宋体" w:hAnsi="宋体" w:eastAsia="宋体" w:cs="宋体"/>
          <w:sz w:val="32"/>
          <w:szCs w:val="32"/>
        </w:rPr>
        <w:t>%,主要包括基本工资、津贴补贴、奖金、伙食补助费等；</w:t>
      </w:r>
      <w:r>
        <w:rPr>
          <w:rFonts w:hint="eastAsia" w:ascii="宋体" w:hAnsi="宋体" w:eastAsia="宋体" w:cs="宋体"/>
          <w:b/>
          <w:sz w:val="32"/>
          <w:szCs w:val="32"/>
        </w:rPr>
        <w:t>公用经费</w:t>
      </w:r>
      <w:r>
        <w:rPr>
          <w:rFonts w:hint="eastAsia" w:ascii="宋体" w:hAnsi="宋体" w:eastAsia="宋体" w:cs="宋体"/>
          <w:b/>
          <w:sz w:val="32"/>
          <w:szCs w:val="32"/>
          <w:lang w:val="en-US" w:eastAsia="zh-CN"/>
        </w:rPr>
        <w:t>10.41</w:t>
      </w:r>
      <w:r>
        <w:rPr>
          <w:rFonts w:hint="eastAsia" w:ascii="宋体" w:hAnsi="宋体" w:eastAsia="宋体" w:cs="宋体"/>
          <w:b/>
          <w:sz w:val="32"/>
          <w:szCs w:val="32"/>
        </w:rPr>
        <w:t>万元</w:t>
      </w:r>
      <w:r>
        <w:rPr>
          <w:rFonts w:hint="eastAsia" w:ascii="宋体" w:hAnsi="宋体" w:eastAsia="宋体" w:cs="宋体"/>
          <w:sz w:val="32"/>
          <w:szCs w:val="32"/>
        </w:rPr>
        <w:t>，占基本支出的</w:t>
      </w:r>
      <w:r>
        <w:rPr>
          <w:rFonts w:hint="eastAsia" w:ascii="宋体" w:hAnsi="宋体" w:eastAsia="宋体" w:cs="宋体"/>
          <w:sz w:val="32"/>
          <w:szCs w:val="32"/>
          <w:lang w:val="en-US" w:eastAsia="zh-CN"/>
        </w:rPr>
        <w:t>10.54</w:t>
      </w:r>
      <w:r>
        <w:rPr>
          <w:rFonts w:hint="eastAsia" w:ascii="宋体" w:hAnsi="宋体" w:eastAsia="宋体" w:cs="宋体"/>
          <w:sz w:val="32"/>
          <w:szCs w:val="32"/>
        </w:rPr>
        <w:t>%，主要包括办公费、印刷费、咨询费、手续费等。</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七、一般公共预算财政拨款“三公”经费支出决算情况说明</w:t>
      </w:r>
    </w:p>
    <w:p>
      <w:pPr>
        <w:pStyle w:val="16"/>
        <w:spacing w:line="600" w:lineRule="exact"/>
        <w:rPr>
          <w:rFonts w:hint="eastAsia" w:ascii="宋体" w:hAnsi="宋体" w:eastAsia="宋体" w:cs="宋体"/>
          <w:b/>
          <w:sz w:val="32"/>
          <w:szCs w:val="32"/>
        </w:rPr>
      </w:pPr>
      <w:r>
        <w:rPr>
          <w:rFonts w:hint="eastAsia" w:ascii="宋体" w:hAnsi="宋体" w:eastAsia="宋体" w:cs="宋体"/>
          <w:b/>
          <w:sz w:val="32"/>
          <w:szCs w:val="32"/>
        </w:rPr>
        <w:t>（一）“三公”经费财政拨款支出决算总体情况说明</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2021年度“三公”经费财政拨款年初预算为</w:t>
      </w:r>
      <w:r>
        <w:rPr>
          <w:rFonts w:hint="eastAsia" w:ascii="宋体" w:hAnsi="宋体" w:eastAsia="宋体" w:cs="宋体"/>
          <w:sz w:val="32"/>
          <w:szCs w:val="32"/>
          <w:lang w:val="en-US" w:eastAsia="zh-CN"/>
        </w:rPr>
        <w:t>1.90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0.97</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51.05</w:t>
      </w:r>
      <w:r>
        <w:rPr>
          <w:rFonts w:hint="eastAsia" w:ascii="宋体" w:hAnsi="宋体" w:eastAsia="宋体" w:cs="宋体"/>
          <w:sz w:val="32"/>
          <w:szCs w:val="32"/>
        </w:rPr>
        <w:t>%，其中：</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因公出国（境）费年初预算0万元，支出决算为0万元，与年初预算数一致，与上年决算0万元一致，原因是没有因公出国（境）费用类支出。</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公务接待费</w:t>
      </w:r>
      <w:r>
        <w:rPr>
          <w:rFonts w:hint="eastAsia" w:ascii="宋体" w:hAnsi="宋体" w:eastAsia="宋体" w:cs="宋体"/>
          <w:sz w:val="32"/>
          <w:szCs w:val="32"/>
          <w:lang w:eastAsia="zh-CN"/>
        </w:rPr>
        <w:t>年初</w:t>
      </w:r>
      <w:r>
        <w:rPr>
          <w:rFonts w:hint="eastAsia" w:ascii="宋体" w:hAnsi="宋体" w:eastAsia="宋体" w:cs="宋体"/>
          <w:sz w:val="32"/>
          <w:szCs w:val="32"/>
        </w:rPr>
        <w:t>预算为</w:t>
      </w:r>
      <w:r>
        <w:rPr>
          <w:rFonts w:hint="eastAsia" w:ascii="宋体" w:hAnsi="宋体" w:eastAsia="宋体" w:cs="宋体"/>
          <w:sz w:val="32"/>
          <w:szCs w:val="32"/>
          <w:lang w:val="en-US" w:eastAsia="zh-CN"/>
        </w:rPr>
        <w:t>1</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0.97</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97</w:t>
      </w:r>
      <w:r>
        <w:rPr>
          <w:rFonts w:hint="eastAsia" w:ascii="宋体" w:hAnsi="宋体" w:eastAsia="宋体" w:cs="宋体"/>
          <w:sz w:val="32"/>
          <w:szCs w:val="32"/>
        </w:rPr>
        <w:t>%，决算数小于预算数的主要原因是厉行节约，压减支出，与</w:t>
      </w:r>
      <w:r>
        <w:rPr>
          <w:rFonts w:hint="eastAsia" w:ascii="宋体" w:hAnsi="宋体" w:eastAsia="宋体" w:cs="宋体"/>
          <w:sz w:val="32"/>
          <w:szCs w:val="32"/>
          <w:lang w:eastAsia="zh-CN"/>
        </w:rPr>
        <w:t>上</w:t>
      </w:r>
      <w:r>
        <w:rPr>
          <w:rFonts w:hint="eastAsia" w:ascii="宋体" w:hAnsi="宋体" w:eastAsia="宋体" w:cs="宋体"/>
          <w:sz w:val="32"/>
          <w:szCs w:val="32"/>
        </w:rPr>
        <w:t>年</w:t>
      </w:r>
      <w:r>
        <w:rPr>
          <w:rFonts w:hint="eastAsia" w:ascii="宋体" w:hAnsi="宋体" w:eastAsia="宋体" w:cs="宋体"/>
          <w:sz w:val="32"/>
          <w:szCs w:val="32"/>
          <w:lang w:eastAsia="zh-CN"/>
        </w:rPr>
        <w:t>决算</w:t>
      </w:r>
      <w:r>
        <w:rPr>
          <w:rFonts w:hint="eastAsia" w:ascii="宋体" w:hAnsi="宋体" w:eastAsia="宋体" w:cs="宋体"/>
          <w:sz w:val="32"/>
          <w:szCs w:val="32"/>
          <w:lang w:val="en-US" w:eastAsia="zh-CN"/>
        </w:rPr>
        <w:t>0.5万元</w:t>
      </w:r>
      <w:r>
        <w:rPr>
          <w:rFonts w:hint="eastAsia" w:ascii="宋体" w:hAnsi="宋体" w:eastAsia="宋体" w:cs="宋体"/>
          <w:sz w:val="32"/>
          <w:szCs w:val="32"/>
        </w:rPr>
        <w:t>相比增加</w:t>
      </w:r>
      <w:r>
        <w:rPr>
          <w:rFonts w:hint="eastAsia" w:ascii="宋体" w:hAnsi="宋体" w:eastAsia="宋体" w:cs="宋体"/>
          <w:sz w:val="32"/>
          <w:szCs w:val="32"/>
          <w:lang w:val="en-US" w:eastAsia="zh-CN"/>
        </w:rPr>
        <w:t>0.47</w:t>
      </w:r>
      <w:r>
        <w:rPr>
          <w:rFonts w:hint="eastAsia" w:ascii="宋体" w:hAnsi="宋体" w:eastAsia="宋体" w:cs="宋体"/>
          <w:sz w:val="32"/>
          <w:szCs w:val="32"/>
        </w:rPr>
        <w:t>万元，增长</w:t>
      </w:r>
      <w:r>
        <w:rPr>
          <w:rFonts w:hint="eastAsia" w:ascii="宋体" w:hAnsi="宋体" w:eastAsia="宋体" w:cs="宋体"/>
          <w:sz w:val="32"/>
          <w:szCs w:val="32"/>
          <w:lang w:val="en-US" w:eastAsia="zh-CN"/>
        </w:rPr>
        <w:t>94</w:t>
      </w:r>
      <w:r>
        <w:rPr>
          <w:rFonts w:hint="eastAsia" w:ascii="宋体" w:hAnsi="宋体" w:eastAsia="宋体" w:cs="宋体"/>
          <w:sz w:val="32"/>
          <w:szCs w:val="32"/>
        </w:rPr>
        <w:t>%,主要原因是</w:t>
      </w:r>
      <w:r>
        <w:rPr>
          <w:rFonts w:hint="eastAsia" w:ascii="宋体" w:hAnsi="宋体" w:eastAsia="宋体" w:cs="宋体"/>
          <w:sz w:val="32"/>
          <w:szCs w:val="24"/>
          <w:lang w:val="en-US" w:eastAsia="zh-CN"/>
        </w:rPr>
        <w:t>接待</w:t>
      </w:r>
      <w:r>
        <w:rPr>
          <w:rFonts w:hint="eastAsia" w:ascii="宋体" w:hAnsi="宋体" w:eastAsia="宋体" w:cs="宋体"/>
          <w:sz w:val="32"/>
          <w:szCs w:val="24"/>
          <w:lang w:val="en-US"/>
        </w:rPr>
        <w:t>全国工商联商调研活动及接待商务考察活动增加</w:t>
      </w:r>
      <w:r>
        <w:rPr>
          <w:rFonts w:hint="eastAsia" w:ascii="宋体" w:hAnsi="宋体" w:eastAsia="宋体" w:cs="宋体"/>
          <w:sz w:val="32"/>
          <w:szCs w:val="32"/>
        </w:rPr>
        <w:t>。</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公务用车购置费年初预算为0万元，支出决算为0万元，决算数与年初预算一致，与上年决算0万元一致，未安排车辆购置。</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公务用车运行维护费年初预算为</w:t>
      </w:r>
      <w:r>
        <w:rPr>
          <w:rFonts w:hint="eastAsia" w:ascii="宋体" w:hAnsi="宋体" w:eastAsia="宋体" w:cs="宋体"/>
          <w:sz w:val="32"/>
          <w:szCs w:val="32"/>
          <w:lang w:val="en-US" w:eastAsia="zh-CN"/>
        </w:rPr>
        <w:t>0.90</w:t>
      </w:r>
      <w:r>
        <w:rPr>
          <w:rFonts w:hint="eastAsia" w:ascii="宋体" w:hAnsi="宋体" w:eastAsia="宋体" w:cs="宋体"/>
          <w:sz w:val="32"/>
          <w:szCs w:val="32"/>
        </w:rPr>
        <w:t>万元，支出决算为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万元，完成预算的</w:t>
      </w:r>
      <w:r>
        <w:rPr>
          <w:rFonts w:hint="eastAsia" w:ascii="宋体" w:hAnsi="宋体" w:eastAsia="宋体" w:cs="宋体"/>
          <w:sz w:val="32"/>
          <w:szCs w:val="32"/>
          <w:lang w:val="en-US" w:eastAsia="zh-CN"/>
        </w:rPr>
        <w:t>0</w:t>
      </w:r>
      <w:r>
        <w:rPr>
          <w:rFonts w:hint="eastAsia" w:ascii="宋体" w:hAnsi="宋体" w:eastAsia="宋体" w:cs="宋体"/>
          <w:sz w:val="32"/>
          <w:szCs w:val="32"/>
        </w:rPr>
        <w:t>%，决算数小于预算数的主要原因</w:t>
      </w:r>
      <w:r>
        <w:rPr>
          <w:rFonts w:hint="eastAsia" w:ascii="宋体" w:hAnsi="宋体" w:eastAsia="宋体" w:cs="宋体"/>
          <w:sz w:val="32"/>
          <w:szCs w:val="32"/>
          <w:lang w:eastAsia="zh-CN"/>
        </w:rPr>
        <w:t>是没有公务用车</w:t>
      </w:r>
      <w:r>
        <w:rPr>
          <w:rFonts w:hint="eastAsia" w:ascii="宋体" w:hAnsi="宋体" w:eastAsia="宋体" w:cs="宋体"/>
          <w:sz w:val="32"/>
          <w:szCs w:val="32"/>
        </w:rPr>
        <w:t>，</w:t>
      </w:r>
      <w:r>
        <w:rPr>
          <w:rFonts w:hint="eastAsia" w:ascii="宋体" w:hAnsi="宋体" w:eastAsia="宋体" w:cs="宋体"/>
          <w:sz w:val="32"/>
          <w:szCs w:val="32"/>
          <w:lang w:eastAsia="zh-CN"/>
        </w:rPr>
        <w:t>与上年决算</w:t>
      </w:r>
      <w:r>
        <w:rPr>
          <w:rFonts w:hint="eastAsia" w:ascii="宋体" w:hAnsi="宋体" w:eastAsia="宋体" w:cs="宋体"/>
          <w:sz w:val="32"/>
          <w:szCs w:val="32"/>
          <w:lang w:val="en-US" w:eastAsia="zh-CN"/>
        </w:rPr>
        <w:t>0.45万元相比，</w:t>
      </w:r>
      <w:r>
        <w:rPr>
          <w:rFonts w:hint="eastAsia" w:ascii="宋体" w:hAnsi="宋体" w:eastAsia="宋体" w:cs="宋体"/>
          <w:sz w:val="32"/>
          <w:szCs w:val="32"/>
        </w:rPr>
        <w:t>减少</w:t>
      </w:r>
      <w:r>
        <w:rPr>
          <w:rFonts w:hint="eastAsia" w:ascii="宋体" w:hAnsi="宋体" w:eastAsia="宋体" w:cs="宋体"/>
          <w:sz w:val="32"/>
          <w:szCs w:val="32"/>
          <w:lang w:val="en-US" w:eastAsia="zh-CN"/>
        </w:rPr>
        <w:t>0.45</w:t>
      </w:r>
      <w:r>
        <w:rPr>
          <w:rFonts w:hint="eastAsia" w:ascii="宋体" w:hAnsi="宋体" w:eastAsia="宋体" w:cs="宋体"/>
          <w:sz w:val="32"/>
          <w:szCs w:val="32"/>
        </w:rPr>
        <w:t>万元，减</w:t>
      </w:r>
      <w:r>
        <w:rPr>
          <w:rFonts w:hint="eastAsia" w:ascii="宋体" w:hAnsi="宋体" w:eastAsia="宋体" w:cs="宋体"/>
          <w:sz w:val="32"/>
          <w:szCs w:val="32"/>
          <w:lang w:eastAsia="zh-CN"/>
        </w:rPr>
        <w:t>少</w:t>
      </w:r>
      <w:r>
        <w:rPr>
          <w:rFonts w:hint="eastAsia" w:ascii="宋体" w:hAnsi="宋体" w:eastAsia="宋体" w:cs="宋体"/>
          <w:sz w:val="32"/>
          <w:szCs w:val="32"/>
          <w:lang w:val="en-US" w:eastAsia="zh-CN"/>
        </w:rPr>
        <w:t>100</w:t>
      </w:r>
      <w:r>
        <w:rPr>
          <w:rFonts w:hint="eastAsia" w:ascii="宋体" w:hAnsi="宋体" w:eastAsia="宋体" w:cs="宋体"/>
          <w:sz w:val="32"/>
          <w:szCs w:val="32"/>
        </w:rPr>
        <w:t>%,主要原因是</w:t>
      </w:r>
      <w:r>
        <w:rPr>
          <w:rFonts w:hint="eastAsia" w:ascii="宋体" w:hAnsi="宋体" w:eastAsia="宋体" w:cs="宋体"/>
          <w:sz w:val="32"/>
          <w:szCs w:val="32"/>
          <w:lang w:eastAsia="zh-CN"/>
        </w:rPr>
        <w:t>没有公务用车</w:t>
      </w:r>
      <w:r>
        <w:rPr>
          <w:rFonts w:hint="eastAsia" w:ascii="宋体" w:hAnsi="宋体" w:eastAsia="宋体" w:cs="宋体"/>
          <w:sz w:val="32"/>
          <w:szCs w:val="32"/>
        </w:rPr>
        <w:t>。</w:t>
      </w:r>
    </w:p>
    <w:p>
      <w:pPr>
        <w:pStyle w:val="16"/>
        <w:spacing w:line="600" w:lineRule="exact"/>
        <w:ind w:firstLine="640" w:firstLineChars="200"/>
        <w:rPr>
          <w:rFonts w:hint="eastAsia" w:ascii="宋体" w:hAnsi="宋体" w:eastAsia="宋体" w:cs="宋体"/>
          <w:b/>
          <w:sz w:val="32"/>
          <w:szCs w:val="32"/>
        </w:rPr>
      </w:pPr>
      <w:r>
        <w:rPr>
          <w:rFonts w:hint="eastAsia" w:ascii="宋体" w:hAnsi="宋体" w:eastAsia="宋体" w:cs="宋体"/>
          <w:b/>
          <w:sz w:val="32"/>
          <w:szCs w:val="32"/>
        </w:rPr>
        <w:t>（二）“三公”经费财政拨款支出决算具体情况说明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2021年度“三公”经费财政拨款支出决算中，公务接待费支出决算</w:t>
      </w:r>
      <w:r>
        <w:rPr>
          <w:rFonts w:hint="eastAsia" w:ascii="宋体" w:hAnsi="宋体" w:eastAsia="宋体" w:cs="宋体"/>
          <w:sz w:val="32"/>
          <w:szCs w:val="32"/>
          <w:lang w:val="en-US" w:eastAsia="zh-CN"/>
        </w:rPr>
        <w:t>0.97</w:t>
      </w:r>
      <w:r>
        <w:rPr>
          <w:rFonts w:hint="eastAsia" w:ascii="宋体" w:hAnsi="宋体" w:eastAsia="宋体" w:cs="宋体"/>
          <w:sz w:val="32"/>
          <w:szCs w:val="32"/>
        </w:rPr>
        <w:t>万元，占</w:t>
      </w:r>
      <w:r>
        <w:rPr>
          <w:rFonts w:hint="eastAsia" w:ascii="宋体" w:hAnsi="宋体" w:eastAsia="宋体" w:cs="宋体"/>
          <w:sz w:val="32"/>
          <w:szCs w:val="32"/>
          <w:lang w:val="en-US" w:eastAsia="zh-CN"/>
        </w:rPr>
        <w:t>100</w:t>
      </w:r>
      <w:r>
        <w:rPr>
          <w:rFonts w:hint="eastAsia" w:ascii="宋体" w:hAnsi="宋体" w:eastAsia="宋体" w:cs="宋体"/>
          <w:sz w:val="32"/>
          <w:szCs w:val="32"/>
        </w:rPr>
        <w:t>%,因公出国（境）费支出决算0万元，占0%,公务用车购置费及运行维护费支出决算</w:t>
      </w:r>
      <w:r>
        <w:rPr>
          <w:rFonts w:hint="eastAsia" w:ascii="宋体" w:hAnsi="宋体" w:eastAsia="宋体" w:cs="宋体"/>
          <w:sz w:val="32"/>
          <w:szCs w:val="32"/>
          <w:lang w:val="en-US" w:eastAsia="zh-CN"/>
        </w:rPr>
        <w:t>0</w:t>
      </w:r>
      <w:r>
        <w:rPr>
          <w:rFonts w:hint="eastAsia" w:ascii="宋体" w:hAnsi="宋体" w:eastAsia="宋体" w:cs="宋体"/>
          <w:sz w:val="32"/>
          <w:szCs w:val="32"/>
        </w:rPr>
        <w:t>万元，占</w:t>
      </w:r>
      <w:r>
        <w:rPr>
          <w:rFonts w:hint="eastAsia" w:ascii="宋体" w:hAnsi="宋体" w:eastAsia="宋体" w:cs="宋体"/>
          <w:sz w:val="32"/>
          <w:szCs w:val="32"/>
          <w:lang w:val="en-US" w:eastAsia="zh-CN"/>
        </w:rPr>
        <w:t>0</w:t>
      </w:r>
      <w:r>
        <w:rPr>
          <w:rFonts w:hint="eastAsia" w:ascii="宋体" w:hAnsi="宋体" w:eastAsia="宋体" w:cs="宋体"/>
          <w:sz w:val="32"/>
          <w:szCs w:val="32"/>
        </w:rPr>
        <w:t>%。其中：</w:t>
      </w:r>
    </w:p>
    <w:p>
      <w:pPr>
        <w:keepNext w:val="0"/>
        <w:keepLines w:val="0"/>
        <w:widowControl/>
        <w:suppressLineNumbers w:val="0"/>
        <w:ind w:firstLine="640" w:firstLineChars="200"/>
        <w:jc w:val="left"/>
        <w:rPr>
          <w:rFonts w:ascii="宋体" w:hAnsi="宋体" w:eastAsia="宋体"/>
          <w:sz w:val="32"/>
          <w:szCs w:val="32"/>
        </w:rPr>
      </w:pPr>
      <w:r>
        <w:rPr>
          <w:rFonts w:hint="eastAsia" w:ascii="宋体" w:hAnsi="宋体" w:eastAsia="宋体" w:cs="宋体"/>
          <w:sz w:val="32"/>
          <w:szCs w:val="32"/>
        </w:rPr>
        <w:t>1、</w:t>
      </w:r>
      <w:bookmarkStart w:id="1" w:name="_GoBack"/>
      <w:bookmarkEnd w:id="1"/>
      <w:r>
        <w:rPr>
          <w:rFonts w:hint="eastAsia" w:ascii="宋体" w:hAnsi="宋体" w:eastAsia="宋体" w:cs="宋体"/>
          <w:sz w:val="32"/>
          <w:szCs w:val="32"/>
        </w:rPr>
        <w:t>因公出国（境）费支出决算为0万元，</w:t>
      </w:r>
      <w:r>
        <w:rPr>
          <w:rFonts w:hint="eastAsia" w:ascii="宋体" w:hAnsi="宋体" w:eastAsia="宋体"/>
          <w:sz w:val="32"/>
          <w:szCs w:val="32"/>
        </w:rPr>
        <w:t>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人次，与上年决算数一致</w:t>
      </w:r>
      <w:r>
        <w:rPr>
          <w:rFonts w:hint="eastAsia" w:ascii="宋体" w:hAnsi="宋体" w:eastAsia="宋体" w:cs="宋体"/>
          <w:sz w:val="32"/>
          <w:szCs w:val="32"/>
        </w:rPr>
        <w:t>。</w:t>
      </w:r>
    </w:p>
    <w:p>
      <w:pPr>
        <w:pStyle w:val="16"/>
        <w:spacing w:line="600" w:lineRule="exact"/>
        <w:ind w:firstLine="800" w:firstLineChars="250"/>
        <w:rPr>
          <w:rFonts w:hint="eastAsia" w:ascii="宋体" w:hAnsi="宋体" w:eastAsia="宋体" w:cs="宋体"/>
          <w:sz w:val="32"/>
          <w:szCs w:val="32"/>
        </w:rPr>
      </w:pPr>
      <w:r>
        <w:rPr>
          <w:rFonts w:hint="eastAsia" w:ascii="宋体" w:hAnsi="宋体" w:eastAsia="宋体" w:cs="宋体"/>
          <w:sz w:val="32"/>
          <w:szCs w:val="32"/>
        </w:rPr>
        <w:t>2、公务接待费支出决算为</w:t>
      </w:r>
      <w:r>
        <w:rPr>
          <w:rFonts w:hint="eastAsia" w:ascii="宋体" w:hAnsi="宋体" w:eastAsia="宋体" w:cs="宋体"/>
          <w:sz w:val="32"/>
          <w:szCs w:val="32"/>
          <w:lang w:val="en-US" w:eastAsia="zh-CN"/>
        </w:rPr>
        <w:t>0.97</w:t>
      </w:r>
      <w:r>
        <w:rPr>
          <w:rFonts w:hint="eastAsia" w:ascii="宋体" w:hAnsi="宋体" w:eastAsia="宋体" w:cs="宋体"/>
          <w:sz w:val="32"/>
          <w:szCs w:val="32"/>
        </w:rPr>
        <w:t>万元，全年共接待来访团组</w:t>
      </w:r>
      <w:r>
        <w:rPr>
          <w:rFonts w:hint="eastAsia" w:ascii="宋体" w:hAnsi="宋体" w:eastAsia="宋体" w:cs="宋体"/>
          <w:sz w:val="32"/>
          <w:szCs w:val="32"/>
          <w:lang w:val="en-US" w:eastAsia="zh-CN"/>
        </w:rPr>
        <w:t>11</w:t>
      </w:r>
      <w:r>
        <w:rPr>
          <w:rFonts w:hint="eastAsia" w:ascii="宋体" w:hAnsi="宋体" w:eastAsia="宋体" w:cs="宋体"/>
          <w:sz w:val="32"/>
          <w:szCs w:val="32"/>
        </w:rPr>
        <w:t>个、来宾</w:t>
      </w:r>
      <w:r>
        <w:rPr>
          <w:rFonts w:hint="eastAsia" w:ascii="宋体" w:hAnsi="宋体" w:eastAsia="宋体" w:cs="宋体"/>
          <w:sz w:val="32"/>
          <w:szCs w:val="32"/>
          <w:lang w:val="en-US" w:eastAsia="zh-CN"/>
        </w:rPr>
        <w:t>86</w:t>
      </w:r>
      <w:r>
        <w:rPr>
          <w:rFonts w:hint="eastAsia" w:ascii="宋体" w:hAnsi="宋体" w:eastAsia="宋体" w:cs="宋体"/>
          <w:sz w:val="32"/>
          <w:szCs w:val="32"/>
        </w:rPr>
        <w:t>人次，主要是</w:t>
      </w:r>
      <w:r>
        <w:rPr>
          <w:rFonts w:hint="eastAsia" w:ascii="宋体" w:hAnsi="宋体" w:eastAsia="宋体" w:cs="宋体"/>
          <w:sz w:val="32"/>
          <w:szCs w:val="24"/>
          <w:lang w:val="en-US" w:eastAsia="zh-CN"/>
        </w:rPr>
        <w:t>接待</w:t>
      </w:r>
      <w:r>
        <w:rPr>
          <w:rFonts w:hint="eastAsia" w:ascii="宋体" w:hAnsi="宋体" w:eastAsia="宋体" w:cs="宋体"/>
          <w:sz w:val="32"/>
          <w:szCs w:val="24"/>
          <w:lang w:val="en-US"/>
        </w:rPr>
        <w:t>全国工商联商调研活动及接待商务考察活动</w:t>
      </w:r>
      <w:r>
        <w:rPr>
          <w:rFonts w:hint="eastAsia" w:ascii="宋体" w:hAnsi="宋体" w:eastAsia="宋体" w:cs="宋体"/>
          <w:sz w:val="32"/>
          <w:szCs w:val="32"/>
        </w:rPr>
        <w:t>发生的接待支出。</w:t>
      </w:r>
    </w:p>
    <w:p>
      <w:pPr>
        <w:spacing w:line="600" w:lineRule="exact"/>
        <w:ind w:firstLine="800" w:firstLineChars="250"/>
        <w:rPr>
          <w:rFonts w:hint="eastAsia" w:ascii="宋体" w:hAnsi="宋体" w:eastAsia="宋体" w:cs="宋体"/>
          <w:color w:val="000000"/>
          <w:kern w:val="0"/>
          <w:sz w:val="32"/>
          <w:szCs w:val="32"/>
        </w:rPr>
      </w:pPr>
      <w:r>
        <w:rPr>
          <w:rFonts w:hint="eastAsia" w:ascii="宋体" w:hAnsi="宋体" w:eastAsia="宋体" w:cs="宋体"/>
          <w:sz w:val="32"/>
          <w:szCs w:val="32"/>
        </w:rPr>
        <w:t>3、公务用车购置费及运行维护费支出决算为</w:t>
      </w:r>
      <w:r>
        <w:rPr>
          <w:rFonts w:hint="eastAsia" w:ascii="宋体" w:hAnsi="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，本年没有新购车辆</w:t>
      </w:r>
      <w:r>
        <w:rPr>
          <w:rFonts w:hint="eastAsia" w:ascii="宋体" w:hAnsi="宋体" w:eastAsia="宋体" w:cs="宋体"/>
          <w:color w:val="000000"/>
          <w:sz w:val="32"/>
          <w:szCs w:val="32"/>
        </w:rPr>
        <w:t>。</w:t>
      </w:r>
      <w:r>
        <w:rPr>
          <w:rFonts w:hint="eastAsia" w:ascii="宋体" w:hAnsi="宋体" w:eastAsia="宋体" w:cs="宋体"/>
          <w:sz w:val="32"/>
          <w:szCs w:val="32"/>
        </w:rPr>
        <w:t>公务用车运行维护费</w:t>
      </w:r>
      <w:r>
        <w:rPr>
          <w:rFonts w:hint="eastAsia" w:ascii="宋体" w:hAnsi="宋体" w:cs="宋体"/>
          <w:sz w:val="32"/>
          <w:szCs w:val="32"/>
          <w:lang w:val="en-US" w:eastAsia="zh-CN"/>
        </w:rPr>
        <w:t>0</w:t>
      </w:r>
      <w:r>
        <w:rPr>
          <w:rFonts w:hint="eastAsia" w:ascii="宋体" w:hAnsi="宋体" w:eastAsia="宋体" w:cs="宋体"/>
          <w:sz w:val="32"/>
          <w:szCs w:val="32"/>
        </w:rPr>
        <w:t>万元，主要是</w:t>
      </w:r>
      <w:r>
        <w:rPr>
          <w:rFonts w:hint="eastAsia" w:ascii="宋体" w:hAnsi="宋体" w:cs="宋体"/>
          <w:sz w:val="32"/>
          <w:szCs w:val="32"/>
          <w:lang w:eastAsia="zh-CN"/>
        </w:rPr>
        <w:t>我单位无公务用车，</w:t>
      </w:r>
      <w:r>
        <w:rPr>
          <w:rFonts w:hint="eastAsia" w:ascii="宋体" w:hAnsi="宋体" w:eastAsia="宋体" w:cs="宋体"/>
          <w:sz w:val="32"/>
          <w:szCs w:val="32"/>
        </w:rPr>
        <w:t>截止202</w:t>
      </w:r>
      <w:r>
        <w:rPr>
          <w:rFonts w:hint="eastAsia" w:ascii="宋体" w:hAnsi="宋体" w:eastAsia="宋体" w:cs="宋体"/>
          <w:sz w:val="32"/>
          <w:szCs w:val="32"/>
          <w:lang w:val="en-US" w:eastAsia="zh-CN"/>
        </w:rPr>
        <w:t>1</w:t>
      </w:r>
      <w:r>
        <w:rPr>
          <w:rFonts w:hint="eastAsia" w:ascii="宋体" w:hAnsi="宋体" w:eastAsia="宋体" w:cs="宋体"/>
          <w:sz w:val="32"/>
          <w:szCs w:val="32"/>
        </w:rPr>
        <w:t>年12月31日，我单位开支财政拨款的公务用车保有量</w:t>
      </w:r>
      <w:r>
        <w:rPr>
          <w:rFonts w:hint="eastAsia" w:ascii="宋体" w:hAnsi="宋体" w:eastAsia="宋体" w:cs="宋体"/>
          <w:b w:val="0"/>
          <w:bCs w:val="0"/>
          <w:color w:val="auto"/>
          <w:sz w:val="32"/>
          <w:szCs w:val="32"/>
        </w:rPr>
        <w:t>为</w:t>
      </w:r>
      <w:r>
        <w:rPr>
          <w:rFonts w:hint="eastAsia" w:ascii="宋体" w:hAnsi="宋体" w:cs="宋体"/>
          <w:b w:val="0"/>
          <w:bCs w:val="0"/>
          <w:color w:val="auto"/>
          <w:sz w:val="32"/>
          <w:szCs w:val="32"/>
          <w:lang w:val="en-US" w:eastAsia="zh-CN"/>
        </w:rPr>
        <w:t>0</w:t>
      </w:r>
      <w:r>
        <w:rPr>
          <w:rFonts w:hint="eastAsia" w:ascii="宋体" w:hAnsi="宋体" w:eastAsia="宋体" w:cs="宋体"/>
          <w:b w:val="0"/>
          <w:bCs w:val="0"/>
          <w:color w:val="auto"/>
          <w:sz w:val="32"/>
          <w:szCs w:val="32"/>
        </w:rPr>
        <w:t>辆。</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八、政府性基金预算收入支出决算情况</w:t>
      </w:r>
    </w:p>
    <w:p>
      <w:pPr>
        <w:pStyle w:val="16"/>
        <w:spacing w:line="600" w:lineRule="exact"/>
        <w:rPr>
          <w:rFonts w:hint="eastAsia" w:ascii="宋体" w:hAnsi="宋体" w:eastAsia="宋体" w:cs="宋体"/>
          <w:color w:val="FF0000"/>
          <w:sz w:val="52"/>
          <w:szCs w:val="52"/>
        </w:rPr>
      </w:pPr>
      <w:r>
        <w:rPr>
          <w:rFonts w:hint="eastAsia" w:ascii="宋体" w:hAnsi="宋体" w:eastAsia="宋体" w:cs="宋体"/>
          <w:sz w:val="32"/>
          <w:szCs w:val="32"/>
        </w:rPr>
        <w:t xml:space="preserve">    </w:t>
      </w:r>
      <w:r>
        <w:rPr>
          <w:rFonts w:hint="eastAsia" w:ascii="宋体" w:hAnsi="宋体" w:eastAsia="宋体" w:cs="宋体"/>
          <w:i w:val="0"/>
          <w:iCs/>
          <w:color w:val="auto"/>
          <w:sz w:val="32"/>
          <w:szCs w:val="32"/>
        </w:rPr>
        <w:t>本年度无政府性基金预算收入支出，与年初预算一致，与上年决算一致。</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九、机关运行经费支出说明</w:t>
      </w:r>
    </w:p>
    <w:p>
      <w:pPr>
        <w:pStyle w:val="16"/>
        <w:spacing w:line="600" w:lineRule="exact"/>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rPr>
        <w:t>本部门2021年度机关运行经费支出</w:t>
      </w:r>
      <w:r>
        <w:rPr>
          <w:rFonts w:hint="eastAsia" w:ascii="宋体" w:hAnsi="宋体" w:eastAsia="宋体" w:cs="宋体"/>
          <w:sz w:val="32"/>
          <w:szCs w:val="32"/>
          <w:lang w:val="en-US" w:eastAsia="zh-CN"/>
        </w:rPr>
        <w:t>10.41</w:t>
      </w:r>
      <w:r>
        <w:rPr>
          <w:rFonts w:hint="eastAsia" w:ascii="宋体" w:hAnsi="宋体" w:eastAsia="宋体" w:cs="宋体"/>
          <w:sz w:val="32"/>
          <w:szCs w:val="32"/>
        </w:rPr>
        <w:t>万元，上年决算数</w:t>
      </w:r>
      <w:r>
        <w:rPr>
          <w:rFonts w:hint="eastAsia" w:ascii="宋体" w:hAnsi="宋体" w:eastAsia="宋体" w:cs="宋体"/>
          <w:sz w:val="32"/>
          <w:szCs w:val="32"/>
          <w:lang w:val="en-US" w:eastAsia="zh-CN"/>
        </w:rPr>
        <w:t>16.67万元，</w:t>
      </w:r>
      <w:r>
        <w:rPr>
          <w:rFonts w:hint="eastAsia" w:ascii="宋体" w:hAnsi="宋体" w:eastAsia="宋体" w:cs="宋体"/>
          <w:sz w:val="32"/>
          <w:szCs w:val="32"/>
        </w:rPr>
        <w:t>减少</w:t>
      </w:r>
      <w:r>
        <w:rPr>
          <w:rFonts w:hint="eastAsia" w:ascii="宋体" w:hAnsi="宋体" w:eastAsia="宋体" w:cs="宋体"/>
          <w:sz w:val="32"/>
          <w:szCs w:val="32"/>
          <w:lang w:val="en-US" w:eastAsia="zh-CN"/>
        </w:rPr>
        <w:t>6.26</w:t>
      </w:r>
      <w:r>
        <w:rPr>
          <w:rFonts w:hint="eastAsia" w:ascii="宋体" w:hAnsi="宋体" w:eastAsia="宋体" w:cs="宋体"/>
          <w:sz w:val="32"/>
          <w:szCs w:val="32"/>
        </w:rPr>
        <w:t>万元，</w:t>
      </w:r>
      <w:r>
        <w:rPr>
          <w:rFonts w:hint="eastAsia" w:ascii="宋体" w:hAnsi="宋体" w:eastAsia="宋体" w:cs="宋体"/>
          <w:sz w:val="32"/>
          <w:szCs w:val="32"/>
          <w:lang w:eastAsia="zh-CN"/>
        </w:rPr>
        <w:t>减少</w:t>
      </w:r>
      <w:r>
        <w:rPr>
          <w:rFonts w:hint="eastAsia" w:ascii="宋体" w:hAnsi="宋体" w:eastAsia="宋体" w:cs="宋体"/>
          <w:sz w:val="32"/>
          <w:szCs w:val="32"/>
          <w:lang w:val="en-US" w:eastAsia="zh-CN"/>
        </w:rPr>
        <w:t>37.55</w:t>
      </w:r>
      <w:r>
        <w:rPr>
          <w:rFonts w:hint="eastAsia" w:ascii="宋体" w:hAnsi="宋体" w:eastAsia="宋体" w:cs="宋体"/>
          <w:sz w:val="32"/>
          <w:szCs w:val="32"/>
        </w:rPr>
        <w:t>%。主要原因是：</w:t>
      </w:r>
      <w:r>
        <w:rPr>
          <w:rFonts w:hint="eastAsia" w:ascii="宋体" w:hAnsi="宋体" w:eastAsia="宋体" w:cs="宋体"/>
          <w:sz w:val="32"/>
          <w:szCs w:val="32"/>
          <w:lang w:eastAsia="zh-CN"/>
        </w:rPr>
        <w:t>厉行节约，压减支出</w:t>
      </w:r>
      <w:r>
        <w:rPr>
          <w:rFonts w:hint="eastAsia" w:ascii="宋体" w:hAnsi="宋体" w:eastAsia="宋体" w:cs="宋体"/>
          <w:sz w:val="32"/>
          <w:szCs w:val="32"/>
          <w:highlight w:val="none"/>
        </w:rPr>
        <w:t>。比年初预算数减少</w:t>
      </w:r>
      <w:r>
        <w:rPr>
          <w:rFonts w:hint="eastAsia" w:ascii="宋体" w:hAnsi="宋体" w:eastAsia="宋体" w:cs="宋体"/>
          <w:sz w:val="32"/>
          <w:szCs w:val="32"/>
          <w:highlight w:val="none"/>
          <w:lang w:val="en-US" w:eastAsia="zh-CN"/>
        </w:rPr>
        <w:t>2.19</w:t>
      </w:r>
      <w:r>
        <w:rPr>
          <w:rFonts w:hint="eastAsia" w:ascii="宋体" w:hAnsi="宋体" w:eastAsia="宋体" w:cs="宋体"/>
          <w:sz w:val="32"/>
          <w:szCs w:val="32"/>
          <w:highlight w:val="none"/>
        </w:rPr>
        <w:t>万元，降低</w:t>
      </w:r>
      <w:r>
        <w:rPr>
          <w:rFonts w:hint="eastAsia" w:ascii="宋体" w:hAnsi="宋体" w:eastAsia="宋体" w:cs="宋体"/>
          <w:sz w:val="32"/>
          <w:szCs w:val="32"/>
          <w:highlight w:val="none"/>
          <w:lang w:val="en-US" w:eastAsia="zh-CN"/>
        </w:rPr>
        <w:t>17.38</w:t>
      </w:r>
      <w:r>
        <w:rPr>
          <w:rFonts w:hint="eastAsia" w:ascii="宋体" w:hAnsi="宋体" w:eastAsia="宋体" w:cs="宋体"/>
          <w:sz w:val="32"/>
          <w:szCs w:val="32"/>
          <w:highlight w:val="none"/>
        </w:rPr>
        <w:t>%。主要原因是：</w:t>
      </w:r>
      <w:r>
        <w:rPr>
          <w:rFonts w:hint="eastAsia" w:ascii="宋体" w:hAnsi="宋体" w:eastAsia="宋体" w:cs="宋体"/>
          <w:sz w:val="32"/>
          <w:szCs w:val="32"/>
          <w:highlight w:val="none"/>
          <w:lang w:eastAsia="zh-CN"/>
        </w:rPr>
        <w:t>运行经费中专项业务费和公车运行经费减少。</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十、一般性支出情况说明</w:t>
      </w:r>
    </w:p>
    <w:p>
      <w:pPr>
        <w:pStyle w:val="16"/>
        <w:spacing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2021年本部门开支</w:t>
      </w:r>
      <w:r>
        <w:rPr>
          <w:rFonts w:hint="eastAsia" w:ascii="宋体" w:hAnsi="宋体" w:eastAsia="宋体" w:cs="宋体"/>
          <w:b w:val="0"/>
          <w:bCs/>
          <w:sz w:val="32"/>
          <w:szCs w:val="32"/>
        </w:rPr>
        <w:t>会议费</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万元，召开</w:t>
      </w:r>
      <w:r>
        <w:rPr>
          <w:rFonts w:hint="eastAsia" w:ascii="宋体" w:hAnsi="宋体" w:eastAsia="宋体" w:cs="宋体"/>
          <w:b w:val="0"/>
          <w:bCs/>
          <w:sz w:val="32"/>
          <w:szCs w:val="32"/>
          <w:lang w:val="en-US" w:eastAsia="zh-CN"/>
        </w:rPr>
        <w:t>0次</w:t>
      </w:r>
      <w:r>
        <w:rPr>
          <w:rFonts w:hint="eastAsia" w:ascii="宋体" w:hAnsi="宋体" w:eastAsia="宋体" w:cs="宋体"/>
          <w:b w:val="0"/>
          <w:bCs/>
          <w:sz w:val="32"/>
          <w:szCs w:val="32"/>
        </w:rPr>
        <w:t>会议，人数</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人，内容</w:t>
      </w:r>
      <w:r>
        <w:rPr>
          <w:rFonts w:hint="eastAsia" w:ascii="宋体" w:hAnsi="宋体" w:eastAsia="宋体" w:cs="宋体"/>
          <w:b w:val="0"/>
          <w:bCs/>
          <w:sz w:val="32"/>
          <w:szCs w:val="32"/>
          <w:lang w:val="en-US" w:eastAsia="zh-CN"/>
        </w:rPr>
        <w:t>无</w:t>
      </w:r>
      <w:r>
        <w:rPr>
          <w:rFonts w:hint="eastAsia" w:ascii="宋体" w:hAnsi="宋体" w:eastAsia="宋体" w:cs="宋体"/>
          <w:b w:val="0"/>
          <w:bCs/>
          <w:sz w:val="32"/>
          <w:szCs w:val="32"/>
        </w:rPr>
        <w:t>；开支培训费</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万元，开展</w:t>
      </w:r>
      <w:r>
        <w:rPr>
          <w:rFonts w:hint="eastAsia" w:ascii="宋体" w:hAnsi="宋体" w:eastAsia="宋体" w:cs="宋体"/>
          <w:b w:val="0"/>
          <w:bCs/>
          <w:sz w:val="32"/>
          <w:szCs w:val="32"/>
          <w:lang w:val="en-US" w:eastAsia="zh-CN"/>
        </w:rPr>
        <w:t>0次</w:t>
      </w:r>
      <w:r>
        <w:rPr>
          <w:rFonts w:hint="eastAsia" w:ascii="宋体" w:hAnsi="宋体" w:eastAsia="宋体" w:cs="宋体"/>
          <w:b w:val="0"/>
          <w:bCs/>
          <w:sz w:val="32"/>
          <w:szCs w:val="32"/>
        </w:rPr>
        <w:t>培训，人数</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人，内容</w:t>
      </w:r>
      <w:r>
        <w:rPr>
          <w:rFonts w:hint="eastAsia" w:ascii="宋体" w:hAnsi="宋体" w:eastAsia="宋体" w:cs="宋体"/>
          <w:b w:val="0"/>
          <w:bCs/>
          <w:sz w:val="32"/>
          <w:szCs w:val="32"/>
          <w:lang w:val="en-US" w:eastAsia="zh-CN"/>
        </w:rPr>
        <w:t>无</w:t>
      </w:r>
      <w:r>
        <w:rPr>
          <w:rFonts w:hint="eastAsia" w:ascii="宋体" w:hAnsi="宋体" w:eastAsia="宋体" w:cs="宋体"/>
          <w:b w:val="0"/>
          <w:bCs/>
          <w:sz w:val="32"/>
          <w:szCs w:val="32"/>
        </w:rPr>
        <w:t>；举办</w:t>
      </w:r>
      <w:r>
        <w:rPr>
          <w:rFonts w:hint="eastAsia" w:ascii="宋体" w:hAnsi="宋体" w:eastAsia="宋体" w:cs="宋体"/>
          <w:b w:val="0"/>
          <w:bCs/>
          <w:sz w:val="32"/>
          <w:szCs w:val="32"/>
          <w:lang w:val="en-US" w:eastAsia="zh-CN"/>
        </w:rPr>
        <w:t>0场</w:t>
      </w:r>
      <w:r>
        <w:rPr>
          <w:rFonts w:hint="eastAsia" w:ascii="宋体" w:hAnsi="宋体" w:eastAsia="宋体" w:cs="宋体"/>
          <w:b w:val="0"/>
          <w:bCs/>
          <w:sz w:val="32"/>
          <w:szCs w:val="32"/>
        </w:rPr>
        <w:t>节庆、晚会、论坛、赛事活动，开支</w:t>
      </w:r>
      <w:r>
        <w:rPr>
          <w:rFonts w:hint="eastAsia" w:ascii="宋体" w:hAnsi="宋体" w:eastAsia="宋体" w:cs="宋体"/>
          <w:b w:val="0"/>
          <w:bCs/>
          <w:sz w:val="32"/>
          <w:szCs w:val="32"/>
          <w:lang w:val="en-US" w:eastAsia="zh-CN"/>
        </w:rPr>
        <w:t>0</w:t>
      </w:r>
      <w:r>
        <w:rPr>
          <w:rFonts w:hint="eastAsia" w:ascii="宋体" w:hAnsi="宋体" w:eastAsia="宋体" w:cs="宋体"/>
          <w:b w:val="0"/>
          <w:bCs/>
          <w:sz w:val="32"/>
          <w:szCs w:val="32"/>
        </w:rPr>
        <w:t>万元。</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十一、政府采购支出说明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本部门2021年度政府采购支出总额</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万元，其中：政府采购货物支出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万元、政府采购工程支出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万元、政府采购服务支出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十二、国有资产占用情况说明</w:t>
      </w:r>
    </w:p>
    <w:p>
      <w:pPr>
        <w:pStyle w:val="16"/>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截至2021年12月31日，单位共有车辆</w:t>
      </w:r>
      <w:r>
        <w:rPr>
          <w:rFonts w:hint="eastAsia" w:ascii="宋体" w:hAnsi="宋体" w:eastAsia="宋体" w:cs="宋体"/>
          <w:sz w:val="32"/>
          <w:szCs w:val="32"/>
          <w:lang w:val="en-US" w:eastAsia="zh-CN"/>
        </w:rPr>
        <w:t>0</w:t>
      </w:r>
      <w:r>
        <w:rPr>
          <w:rFonts w:hint="eastAsia" w:ascii="宋体" w:hAnsi="宋体" w:eastAsia="宋体" w:cs="宋体"/>
          <w:sz w:val="32"/>
          <w:szCs w:val="32"/>
        </w:rPr>
        <w:t>辆，其中，主要领导干部用车0辆，机要通信用车0辆、应急保障用车0辆、执法执勤用车</w:t>
      </w:r>
      <w:r>
        <w:rPr>
          <w:rFonts w:hint="eastAsia" w:ascii="宋体" w:hAnsi="宋体" w:eastAsia="宋体" w:cs="宋体"/>
          <w:sz w:val="32"/>
          <w:szCs w:val="32"/>
          <w:lang w:val="en-US" w:eastAsia="zh-CN"/>
        </w:rPr>
        <w:t>0</w:t>
      </w:r>
      <w:r>
        <w:rPr>
          <w:rFonts w:hint="eastAsia" w:ascii="宋体" w:hAnsi="宋体" w:eastAsia="宋体" w:cs="宋体"/>
          <w:sz w:val="32"/>
          <w:szCs w:val="32"/>
        </w:rPr>
        <w:t>辆、特种专业技术用车</w:t>
      </w:r>
      <w:r>
        <w:rPr>
          <w:rFonts w:hint="eastAsia" w:ascii="宋体" w:hAnsi="宋体" w:eastAsia="宋体" w:cs="宋体"/>
          <w:sz w:val="32"/>
          <w:szCs w:val="32"/>
          <w:lang w:val="en-US" w:eastAsia="zh-CN"/>
        </w:rPr>
        <w:t>0</w:t>
      </w:r>
      <w:r>
        <w:rPr>
          <w:rFonts w:hint="eastAsia" w:ascii="宋体" w:hAnsi="宋体" w:eastAsia="宋体" w:cs="宋体"/>
          <w:sz w:val="32"/>
          <w:szCs w:val="32"/>
        </w:rPr>
        <w:t>辆、其他用车</w:t>
      </w:r>
      <w:r>
        <w:rPr>
          <w:rFonts w:hint="eastAsia" w:ascii="宋体" w:hAnsi="宋体" w:eastAsia="宋体" w:cs="宋体"/>
          <w:sz w:val="32"/>
          <w:szCs w:val="32"/>
          <w:lang w:val="en-US" w:eastAsia="zh-CN"/>
        </w:rPr>
        <w:t>0</w:t>
      </w:r>
      <w:r>
        <w:rPr>
          <w:rFonts w:hint="eastAsia" w:ascii="宋体" w:hAnsi="宋体" w:eastAsia="宋体" w:cs="宋体"/>
          <w:sz w:val="32"/>
          <w:szCs w:val="32"/>
        </w:rPr>
        <w:t>辆；单位价值50万元以上通用设备0台（套）；单位价值100万元以上专用设备0台（套）。</w:t>
      </w:r>
    </w:p>
    <w:p>
      <w:pPr>
        <w:pStyle w:val="16"/>
        <w:spacing w:line="600" w:lineRule="exact"/>
        <w:rPr>
          <w:rFonts w:hint="eastAsia" w:ascii="黑体" w:hAnsi="黑体" w:eastAsia="黑体" w:cs="黑体"/>
          <w:b/>
          <w:sz w:val="32"/>
          <w:szCs w:val="32"/>
        </w:rPr>
      </w:pPr>
      <w:r>
        <w:rPr>
          <w:rFonts w:hint="eastAsia" w:ascii="黑体" w:hAnsi="黑体" w:eastAsia="黑体" w:cs="黑体"/>
          <w:b/>
          <w:sz w:val="32"/>
          <w:szCs w:val="32"/>
        </w:rPr>
        <w:t>十三、2021年度预算绩效情况说明</w:t>
      </w:r>
    </w:p>
    <w:p>
      <w:pPr>
        <w:autoSpaceDE w:val="0"/>
        <w:autoSpaceDN w:val="0"/>
        <w:adjustRightInd w:val="0"/>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rPr>
        <w:t>（1）绩效管理评价工作开展情况</w:t>
      </w:r>
      <w:r>
        <w:rPr>
          <w:rFonts w:hint="eastAsia" w:ascii="宋体" w:hAnsi="宋体" w:eastAsia="宋体" w:cs="宋体"/>
          <w:color w:val="000000"/>
          <w:kern w:val="0"/>
          <w:sz w:val="32"/>
          <w:szCs w:val="32"/>
        </w:rPr>
        <w:t>。</w:t>
      </w:r>
    </w:p>
    <w:p>
      <w:pPr>
        <w:autoSpaceDE w:val="0"/>
        <w:autoSpaceDN w:val="0"/>
        <w:adjustRightInd w:val="0"/>
        <w:spacing w:line="60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本部门2021年整体支出116.58万元，其中项目支出17.86万元，本年度无重点项目支出。根据预算绩效管理要求，我部门组织对2021年度一般公共预算项目支出全面开展绩效自评，其中，二级项目</w:t>
      </w:r>
      <w:r>
        <w:rPr>
          <w:rFonts w:hint="eastAsia" w:ascii="宋体" w:hAnsi="宋体" w:cs="宋体"/>
          <w:color w:val="000000"/>
          <w:kern w:val="0"/>
          <w:sz w:val="32"/>
          <w:szCs w:val="32"/>
          <w:lang w:val="en-US" w:eastAsia="zh-CN"/>
        </w:rPr>
        <w:t>1</w:t>
      </w:r>
      <w:r>
        <w:rPr>
          <w:rFonts w:hint="eastAsia" w:ascii="宋体" w:hAnsi="宋体" w:eastAsia="宋体" w:cs="宋体"/>
          <w:color w:val="000000"/>
          <w:kern w:val="0"/>
          <w:sz w:val="32"/>
          <w:szCs w:val="32"/>
        </w:rPr>
        <w:t>个，共涉及资金</w:t>
      </w:r>
      <w:r>
        <w:rPr>
          <w:rFonts w:hint="eastAsia" w:ascii="宋体" w:hAnsi="宋体" w:eastAsia="宋体" w:cs="宋体"/>
          <w:color w:val="000000"/>
          <w:kern w:val="0"/>
          <w:sz w:val="32"/>
          <w:szCs w:val="32"/>
          <w:lang w:val="en-US" w:eastAsia="zh-CN"/>
        </w:rPr>
        <w:t>17.86</w:t>
      </w:r>
      <w:r>
        <w:rPr>
          <w:rFonts w:hint="eastAsia" w:ascii="宋体" w:hAnsi="宋体" w:eastAsia="宋体" w:cs="宋体"/>
          <w:color w:val="000000"/>
          <w:kern w:val="0"/>
          <w:sz w:val="32"/>
          <w:szCs w:val="32"/>
        </w:rPr>
        <w:t>万元，占一般公共预算项目支出总额的</w:t>
      </w:r>
      <w:r>
        <w:rPr>
          <w:rFonts w:hint="eastAsia" w:ascii="宋体" w:hAnsi="宋体" w:cs="宋体"/>
          <w:color w:val="000000"/>
          <w:kern w:val="0"/>
          <w:sz w:val="32"/>
          <w:szCs w:val="32"/>
          <w:lang w:val="en-US" w:eastAsia="zh-CN"/>
        </w:rPr>
        <w:t>100</w:t>
      </w:r>
      <w:r>
        <w:rPr>
          <w:rFonts w:hint="eastAsia" w:ascii="宋体" w:hAnsi="宋体" w:eastAsia="宋体" w:cs="宋体"/>
          <w:color w:val="000000"/>
          <w:kern w:val="0"/>
          <w:sz w:val="32"/>
          <w:szCs w:val="32"/>
        </w:rPr>
        <w:t>%。组织对2021年度</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个政府性基金预算项目支出开展绩效自评，共涉及资</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万元，占政府性基金预算项目支出总额的</w:t>
      </w:r>
      <w:r>
        <w:rPr>
          <w:rFonts w:hint="eastAsia" w:ascii="宋体" w:hAnsi="宋体" w:eastAsia="宋体" w:cs="宋体"/>
          <w:color w:val="000000"/>
          <w:kern w:val="0"/>
          <w:sz w:val="32"/>
          <w:szCs w:val="32"/>
          <w:lang w:val="en-US" w:eastAsia="zh-CN"/>
        </w:rPr>
        <w:t>0</w:t>
      </w:r>
      <w:r>
        <w:rPr>
          <w:rFonts w:hint="eastAsia" w:ascii="宋体" w:hAnsi="宋体" w:eastAsia="宋体" w:cs="宋体"/>
          <w:color w:val="000000"/>
          <w:kern w:val="0"/>
          <w:sz w:val="32"/>
          <w:szCs w:val="32"/>
        </w:rPr>
        <w:t>%。2021年度本单位未安排国有资本经营预算项目支出。</w:t>
      </w:r>
    </w:p>
    <w:p>
      <w:pPr>
        <w:autoSpaceDE w:val="0"/>
        <w:autoSpaceDN w:val="0"/>
        <w:adjustRightInd w:val="0"/>
        <w:spacing w:line="600" w:lineRule="exact"/>
        <w:ind w:firstLine="640" w:firstLineChars="200"/>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（2）部门决算中项目绩效自评结果。</w:t>
      </w:r>
    </w:p>
    <w:p>
      <w:pPr>
        <w:autoSpaceDE w:val="0"/>
        <w:autoSpaceDN w:val="0"/>
        <w:adjustRightInd w:val="0"/>
        <w:spacing w:line="600" w:lineRule="exact"/>
        <w:ind w:firstLine="640" w:firstLineChars="200"/>
        <w:jc w:val="left"/>
        <w:rPr>
          <w:rFonts w:hint="eastAsia" w:ascii="宋体" w:hAnsi="宋体" w:eastAsia="宋体" w:cs="宋体"/>
          <w:sz w:val="32"/>
          <w:szCs w:val="32"/>
          <w:lang w:val="en-US" w:eastAsia="zh-CN"/>
        </w:rPr>
      </w:pPr>
      <w:r>
        <w:rPr>
          <w:rFonts w:hint="eastAsia" w:ascii="宋体" w:hAnsi="宋体" w:eastAsia="宋体" w:cs="宋体"/>
          <w:color w:val="000000"/>
          <w:kern w:val="0"/>
          <w:sz w:val="32"/>
          <w:szCs w:val="32"/>
          <w:lang w:eastAsia="zh-CN"/>
        </w:rPr>
        <w:t>工商业联合会</w:t>
      </w:r>
      <w:r>
        <w:rPr>
          <w:rFonts w:hint="eastAsia" w:ascii="宋体" w:hAnsi="宋体" w:eastAsia="宋体" w:cs="宋体"/>
          <w:sz w:val="32"/>
          <w:szCs w:val="32"/>
          <w:lang w:val="en-US" w:eastAsia="zh-CN"/>
        </w:rPr>
        <w:t>项目绩效自评综述：根据年初设定的绩效目标，项目绩效自评得分为</w:t>
      </w:r>
      <w:r>
        <w:rPr>
          <w:rFonts w:hint="eastAsia" w:ascii="宋体" w:hAnsi="宋体" w:cs="宋体"/>
          <w:sz w:val="32"/>
          <w:szCs w:val="32"/>
          <w:lang w:val="en-US" w:eastAsia="zh-CN"/>
        </w:rPr>
        <w:t>92</w:t>
      </w:r>
      <w:r>
        <w:rPr>
          <w:rFonts w:hint="eastAsia" w:ascii="宋体" w:hAnsi="宋体" w:eastAsia="宋体" w:cs="宋体"/>
          <w:sz w:val="32"/>
          <w:szCs w:val="32"/>
          <w:lang w:val="en-US" w:eastAsia="zh-CN"/>
        </w:rPr>
        <w:t>分。项目全年预算数为</w:t>
      </w:r>
      <w:r>
        <w:rPr>
          <w:rFonts w:hint="eastAsia" w:ascii="宋体" w:hAnsi="宋体" w:cs="宋体"/>
          <w:sz w:val="32"/>
          <w:szCs w:val="32"/>
          <w:lang w:val="en-US" w:eastAsia="zh-CN"/>
        </w:rPr>
        <w:t>24.4</w:t>
      </w:r>
      <w:r>
        <w:rPr>
          <w:rFonts w:hint="eastAsia" w:ascii="宋体" w:hAnsi="宋体" w:eastAsia="宋体" w:cs="宋体"/>
          <w:sz w:val="32"/>
          <w:szCs w:val="32"/>
          <w:lang w:val="en-US" w:eastAsia="zh-CN"/>
        </w:rPr>
        <w:t>万元，执行数为</w:t>
      </w:r>
      <w:r>
        <w:rPr>
          <w:rFonts w:hint="eastAsia" w:ascii="宋体" w:hAnsi="宋体" w:cs="宋体"/>
          <w:sz w:val="32"/>
          <w:szCs w:val="32"/>
          <w:lang w:val="en-US" w:eastAsia="zh-CN"/>
        </w:rPr>
        <w:t>17.86</w:t>
      </w:r>
      <w:r>
        <w:rPr>
          <w:rFonts w:hint="eastAsia" w:ascii="宋体" w:hAnsi="宋体" w:eastAsia="宋体" w:cs="宋体"/>
          <w:sz w:val="32"/>
          <w:szCs w:val="32"/>
          <w:lang w:val="en-US" w:eastAsia="zh-CN"/>
        </w:rPr>
        <w:t>万元，完成预算的</w:t>
      </w:r>
      <w:r>
        <w:rPr>
          <w:rFonts w:hint="eastAsia" w:ascii="宋体" w:hAnsi="宋体" w:cs="宋体"/>
          <w:sz w:val="32"/>
          <w:szCs w:val="32"/>
          <w:lang w:val="en-US" w:eastAsia="zh-CN"/>
        </w:rPr>
        <w:t>73.2</w:t>
      </w:r>
      <w:r>
        <w:rPr>
          <w:rFonts w:hint="eastAsia" w:ascii="宋体" w:hAnsi="宋体" w:eastAsia="宋体" w:cs="宋体"/>
          <w:sz w:val="32"/>
          <w:szCs w:val="32"/>
          <w:lang w:val="en-US" w:eastAsia="zh-CN"/>
        </w:rPr>
        <w:t>%。项目绩效目标全部完成。发现的主要问题及原因：一是预算执行率偏低；二是绩效指标值设置的不够科学。下一步改进措施：结合绩效目标和年度工作计划，进一步完善年度指标值设定，加强资金统筹。</w:t>
      </w:r>
    </w:p>
    <w:p>
      <w:pPr>
        <w:numPr>
          <w:ilvl w:val="0"/>
          <w:numId w:val="5"/>
        </w:numPr>
        <w:autoSpaceDE w:val="0"/>
        <w:autoSpaceDN w:val="0"/>
        <w:adjustRightInd w:val="0"/>
        <w:spacing w:line="600" w:lineRule="exact"/>
        <w:ind w:firstLine="640" w:firstLineChars="200"/>
        <w:jc w:val="left"/>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部门评价项目绩效评价结果。</w:t>
      </w:r>
    </w:p>
    <w:p>
      <w:pPr>
        <w:pStyle w:val="16"/>
        <w:ind w:firstLine="640"/>
        <w:jc w:val="lef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工商业联合会</w:t>
      </w:r>
      <w:r>
        <w:rPr>
          <w:rFonts w:hint="eastAsia" w:ascii="宋体" w:hAnsi="宋体" w:eastAsia="宋体" w:cs="宋体"/>
          <w:color w:val="000000"/>
          <w:kern w:val="0"/>
          <w:sz w:val="32"/>
          <w:szCs w:val="32"/>
        </w:rPr>
        <w:t>项目绩效评价综合得分</w:t>
      </w:r>
      <w:r>
        <w:rPr>
          <w:rFonts w:hint="eastAsia" w:ascii="宋体" w:hAnsi="宋体" w:eastAsia="宋体" w:cs="宋体"/>
          <w:color w:val="000000"/>
          <w:kern w:val="0"/>
          <w:sz w:val="32"/>
          <w:szCs w:val="32"/>
          <w:lang w:val="en-US" w:eastAsia="zh-CN"/>
        </w:rPr>
        <w:t>92</w:t>
      </w:r>
      <w:r>
        <w:rPr>
          <w:rFonts w:hint="eastAsia" w:ascii="宋体" w:hAnsi="宋体" w:eastAsia="宋体" w:cs="宋体"/>
          <w:color w:val="000000"/>
          <w:kern w:val="0"/>
          <w:sz w:val="32"/>
          <w:szCs w:val="32"/>
        </w:rPr>
        <w:t>分，绩效评价结果为“优</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w:t>
      </w:r>
      <w:r>
        <w:rPr>
          <w:rFonts w:hint="eastAsia" w:ascii="宋体" w:hAnsi="宋体" w:eastAsia="宋体" w:cs="宋体"/>
          <w:color w:val="000000"/>
          <w:kern w:val="0"/>
          <w:sz w:val="32"/>
          <w:szCs w:val="32"/>
          <w:lang w:eastAsia="zh-CN"/>
        </w:rPr>
        <w:t>绩</w:t>
      </w:r>
      <w:r>
        <w:rPr>
          <w:rFonts w:hint="eastAsia" w:ascii="宋体" w:hAnsi="宋体" w:eastAsia="宋体" w:cs="宋体"/>
          <w:color w:val="000000"/>
          <w:kern w:val="0"/>
          <w:sz w:val="32"/>
          <w:szCs w:val="32"/>
        </w:rPr>
        <w:t>效评价报告详见附件</w:t>
      </w:r>
      <w:r>
        <w:rPr>
          <w:rFonts w:hint="eastAsia" w:ascii="宋体" w:hAnsi="宋体" w:eastAsia="宋体" w:cs="宋体"/>
          <w:color w:val="000000"/>
          <w:kern w:val="0"/>
          <w:sz w:val="32"/>
          <w:szCs w:val="32"/>
          <w:lang w:eastAsia="zh-CN"/>
        </w:rPr>
        <w:t>。</w:t>
      </w:r>
    </w:p>
    <w:p>
      <w:pPr>
        <w:pStyle w:val="16"/>
        <w:shd w:val="clear"/>
        <w:spacing w:line="360" w:lineRule="auto"/>
        <w:jc w:val="both"/>
        <w:rPr>
          <w:rFonts w:hint="eastAsia" w:ascii="宋体" w:hAnsi="宋体" w:cs="宋体"/>
          <w:color w:val="000000"/>
          <w:kern w:val="0"/>
          <w:sz w:val="32"/>
          <w:szCs w:val="32"/>
          <w:lang w:eastAsia="zh-CN"/>
        </w:rPr>
      </w:pPr>
      <w:r>
        <w:rPr>
          <w:rFonts w:hint="eastAsia" w:hAnsi="黑体"/>
          <w:b/>
          <w:sz w:val="32"/>
          <w:szCs w:val="32"/>
          <w:lang w:eastAsia="zh-CN"/>
        </w:rPr>
        <w:t>十四、国有资本经营预算财政拨款支出决算情况</w:t>
      </w:r>
    </w:p>
    <w:p>
      <w:pPr>
        <w:shd w:val="clear"/>
        <w:autoSpaceDE w:val="0"/>
        <w:autoSpaceDN w:val="0"/>
        <w:adjustRightInd w:val="0"/>
        <w:spacing w:line="360" w:lineRule="auto"/>
        <w:ind w:firstLine="640" w:firstLineChars="200"/>
        <w:jc w:val="left"/>
        <w:rPr>
          <w:rFonts w:hint="eastAsia" w:ascii="宋体" w:hAnsi="宋体" w:cs="宋体"/>
          <w:color w:val="000000"/>
          <w:kern w:val="0"/>
          <w:sz w:val="32"/>
          <w:szCs w:val="32"/>
        </w:rPr>
      </w:pPr>
      <w:r>
        <w:rPr>
          <w:rFonts w:hint="eastAsia" w:ascii="宋体" w:hAnsi="宋体" w:cs="宋体"/>
          <w:color w:val="000000"/>
          <w:kern w:val="0"/>
          <w:sz w:val="32"/>
          <w:szCs w:val="32"/>
          <w:lang w:eastAsia="zh-CN"/>
        </w:rPr>
        <w:t>2021年度国有资本经营预算财政拨款支出0万元，其中基本支出0万元，项目支出0万元。</w:t>
      </w:r>
    </w:p>
    <w:p>
      <w:pPr>
        <w:pStyle w:val="16"/>
        <w:ind w:firstLine="640"/>
        <w:jc w:val="left"/>
        <w:rPr>
          <w:rFonts w:hint="eastAsia" w:ascii="宋体" w:hAnsi="宋体" w:eastAsia="宋体" w:cs="宋体"/>
          <w:color w:val="000000"/>
          <w:kern w:val="0"/>
          <w:sz w:val="32"/>
          <w:szCs w:val="32"/>
          <w:lang w:eastAsia="zh-CN"/>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both"/>
        <w:rPr>
          <w:rFonts w:hint="eastAsia"/>
          <w:sz w:val="72"/>
          <w:szCs w:val="72"/>
        </w:rPr>
      </w:pPr>
    </w:p>
    <w:p>
      <w:pPr>
        <w:pStyle w:val="16"/>
        <w:jc w:val="center"/>
        <w:rPr>
          <w:rFonts w:hint="eastAsia"/>
          <w:sz w:val="72"/>
          <w:szCs w:val="72"/>
        </w:rPr>
      </w:pPr>
    </w:p>
    <w:p>
      <w:pPr>
        <w:pStyle w:val="16"/>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pStyle w:val="2"/>
        <w:rPr>
          <w:rFonts w:ascii="宋体" w:hAnsi="宋体"/>
          <w:color w:val="333333"/>
          <w:kern w:val="0"/>
          <w:sz w:val="32"/>
          <w:szCs w:val="32"/>
          <w:shd w:val="clear" w:color="auto" w:fill="FFFFFF"/>
        </w:rPr>
      </w:pP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w:t>
      </w:r>
      <w:r>
        <w:rPr>
          <w:rFonts w:hint="eastAsia" w:ascii="宋体" w:hAnsi="宋体"/>
          <w:color w:val="333333"/>
          <w:kern w:val="0"/>
          <w:sz w:val="32"/>
          <w:szCs w:val="32"/>
          <w:shd w:val="clear" w:color="auto" w:fill="FFFFFF"/>
        </w:rPr>
        <w:t>财政拨款收入：指市级财政当年拨付的资金。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2.</w:t>
      </w:r>
      <w:r>
        <w:rPr>
          <w:rFonts w:hint="eastAsia" w:ascii="宋体" w:hAnsi="宋体"/>
          <w:color w:val="333333"/>
          <w:kern w:val="0"/>
          <w:sz w:val="32"/>
          <w:szCs w:val="32"/>
          <w:shd w:val="clear" w:color="auto" w:fill="FFFFFF"/>
        </w:rPr>
        <w:t>上级补助收入：指单位从主管部门和上级单位取得的非财政性补助收入。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3.</w:t>
      </w:r>
      <w:r>
        <w:rPr>
          <w:rFonts w:hint="eastAsia" w:ascii="宋体" w:hAnsi="宋体"/>
          <w:color w:val="333333"/>
          <w:kern w:val="0"/>
          <w:sz w:val="32"/>
          <w:szCs w:val="32"/>
          <w:shd w:val="clear" w:color="auto" w:fill="FFFFFF"/>
        </w:rPr>
        <w:t>事业收入：指事业单位开展专业业务活动及辅助活动所取得的收入。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4.</w:t>
      </w:r>
      <w:r>
        <w:rPr>
          <w:rFonts w:hint="eastAsia" w:ascii="宋体" w:hAnsi="宋体"/>
          <w:color w:val="333333"/>
          <w:kern w:val="0"/>
          <w:sz w:val="32"/>
          <w:szCs w:val="32"/>
          <w:shd w:val="clear" w:color="auto" w:fill="FFFFFF"/>
        </w:rPr>
        <w:t>经营收入：指事业单位在专业业务活动及辅助活动之外开展非独立核算经营活动取得的收入。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5.</w:t>
      </w:r>
      <w:r>
        <w:rPr>
          <w:rFonts w:hint="eastAsia" w:ascii="宋体" w:hAnsi="宋体"/>
          <w:color w:val="333333"/>
          <w:kern w:val="0"/>
          <w:sz w:val="32"/>
          <w:szCs w:val="32"/>
          <w:shd w:val="clear" w:color="auto" w:fill="FFFFFF"/>
        </w:rPr>
        <w:t>附属单位上缴收入：指单位附属的独立核算单位按照上缴的收入。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6.</w:t>
      </w:r>
      <w:r>
        <w:rPr>
          <w:rFonts w:hint="eastAsia" w:ascii="宋体" w:hAnsi="宋体"/>
          <w:color w:val="333333"/>
          <w:kern w:val="0"/>
          <w:sz w:val="32"/>
          <w:szCs w:val="32"/>
          <w:shd w:val="clear" w:color="auto" w:fill="FFFFFF"/>
        </w:rPr>
        <w:t>其他收入：指除上述“财政拨款收入”、“上级补助收入”、“事业收入”、“经营收入”、“附属单位上缴收入”等以外的收入。</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7.</w:t>
      </w:r>
      <w:r>
        <w:rPr>
          <w:rFonts w:hint="eastAsia" w:ascii="宋体" w:hAnsi="宋体"/>
          <w:color w:val="333333"/>
          <w:kern w:val="0"/>
          <w:sz w:val="32"/>
          <w:szCs w:val="32"/>
          <w:shd w:val="clear" w:color="auto" w:fill="FFFFFF"/>
        </w:rPr>
        <w:t>用事业基金弥补收支差额：指事业单位在当年的“财政拨款收入”、“财政拨款结转和结余资金”、“上级补助收入”、“事业收入”、“经营收入”、“附属单位上缴收入”、“其他收入”不足以安排当年支出情况下，使用以前年度积累的使用基金（事业单位当年收支相抵后按国家规定提取、用于弥补以后年度收支差额的基金）弥补本年度收支缺口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8.</w:t>
      </w:r>
      <w:r>
        <w:rPr>
          <w:rFonts w:hint="eastAsia" w:ascii="宋体" w:hAnsi="宋体"/>
          <w:color w:val="333333"/>
          <w:kern w:val="0"/>
          <w:sz w:val="32"/>
          <w:szCs w:val="32"/>
          <w:shd w:val="clear" w:color="auto" w:fill="FFFFFF"/>
        </w:rPr>
        <w:t>上年结转和结余：指以前年度尚未完成、结转到本年按有关规定继续使用的资金。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9.</w:t>
      </w:r>
      <w:r>
        <w:rPr>
          <w:rFonts w:hint="eastAsia" w:ascii="宋体" w:hAnsi="宋体"/>
          <w:color w:val="333333"/>
          <w:kern w:val="0"/>
          <w:sz w:val="32"/>
          <w:szCs w:val="32"/>
          <w:shd w:val="clear" w:color="auto" w:fill="FFFFFF"/>
        </w:rPr>
        <w:t>结余分配：指事业单位按规定对非财政补助结余资金提取的职工福利基金、事业基金和缴纳的所得税，以及减少单位按规定应缴回的基本建设竣工项目结余资金。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10.</w:t>
      </w:r>
      <w:r>
        <w:rPr>
          <w:rFonts w:hint="eastAsia" w:ascii="宋体" w:hAnsi="宋体"/>
          <w:color w:val="333333"/>
          <w:kern w:val="0"/>
          <w:sz w:val="32"/>
          <w:szCs w:val="32"/>
          <w:shd w:val="clear" w:color="auto" w:fill="FFFFFF"/>
        </w:rPr>
        <w:t>年末结转和结余资金：指本年度或以前年度预算安排、因客观条件发生变化无法按原计划实施，需要延迟到以后年度按有关规定继续使用的资金。</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11.</w:t>
      </w:r>
      <w:r>
        <w:rPr>
          <w:rFonts w:hint="eastAsia" w:ascii="宋体" w:hAnsi="宋体"/>
          <w:color w:val="333333"/>
          <w:kern w:val="0"/>
          <w:sz w:val="32"/>
          <w:szCs w:val="32"/>
          <w:shd w:val="clear" w:color="auto" w:fill="FFFFFF"/>
        </w:rPr>
        <w:t>基本支出：指保障机构正常运转、完成支日常工作任务而发生的人员支出和公用支出。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12.</w:t>
      </w:r>
      <w:r>
        <w:rPr>
          <w:rFonts w:hint="eastAsia" w:ascii="宋体" w:hAnsi="宋体"/>
          <w:color w:val="333333"/>
          <w:kern w:val="0"/>
          <w:sz w:val="32"/>
          <w:szCs w:val="32"/>
          <w:shd w:val="clear" w:color="auto" w:fill="FFFFFF"/>
        </w:rPr>
        <w:t>项目支出：指在基本支出之外为完成特定行政任务和事业发展目标所发生的支出。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13.</w:t>
      </w:r>
      <w:r>
        <w:rPr>
          <w:rFonts w:hint="eastAsia" w:ascii="宋体" w:hAnsi="宋体"/>
          <w:color w:val="333333"/>
          <w:kern w:val="0"/>
          <w:sz w:val="32"/>
          <w:szCs w:val="32"/>
          <w:shd w:val="clear" w:color="auto" w:fill="FFFFFF"/>
        </w:rPr>
        <w:t>经营支出：指事业单位在专业业务活动及其辅助活动之外开展非独立核算经营活动发生的支出。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14</w:t>
      </w:r>
      <w:r>
        <w:rPr>
          <w:rFonts w:hint="eastAsia" w:ascii="宋体" w:hAnsi="宋体"/>
          <w:color w:val="333333"/>
          <w:kern w:val="0"/>
          <w:sz w:val="32"/>
          <w:szCs w:val="32"/>
          <w:shd w:val="clear" w:color="auto" w:fill="FFFFFF"/>
        </w:rPr>
        <w:t>、上缴上级支出：指事业单位按照财政部门和主管部门的规定上缴上级单位的支出。（可结合部门实际支出情况举例说明）</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15</w:t>
      </w:r>
      <w:r>
        <w:rPr>
          <w:rFonts w:hint="eastAsia" w:ascii="宋体" w:hAnsi="宋体"/>
          <w:color w:val="333333"/>
          <w:kern w:val="0"/>
          <w:sz w:val="32"/>
          <w:szCs w:val="32"/>
          <w:shd w:val="clear" w:color="auto" w:fill="FFFFFF"/>
        </w:rPr>
        <w:t>、对附属单位补助支出：指事业单位用财政补助收入之外的收入对附属单位补助发生的支出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16.</w:t>
      </w:r>
      <w:r>
        <w:rPr>
          <w:rFonts w:hint="eastAsia" w:ascii="宋体" w:hAnsi="宋体"/>
          <w:color w:val="333333"/>
          <w:kern w:val="0"/>
          <w:sz w:val="32"/>
          <w:szCs w:val="32"/>
          <w:shd w:val="clear" w:color="auto" w:fill="FFFFFF"/>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600" w:lineRule="exact"/>
        <w:ind w:firstLine="703"/>
        <w:jc w:val="left"/>
        <w:rPr>
          <w:rFonts w:ascii="宋体"/>
          <w:color w:val="333333"/>
          <w:kern w:val="0"/>
          <w:sz w:val="32"/>
          <w:szCs w:val="32"/>
          <w:shd w:val="clear" w:color="auto" w:fill="FFFFFF"/>
        </w:rPr>
      </w:pPr>
      <w:r>
        <w:rPr>
          <w:rFonts w:ascii="宋体" w:hAnsi="宋体"/>
          <w:color w:val="333333"/>
          <w:kern w:val="0"/>
          <w:sz w:val="32"/>
          <w:szCs w:val="32"/>
          <w:shd w:val="clear" w:color="auto" w:fill="FFFFFF"/>
        </w:rPr>
        <w:t>17.</w:t>
      </w:r>
      <w:r>
        <w:rPr>
          <w:rFonts w:hint="eastAsia" w:ascii="宋体" w:hAnsi="宋体"/>
          <w:color w:val="333333"/>
          <w:kern w:val="0"/>
          <w:sz w:val="32"/>
          <w:szCs w:val="32"/>
          <w:shd w:val="clear" w:color="auto" w:fill="FFFFFF"/>
        </w:rPr>
        <w:t>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spacing w:line="600" w:lineRule="exact"/>
        <w:ind w:firstLine="640" w:firstLineChars="200"/>
        <w:rPr>
          <w:rFonts w:ascii="宋体"/>
          <w:sz w:val="32"/>
          <w:szCs w:val="32"/>
        </w:rPr>
      </w:pPr>
      <w:r>
        <w:rPr>
          <w:rFonts w:ascii="宋体" w:hAnsi="宋体"/>
          <w:sz w:val="32"/>
          <w:szCs w:val="32"/>
        </w:rPr>
        <w:t>18.</w:t>
      </w:r>
      <w:r>
        <w:rPr>
          <w:rFonts w:hint="eastAsia" w:ascii="宋体" w:hAnsi="宋体"/>
          <w:sz w:val="32"/>
          <w:szCs w:val="32"/>
        </w:rPr>
        <w:t>政府采购</w:t>
      </w:r>
      <w:r>
        <w:rPr>
          <w:rFonts w:ascii="宋体" w:hAnsi="宋体"/>
          <w:sz w:val="32"/>
          <w:szCs w:val="32"/>
        </w:rPr>
        <w:t xml:space="preserve"> </w:t>
      </w:r>
      <w:r>
        <w:rPr>
          <w:rFonts w:hint="eastAsia" w:ascii="宋体" w:hAnsi="宋体"/>
          <w:sz w:val="32"/>
          <w:szCs w:val="32"/>
        </w:rPr>
        <w:t>：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rFonts w:hint="eastAsia"/>
          <w:sz w:val="72"/>
          <w:szCs w:val="72"/>
        </w:rPr>
      </w:pPr>
    </w:p>
    <w:p>
      <w:pPr>
        <w:pStyle w:val="16"/>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pStyle w:val="2"/>
        <w:rPr>
          <w:rFonts w:hint="eastAsia" w:ascii="黑体" w:eastAsia="黑体" w:cs="黑体"/>
          <w:color w:val="000000"/>
          <w:kern w:val="0"/>
          <w:sz w:val="70"/>
          <w:szCs w:val="70"/>
        </w:rPr>
      </w:pPr>
    </w:p>
    <w:p>
      <w:p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jc w:val="center"/>
        <w:rPr>
          <w:rFonts w:hint="eastAsia" w:ascii="仿宋" w:hAnsi="仿宋" w:eastAsia="仿宋" w:cs="仿宋"/>
          <w:b/>
          <w:color w:val="000000"/>
          <w:kern w:val="0"/>
          <w:sz w:val="44"/>
          <w:szCs w:val="44"/>
        </w:rPr>
      </w:pPr>
      <w:r>
        <w:rPr>
          <w:rFonts w:hint="eastAsia" w:ascii="仿宋" w:hAnsi="仿宋" w:eastAsia="仿宋" w:cs="仿宋"/>
          <w:b/>
          <w:color w:val="000000"/>
          <w:kern w:val="0"/>
          <w:sz w:val="44"/>
          <w:szCs w:val="44"/>
        </w:rPr>
        <w:t>2021年度部门整体支出绩效评价报告</w:t>
      </w:r>
    </w:p>
    <w:p>
      <w:pPr>
        <w:pStyle w:val="2"/>
        <w:keepNext w:val="0"/>
        <w:keepLines w:val="0"/>
        <w:pageBreakBefore w:val="0"/>
        <w:kinsoku/>
        <w:wordWrap/>
        <w:overflowPunct/>
        <w:topLinePunct w:val="0"/>
        <w:autoSpaceDE/>
        <w:autoSpaceDN/>
        <w:bidi w:val="0"/>
        <w:adjustRightInd/>
        <w:spacing w:line="600" w:lineRule="exact"/>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2"/>
          <w:szCs w:val="32"/>
          <w:lang w:eastAsia="zh-CN"/>
        </w:rPr>
        <w:t>为加强预算绩效管理，强化预算支出绩效责任，提高财政资金使用效益，根据《中共湖南省委办公厅湖南省人民政府办公厅关于全面实施预算绩效管理的实施意见》（湘办发[2019]10号）、《会同县财政局关于开展2021年度本级财政资金绩效自评工作的通知》（会财绩[2022］11号），2021年度，会同县工商联坚持以执行预算为中心，以节约费用为重点，抓好单位财务管理工作，现就2021年整体、项目支出绩效自评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3"/>
        <w:jc w:val="both"/>
        <w:textAlignment w:val="baseline"/>
        <w:rPr>
          <w:rStyle w:val="20"/>
          <w:rFonts w:hint="eastAsia" w:ascii="仿宋" w:hAnsi="仿宋" w:eastAsia="仿宋" w:cs="仿宋"/>
          <w:b/>
          <w:bCs/>
          <w:i w:val="0"/>
          <w:caps w:val="0"/>
          <w:spacing w:val="0"/>
          <w:w w:val="100"/>
          <w:kern w:val="2"/>
          <w:sz w:val="32"/>
          <w:szCs w:val="32"/>
          <w:lang w:val="en-US" w:eastAsia="zh-CN" w:bidi="ar-SA"/>
        </w:rPr>
      </w:pPr>
      <w:r>
        <w:rPr>
          <w:rStyle w:val="20"/>
          <w:rFonts w:hint="eastAsia" w:ascii="仿宋" w:hAnsi="仿宋" w:eastAsia="仿宋" w:cs="仿宋"/>
          <w:b/>
          <w:bCs/>
          <w:i w:val="0"/>
          <w:caps w:val="0"/>
          <w:spacing w:val="0"/>
          <w:w w:val="100"/>
          <w:kern w:val="2"/>
          <w:sz w:val="32"/>
          <w:szCs w:val="32"/>
          <w:lang w:val="en-US" w:eastAsia="zh-CN" w:bidi="ar-SA"/>
        </w:rPr>
        <w:t>一、县工商联的主要职责、工作任务及目标</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主要职责：</w:t>
      </w:r>
      <w:r>
        <w:rPr>
          <w:rStyle w:val="20"/>
          <w:rFonts w:hint="eastAsia" w:ascii="仿宋" w:hAnsi="仿宋" w:eastAsia="仿宋" w:cs="仿宋"/>
          <w:b w:val="0"/>
          <w:i w:val="0"/>
          <w:caps w:val="0"/>
          <w:color w:val="000000"/>
          <w:spacing w:val="0"/>
          <w:w w:val="100"/>
          <w:kern w:val="0"/>
          <w:sz w:val="32"/>
          <w:szCs w:val="32"/>
          <w:lang w:val="en-US" w:eastAsia="zh-CN" w:bidi="ar-SA"/>
        </w:rPr>
        <w:t>促进本县非公有制经济健康发展，促进非公有制经济人士健康成长，加强商会自身建设。</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bCs/>
          <w:i w:val="0"/>
          <w:caps w:val="0"/>
          <w:color w:val="333333"/>
          <w:spacing w:val="0"/>
          <w:w w:val="100"/>
          <w:kern w:val="2"/>
          <w:sz w:val="32"/>
          <w:szCs w:val="32"/>
          <w:lang w:val="en-US" w:eastAsia="zh-CN" w:bidi="ar-SA"/>
        </w:rPr>
        <w:t>主要工作任务及目标是</w:t>
      </w:r>
      <w:r>
        <w:rPr>
          <w:rStyle w:val="20"/>
          <w:rFonts w:hint="eastAsia" w:ascii="仿宋" w:hAnsi="仿宋" w:eastAsia="仿宋" w:cs="仿宋"/>
          <w:b w:val="0"/>
          <w:i w:val="0"/>
          <w:caps w:val="0"/>
          <w:color w:val="333333"/>
          <w:spacing w:val="0"/>
          <w:w w:val="100"/>
          <w:kern w:val="2"/>
          <w:sz w:val="32"/>
          <w:szCs w:val="32"/>
          <w:lang w:val="en-US" w:eastAsia="zh-CN" w:bidi="ar-SA"/>
        </w:rPr>
        <w:t>：加强</w:t>
      </w:r>
      <w:r>
        <w:rPr>
          <w:rStyle w:val="20"/>
          <w:rFonts w:hint="eastAsia" w:ascii="仿宋" w:hAnsi="仿宋" w:eastAsia="仿宋" w:cs="仿宋"/>
          <w:b w:val="0"/>
          <w:i w:val="0"/>
          <w:caps w:val="0"/>
          <w:spacing w:val="0"/>
          <w:w w:val="100"/>
          <w:kern w:val="2"/>
          <w:sz w:val="32"/>
          <w:szCs w:val="32"/>
          <w:lang w:val="en-US" w:eastAsia="zh-CN" w:bidi="ar-SA"/>
        </w:rPr>
        <w:t>和改进非公有制经济人士思想政治工作；参与政治协商，发挥民主监督作用，积极参政议政；协助政府管理和服务非公有制经济，为非公有制企业提供信息、法律、融资、技术、人才等方面服务；促进行业协会商会改革；参与协调劳动关系，促进社会和谐稳定；代表并维护会员的合法权益，反映会员的意见、要求和建议，参与经济纠纷的调解。</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20"/>
          <w:rFonts w:hint="eastAsia" w:ascii="仿宋" w:hAnsi="仿宋" w:eastAsia="仿宋" w:cs="仿宋"/>
          <w:b w:val="0"/>
          <w:i w:val="0"/>
          <w:caps w:val="0"/>
          <w:color w:val="333333"/>
          <w:spacing w:val="0"/>
          <w:w w:val="100"/>
          <w:kern w:val="2"/>
          <w:sz w:val="32"/>
          <w:szCs w:val="32"/>
          <w:lang w:val="en-US" w:eastAsia="zh-CN" w:bidi="ar-SA"/>
        </w:rPr>
      </w:pPr>
      <w:r>
        <w:rPr>
          <w:rStyle w:val="20"/>
          <w:rFonts w:hint="eastAsia" w:ascii="仿宋" w:hAnsi="仿宋" w:eastAsia="仿宋" w:cs="仿宋"/>
          <w:b/>
          <w:bCs/>
          <w:i w:val="0"/>
          <w:caps w:val="0"/>
          <w:color w:val="333333"/>
          <w:spacing w:val="0"/>
          <w:w w:val="100"/>
          <w:kern w:val="2"/>
          <w:sz w:val="32"/>
          <w:szCs w:val="32"/>
          <w:lang w:val="en-US" w:eastAsia="zh-CN" w:bidi="ar-SA"/>
        </w:rPr>
        <w:t>二、基本情况</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现有行政编制4个，后勤服务编制1个，事业编制1个，实有在职人数6人，</w:t>
      </w:r>
      <w:r>
        <w:rPr>
          <w:rStyle w:val="20"/>
          <w:rFonts w:hint="eastAsia" w:ascii="仿宋" w:hAnsi="仿宋" w:eastAsia="仿宋" w:cs="仿宋"/>
          <w:b w:val="0"/>
          <w:i w:val="0"/>
          <w:caps w:val="0"/>
          <w:color w:val="333333"/>
          <w:spacing w:val="0"/>
          <w:w w:val="100"/>
          <w:kern w:val="2"/>
          <w:sz w:val="32"/>
          <w:szCs w:val="32"/>
          <w:lang w:val="en-US" w:eastAsia="zh-CN" w:bidi="ar-SA"/>
        </w:rPr>
        <w:t>实有在职人数与编制数相符。</w:t>
      </w:r>
      <w:r>
        <w:rPr>
          <w:rStyle w:val="20"/>
          <w:rFonts w:hint="eastAsia" w:ascii="仿宋" w:hAnsi="仿宋" w:eastAsia="仿宋" w:cs="仿宋"/>
          <w:b w:val="0"/>
          <w:i w:val="0"/>
          <w:caps w:val="0"/>
          <w:spacing w:val="0"/>
          <w:w w:val="100"/>
          <w:kern w:val="2"/>
          <w:sz w:val="32"/>
          <w:szCs w:val="32"/>
          <w:lang w:val="en-US" w:eastAsia="zh-CN" w:bidi="ar-SA"/>
        </w:rPr>
        <w:t>全额拨款8人（其中2人为提前退休人员）。退休人员3人，遗属2人。</w:t>
      </w:r>
      <w:r>
        <w:rPr>
          <w:rStyle w:val="20"/>
          <w:rFonts w:hint="eastAsia" w:ascii="仿宋" w:hAnsi="仿宋" w:eastAsia="仿宋" w:cs="仿宋"/>
          <w:b w:val="0"/>
          <w:i w:val="0"/>
          <w:caps w:val="0"/>
          <w:color w:val="000000"/>
          <w:spacing w:val="0"/>
          <w:w w:val="100"/>
          <w:kern w:val="0"/>
          <w:sz w:val="32"/>
          <w:szCs w:val="32"/>
          <w:lang w:val="en-US" w:eastAsia="zh-CN" w:bidi="ar-SA"/>
        </w:rPr>
        <w:t>有基层商会13个，</w:t>
      </w:r>
      <w:r>
        <w:rPr>
          <w:rStyle w:val="20"/>
          <w:rFonts w:hint="eastAsia" w:ascii="仿宋" w:hAnsi="仿宋" w:eastAsia="仿宋" w:cs="仿宋"/>
          <w:b w:val="0"/>
          <w:i w:val="0"/>
          <w:caps w:val="0"/>
          <w:spacing w:val="0"/>
          <w:w w:val="100"/>
          <w:kern w:val="2"/>
          <w:sz w:val="32"/>
          <w:szCs w:val="32"/>
          <w:lang w:val="en-US" w:eastAsia="zh-CN" w:bidi="ar-SA"/>
        </w:rPr>
        <w:t>其中有乡镇商会4个，即沙溪、团河、堡子、马鞍基层商会；有行业商会4个，即酒业、竹木、医药、旅馆业行业商会；有市场商会5个，即城东商会、帐子塘商贸城商会、改河街商会、东门阁商会、西区商会；异地商会2个，即广东省湖南会同商会和会同县宝庆商会。</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本部门车辆1台</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三、年初预算安排情况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color w:val="000000"/>
          <w:spacing w:val="0"/>
          <w:w w:val="100"/>
          <w:kern w:val="0"/>
          <w:sz w:val="32"/>
          <w:szCs w:val="32"/>
          <w:highlight w:val="none"/>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县本级安排县工商联预算收入108.50万元，其中工资福利性支出为69.9</w:t>
      </w:r>
      <w:r>
        <w:rPr>
          <w:rStyle w:val="20"/>
          <w:rFonts w:hint="eastAsia" w:ascii="仿宋" w:hAnsi="仿宋" w:eastAsia="仿宋" w:cs="仿宋"/>
          <w:b w:val="0"/>
          <w:i w:val="0"/>
          <w:caps w:val="0"/>
          <w:spacing w:val="0"/>
          <w:w w:val="100"/>
          <w:kern w:val="2"/>
          <w:sz w:val="32"/>
          <w:szCs w:val="32"/>
          <w:highlight w:val="none"/>
          <w:lang w:val="en-US" w:eastAsia="zh-CN" w:bidi="ar-SA"/>
        </w:rPr>
        <w:t>万，占预算收入64.42%；一般商品服务支出12.60</w:t>
      </w:r>
      <w:r>
        <w:rPr>
          <w:rStyle w:val="20"/>
          <w:rFonts w:hint="eastAsia" w:ascii="仿宋" w:hAnsi="仿宋" w:eastAsia="仿宋" w:cs="仿宋"/>
          <w:b w:val="0"/>
          <w:i w:val="0"/>
          <w:caps w:val="0"/>
          <w:spacing w:val="0"/>
          <w:w w:val="100"/>
          <w:kern w:val="2"/>
          <w:sz w:val="32"/>
          <w:szCs w:val="32"/>
          <w:lang w:val="en-US" w:eastAsia="zh-CN" w:bidi="ar-SA"/>
        </w:rPr>
        <w:t>万元</w:t>
      </w:r>
      <w:r>
        <w:rPr>
          <w:rStyle w:val="20"/>
          <w:rFonts w:hint="eastAsia" w:ascii="仿宋" w:hAnsi="仿宋" w:eastAsia="仿宋" w:cs="仿宋"/>
          <w:b w:val="0"/>
          <w:i w:val="0"/>
          <w:caps w:val="0"/>
          <w:spacing w:val="0"/>
          <w:w w:val="100"/>
          <w:kern w:val="2"/>
          <w:sz w:val="32"/>
          <w:szCs w:val="32"/>
          <w:highlight w:val="none"/>
          <w:lang w:val="en-US" w:eastAsia="zh-CN" w:bidi="ar-SA"/>
        </w:rPr>
        <w:t>，占预算收入11.61%;对个人和家庭的补助1.6</w:t>
      </w:r>
      <w:r>
        <w:rPr>
          <w:rStyle w:val="20"/>
          <w:rFonts w:hint="eastAsia" w:ascii="仿宋" w:hAnsi="仿宋" w:eastAsia="仿宋" w:cs="仿宋"/>
          <w:b w:val="0"/>
          <w:i w:val="0"/>
          <w:caps w:val="0"/>
          <w:spacing w:val="0"/>
          <w:w w:val="100"/>
          <w:kern w:val="2"/>
          <w:sz w:val="32"/>
          <w:szCs w:val="32"/>
          <w:lang w:val="en-US" w:eastAsia="zh-CN" w:bidi="ar-SA"/>
        </w:rPr>
        <w:t>万元</w:t>
      </w:r>
      <w:r>
        <w:rPr>
          <w:rStyle w:val="20"/>
          <w:rFonts w:hint="eastAsia" w:ascii="仿宋" w:hAnsi="仿宋" w:eastAsia="仿宋" w:cs="仿宋"/>
          <w:b w:val="0"/>
          <w:i w:val="0"/>
          <w:caps w:val="0"/>
          <w:spacing w:val="0"/>
          <w:w w:val="100"/>
          <w:kern w:val="2"/>
          <w:sz w:val="32"/>
          <w:szCs w:val="32"/>
          <w:highlight w:val="none"/>
          <w:lang w:val="en-US" w:eastAsia="zh-CN" w:bidi="ar-SA"/>
        </w:rPr>
        <w:t>，占预算收入1.48%；项目支出24.40万，占预算收入22.49%（其中</w:t>
      </w:r>
      <w:r>
        <w:rPr>
          <w:rStyle w:val="20"/>
          <w:rFonts w:hint="eastAsia" w:ascii="仿宋" w:hAnsi="仿宋" w:eastAsia="仿宋" w:cs="仿宋"/>
          <w:b w:val="0"/>
          <w:i w:val="0"/>
          <w:caps w:val="0"/>
          <w:color w:val="000000"/>
          <w:spacing w:val="0"/>
          <w:w w:val="100"/>
          <w:kern w:val="0"/>
          <w:sz w:val="32"/>
          <w:szCs w:val="32"/>
          <w:highlight w:val="none"/>
          <w:lang w:val="en-US" w:eastAsia="zh-CN" w:bidi="ar-SA"/>
        </w:rPr>
        <w:t>1.</w:t>
      </w:r>
      <w:r>
        <w:rPr>
          <w:rStyle w:val="20"/>
          <w:rFonts w:hint="eastAsia" w:ascii="仿宋" w:hAnsi="仿宋" w:eastAsia="仿宋" w:cs="仿宋"/>
          <w:b w:val="0"/>
          <w:i w:val="0"/>
          <w:caps w:val="0"/>
          <w:spacing w:val="0"/>
          <w:w w:val="100"/>
          <w:kern w:val="2"/>
          <w:sz w:val="32"/>
          <w:szCs w:val="32"/>
          <w:highlight w:val="none"/>
          <w:lang w:val="en-US" w:eastAsia="zh-CN" w:bidi="ar-SA"/>
        </w:rPr>
        <w:t>基层商会专项经费项目财政预算14万元、</w:t>
      </w:r>
      <w:r>
        <w:rPr>
          <w:rStyle w:val="20"/>
          <w:rFonts w:hint="eastAsia" w:ascii="仿宋" w:hAnsi="仿宋" w:eastAsia="仿宋" w:cs="仿宋"/>
          <w:b w:val="0"/>
          <w:i w:val="0"/>
          <w:caps w:val="0"/>
          <w:color w:val="000000"/>
          <w:spacing w:val="0"/>
          <w:w w:val="100"/>
          <w:kern w:val="0"/>
          <w:sz w:val="32"/>
          <w:szCs w:val="32"/>
          <w:highlight w:val="none"/>
          <w:lang w:val="en-US" w:eastAsia="zh-CN" w:bidi="ar-SA"/>
        </w:rPr>
        <w:t>2.</w:t>
      </w:r>
      <w:r>
        <w:rPr>
          <w:rStyle w:val="20"/>
          <w:rFonts w:hint="eastAsia" w:ascii="仿宋" w:hAnsi="仿宋" w:eastAsia="仿宋" w:cs="仿宋"/>
          <w:b w:val="0"/>
          <w:i w:val="0"/>
          <w:caps w:val="0"/>
          <w:spacing w:val="0"/>
          <w:w w:val="100"/>
          <w:kern w:val="2"/>
          <w:sz w:val="32"/>
          <w:szCs w:val="32"/>
          <w:highlight w:val="none"/>
          <w:lang w:val="en-US" w:eastAsia="zh-CN" w:bidi="ar-SA"/>
        </w:rPr>
        <w:t>非公党建项目财政预算4万元、3.光彩事业项目财政预算2.40万元、</w:t>
      </w:r>
      <w:r>
        <w:rPr>
          <w:rStyle w:val="20"/>
          <w:rFonts w:hint="eastAsia" w:ascii="仿宋" w:hAnsi="仿宋" w:eastAsia="仿宋" w:cs="仿宋"/>
          <w:b w:val="0"/>
          <w:i w:val="0"/>
          <w:caps w:val="0"/>
          <w:color w:val="000000"/>
          <w:spacing w:val="0"/>
          <w:w w:val="100"/>
          <w:kern w:val="0"/>
          <w:sz w:val="32"/>
          <w:szCs w:val="32"/>
          <w:highlight w:val="none"/>
          <w:lang w:val="en-US" w:eastAsia="zh-CN" w:bidi="ar-SA"/>
        </w:rPr>
        <w:t>4.</w:t>
      </w:r>
      <w:r>
        <w:rPr>
          <w:rStyle w:val="20"/>
          <w:rFonts w:hint="eastAsia" w:ascii="仿宋" w:hAnsi="仿宋" w:eastAsia="仿宋" w:cs="仿宋"/>
          <w:b w:val="0"/>
          <w:i w:val="0"/>
          <w:caps w:val="0"/>
          <w:spacing w:val="0"/>
          <w:w w:val="100"/>
          <w:kern w:val="2"/>
          <w:sz w:val="32"/>
          <w:szCs w:val="32"/>
          <w:highlight w:val="none"/>
          <w:lang w:val="en-US" w:eastAsia="zh-CN" w:bidi="ar-SA"/>
        </w:rPr>
        <w:t>教育培训项目财政预算1.6万元、5.商会建设项目经费支出2.4万元）。</w:t>
      </w:r>
      <w:r>
        <w:rPr>
          <w:rStyle w:val="20"/>
          <w:rFonts w:hint="eastAsia" w:ascii="仿宋" w:hAnsi="仿宋" w:eastAsia="仿宋" w:cs="仿宋"/>
          <w:b w:val="0"/>
          <w:i w:val="0"/>
          <w:caps w:val="0"/>
          <w:spacing w:val="0"/>
          <w:w w:val="100"/>
          <w:kern w:val="2"/>
          <w:sz w:val="32"/>
          <w:szCs w:val="32"/>
          <w:lang w:val="en-US" w:eastAsia="zh-CN" w:bidi="ar-SA"/>
        </w:rPr>
        <w:t>基本能够保障县工商联履行主要工作职责。</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highlight w:val="none"/>
          <w:lang w:val="en-US" w:eastAsia="zh-CN" w:bidi="ar-SA"/>
        </w:rPr>
        <w:t>“三公”经费预算中的公务接待费为</w:t>
      </w:r>
      <w:r>
        <w:rPr>
          <w:rStyle w:val="20"/>
          <w:rFonts w:hint="eastAsia" w:ascii="仿宋" w:hAnsi="仿宋" w:eastAsia="仿宋" w:cs="仿宋"/>
          <w:b w:val="0"/>
          <w:i w:val="0"/>
          <w:caps w:val="0"/>
          <w:spacing w:val="0"/>
          <w:w w:val="100"/>
          <w:kern w:val="2"/>
          <w:sz w:val="32"/>
          <w:szCs w:val="32"/>
          <w:lang w:val="en-US" w:eastAsia="zh-CN" w:bidi="ar-SA"/>
        </w:rPr>
        <w:t>1</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、公务用车购置及运行维护费为0.9</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bCs w:val="0"/>
          <w:i w:val="0"/>
          <w:caps w:val="0"/>
          <w:spacing w:val="0"/>
          <w:w w:val="100"/>
          <w:kern w:val="2"/>
          <w:sz w:val="32"/>
          <w:szCs w:val="32"/>
          <w:lang w:val="en-US" w:eastAsia="zh-CN" w:bidi="ar-SA"/>
        </w:rPr>
      </w:pPr>
      <w:r>
        <w:rPr>
          <w:rStyle w:val="20"/>
          <w:rFonts w:hint="eastAsia" w:ascii="仿宋" w:hAnsi="仿宋" w:eastAsia="仿宋" w:cs="仿宋"/>
          <w:b/>
          <w:bCs w:val="0"/>
          <w:i w:val="0"/>
          <w:caps w:val="0"/>
          <w:spacing w:val="0"/>
          <w:w w:val="100"/>
          <w:kern w:val="2"/>
          <w:sz w:val="32"/>
          <w:szCs w:val="32"/>
          <w:lang w:val="en-US" w:eastAsia="zh-CN" w:bidi="ar-SA"/>
        </w:rPr>
        <w:t>四、本年预算执行情况</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bCs/>
          <w:i w:val="0"/>
          <w:caps w:val="0"/>
          <w:spacing w:val="0"/>
          <w:w w:val="100"/>
          <w:kern w:val="2"/>
          <w:sz w:val="32"/>
          <w:szCs w:val="32"/>
          <w:lang w:val="en-US" w:eastAsia="zh-CN" w:bidi="ar-SA"/>
        </w:rPr>
        <w:t>收入方面</w:t>
      </w:r>
      <w:r>
        <w:rPr>
          <w:rStyle w:val="20"/>
          <w:rFonts w:hint="eastAsia" w:ascii="仿宋" w:hAnsi="仿宋" w:eastAsia="仿宋" w:cs="仿宋"/>
          <w:b w:val="0"/>
          <w:i w:val="0"/>
          <w:caps w:val="0"/>
          <w:spacing w:val="0"/>
          <w:w w:val="100"/>
          <w:kern w:val="2"/>
          <w:sz w:val="32"/>
          <w:szCs w:val="32"/>
          <w:lang w:val="en-US" w:eastAsia="zh-CN" w:bidi="ar-SA"/>
        </w:rPr>
        <w:t>：在实际执行中，县工商联全年总收入116.58万元，其中</w:t>
      </w:r>
      <w:r>
        <w:rPr>
          <w:rStyle w:val="20"/>
          <w:rFonts w:hint="eastAsia" w:ascii="仿宋" w:hAnsi="仿宋" w:eastAsia="仿宋" w:cs="仿宋"/>
          <w:b w:val="0"/>
          <w:i w:val="0"/>
          <w:caps w:val="0"/>
          <w:color w:val="000000"/>
          <w:spacing w:val="0"/>
          <w:w w:val="100"/>
          <w:kern w:val="0"/>
          <w:sz w:val="32"/>
          <w:szCs w:val="32"/>
          <w:lang w:val="en-US" w:eastAsia="zh-CN" w:bidi="ar-SA"/>
        </w:rPr>
        <w:t>上年结转和结余0.52</w:t>
      </w:r>
      <w:r>
        <w:rPr>
          <w:rStyle w:val="20"/>
          <w:rFonts w:hint="eastAsia" w:ascii="仿宋" w:hAnsi="仿宋" w:eastAsia="仿宋" w:cs="仿宋"/>
          <w:b w:val="0"/>
          <w:i w:val="0"/>
          <w:caps w:val="0"/>
          <w:spacing w:val="0"/>
          <w:w w:val="100"/>
          <w:kern w:val="2"/>
          <w:sz w:val="32"/>
          <w:szCs w:val="32"/>
          <w:lang w:val="en-US" w:eastAsia="zh-CN" w:bidi="ar-SA"/>
        </w:rPr>
        <w:t>万元，本年收入116.06万元。具体如下：</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color w:val="000000"/>
          <w:spacing w:val="0"/>
          <w:w w:val="100"/>
          <w:kern w:val="0"/>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1.县本级</w:t>
      </w:r>
      <w:r>
        <w:rPr>
          <w:rStyle w:val="20"/>
          <w:rFonts w:hint="eastAsia" w:ascii="仿宋" w:hAnsi="仿宋" w:eastAsia="仿宋" w:cs="仿宋"/>
          <w:b w:val="0"/>
          <w:i w:val="0"/>
          <w:caps w:val="0"/>
          <w:color w:val="000000"/>
          <w:spacing w:val="0"/>
          <w:w w:val="100"/>
          <w:kern w:val="0"/>
          <w:sz w:val="32"/>
          <w:szCs w:val="32"/>
          <w:lang w:val="en-US" w:eastAsia="zh-CN" w:bidi="ar-SA"/>
        </w:rPr>
        <w:t>一般预算拨款收入108.50万元，其中基本支出收入94.20万元，项目支出收入14.34万。</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color w:val="000000"/>
          <w:spacing w:val="0"/>
          <w:w w:val="100"/>
          <w:kern w:val="0"/>
          <w:sz w:val="32"/>
          <w:szCs w:val="32"/>
          <w:lang w:val="en-US" w:eastAsia="zh-CN" w:bidi="ar-SA"/>
        </w:rPr>
      </w:pPr>
      <w:r>
        <w:rPr>
          <w:rStyle w:val="20"/>
          <w:rFonts w:hint="eastAsia" w:ascii="仿宋" w:hAnsi="仿宋" w:eastAsia="仿宋" w:cs="仿宋"/>
          <w:b w:val="0"/>
          <w:i w:val="0"/>
          <w:caps w:val="0"/>
          <w:color w:val="000000"/>
          <w:spacing w:val="0"/>
          <w:w w:val="100"/>
          <w:kern w:val="0"/>
          <w:sz w:val="32"/>
          <w:szCs w:val="32"/>
          <w:lang w:val="en-US" w:eastAsia="zh-CN" w:bidi="ar-SA"/>
        </w:rPr>
        <w:t>2.基本支出预算调整增加收入4.52万元。主要包括杨桂顺、尹辉华的驻村补助2.07万元，绩效考核奖金、一次性资金2.45万元。</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color w:val="000000"/>
          <w:spacing w:val="0"/>
          <w:w w:val="100"/>
          <w:kern w:val="0"/>
          <w:sz w:val="32"/>
          <w:szCs w:val="32"/>
          <w:lang w:val="en-US" w:eastAsia="zh-CN" w:bidi="ar-SA"/>
        </w:rPr>
      </w:pPr>
      <w:r>
        <w:rPr>
          <w:rStyle w:val="20"/>
          <w:rFonts w:hint="eastAsia" w:ascii="仿宋" w:hAnsi="仿宋" w:eastAsia="仿宋" w:cs="仿宋"/>
          <w:b w:val="0"/>
          <w:i w:val="0"/>
          <w:caps w:val="0"/>
          <w:color w:val="000000"/>
          <w:spacing w:val="0"/>
          <w:w w:val="100"/>
          <w:kern w:val="0"/>
          <w:sz w:val="32"/>
          <w:szCs w:val="32"/>
          <w:lang w:val="en-US" w:eastAsia="zh-CN" w:bidi="ar-SA"/>
        </w:rPr>
        <w:t>3.项目支出预算调整增加收入3万元，主要包括全国工商联第六联系调研组来会同调研活动经费等3万元。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bCs/>
          <w:i w:val="0"/>
          <w:caps w:val="0"/>
          <w:spacing w:val="0"/>
          <w:w w:val="100"/>
          <w:kern w:val="2"/>
          <w:sz w:val="32"/>
          <w:szCs w:val="32"/>
          <w:lang w:val="en-US" w:eastAsia="zh-CN" w:bidi="ar-SA"/>
        </w:rPr>
        <w:t>支出方面</w:t>
      </w:r>
      <w:r>
        <w:rPr>
          <w:rStyle w:val="20"/>
          <w:rFonts w:hint="eastAsia" w:ascii="仿宋" w:hAnsi="仿宋" w:eastAsia="仿宋" w:cs="仿宋"/>
          <w:b w:val="0"/>
          <w:i w:val="0"/>
          <w:caps w:val="0"/>
          <w:spacing w:val="0"/>
          <w:w w:val="100"/>
          <w:kern w:val="2"/>
          <w:sz w:val="32"/>
          <w:szCs w:val="32"/>
          <w:lang w:val="en-US" w:eastAsia="zh-CN" w:bidi="ar-SA"/>
        </w:rPr>
        <w:t>：全年实际支出为116.58</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（一）基本支出98.72万元，占总收入的比重为84.68%，其中预算调整增加的支出4.52万元，占总收入的比重为3.88%。</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color w:val="000000"/>
          <w:spacing w:val="0"/>
          <w:w w:val="100"/>
          <w:kern w:val="0"/>
          <w:sz w:val="32"/>
          <w:szCs w:val="32"/>
          <w:lang w:val="en-US" w:eastAsia="zh-CN" w:bidi="ar-SA"/>
        </w:rPr>
        <w:t>1.工资福利支出82.41万元，</w:t>
      </w:r>
      <w:r>
        <w:rPr>
          <w:rStyle w:val="20"/>
          <w:rFonts w:hint="eastAsia" w:ascii="仿宋" w:hAnsi="仿宋" w:eastAsia="仿宋" w:cs="仿宋"/>
          <w:b w:val="0"/>
          <w:i w:val="0"/>
          <w:caps w:val="0"/>
          <w:spacing w:val="0"/>
          <w:w w:val="100"/>
          <w:kern w:val="2"/>
          <w:sz w:val="32"/>
          <w:szCs w:val="32"/>
          <w:lang w:val="en-US" w:eastAsia="zh-CN" w:bidi="ar-SA"/>
        </w:rPr>
        <w:t>其中基本工资34.73</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，津补贴22.59</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，奖金11.42</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，基本养老保险8.68</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，职工基本医疗保险缴费4.61</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，其他社会保障缴费0.38</w:t>
      </w:r>
      <w:r>
        <w:rPr>
          <w:rStyle w:val="20"/>
          <w:rFonts w:hint="eastAsia" w:ascii="仿宋" w:hAnsi="仿宋" w:eastAsia="仿宋" w:cs="仿宋"/>
          <w:b w:val="0"/>
          <w:i w:val="0"/>
          <w:caps w:val="0"/>
          <w:color w:val="000000"/>
          <w:spacing w:val="0"/>
          <w:w w:val="100"/>
          <w:kern w:val="0"/>
          <w:sz w:val="32"/>
          <w:szCs w:val="32"/>
          <w:lang w:val="en-US" w:eastAsia="zh-CN" w:bidi="ar-SA"/>
        </w:rPr>
        <w:t>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2.</w:t>
      </w:r>
      <w:r>
        <w:rPr>
          <w:rStyle w:val="20"/>
          <w:rFonts w:hint="eastAsia" w:ascii="仿宋" w:hAnsi="仿宋" w:eastAsia="仿宋" w:cs="仿宋"/>
          <w:b w:val="0"/>
          <w:i w:val="0"/>
          <w:caps w:val="0"/>
          <w:color w:val="000000"/>
          <w:spacing w:val="0"/>
          <w:w w:val="100"/>
          <w:kern w:val="0"/>
          <w:sz w:val="32"/>
          <w:szCs w:val="32"/>
          <w:lang w:val="en-US" w:eastAsia="zh-CN" w:bidi="ar-SA"/>
        </w:rPr>
        <w:t>一般商品和服务支出 10.41万元</w:t>
      </w:r>
      <w:r>
        <w:rPr>
          <w:rStyle w:val="20"/>
          <w:rFonts w:hint="eastAsia" w:ascii="仿宋" w:hAnsi="仿宋" w:eastAsia="仿宋" w:cs="仿宋"/>
          <w:b w:val="0"/>
          <w:i w:val="0"/>
          <w:caps w:val="0"/>
          <w:spacing w:val="0"/>
          <w:w w:val="100"/>
          <w:kern w:val="2"/>
          <w:sz w:val="32"/>
          <w:szCs w:val="32"/>
          <w:lang w:val="en-US" w:eastAsia="zh-CN" w:bidi="ar-SA"/>
        </w:rPr>
        <w:t>，其中办公费1.11</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，邮电费0.06</w:t>
      </w:r>
      <w:r>
        <w:rPr>
          <w:rStyle w:val="20"/>
          <w:rFonts w:hint="eastAsia" w:ascii="仿宋" w:hAnsi="仿宋" w:eastAsia="仿宋" w:cs="仿宋"/>
          <w:b w:val="0"/>
          <w:i w:val="0"/>
          <w:caps w:val="0"/>
          <w:color w:val="000000"/>
          <w:spacing w:val="0"/>
          <w:w w:val="100"/>
          <w:kern w:val="0"/>
          <w:sz w:val="32"/>
          <w:szCs w:val="32"/>
          <w:lang w:val="en-US" w:eastAsia="zh-CN" w:bidi="ar-SA"/>
        </w:rPr>
        <w:t>万</w:t>
      </w:r>
      <w:r>
        <w:rPr>
          <w:rStyle w:val="20"/>
          <w:rFonts w:hint="eastAsia" w:ascii="仿宋" w:hAnsi="仿宋" w:eastAsia="仿宋" w:cs="仿宋"/>
          <w:b w:val="0"/>
          <w:i w:val="0"/>
          <w:caps w:val="0"/>
          <w:spacing w:val="0"/>
          <w:w w:val="100"/>
          <w:kern w:val="2"/>
          <w:sz w:val="32"/>
          <w:szCs w:val="32"/>
          <w:lang w:val="en-US" w:eastAsia="zh-CN" w:bidi="ar-SA"/>
        </w:rPr>
        <w:t>元，差旅费0.08</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，公务接待费0.97</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，工会经费3.31</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，其它交通费用4.88</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color w:val="000000"/>
          <w:spacing w:val="0"/>
          <w:w w:val="100"/>
          <w:kern w:val="0"/>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3.</w:t>
      </w:r>
      <w:r>
        <w:rPr>
          <w:rStyle w:val="20"/>
          <w:rFonts w:hint="eastAsia" w:ascii="仿宋" w:hAnsi="仿宋" w:eastAsia="仿宋" w:cs="仿宋"/>
          <w:b w:val="0"/>
          <w:i w:val="0"/>
          <w:caps w:val="0"/>
          <w:color w:val="000000"/>
          <w:spacing w:val="0"/>
          <w:w w:val="100"/>
          <w:kern w:val="0"/>
          <w:sz w:val="32"/>
          <w:szCs w:val="32"/>
          <w:lang w:val="en-US" w:eastAsia="zh-CN" w:bidi="ar-SA"/>
        </w:rPr>
        <w:t>对个人和家庭的补助5.90万元</w:t>
      </w:r>
      <w:r>
        <w:rPr>
          <w:rStyle w:val="20"/>
          <w:rFonts w:hint="eastAsia" w:ascii="仿宋" w:hAnsi="仿宋" w:eastAsia="仿宋" w:cs="仿宋"/>
          <w:b w:val="0"/>
          <w:i w:val="0"/>
          <w:caps w:val="0"/>
          <w:spacing w:val="0"/>
          <w:w w:val="100"/>
          <w:kern w:val="2"/>
          <w:sz w:val="32"/>
          <w:szCs w:val="32"/>
          <w:lang w:val="en-US" w:eastAsia="zh-CN" w:bidi="ar-SA"/>
        </w:rPr>
        <w:t>，其中怃恤金1.82</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，生活补助2.79</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Style w:val="20"/>
          <w:rFonts w:hint="eastAsia" w:ascii="仿宋" w:hAnsi="仿宋" w:eastAsia="仿宋" w:cs="仿宋"/>
          <w:b w:val="0"/>
          <w:i w:val="0"/>
          <w:caps w:val="0"/>
          <w:spacing w:val="0"/>
          <w:w w:val="100"/>
          <w:kern w:val="2"/>
          <w:sz w:val="32"/>
          <w:szCs w:val="32"/>
          <w:lang w:val="en-US" w:eastAsia="zh-CN" w:bidi="ar-SA"/>
        </w:rPr>
        <w:t>，救济费1.29</w:t>
      </w:r>
      <w:r>
        <w:rPr>
          <w:rStyle w:val="20"/>
          <w:rFonts w:hint="eastAsia" w:ascii="仿宋" w:hAnsi="仿宋" w:eastAsia="仿宋" w:cs="仿宋"/>
          <w:b w:val="0"/>
          <w:i w:val="0"/>
          <w:caps w:val="0"/>
          <w:color w:val="000000"/>
          <w:spacing w:val="0"/>
          <w:w w:val="100"/>
          <w:kern w:val="0"/>
          <w:sz w:val="32"/>
          <w:szCs w:val="32"/>
          <w:lang w:val="en-US" w:eastAsia="zh-CN" w:bidi="ar-SA"/>
        </w:rPr>
        <w:t>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08" w:firstLineChars="19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（二）项目支出为17.86万元，</w:t>
      </w:r>
      <w:r>
        <w:rPr>
          <w:rStyle w:val="20"/>
          <w:rFonts w:hint="eastAsia" w:ascii="仿宋" w:hAnsi="仿宋" w:eastAsia="仿宋" w:cs="仿宋"/>
          <w:b w:val="0"/>
          <w:i w:val="0"/>
          <w:caps w:val="0"/>
          <w:spacing w:val="0"/>
          <w:w w:val="100"/>
          <w:kern w:val="2"/>
          <w:sz w:val="32"/>
          <w:szCs w:val="32"/>
          <w:highlight w:val="none"/>
          <w:lang w:val="en-US" w:eastAsia="zh-CN" w:bidi="ar-SA"/>
        </w:rPr>
        <w:t>占总收入的比重15.32%，</w:t>
      </w:r>
      <w:r>
        <w:rPr>
          <w:rStyle w:val="20"/>
          <w:rFonts w:hint="eastAsia" w:ascii="仿宋" w:hAnsi="仿宋" w:eastAsia="仿宋" w:cs="仿宋"/>
          <w:b w:val="0"/>
          <w:i w:val="0"/>
          <w:caps w:val="0"/>
          <w:spacing w:val="0"/>
          <w:w w:val="100"/>
          <w:kern w:val="2"/>
          <w:sz w:val="32"/>
          <w:szCs w:val="32"/>
          <w:lang w:val="en-US" w:eastAsia="zh-CN" w:bidi="ar-SA"/>
        </w:rPr>
        <w:t>其中预算调整增加的支出4.52万元，占总收入的比重为3.88%；上年结转结余项目支出0.52万元，占总收入的比重为0.48%。</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Style w:val="20"/>
          <w:rFonts w:hint="eastAsia" w:ascii="仿宋" w:hAnsi="仿宋" w:eastAsia="仿宋" w:cs="仿宋"/>
          <w:b w:val="0"/>
          <w:i w:val="0"/>
          <w:caps w:val="0"/>
          <w:color w:val="000000"/>
          <w:spacing w:val="0"/>
          <w:w w:val="100"/>
          <w:kern w:val="0"/>
          <w:sz w:val="32"/>
          <w:szCs w:val="32"/>
          <w:lang w:val="en-US" w:eastAsia="zh-CN" w:bidi="ar-SA"/>
        </w:rPr>
        <w:t>1.</w:t>
      </w:r>
      <w:r>
        <w:rPr>
          <w:rStyle w:val="20"/>
          <w:rFonts w:hint="eastAsia" w:ascii="仿宋" w:hAnsi="仿宋" w:eastAsia="仿宋" w:cs="仿宋"/>
          <w:b w:val="0"/>
          <w:i w:val="0"/>
          <w:caps w:val="0"/>
          <w:spacing w:val="0"/>
          <w:w w:val="100"/>
          <w:kern w:val="2"/>
          <w:sz w:val="32"/>
          <w:szCs w:val="32"/>
          <w:lang w:val="en-US" w:eastAsia="zh-CN" w:bidi="ar-SA"/>
        </w:rPr>
        <w:t>基层商会专项经费项目财政年初预算14万元，支出4.78万元，</w:t>
      </w:r>
      <w:r>
        <w:rPr>
          <w:rFonts w:hint="eastAsia" w:ascii="仿宋" w:hAnsi="仿宋" w:eastAsia="仿宋" w:cs="仿宋"/>
          <w:sz w:val="32"/>
          <w:szCs w:val="32"/>
          <w:lang w:val="en-US" w:eastAsia="zh-CN"/>
        </w:rPr>
        <w:t>剩余9.22万元因没有及时支付费用被财政收回</w:t>
      </w:r>
      <w:r>
        <w:rPr>
          <w:rStyle w:val="20"/>
          <w:rFonts w:hint="eastAsia" w:ascii="仿宋" w:hAnsi="仿宋" w:eastAsia="仿宋" w:cs="仿宋"/>
          <w:b w:val="0"/>
          <w:i w:val="0"/>
          <w:caps w:val="0"/>
          <w:spacing w:val="0"/>
          <w:w w:val="100"/>
          <w:kern w:val="2"/>
          <w:sz w:val="32"/>
          <w:szCs w:val="32"/>
          <w:lang w:val="en-US" w:eastAsia="zh-CN" w:bidi="ar-SA"/>
        </w:rPr>
        <w:t>。具体支出为</w:t>
      </w:r>
      <w:r>
        <w:rPr>
          <w:rFonts w:hint="eastAsia" w:ascii="仿宋" w:hAnsi="仿宋" w:eastAsia="仿宋" w:cs="仿宋"/>
          <w:sz w:val="32"/>
          <w:szCs w:val="32"/>
          <w:lang w:val="en-US" w:eastAsia="zh-CN"/>
        </w:rPr>
        <w:t>下拨7个基层商会工作经费4.78万元，为委托业务费</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color w:val="000000"/>
          <w:spacing w:val="0"/>
          <w:w w:val="100"/>
          <w:kern w:val="0"/>
          <w:sz w:val="32"/>
          <w:szCs w:val="32"/>
          <w:lang w:val="en-US" w:eastAsia="zh-CN" w:bidi="ar-SA"/>
        </w:rPr>
        <w:t>2.</w:t>
      </w:r>
      <w:r>
        <w:rPr>
          <w:rFonts w:hint="eastAsia" w:ascii="仿宋" w:hAnsi="仿宋" w:eastAsia="仿宋" w:cs="仿宋"/>
          <w:sz w:val="32"/>
          <w:szCs w:val="32"/>
          <w:lang w:val="en-US" w:eastAsia="zh-CN"/>
        </w:rPr>
        <w:t>非公党建项目财政年初预算4万元，上</w:t>
      </w:r>
      <w:r>
        <w:rPr>
          <w:rStyle w:val="20"/>
          <w:rFonts w:hint="eastAsia" w:ascii="仿宋" w:hAnsi="仿宋" w:eastAsia="仿宋" w:cs="仿宋"/>
          <w:b w:val="0"/>
          <w:i w:val="0"/>
          <w:caps w:val="0"/>
          <w:spacing w:val="0"/>
          <w:w w:val="100"/>
          <w:kern w:val="2"/>
          <w:sz w:val="32"/>
          <w:szCs w:val="32"/>
          <w:lang w:val="en-US" w:eastAsia="zh-CN" w:bidi="ar-SA"/>
        </w:rPr>
        <w:t>年结转结余0.52</w:t>
      </w:r>
      <w:r>
        <w:rPr>
          <w:rStyle w:val="20"/>
          <w:rFonts w:hint="eastAsia" w:ascii="仿宋" w:hAnsi="仿宋" w:eastAsia="仿宋" w:cs="仿宋"/>
          <w:b w:val="0"/>
          <w:i w:val="0"/>
          <w:caps w:val="0"/>
          <w:color w:val="000000"/>
          <w:spacing w:val="0"/>
          <w:w w:val="100"/>
          <w:kern w:val="0"/>
          <w:sz w:val="32"/>
          <w:szCs w:val="32"/>
          <w:lang w:val="en-US" w:eastAsia="zh-CN" w:bidi="ar-SA"/>
        </w:rPr>
        <w:t>万元，</w:t>
      </w:r>
      <w:r>
        <w:rPr>
          <w:rFonts w:hint="eastAsia" w:ascii="仿宋" w:hAnsi="仿宋" w:eastAsia="仿宋" w:cs="仿宋"/>
          <w:sz w:val="32"/>
          <w:szCs w:val="32"/>
          <w:lang w:val="en-US" w:eastAsia="zh-CN"/>
        </w:rPr>
        <w:t>支出3.95万元，剩</w:t>
      </w:r>
      <w:r>
        <w:rPr>
          <w:rFonts w:hint="eastAsia" w:ascii="仿宋" w:hAnsi="仿宋" w:eastAsia="仿宋" w:cs="仿宋"/>
          <w:sz w:val="32"/>
          <w:szCs w:val="32"/>
          <w:lang w:eastAsia="zh-CN"/>
        </w:rPr>
        <w:t>余</w:t>
      </w:r>
      <w:r>
        <w:rPr>
          <w:rFonts w:hint="eastAsia" w:ascii="仿宋" w:hAnsi="仿宋" w:eastAsia="仿宋" w:cs="仿宋"/>
          <w:sz w:val="32"/>
          <w:szCs w:val="32"/>
          <w:lang w:val="en-US" w:eastAsia="zh-CN"/>
        </w:rPr>
        <w:t>0.57</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lang w:val="en-US" w:eastAsia="zh-CN"/>
        </w:rPr>
        <w:t>因没有及时支付费用被财政收回</w:t>
      </w:r>
      <w:r>
        <w:rPr>
          <w:rStyle w:val="20"/>
          <w:rFonts w:hint="eastAsia" w:ascii="仿宋" w:hAnsi="仿宋" w:eastAsia="仿宋" w:cs="仿宋"/>
          <w:b w:val="0"/>
          <w:i w:val="0"/>
          <w:caps w:val="0"/>
          <w:spacing w:val="0"/>
          <w:w w:val="100"/>
          <w:kern w:val="2"/>
          <w:sz w:val="32"/>
          <w:szCs w:val="32"/>
          <w:lang w:val="en-US" w:eastAsia="zh-CN" w:bidi="ar-SA"/>
        </w:rPr>
        <w:t>。具体支出为</w:t>
      </w:r>
      <w:r>
        <w:rPr>
          <w:rFonts w:hint="eastAsia" w:ascii="仿宋" w:hAnsi="仿宋" w:eastAsia="仿宋" w:cs="仿宋"/>
          <w:sz w:val="32"/>
          <w:szCs w:val="32"/>
          <w:lang w:val="en-US" w:eastAsia="zh-CN"/>
        </w:rPr>
        <w:t>办公费2.62</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lang w:val="en-US" w:eastAsia="zh-CN"/>
        </w:rPr>
        <w:t>，印刷费0.95</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lang w:val="en-US" w:eastAsia="zh-CN"/>
        </w:rPr>
        <w:t>，其它交通费用0.38</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eastAsia" w:ascii="仿宋" w:hAnsi="仿宋" w:eastAsia="仿宋" w:cs="仿宋"/>
          <w:sz w:val="32"/>
          <w:szCs w:val="32"/>
        </w:rPr>
      </w:pPr>
      <w:r>
        <w:rPr>
          <w:rStyle w:val="20"/>
          <w:rFonts w:hint="eastAsia" w:ascii="仿宋" w:hAnsi="仿宋" w:eastAsia="仿宋" w:cs="仿宋"/>
          <w:b w:val="0"/>
          <w:i w:val="0"/>
          <w:caps w:val="0"/>
          <w:spacing w:val="0"/>
          <w:w w:val="100"/>
          <w:kern w:val="2"/>
          <w:sz w:val="32"/>
          <w:szCs w:val="32"/>
          <w:lang w:val="en-US" w:eastAsia="zh-CN" w:bidi="ar-SA"/>
        </w:rPr>
        <w:t>3.光彩事业项目经费</w:t>
      </w:r>
      <w:r>
        <w:rPr>
          <w:rFonts w:hint="eastAsia" w:ascii="仿宋" w:hAnsi="仿宋" w:eastAsia="仿宋" w:cs="仿宋"/>
          <w:sz w:val="32"/>
          <w:szCs w:val="32"/>
        </w:rPr>
        <w:t>财政</w:t>
      </w:r>
      <w:r>
        <w:rPr>
          <w:rFonts w:hint="eastAsia" w:ascii="仿宋" w:hAnsi="仿宋" w:eastAsia="仿宋" w:cs="仿宋"/>
          <w:sz w:val="32"/>
          <w:szCs w:val="32"/>
          <w:lang w:eastAsia="zh-CN"/>
        </w:rPr>
        <w:t>年初</w:t>
      </w:r>
      <w:r>
        <w:rPr>
          <w:rFonts w:hint="eastAsia" w:ascii="仿宋" w:hAnsi="仿宋" w:eastAsia="仿宋" w:cs="仿宋"/>
          <w:sz w:val="32"/>
          <w:szCs w:val="32"/>
          <w:lang w:val="en-US" w:eastAsia="zh-CN"/>
        </w:rPr>
        <w:t>预算2.4万元，</w:t>
      </w:r>
      <w:r>
        <w:rPr>
          <w:rStyle w:val="20"/>
          <w:rFonts w:hint="eastAsia" w:ascii="仿宋" w:hAnsi="仿宋" w:eastAsia="仿宋" w:cs="仿宋"/>
          <w:b w:val="0"/>
          <w:i w:val="0"/>
          <w:caps w:val="0"/>
          <w:spacing w:val="0"/>
          <w:w w:val="100"/>
          <w:kern w:val="2"/>
          <w:sz w:val="32"/>
          <w:szCs w:val="32"/>
          <w:lang w:val="en-US" w:eastAsia="zh-CN" w:bidi="ar-SA"/>
        </w:rPr>
        <w:t>支出2.4万元，具体支出为</w:t>
      </w:r>
      <w:r>
        <w:rPr>
          <w:rFonts w:hint="eastAsia" w:ascii="仿宋" w:hAnsi="仿宋" w:eastAsia="仿宋" w:cs="仿宋"/>
          <w:color w:val="000000"/>
          <w:kern w:val="0"/>
          <w:sz w:val="32"/>
          <w:szCs w:val="32"/>
          <w:lang w:val="en-US" w:eastAsia="zh-CN"/>
        </w:rPr>
        <w:t>委托业务费</w:t>
      </w:r>
      <w:r>
        <w:rPr>
          <w:rFonts w:hint="eastAsia" w:ascii="仿宋" w:hAnsi="仿宋" w:eastAsia="仿宋" w:cs="仿宋"/>
          <w:sz w:val="32"/>
          <w:szCs w:val="32"/>
          <w:lang w:val="en-US" w:eastAsia="zh-CN"/>
        </w:rPr>
        <w:t>支出2.4万元，主要是用于支持联系村解决重点疑难问题和走访困难户</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Fonts w:hint="eastAsia" w:ascii="仿宋" w:hAnsi="仿宋" w:eastAsia="仿宋" w:cs="仿宋"/>
          <w:sz w:val="32"/>
          <w:szCs w:val="32"/>
        </w:rPr>
      </w:pPr>
      <w:r>
        <w:rPr>
          <w:rStyle w:val="20"/>
          <w:rFonts w:hint="eastAsia" w:ascii="仿宋" w:hAnsi="仿宋" w:eastAsia="仿宋" w:cs="仿宋"/>
          <w:b w:val="0"/>
          <w:i w:val="0"/>
          <w:caps w:val="0"/>
          <w:color w:val="000000"/>
          <w:spacing w:val="0"/>
          <w:w w:val="100"/>
          <w:kern w:val="0"/>
          <w:sz w:val="32"/>
          <w:szCs w:val="32"/>
          <w:lang w:val="en-US" w:eastAsia="zh-CN" w:bidi="ar-SA"/>
        </w:rPr>
        <w:t>4.</w:t>
      </w:r>
      <w:r>
        <w:rPr>
          <w:rFonts w:hint="eastAsia" w:ascii="仿宋" w:hAnsi="仿宋" w:eastAsia="仿宋" w:cs="仿宋"/>
          <w:sz w:val="32"/>
          <w:szCs w:val="32"/>
          <w:lang w:val="en-US" w:eastAsia="zh-CN"/>
        </w:rPr>
        <w:t>教育培训项目经费</w:t>
      </w:r>
      <w:r>
        <w:rPr>
          <w:rFonts w:hint="eastAsia" w:ascii="仿宋" w:hAnsi="仿宋" w:eastAsia="仿宋" w:cs="仿宋"/>
          <w:sz w:val="32"/>
          <w:szCs w:val="32"/>
        </w:rPr>
        <w:t>财政</w:t>
      </w:r>
      <w:r>
        <w:rPr>
          <w:rFonts w:hint="eastAsia" w:ascii="仿宋" w:hAnsi="仿宋" w:eastAsia="仿宋" w:cs="仿宋"/>
          <w:sz w:val="32"/>
          <w:szCs w:val="32"/>
          <w:lang w:eastAsia="zh-CN"/>
        </w:rPr>
        <w:t>年初</w:t>
      </w:r>
      <w:r>
        <w:rPr>
          <w:rFonts w:hint="eastAsia" w:ascii="仿宋" w:hAnsi="仿宋" w:eastAsia="仿宋" w:cs="仿宋"/>
          <w:sz w:val="32"/>
          <w:szCs w:val="32"/>
          <w:lang w:val="en-US" w:eastAsia="zh-CN"/>
        </w:rPr>
        <w:t>预算1.6万元，支出1.43万元，剩余项目资金0.17万元因未及时支付被财政收回。</w:t>
      </w:r>
      <w:r>
        <w:rPr>
          <w:rStyle w:val="20"/>
          <w:rFonts w:hint="eastAsia" w:ascii="仿宋" w:hAnsi="仿宋" w:eastAsia="仿宋" w:cs="仿宋"/>
          <w:b w:val="0"/>
          <w:i w:val="0"/>
          <w:caps w:val="0"/>
          <w:spacing w:val="0"/>
          <w:w w:val="100"/>
          <w:kern w:val="2"/>
          <w:sz w:val="32"/>
          <w:szCs w:val="32"/>
          <w:lang w:val="en-US" w:eastAsia="zh-CN" w:bidi="ar-SA"/>
        </w:rPr>
        <w:t>具体支出为</w:t>
      </w:r>
      <w:r>
        <w:rPr>
          <w:rFonts w:hint="eastAsia" w:ascii="仿宋" w:hAnsi="仿宋" w:eastAsia="仿宋" w:cs="仿宋"/>
          <w:sz w:val="32"/>
          <w:szCs w:val="32"/>
          <w:lang w:val="en-US" w:eastAsia="zh-CN"/>
        </w:rPr>
        <w:t>委托业务费0.65万元、差旅费0.72万元、培训费0.06万元</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Fonts w:hint="eastAsia" w:ascii="仿宋" w:hAnsi="仿宋" w:eastAsia="仿宋" w:cs="仿宋"/>
          <w:sz w:val="32"/>
          <w:szCs w:val="32"/>
        </w:rPr>
      </w:pPr>
      <w:r>
        <w:rPr>
          <w:rStyle w:val="20"/>
          <w:rFonts w:hint="eastAsia" w:ascii="仿宋" w:hAnsi="仿宋" w:eastAsia="仿宋" w:cs="仿宋"/>
          <w:b w:val="0"/>
          <w:i w:val="0"/>
          <w:caps w:val="0"/>
          <w:spacing w:val="0"/>
          <w:w w:val="100"/>
          <w:kern w:val="2"/>
          <w:sz w:val="32"/>
          <w:szCs w:val="32"/>
          <w:lang w:val="en-US" w:eastAsia="zh-CN" w:bidi="ar-SA"/>
        </w:rPr>
        <w:t>5.商会建设项目经费</w:t>
      </w:r>
      <w:r>
        <w:rPr>
          <w:rFonts w:hint="eastAsia" w:ascii="仿宋" w:hAnsi="仿宋" w:eastAsia="仿宋" w:cs="仿宋"/>
          <w:sz w:val="32"/>
          <w:szCs w:val="32"/>
        </w:rPr>
        <w:t>财政</w:t>
      </w:r>
      <w:r>
        <w:rPr>
          <w:rFonts w:hint="eastAsia" w:ascii="仿宋" w:hAnsi="仿宋" w:eastAsia="仿宋" w:cs="仿宋"/>
          <w:sz w:val="32"/>
          <w:szCs w:val="32"/>
          <w:lang w:eastAsia="zh-CN"/>
        </w:rPr>
        <w:t>年初</w:t>
      </w:r>
      <w:r>
        <w:rPr>
          <w:rFonts w:hint="eastAsia" w:ascii="仿宋" w:hAnsi="仿宋" w:eastAsia="仿宋" w:cs="仿宋"/>
          <w:sz w:val="32"/>
          <w:szCs w:val="32"/>
          <w:lang w:val="en-US" w:eastAsia="zh-CN"/>
        </w:rPr>
        <w:t>预算2.4万元，</w:t>
      </w:r>
      <w:r>
        <w:rPr>
          <w:rStyle w:val="20"/>
          <w:rFonts w:hint="eastAsia" w:ascii="仿宋" w:hAnsi="仿宋" w:eastAsia="仿宋" w:cs="仿宋"/>
          <w:b w:val="0"/>
          <w:i w:val="0"/>
          <w:caps w:val="0"/>
          <w:spacing w:val="0"/>
          <w:w w:val="100"/>
          <w:kern w:val="2"/>
          <w:sz w:val="32"/>
          <w:szCs w:val="32"/>
          <w:lang w:val="en-US" w:eastAsia="zh-CN" w:bidi="ar-SA"/>
        </w:rPr>
        <w:t>支出2.3万元，</w:t>
      </w:r>
      <w:r>
        <w:rPr>
          <w:rFonts w:hint="eastAsia" w:ascii="仿宋" w:hAnsi="仿宋" w:eastAsia="仿宋" w:cs="仿宋"/>
          <w:sz w:val="32"/>
          <w:szCs w:val="32"/>
          <w:lang w:val="en-US" w:eastAsia="zh-CN"/>
        </w:rPr>
        <w:t>剩余项目资金0.1万元因未及时支付到位已被财政收回</w:t>
      </w:r>
      <w:r>
        <w:rPr>
          <w:rFonts w:hint="eastAsia" w:ascii="仿宋" w:hAnsi="仿宋" w:eastAsia="仿宋" w:cs="仿宋"/>
          <w:sz w:val="32"/>
          <w:szCs w:val="32"/>
        </w:rPr>
        <w:t>。</w:t>
      </w:r>
      <w:r>
        <w:rPr>
          <w:rStyle w:val="20"/>
          <w:rFonts w:hint="eastAsia" w:ascii="仿宋" w:hAnsi="仿宋" w:eastAsia="仿宋" w:cs="仿宋"/>
          <w:b w:val="0"/>
          <w:i w:val="0"/>
          <w:caps w:val="0"/>
          <w:spacing w:val="0"/>
          <w:w w:val="100"/>
          <w:kern w:val="2"/>
          <w:sz w:val="32"/>
          <w:szCs w:val="32"/>
          <w:lang w:val="en-US" w:eastAsia="zh-CN" w:bidi="ar-SA"/>
        </w:rPr>
        <w:t>具体支出为</w:t>
      </w:r>
      <w:r>
        <w:rPr>
          <w:rFonts w:hint="eastAsia" w:ascii="仿宋" w:hAnsi="仿宋" w:eastAsia="仿宋" w:cs="仿宋"/>
          <w:sz w:val="32"/>
          <w:szCs w:val="32"/>
          <w:lang w:val="en-US" w:eastAsia="zh-CN"/>
        </w:rPr>
        <w:t>租赁费2.28万元，邮电费0.02</w:t>
      </w:r>
      <w:r>
        <w:rPr>
          <w:rFonts w:hint="eastAsia" w:ascii="仿宋" w:hAnsi="仿宋" w:eastAsia="仿宋" w:cs="仿宋"/>
          <w:color w:val="000000"/>
          <w:kern w:val="0"/>
          <w:sz w:val="32"/>
          <w:szCs w:val="32"/>
          <w:lang w:val="en-US" w:eastAsia="zh-CN"/>
        </w:rPr>
        <w:t>万元</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2"/>
          <w:szCs w:val="32"/>
          <w:lang w:val="en-US" w:eastAsia="zh-CN"/>
        </w:rPr>
        <w:t>6.</w:t>
      </w:r>
      <w:r>
        <w:rPr>
          <w:rStyle w:val="20"/>
          <w:rFonts w:hint="eastAsia" w:ascii="仿宋" w:hAnsi="仿宋" w:eastAsia="仿宋" w:cs="仿宋"/>
          <w:b w:val="0"/>
          <w:i w:val="0"/>
          <w:caps w:val="0"/>
          <w:color w:val="000000"/>
          <w:spacing w:val="0"/>
          <w:w w:val="100"/>
          <w:kern w:val="0"/>
          <w:sz w:val="32"/>
          <w:szCs w:val="32"/>
          <w:lang w:val="en-US" w:eastAsia="zh-CN" w:bidi="ar-SA"/>
        </w:rPr>
        <w:t>全国工商联第六联系调研组来会同调研活动经费</w:t>
      </w:r>
      <w:r>
        <w:rPr>
          <w:rFonts w:hint="eastAsia" w:ascii="仿宋" w:hAnsi="仿宋" w:eastAsia="仿宋" w:cs="仿宋"/>
          <w:sz w:val="32"/>
          <w:szCs w:val="32"/>
          <w:lang w:val="en-US" w:eastAsia="zh-CN"/>
        </w:rPr>
        <w:t>支出3万元，为财政增加预算，</w:t>
      </w:r>
      <w:r>
        <w:rPr>
          <w:rStyle w:val="20"/>
          <w:rFonts w:hint="eastAsia" w:ascii="仿宋" w:hAnsi="仿宋" w:eastAsia="仿宋" w:cs="仿宋"/>
          <w:b w:val="0"/>
          <w:i w:val="0"/>
          <w:caps w:val="0"/>
          <w:spacing w:val="0"/>
          <w:w w:val="100"/>
          <w:kern w:val="2"/>
          <w:sz w:val="32"/>
          <w:szCs w:val="32"/>
          <w:lang w:val="en-US" w:eastAsia="zh-CN" w:bidi="ar-SA"/>
        </w:rPr>
        <w:t>具体支出</w:t>
      </w:r>
      <w:r>
        <w:rPr>
          <w:rFonts w:hint="eastAsia" w:ascii="仿宋" w:hAnsi="仿宋" w:eastAsia="仿宋" w:cs="仿宋"/>
          <w:sz w:val="32"/>
          <w:szCs w:val="32"/>
          <w:lang w:val="en-US" w:eastAsia="zh-CN"/>
        </w:rPr>
        <w:t>为委托业务费1.91万元、印刷费0.68万元、会议费0.41万元。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 xml:space="preserve"> “三公”经费控制情况</w:t>
      </w:r>
      <w:r>
        <w:rPr>
          <w:rStyle w:val="20"/>
          <w:rFonts w:hint="eastAsia" w:ascii="仿宋" w:hAnsi="仿宋" w:eastAsia="仿宋" w:cs="仿宋"/>
          <w:b w:val="0"/>
          <w:i w:val="0"/>
          <w:caps w:val="0"/>
          <w:spacing w:val="0"/>
          <w:w w:val="100"/>
          <w:kern w:val="2"/>
          <w:sz w:val="32"/>
          <w:szCs w:val="32"/>
          <w:lang w:val="en-US" w:eastAsia="zh-CN" w:bidi="ar-SA"/>
        </w:rPr>
        <w:t>：没有因公出国（境）人员，公务接待费支出0.97万</w:t>
      </w:r>
      <w:r>
        <w:rPr>
          <w:rStyle w:val="20"/>
          <w:rFonts w:hint="eastAsia" w:ascii="仿宋" w:hAnsi="仿宋" w:eastAsia="仿宋" w:cs="仿宋"/>
          <w:b w:val="0"/>
          <w:i w:val="0"/>
          <w:caps w:val="0"/>
          <w:spacing w:val="0"/>
          <w:w w:val="100"/>
          <w:kern w:val="2"/>
          <w:sz w:val="32"/>
          <w:szCs w:val="32"/>
          <w:highlight w:val="none"/>
          <w:lang w:val="en-US" w:eastAsia="zh-CN" w:bidi="ar-SA"/>
        </w:rPr>
        <w:t>元，预算安排为1万元，公务招待费占预算安排97%；公务用车购置及运行维护费支出0万元，预算安排为0.9万元，公务</w:t>
      </w:r>
      <w:r>
        <w:rPr>
          <w:rStyle w:val="20"/>
          <w:rFonts w:hint="eastAsia" w:ascii="仿宋" w:hAnsi="仿宋" w:eastAsia="仿宋" w:cs="仿宋"/>
          <w:b w:val="0"/>
          <w:i w:val="0"/>
          <w:caps w:val="0"/>
          <w:spacing w:val="0"/>
          <w:w w:val="100"/>
          <w:kern w:val="2"/>
          <w:sz w:val="32"/>
          <w:szCs w:val="32"/>
          <w:lang w:val="en-US" w:eastAsia="zh-CN" w:bidi="ar-SA"/>
        </w:rPr>
        <w:t>用车占年初预算安排0%，有效的控制了“三公经费”的支出。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政府采购方面：</w:t>
      </w:r>
      <w:r>
        <w:rPr>
          <w:rStyle w:val="20"/>
          <w:rFonts w:hint="eastAsia" w:ascii="仿宋" w:hAnsi="仿宋" w:eastAsia="仿宋" w:cs="仿宋"/>
          <w:b w:val="0"/>
          <w:i w:val="0"/>
          <w:caps w:val="0"/>
          <w:spacing w:val="0"/>
          <w:w w:val="100"/>
          <w:kern w:val="2"/>
          <w:sz w:val="32"/>
          <w:szCs w:val="32"/>
          <w:lang w:val="en-US" w:eastAsia="zh-CN" w:bidi="ar-SA"/>
        </w:rPr>
        <w:t>全年无政府采购。</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i w:val="0"/>
          <w:caps w:val="0"/>
          <w:spacing w:val="0"/>
          <w:w w:val="100"/>
          <w:kern w:val="2"/>
          <w:sz w:val="32"/>
          <w:szCs w:val="32"/>
          <w:lang w:val="en-US" w:eastAsia="zh-CN" w:bidi="ar-SA"/>
        </w:rPr>
      </w:pPr>
      <w:r>
        <w:rPr>
          <w:rStyle w:val="20"/>
          <w:rFonts w:hint="eastAsia" w:ascii="仿宋" w:hAnsi="仿宋" w:eastAsia="仿宋" w:cs="仿宋"/>
          <w:b/>
          <w:i w:val="0"/>
          <w:caps w:val="0"/>
          <w:spacing w:val="0"/>
          <w:w w:val="100"/>
          <w:kern w:val="2"/>
          <w:sz w:val="32"/>
          <w:szCs w:val="32"/>
          <w:lang w:val="en-US" w:eastAsia="zh-CN" w:bidi="ar-SA"/>
        </w:rPr>
        <w:t>财务管理方面：</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1.加强预算和专户管理。一是根据县财政局部门预算编制的相关要求，结合本单位工作目标和任务科学地做好2021年部门预算编报工作。预算执行时，坚持分月编制资金使用计划，确保资金支出不突破预算。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2.规范财务管理。一是认真做好了会计核算工作，完成了日常财务报销、工资以及各项费用的支出。二是认真执行《会计法》，进一步加强了对财务人员财务基础工作的指导，规范了记账凭证的编制，严格了原始凭证的审核，强化了会计档案的管理等。三是加强内、外部的沟通。进一步协调了和财政、审计、物价、税务等业务部门的关系。四是合理调度资金，保证了全系统事业发展的需要。</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3.加强管理厉行节支。结合实际情况，完善了接待、出差、会议、培训等制度和审批程序，规范了公务支出行为。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baseline"/>
        <w:rPr>
          <w:rStyle w:val="20"/>
          <w:rFonts w:hint="eastAsia" w:ascii="仿宋" w:hAnsi="仿宋" w:eastAsia="仿宋" w:cs="仿宋"/>
          <w:b/>
          <w:bCs w:val="0"/>
          <w:i w:val="0"/>
          <w:caps w:val="0"/>
          <w:spacing w:val="0"/>
          <w:w w:val="100"/>
          <w:kern w:val="2"/>
          <w:sz w:val="32"/>
          <w:szCs w:val="32"/>
          <w:lang w:val="en-US" w:eastAsia="zh-CN" w:bidi="ar-SA"/>
        </w:rPr>
      </w:pPr>
      <w:r>
        <w:rPr>
          <w:rStyle w:val="20"/>
          <w:rFonts w:hint="eastAsia" w:ascii="仿宋" w:hAnsi="仿宋" w:eastAsia="仿宋" w:cs="仿宋"/>
          <w:b/>
          <w:bCs w:val="0"/>
          <w:i w:val="0"/>
          <w:caps w:val="0"/>
          <w:spacing w:val="0"/>
          <w:w w:val="100"/>
          <w:kern w:val="2"/>
          <w:sz w:val="32"/>
          <w:szCs w:val="32"/>
          <w:lang w:val="en-US" w:eastAsia="zh-CN" w:bidi="ar-SA"/>
        </w:rPr>
        <w:t>五、县工商联工作目标履职情况</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jc w:val="both"/>
        <w:textAlignment w:val="baseline"/>
        <w:rPr>
          <w:rStyle w:val="20"/>
          <w:rFonts w:hint="eastAsia" w:ascii="仿宋" w:hAnsi="仿宋" w:eastAsia="仿宋" w:cs="仿宋"/>
          <w:b w:val="0"/>
          <w:bCs/>
          <w:i w:val="0"/>
          <w:caps w:val="0"/>
          <w:spacing w:val="0"/>
          <w:w w:val="100"/>
          <w:kern w:val="2"/>
          <w:sz w:val="32"/>
          <w:szCs w:val="32"/>
          <w:lang w:val="en-US" w:eastAsia="zh-CN" w:bidi="ar-SA"/>
        </w:rPr>
      </w:pPr>
      <w:r>
        <w:rPr>
          <w:rStyle w:val="20"/>
          <w:rFonts w:hint="eastAsia" w:ascii="仿宋" w:hAnsi="仿宋" w:eastAsia="仿宋" w:cs="仿宋"/>
          <w:b w:val="0"/>
          <w:i w:val="0"/>
          <w:caps w:val="0"/>
          <w:color w:val="343233"/>
          <w:spacing w:val="0"/>
          <w:w w:val="100"/>
          <w:kern w:val="0"/>
          <w:sz w:val="32"/>
          <w:szCs w:val="32"/>
          <w:lang w:val="en-US" w:eastAsia="zh-CN" w:bidi="ar-SA"/>
        </w:rPr>
        <w:t>由于年初预算安排及有目的进行了预算调整，有效的保障了</w:t>
      </w:r>
      <w:r>
        <w:rPr>
          <w:rStyle w:val="20"/>
          <w:rFonts w:hint="eastAsia" w:ascii="仿宋" w:hAnsi="仿宋" w:eastAsia="仿宋" w:cs="仿宋"/>
          <w:b w:val="0"/>
          <w:bCs/>
          <w:i w:val="0"/>
          <w:caps w:val="0"/>
          <w:spacing w:val="0"/>
          <w:w w:val="100"/>
          <w:kern w:val="2"/>
          <w:sz w:val="32"/>
          <w:szCs w:val="32"/>
          <w:lang w:val="en-US" w:eastAsia="zh-CN" w:bidi="ar-SA"/>
        </w:rPr>
        <w:t>各项业务工作顺利开展，反映良好，主要表现在：</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80"/>
        <w:jc w:val="both"/>
        <w:textAlignment w:val="baseline"/>
        <w:rPr>
          <w:rStyle w:val="20"/>
          <w:rFonts w:hint="eastAsia" w:ascii="仿宋" w:hAnsi="仿宋" w:eastAsia="仿宋" w:cs="仿宋"/>
          <w:b w:val="0"/>
          <w:bCs w:val="0"/>
          <w:i w:val="0"/>
          <w:caps w:val="0"/>
          <w:color w:val="333333"/>
          <w:spacing w:val="0"/>
          <w:w w:val="100"/>
          <w:kern w:val="2"/>
          <w:sz w:val="32"/>
          <w:szCs w:val="32"/>
          <w:lang w:val="en-US" w:eastAsia="zh-CN" w:bidi="ar-SA"/>
        </w:rPr>
      </w:pPr>
      <w:r>
        <w:rPr>
          <w:rStyle w:val="20"/>
          <w:rFonts w:hint="eastAsia" w:ascii="仿宋" w:hAnsi="仿宋" w:eastAsia="仿宋" w:cs="仿宋"/>
          <w:b w:val="0"/>
          <w:bCs w:val="0"/>
          <w:i w:val="0"/>
          <w:caps w:val="0"/>
          <w:spacing w:val="0"/>
          <w:w w:val="100"/>
          <w:kern w:val="2"/>
          <w:sz w:val="32"/>
          <w:szCs w:val="32"/>
          <w:lang w:val="en-US" w:eastAsia="zh-CN" w:bidi="ar-SA"/>
        </w:rPr>
        <w:t>（一）</w:t>
      </w:r>
      <w:r>
        <w:rPr>
          <w:rStyle w:val="20"/>
          <w:rFonts w:hint="eastAsia" w:ascii="仿宋" w:hAnsi="仿宋" w:eastAsia="仿宋" w:cs="仿宋"/>
          <w:b w:val="0"/>
          <w:i w:val="0"/>
          <w:caps w:val="0"/>
          <w:spacing w:val="0"/>
          <w:w w:val="100"/>
          <w:kern w:val="2"/>
          <w:sz w:val="32"/>
          <w:szCs w:val="32"/>
          <w:lang w:val="en-US" w:eastAsia="zh-CN" w:bidi="ar-SA"/>
        </w:rPr>
        <w:t>积极作为，助推我县经济社会发展；</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470" w:firstLineChars="147"/>
        <w:jc w:val="both"/>
        <w:textAlignment w:val="baseline"/>
        <w:rPr>
          <w:rStyle w:val="20"/>
          <w:rFonts w:hint="eastAsia" w:ascii="仿宋" w:hAnsi="仿宋" w:eastAsia="仿宋" w:cs="仿宋"/>
          <w:b w:val="0"/>
          <w:bCs w:val="0"/>
          <w:i w:val="0"/>
          <w:caps w:val="0"/>
          <w:color w:val="333333"/>
          <w:spacing w:val="0"/>
          <w:w w:val="100"/>
          <w:kern w:val="2"/>
          <w:sz w:val="32"/>
          <w:szCs w:val="32"/>
          <w:lang w:val="en-US" w:eastAsia="zh-CN" w:bidi="ar-SA"/>
        </w:rPr>
      </w:pPr>
      <w:r>
        <w:rPr>
          <w:rStyle w:val="20"/>
          <w:rFonts w:hint="eastAsia" w:ascii="仿宋" w:hAnsi="仿宋" w:eastAsia="仿宋" w:cs="仿宋"/>
          <w:b w:val="0"/>
          <w:bCs w:val="0"/>
          <w:i w:val="0"/>
          <w:caps w:val="0"/>
          <w:spacing w:val="0"/>
          <w:w w:val="100"/>
          <w:kern w:val="2"/>
          <w:sz w:val="32"/>
          <w:szCs w:val="32"/>
          <w:lang w:val="en-US" w:eastAsia="zh-CN" w:bidi="ar-SA"/>
        </w:rPr>
        <w:t>（二）</w:t>
      </w:r>
      <w:r>
        <w:rPr>
          <w:rStyle w:val="20"/>
          <w:rFonts w:hint="eastAsia" w:ascii="仿宋" w:hAnsi="仿宋" w:eastAsia="仿宋" w:cs="仿宋"/>
          <w:b w:val="0"/>
          <w:i w:val="0"/>
          <w:caps w:val="0"/>
          <w:spacing w:val="0"/>
          <w:w w:val="100"/>
          <w:kern w:val="0"/>
          <w:sz w:val="32"/>
          <w:szCs w:val="32"/>
          <w:lang w:val="en-US" w:eastAsia="zh-CN"/>
        </w:rPr>
        <w:t>深入调研，汇聚发展智慧和力量建言献策；</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150"/>
        <w:jc w:val="both"/>
        <w:textAlignment w:val="baseline"/>
        <w:rPr>
          <w:rStyle w:val="20"/>
          <w:rFonts w:hint="eastAsia" w:ascii="仿宋" w:hAnsi="仿宋" w:eastAsia="仿宋" w:cs="仿宋"/>
          <w:b w:val="0"/>
          <w:bCs w:val="0"/>
          <w:i w:val="0"/>
          <w:caps w:val="0"/>
          <w:spacing w:val="0"/>
          <w:w w:val="100"/>
          <w:kern w:val="2"/>
          <w:sz w:val="32"/>
          <w:szCs w:val="32"/>
          <w:lang w:val="en-US" w:eastAsia="zh-CN" w:bidi="ar-SA"/>
        </w:rPr>
      </w:pPr>
      <w:r>
        <w:rPr>
          <w:rStyle w:val="20"/>
          <w:rFonts w:hint="eastAsia" w:ascii="仿宋" w:hAnsi="仿宋" w:eastAsia="仿宋" w:cs="仿宋"/>
          <w:b w:val="0"/>
          <w:bCs w:val="0"/>
          <w:i w:val="0"/>
          <w:caps w:val="0"/>
          <w:spacing w:val="0"/>
          <w:w w:val="100"/>
          <w:kern w:val="2"/>
          <w:sz w:val="32"/>
          <w:szCs w:val="32"/>
          <w:lang w:val="en-US" w:eastAsia="zh-CN" w:bidi="ar-SA"/>
        </w:rPr>
        <w:t>（三）</w:t>
      </w:r>
      <w:r>
        <w:rPr>
          <w:rStyle w:val="20"/>
          <w:rFonts w:hint="eastAsia" w:ascii="仿宋" w:hAnsi="仿宋" w:eastAsia="仿宋" w:cs="仿宋"/>
          <w:b w:val="0"/>
          <w:i w:val="0"/>
          <w:caps w:val="0"/>
          <w:spacing w:val="0"/>
          <w:w w:val="100"/>
          <w:kern w:val="0"/>
          <w:sz w:val="32"/>
          <w:szCs w:val="32"/>
          <w:lang w:val="en-US" w:eastAsia="zh-CN"/>
        </w:rPr>
        <w:t>加强引导，促进非公经济人士健康成长；</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73" w:firstLineChars="148"/>
        <w:jc w:val="left"/>
        <w:textAlignment w:val="baseline"/>
        <w:rPr>
          <w:rStyle w:val="20"/>
          <w:rFonts w:hint="eastAsia" w:ascii="仿宋" w:hAnsi="仿宋" w:eastAsia="仿宋" w:cs="仿宋"/>
          <w:b/>
          <w:i w:val="0"/>
          <w:caps w:val="0"/>
          <w:color w:val="343233"/>
          <w:spacing w:val="0"/>
          <w:w w:val="100"/>
          <w:kern w:val="0"/>
          <w:sz w:val="32"/>
          <w:szCs w:val="32"/>
          <w:lang w:val="en-US" w:eastAsia="zh-CN" w:bidi="ar-SA"/>
        </w:rPr>
      </w:pPr>
      <w:r>
        <w:rPr>
          <w:rStyle w:val="20"/>
          <w:rFonts w:hint="eastAsia" w:ascii="仿宋" w:hAnsi="仿宋" w:eastAsia="仿宋" w:cs="仿宋"/>
          <w:b w:val="0"/>
          <w:bCs w:val="0"/>
          <w:i w:val="0"/>
          <w:caps w:val="0"/>
          <w:color w:val="343233"/>
          <w:spacing w:val="0"/>
          <w:w w:val="100"/>
          <w:kern w:val="0"/>
          <w:sz w:val="32"/>
          <w:szCs w:val="32"/>
          <w:lang w:val="en-US" w:eastAsia="zh-CN" w:bidi="ar-SA"/>
        </w:rPr>
        <w:t>（四）基层商会工作正常运转，积极发挥作用。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bCs w:val="0"/>
          <w:i w:val="0"/>
          <w:caps w:val="0"/>
          <w:spacing w:val="0"/>
          <w:w w:val="100"/>
          <w:kern w:val="2"/>
          <w:sz w:val="32"/>
          <w:szCs w:val="32"/>
          <w:lang w:val="en-US" w:eastAsia="zh-CN" w:bidi="ar-SA"/>
        </w:rPr>
      </w:pPr>
      <w:r>
        <w:rPr>
          <w:rStyle w:val="20"/>
          <w:rFonts w:hint="eastAsia" w:ascii="仿宋" w:hAnsi="仿宋" w:eastAsia="仿宋" w:cs="仿宋"/>
          <w:b/>
          <w:bCs w:val="0"/>
          <w:i w:val="0"/>
          <w:caps w:val="0"/>
          <w:spacing w:val="0"/>
          <w:w w:val="100"/>
          <w:kern w:val="2"/>
          <w:sz w:val="32"/>
          <w:szCs w:val="32"/>
          <w:lang w:val="en-US" w:eastAsia="zh-CN" w:bidi="ar-SA"/>
        </w:rPr>
        <w:t>六、县工商联履职效益</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2"/>
          <w:rFonts w:hint="eastAsia" w:ascii="仿宋" w:hAnsi="仿宋" w:eastAsia="仿宋" w:cs="仿宋"/>
          <w:b w:val="0"/>
          <w:i w:val="0"/>
          <w:caps w:val="0"/>
          <w:spacing w:val="0"/>
          <w:w w:val="100"/>
          <w:kern w:val="2"/>
          <w:sz w:val="32"/>
          <w:szCs w:val="32"/>
          <w:lang w:val="en-US" w:eastAsia="zh-CN" w:bidi="ar-SA"/>
        </w:rPr>
      </w:pPr>
      <w:r>
        <w:rPr>
          <w:rStyle w:val="22"/>
          <w:rFonts w:hint="eastAsia" w:ascii="仿宋" w:hAnsi="仿宋" w:eastAsia="仿宋" w:cs="仿宋"/>
          <w:b w:val="0"/>
          <w:i w:val="0"/>
          <w:caps w:val="0"/>
          <w:spacing w:val="0"/>
          <w:w w:val="100"/>
          <w:kern w:val="2"/>
          <w:sz w:val="32"/>
          <w:szCs w:val="32"/>
          <w:lang w:val="en-US" w:eastAsia="zh-CN" w:bidi="ar-SA"/>
        </w:rPr>
        <w:t>全面贯彻党的十九大和十九届历次全会精神及习近平总书记系列重要讲话精神，坚持“团结、信任、服务、引导、教育”方针，充分发挥工商联“统战性、经济性、民间性”优势和“桥梁、纽带、助手”作用，认真履职，真抓实干、开拓创新、主动作为，为推动全县经济社会发展做出了重要贡献，尤其在加强教育培训、服务会员发展、推进商会建设、发展光彩事业、构建和谐社会等方面成效明显，使工商联的凝聚力、影响力和执行力得到进一步增强，为促进我县民营经济的健康发展和民营经济人士的健康成长发挥了积极作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0"/>
          <w:rFonts w:hint="eastAsia" w:ascii="仿宋" w:hAnsi="仿宋" w:eastAsia="仿宋" w:cs="仿宋"/>
          <w:b/>
          <w:bCs w:val="0"/>
          <w:i w:val="0"/>
          <w:caps w:val="0"/>
          <w:spacing w:val="0"/>
          <w:w w:val="100"/>
          <w:kern w:val="2"/>
          <w:sz w:val="32"/>
          <w:szCs w:val="32"/>
          <w:lang w:val="en-US" w:eastAsia="zh-CN" w:bidi="ar-SA"/>
        </w:rPr>
      </w:pPr>
      <w:r>
        <w:rPr>
          <w:rStyle w:val="20"/>
          <w:rFonts w:hint="eastAsia" w:ascii="仿宋" w:hAnsi="仿宋" w:eastAsia="仿宋" w:cs="仿宋"/>
          <w:b/>
          <w:bCs w:val="0"/>
          <w:i w:val="0"/>
          <w:caps w:val="0"/>
          <w:spacing w:val="0"/>
          <w:w w:val="100"/>
          <w:kern w:val="2"/>
          <w:sz w:val="32"/>
          <w:szCs w:val="32"/>
          <w:lang w:val="en-US" w:eastAsia="zh-CN" w:bidi="ar-SA"/>
        </w:rPr>
        <w:t>七、绩效自评结论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22"/>
          <w:rFonts w:ascii="仿宋_GB2312" w:eastAsia="仿宋_GB2312"/>
          <w:b w:val="0"/>
          <w:i w:val="0"/>
          <w:caps w:val="0"/>
          <w:spacing w:val="0"/>
          <w:w w:val="100"/>
          <w:kern w:val="2"/>
          <w:sz w:val="32"/>
          <w:szCs w:val="32"/>
          <w:lang w:val="en-US" w:eastAsia="zh-CN" w:bidi="ar-SA"/>
        </w:rPr>
      </w:pPr>
      <w:r>
        <w:rPr>
          <w:rStyle w:val="20"/>
          <w:rFonts w:hint="eastAsia" w:ascii="仿宋" w:hAnsi="仿宋" w:eastAsia="仿宋" w:cs="仿宋"/>
          <w:b w:val="0"/>
          <w:i w:val="0"/>
          <w:caps w:val="0"/>
          <w:spacing w:val="0"/>
          <w:w w:val="100"/>
          <w:kern w:val="2"/>
          <w:sz w:val="32"/>
          <w:szCs w:val="32"/>
          <w:lang w:val="en-US" w:eastAsia="zh-CN" w:bidi="ar-SA"/>
        </w:rPr>
        <w:t>经自评，2021年度我单位部门整体支出绩效评价结论为“优”， 自查评分为90分。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3" w:firstLineChars="148"/>
        <w:jc w:val="left"/>
        <w:textAlignment w:val="baseline"/>
        <w:rPr>
          <w:rStyle w:val="20"/>
          <w:rFonts w:ascii="仿宋" w:hAnsi="仿宋" w:eastAsia="仿宋"/>
          <w:b w:val="0"/>
          <w:i w:val="0"/>
          <w:caps w:val="0"/>
          <w:color w:val="343233"/>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73" w:firstLineChars="148"/>
        <w:jc w:val="left"/>
        <w:textAlignment w:val="baseline"/>
        <w:rPr>
          <w:rStyle w:val="20"/>
          <w:rFonts w:ascii="仿宋" w:hAnsi="仿宋" w:eastAsia="仿宋"/>
          <w:b w:val="0"/>
          <w:i w:val="0"/>
          <w:caps w:val="0"/>
          <w:color w:val="343233"/>
          <w:spacing w:val="0"/>
          <w:w w:val="100"/>
          <w:kern w:val="0"/>
          <w:sz w:val="32"/>
          <w:szCs w:val="32"/>
          <w:lang w:val="en-US" w:eastAsia="zh-CN" w:bidi="ar-SA"/>
        </w:rPr>
      </w:pPr>
      <w:r>
        <w:rPr>
          <w:rStyle w:val="20"/>
          <w:rFonts w:ascii="仿宋" w:hAnsi="仿宋" w:eastAsia="仿宋"/>
          <w:b w:val="0"/>
          <w:i w:val="0"/>
          <w:caps w:val="0"/>
          <w:color w:val="343233"/>
          <w:spacing w:val="0"/>
          <w:w w:val="100"/>
          <w:kern w:val="0"/>
          <w:sz w:val="32"/>
          <w:szCs w:val="32"/>
          <w:lang w:val="en-US" w:eastAsia="zh-CN" w:bidi="ar-SA"/>
        </w:rPr>
        <w:t xml:space="preserve">      </w:t>
      </w:r>
    </w:p>
    <w:p>
      <w:pPr>
        <w:ind w:firstLine="640" w:firstLineChars="200"/>
        <w:jc w:val="left"/>
        <w:rPr>
          <w:rFonts w:ascii="宋体" w:cs="黑体"/>
          <w:color w:val="000000"/>
          <w:kern w:val="0"/>
          <w:sz w:val="32"/>
          <w:szCs w:val="32"/>
        </w:rPr>
      </w:pPr>
      <w:r>
        <w:rPr>
          <w:rStyle w:val="20"/>
          <w:rFonts w:ascii="仿宋" w:hAnsi="仿宋" w:eastAsia="仿宋"/>
          <w:b w:val="0"/>
          <w:i w:val="0"/>
          <w:caps w:val="0"/>
          <w:color w:val="343233"/>
          <w:spacing w:val="0"/>
          <w:w w:val="100"/>
          <w:kern w:val="0"/>
          <w:sz w:val="32"/>
          <w:szCs w:val="32"/>
          <w:lang w:val="en-US" w:eastAsia="zh-CN" w:bidi="ar-SA"/>
        </w:rPr>
        <w:t>　　　　　　　　　　　　　　</w:t>
      </w:r>
      <w:r>
        <w:rPr>
          <w:rStyle w:val="20"/>
          <w:rFonts w:hint="eastAsia" w:ascii="仿宋" w:hAnsi="仿宋" w:eastAsia="仿宋"/>
          <w:b w:val="0"/>
          <w:i w:val="0"/>
          <w:caps w:val="0"/>
          <w:color w:val="343233"/>
          <w:spacing w:val="0"/>
          <w:w w:val="100"/>
          <w:kern w:val="0"/>
          <w:sz w:val="32"/>
          <w:szCs w:val="32"/>
          <w:lang w:val="en-US" w:eastAsia="zh-CN" w:bidi="ar-SA"/>
        </w:rPr>
        <w:t xml:space="preserve">          </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B8CCF"/>
    <w:multiLevelType w:val="singleLevel"/>
    <w:tmpl w:val="062B8CCF"/>
    <w:lvl w:ilvl="0" w:tentative="0">
      <w:start w:val="2"/>
      <w:numFmt w:val="chineseCounting"/>
      <w:suff w:val="nothing"/>
      <w:lvlText w:val="（%1）"/>
      <w:lvlJc w:val="left"/>
      <w:rPr>
        <w:rFonts w:hint="eastAsia"/>
      </w:rPr>
    </w:lvl>
  </w:abstractNum>
  <w:abstractNum w:abstractNumId="1">
    <w:nsid w:val="372677C0"/>
    <w:multiLevelType w:val="singleLevel"/>
    <w:tmpl w:val="372677C0"/>
    <w:lvl w:ilvl="0" w:tentative="0">
      <w:start w:val="3"/>
      <w:numFmt w:val="decimal"/>
      <w:suff w:val="nothing"/>
      <w:lvlText w:val="（%1）"/>
      <w:lvlJc w:val="left"/>
      <w:rPr>
        <w:rFonts w:cs="Times New Roman"/>
      </w:rPr>
    </w:lvl>
  </w:abstractNum>
  <w:abstractNum w:abstractNumId="2">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65F9CDC7"/>
    <w:multiLevelType w:val="singleLevel"/>
    <w:tmpl w:val="65F9CDC7"/>
    <w:lvl w:ilvl="0" w:tentative="0">
      <w:start w:val="1"/>
      <w:numFmt w:val="chineseCounting"/>
      <w:suff w:val="nothing"/>
      <w:lvlText w:val="（%1）"/>
      <w:lvlJc w:val="left"/>
      <w:rPr>
        <w:rFonts w:hint="eastAsia"/>
      </w:rPr>
    </w:lvl>
  </w:abstractNum>
  <w:abstractNum w:abstractNumId="4">
    <w:nsid w:val="7E9A7E2A"/>
    <w:multiLevelType w:val="singleLevel"/>
    <w:tmpl w:val="7E9A7E2A"/>
    <w:lvl w:ilvl="0" w:tentative="0">
      <w:start w:val="5"/>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ZWQ5YzA0NDZhYzUwZTVmNWYyODI1OWNiMGIzYmMifQ=="/>
  </w:docVars>
  <w:rsids>
    <w:rsidRoot w:val="004506F9"/>
    <w:rsid w:val="0002229B"/>
    <w:rsid w:val="000273BD"/>
    <w:rsid w:val="000415B7"/>
    <w:rsid w:val="00041E3F"/>
    <w:rsid w:val="000470F0"/>
    <w:rsid w:val="00055DAA"/>
    <w:rsid w:val="00061F7B"/>
    <w:rsid w:val="00064AF7"/>
    <w:rsid w:val="000658A3"/>
    <w:rsid w:val="00074155"/>
    <w:rsid w:val="000873EF"/>
    <w:rsid w:val="000A3F69"/>
    <w:rsid w:val="000C095D"/>
    <w:rsid w:val="000C201E"/>
    <w:rsid w:val="000D4500"/>
    <w:rsid w:val="00101B6E"/>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1D52"/>
    <w:rsid w:val="00264552"/>
    <w:rsid w:val="00264EF9"/>
    <w:rsid w:val="00265724"/>
    <w:rsid w:val="0027426B"/>
    <w:rsid w:val="002E0A30"/>
    <w:rsid w:val="003130C4"/>
    <w:rsid w:val="00316C4B"/>
    <w:rsid w:val="0032192B"/>
    <w:rsid w:val="003409BB"/>
    <w:rsid w:val="003479BD"/>
    <w:rsid w:val="0037197D"/>
    <w:rsid w:val="00376751"/>
    <w:rsid w:val="003768D5"/>
    <w:rsid w:val="003C4197"/>
    <w:rsid w:val="003C47E6"/>
    <w:rsid w:val="003C4FC2"/>
    <w:rsid w:val="003E2331"/>
    <w:rsid w:val="00415AB4"/>
    <w:rsid w:val="00416E61"/>
    <w:rsid w:val="00424C94"/>
    <w:rsid w:val="0042790C"/>
    <w:rsid w:val="004506F9"/>
    <w:rsid w:val="004717A2"/>
    <w:rsid w:val="00473DF3"/>
    <w:rsid w:val="00487911"/>
    <w:rsid w:val="00491741"/>
    <w:rsid w:val="004B0CEE"/>
    <w:rsid w:val="004B1FDE"/>
    <w:rsid w:val="004D7768"/>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45D80"/>
    <w:rsid w:val="00651EEC"/>
    <w:rsid w:val="00686673"/>
    <w:rsid w:val="00691E8C"/>
    <w:rsid w:val="006A22C4"/>
    <w:rsid w:val="006A348B"/>
    <w:rsid w:val="006A351B"/>
    <w:rsid w:val="006A4355"/>
    <w:rsid w:val="006B0422"/>
    <w:rsid w:val="006C1B53"/>
    <w:rsid w:val="006D7730"/>
    <w:rsid w:val="006E296E"/>
    <w:rsid w:val="006E5284"/>
    <w:rsid w:val="006F3EB5"/>
    <w:rsid w:val="00702E34"/>
    <w:rsid w:val="00704395"/>
    <w:rsid w:val="00710FE7"/>
    <w:rsid w:val="00713D8A"/>
    <w:rsid w:val="00717621"/>
    <w:rsid w:val="00720FF1"/>
    <w:rsid w:val="00727A53"/>
    <w:rsid w:val="007412B6"/>
    <w:rsid w:val="007453A1"/>
    <w:rsid w:val="00787B42"/>
    <w:rsid w:val="007C4539"/>
    <w:rsid w:val="007F3657"/>
    <w:rsid w:val="00812ED5"/>
    <w:rsid w:val="00820B48"/>
    <w:rsid w:val="008277D9"/>
    <w:rsid w:val="0084478C"/>
    <w:rsid w:val="0086638C"/>
    <w:rsid w:val="008A3E8D"/>
    <w:rsid w:val="009237C4"/>
    <w:rsid w:val="00944C48"/>
    <w:rsid w:val="00950252"/>
    <w:rsid w:val="00967F5D"/>
    <w:rsid w:val="00975D41"/>
    <w:rsid w:val="009A0F95"/>
    <w:rsid w:val="009B3ADF"/>
    <w:rsid w:val="009B62B2"/>
    <w:rsid w:val="009C3B52"/>
    <w:rsid w:val="009E6817"/>
    <w:rsid w:val="009E6E9A"/>
    <w:rsid w:val="00A01D2B"/>
    <w:rsid w:val="00A42218"/>
    <w:rsid w:val="00A70249"/>
    <w:rsid w:val="00A70B02"/>
    <w:rsid w:val="00A71D9F"/>
    <w:rsid w:val="00A92E9F"/>
    <w:rsid w:val="00B33BEA"/>
    <w:rsid w:val="00B57C9F"/>
    <w:rsid w:val="00B63572"/>
    <w:rsid w:val="00B7147A"/>
    <w:rsid w:val="00B845B3"/>
    <w:rsid w:val="00B85CB5"/>
    <w:rsid w:val="00B85D8B"/>
    <w:rsid w:val="00B957D4"/>
    <w:rsid w:val="00BB4A40"/>
    <w:rsid w:val="00BD6C3E"/>
    <w:rsid w:val="00BE3674"/>
    <w:rsid w:val="00C10681"/>
    <w:rsid w:val="00C3049A"/>
    <w:rsid w:val="00C31B1E"/>
    <w:rsid w:val="00C73190"/>
    <w:rsid w:val="00C77645"/>
    <w:rsid w:val="00CD576B"/>
    <w:rsid w:val="00CE04C3"/>
    <w:rsid w:val="00CE0C2D"/>
    <w:rsid w:val="00CE2FE7"/>
    <w:rsid w:val="00CE76A0"/>
    <w:rsid w:val="00D01F85"/>
    <w:rsid w:val="00D148C6"/>
    <w:rsid w:val="00D17A8A"/>
    <w:rsid w:val="00D2143C"/>
    <w:rsid w:val="00D415BA"/>
    <w:rsid w:val="00D63780"/>
    <w:rsid w:val="00D644EE"/>
    <w:rsid w:val="00D75489"/>
    <w:rsid w:val="00DD06FF"/>
    <w:rsid w:val="00DD5FE9"/>
    <w:rsid w:val="00DF4B04"/>
    <w:rsid w:val="00E00C7A"/>
    <w:rsid w:val="00E209CF"/>
    <w:rsid w:val="00E37D6C"/>
    <w:rsid w:val="00E55B68"/>
    <w:rsid w:val="00E6244A"/>
    <w:rsid w:val="00E67BE6"/>
    <w:rsid w:val="00E8683C"/>
    <w:rsid w:val="00EA2B72"/>
    <w:rsid w:val="00EC1C42"/>
    <w:rsid w:val="00F35DC2"/>
    <w:rsid w:val="00F74360"/>
    <w:rsid w:val="00FB462F"/>
    <w:rsid w:val="00FE16FA"/>
    <w:rsid w:val="00FE328A"/>
    <w:rsid w:val="00FE6269"/>
    <w:rsid w:val="00FF5CD6"/>
    <w:rsid w:val="014E01BA"/>
    <w:rsid w:val="01FD360B"/>
    <w:rsid w:val="049C6F20"/>
    <w:rsid w:val="05613619"/>
    <w:rsid w:val="064E5836"/>
    <w:rsid w:val="073A1B28"/>
    <w:rsid w:val="0FD009E4"/>
    <w:rsid w:val="10DB3291"/>
    <w:rsid w:val="1193262F"/>
    <w:rsid w:val="1333691B"/>
    <w:rsid w:val="1528692B"/>
    <w:rsid w:val="18AF03E0"/>
    <w:rsid w:val="18B17B7F"/>
    <w:rsid w:val="1A0F70F3"/>
    <w:rsid w:val="1CF22438"/>
    <w:rsid w:val="1E8E3CED"/>
    <w:rsid w:val="1F0F7AE8"/>
    <w:rsid w:val="20341CC5"/>
    <w:rsid w:val="2076109D"/>
    <w:rsid w:val="28DC5C6A"/>
    <w:rsid w:val="29C26B70"/>
    <w:rsid w:val="2A9827BB"/>
    <w:rsid w:val="2B022832"/>
    <w:rsid w:val="2B164955"/>
    <w:rsid w:val="2C7147BB"/>
    <w:rsid w:val="2CAD1BE2"/>
    <w:rsid w:val="2D0A53BD"/>
    <w:rsid w:val="2D193F26"/>
    <w:rsid w:val="33E705A6"/>
    <w:rsid w:val="36624375"/>
    <w:rsid w:val="3775168B"/>
    <w:rsid w:val="3D7C367D"/>
    <w:rsid w:val="42EB499C"/>
    <w:rsid w:val="43592142"/>
    <w:rsid w:val="440028DC"/>
    <w:rsid w:val="453C50DC"/>
    <w:rsid w:val="45E11F70"/>
    <w:rsid w:val="53213874"/>
    <w:rsid w:val="54503203"/>
    <w:rsid w:val="547E6196"/>
    <w:rsid w:val="55F5199E"/>
    <w:rsid w:val="572D3C16"/>
    <w:rsid w:val="58BA6694"/>
    <w:rsid w:val="58D06B21"/>
    <w:rsid w:val="5AA322CD"/>
    <w:rsid w:val="5CC50591"/>
    <w:rsid w:val="5D3D7C90"/>
    <w:rsid w:val="5D6A6D09"/>
    <w:rsid w:val="6034218B"/>
    <w:rsid w:val="61037A96"/>
    <w:rsid w:val="612B3EAD"/>
    <w:rsid w:val="61993AC5"/>
    <w:rsid w:val="61E1525C"/>
    <w:rsid w:val="64A35E0A"/>
    <w:rsid w:val="665B5EF5"/>
    <w:rsid w:val="6A1914FC"/>
    <w:rsid w:val="6A6C5CA9"/>
    <w:rsid w:val="6AA171E9"/>
    <w:rsid w:val="6B8F0831"/>
    <w:rsid w:val="6D07281F"/>
    <w:rsid w:val="6E4A1AA0"/>
    <w:rsid w:val="6F1357CF"/>
    <w:rsid w:val="70FF3672"/>
    <w:rsid w:val="74982505"/>
    <w:rsid w:val="774448C1"/>
    <w:rsid w:val="77CF40F9"/>
    <w:rsid w:val="7953335A"/>
    <w:rsid w:val="7AD72859"/>
    <w:rsid w:val="7C562FD2"/>
    <w:rsid w:val="7CC145C3"/>
    <w:rsid w:val="7D660EB7"/>
    <w:rsid w:val="7DB94306"/>
    <w:rsid w:val="7E223E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after="120"/>
    </w:pPr>
  </w:style>
  <w:style w:type="paragraph" w:styleId="3">
    <w:name w:val="toc 5"/>
    <w:basedOn w:val="1"/>
    <w:next w:val="1"/>
    <w:qFormat/>
    <w:locked/>
    <w:uiPriority w:val="0"/>
    <w:pPr>
      <w:ind w:left="1680" w:leftChars="800"/>
    </w:pPr>
    <w:rPr>
      <w:rFonts w:ascii="Times New Roman" w:hAnsi="Times New Roman"/>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w:basedOn w:val="2"/>
    <w:link w:val="15"/>
    <w:qFormat/>
    <w:uiPriority w:val="99"/>
    <w:pPr>
      <w:ind w:firstLine="420" w:firstLineChars="100"/>
    </w:pPr>
  </w:style>
  <w:style w:type="character" w:customStyle="1" w:styleId="11">
    <w:name w:val="Body Text Char"/>
    <w:basedOn w:val="10"/>
    <w:link w:val="2"/>
    <w:semiHidden/>
    <w:qFormat/>
    <w:locked/>
    <w:uiPriority w:val="99"/>
    <w:rPr>
      <w:rFonts w:cs="Times New Roman"/>
    </w:rPr>
  </w:style>
  <w:style w:type="character" w:customStyle="1" w:styleId="12">
    <w:name w:val="Balloon Text Char"/>
    <w:basedOn w:val="10"/>
    <w:link w:val="4"/>
    <w:semiHidden/>
    <w:qFormat/>
    <w:locked/>
    <w:uiPriority w:val="99"/>
    <w:rPr>
      <w:rFonts w:cs="Times New Roman"/>
      <w:sz w:val="18"/>
      <w:szCs w:val="18"/>
    </w:rPr>
  </w:style>
  <w:style w:type="character" w:customStyle="1" w:styleId="13">
    <w:name w:val="Footer Char"/>
    <w:basedOn w:val="10"/>
    <w:link w:val="5"/>
    <w:qFormat/>
    <w:locked/>
    <w:uiPriority w:val="99"/>
    <w:rPr>
      <w:rFonts w:cs="Times New Roman"/>
      <w:sz w:val="18"/>
      <w:szCs w:val="18"/>
    </w:rPr>
  </w:style>
  <w:style w:type="character" w:customStyle="1" w:styleId="14">
    <w:name w:val="Header Char"/>
    <w:basedOn w:val="10"/>
    <w:link w:val="6"/>
    <w:qFormat/>
    <w:locked/>
    <w:uiPriority w:val="99"/>
    <w:rPr>
      <w:rFonts w:cs="Times New Roman"/>
      <w:sz w:val="18"/>
      <w:szCs w:val="18"/>
    </w:rPr>
  </w:style>
  <w:style w:type="character" w:customStyle="1" w:styleId="15">
    <w:name w:val="Body Text First Indent Char"/>
    <w:basedOn w:val="11"/>
    <w:link w:val="8"/>
    <w:semiHidden/>
    <w:qFormat/>
    <w:locked/>
    <w:uiPriority w:val="99"/>
  </w:style>
  <w:style w:type="paragraph" w:customStyle="1" w:styleId="16">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7">
    <w:name w:val="List Paragraph"/>
    <w:basedOn w:val="1"/>
    <w:qFormat/>
    <w:uiPriority w:val="99"/>
    <w:pPr>
      <w:ind w:firstLine="420" w:firstLineChars="200"/>
    </w:pPr>
  </w:style>
  <w:style w:type="paragraph" w:customStyle="1" w:styleId="18">
    <w:name w:val="p0"/>
    <w:basedOn w:val="1"/>
    <w:qFormat/>
    <w:uiPriority w:val="0"/>
    <w:pPr>
      <w:spacing w:line="365" w:lineRule="atLeast"/>
      <w:ind w:left="1"/>
      <w:jc w:val="both"/>
    </w:pPr>
    <w:rPr>
      <w:rFonts w:ascii="Times New Roman" w:hAnsi="Times New Roman" w:cs="Times New Roman"/>
      <w:sz w:val="20"/>
      <w:szCs w:val="20"/>
    </w:rPr>
  </w:style>
  <w:style w:type="paragraph" w:customStyle="1" w:styleId="19">
    <w:name w:val="Heading1"/>
    <w:basedOn w:val="1"/>
    <w:next w:val="1"/>
    <w:qFormat/>
    <w:uiPriority w:val="0"/>
    <w:pPr>
      <w:keepNext/>
      <w:keepLines/>
      <w:spacing w:before="340" w:after="330" w:line="576" w:lineRule="auto"/>
      <w:jc w:val="both"/>
      <w:textAlignment w:val="baseline"/>
    </w:pPr>
    <w:rPr>
      <w:rFonts w:eastAsia="宋体"/>
      <w:b/>
      <w:kern w:val="44"/>
      <w:sz w:val="44"/>
      <w:szCs w:val="24"/>
      <w:lang w:val="en-US" w:eastAsia="zh-CN" w:bidi="ar-SA"/>
    </w:rPr>
  </w:style>
  <w:style w:type="character" w:customStyle="1" w:styleId="20">
    <w:name w:val="NormalCharacter"/>
    <w:link w:val="1"/>
    <w:qFormat/>
    <w:uiPriority w:val="0"/>
    <w:rPr>
      <w:rFonts w:ascii="Calibri" w:hAnsi="Calibri" w:eastAsia="宋体" w:cs="Times New Roman"/>
      <w:kern w:val="2"/>
      <w:sz w:val="21"/>
      <w:szCs w:val="22"/>
      <w:lang w:val="en-US" w:eastAsia="zh-CN" w:bidi="ar-SA"/>
    </w:rPr>
  </w:style>
  <w:style w:type="paragraph" w:customStyle="1" w:styleId="21">
    <w:name w:val="HtmlNormal"/>
    <w:basedOn w:val="1"/>
    <w:qFormat/>
    <w:uiPriority w:val="0"/>
    <w:pPr>
      <w:spacing w:before="100" w:beforeAutospacing="1" w:after="100" w:afterAutospacing="1"/>
      <w:jc w:val="both"/>
      <w:textAlignment w:val="baseline"/>
    </w:pPr>
    <w:rPr>
      <w:rFonts w:ascii="宋体" w:eastAsia="宋体"/>
      <w:kern w:val="2"/>
      <w:sz w:val="24"/>
      <w:szCs w:val="24"/>
      <w:lang w:val="en-US" w:eastAsia="zh-CN" w:bidi="ar-SA"/>
    </w:rPr>
  </w:style>
  <w:style w:type="character" w:customStyle="1" w:styleId="22">
    <w:name w:val="UserStyle_0"/>
    <w:link w:val="1"/>
    <w:semiHidden/>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33</Pages>
  <Words>11431</Words>
  <Characters>13377</Characters>
  <Lines>0</Lines>
  <Paragraphs>0</Paragraphs>
  <TotalTime>1</TotalTime>
  <ScaleCrop>false</ScaleCrop>
  <LinksUpToDate>false</LinksUpToDate>
  <CharactersWithSpaces>13851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2023-09-25T01:22:09Z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CFB4C17A6E5E456DBDC6EB570295B281</vt:lpwstr>
  </property>
</Properties>
</file>