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sz w:val="84"/>
          <w:szCs w:val="84"/>
        </w:rPr>
      </w:pPr>
    </w:p>
    <w:p>
      <w:pPr>
        <w:pStyle w:val="16"/>
        <w:jc w:val="center"/>
        <w:rPr>
          <w:sz w:val="84"/>
          <w:szCs w:val="84"/>
        </w:rPr>
      </w:pPr>
      <w:r>
        <w:rPr>
          <w:sz w:val="84"/>
          <w:szCs w:val="84"/>
        </w:rPr>
        <w:t>2021</w:t>
      </w:r>
      <w:r>
        <w:rPr>
          <w:rFonts w:hint="eastAsia"/>
          <w:sz w:val="84"/>
          <w:szCs w:val="84"/>
        </w:rPr>
        <w:t>年度</w:t>
      </w:r>
    </w:p>
    <w:p>
      <w:pPr>
        <w:pStyle w:val="16"/>
        <w:jc w:val="center"/>
        <w:rPr>
          <w:rFonts w:hint="eastAsia"/>
          <w:sz w:val="84"/>
          <w:szCs w:val="84"/>
        </w:rPr>
      </w:pPr>
      <w:r>
        <w:rPr>
          <w:rFonts w:hint="eastAsia"/>
          <w:sz w:val="84"/>
          <w:szCs w:val="84"/>
        </w:rPr>
        <w:t>中共会同县委宣传部</w:t>
      </w:r>
    </w:p>
    <w:p>
      <w:pPr>
        <w:pStyle w:val="16"/>
        <w:jc w:val="center"/>
        <w:rPr>
          <w:sz w:val="84"/>
          <w:szCs w:val="84"/>
        </w:rPr>
      </w:pPr>
      <w:r>
        <w:rPr>
          <w:rFonts w:hint="eastAsia"/>
          <w:sz w:val="84"/>
          <w:szCs w:val="84"/>
        </w:rPr>
        <w:t>部门决算</w:t>
      </w: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spacing w:line="500" w:lineRule="exact"/>
        <w:jc w:val="both"/>
        <w:rPr>
          <w:b/>
          <w:sz w:val="36"/>
          <w:szCs w:val="28"/>
        </w:rPr>
      </w:pPr>
    </w:p>
    <w:p>
      <w:pPr>
        <w:pStyle w:val="16"/>
        <w:spacing w:line="500" w:lineRule="exact"/>
        <w:jc w:val="both"/>
        <w:rPr>
          <w:b/>
          <w:sz w:val="36"/>
          <w:szCs w:val="28"/>
        </w:rPr>
      </w:pPr>
    </w:p>
    <w:p>
      <w:pPr>
        <w:pStyle w:val="16"/>
        <w:spacing w:line="500" w:lineRule="exact"/>
        <w:jc w:val="center"/>
        <w:rPr>
          <w:b/>
          <w:sz w:val="36"/>
          <w:szCs w:val="28"/>
        </w:rPr>
      </w:pPr>
      <w:r>
        <w:rPr>
          <w:rFonts w:hint="eastAsia"/>
          <w:b/>
          <w:sz w:val="36"/>
          <w:szCs w:val="28"/>
        </w:rPr>
        <w:t>目录</w:t>
      </w:r>
    </w:p>
    <w:p>
      <w:pPr>
        <w:pStyle w:val="16"/>
        <w:spacing w:line="500" w:lineRule="exact"/>
        <w:rPr>
          <w:rFonts w:ascii="仿宋_GB2312" w:eastAsia="仿宋_GB2312" w:cs="仿宋_GB2312"/>
          <w:b/>
          <w:sz w:val="28"/>
          <w:szCs w:val="28"/>
        </w:rPr>
      </w:pPr>
      <w:r>
        <w:rPr>
          <w:rFonts w:hint="eastAsia"/>
          <w:b/>
          <w:sz w:val="28"/>
          <w:szCs w:val="28"/>
        </w:rPr>
        <w:t>第一部分单位概况</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6"/>
        <w:spacing w:line="500" w:lineRule="exact"/>
        <w:ind w:firstLine="700" w:firstLineChars="250"/>
        <w:rPr>
          <w:rFonts w:hint="default" w:ascii="宋体" w:hAnsi="宋体" w:eastAsia="宋体" w:cs="仿宋_GB2312"/>
          <w:sz w:val="28"/>
          <w:szCs w:val="28"/>
          <w:lang w:val="en-US" w:eastAsia="zh-CN"/>
        </w:rPr>
      </w:pPr>
      <w:r>
        <w:rPr>
          <w:rFonts w:hint="eastAsia" w:ascii="宋体" w:hAnsi="宋体" w:eastAsia="宋体" w:cs="仿宋_GB2312"/>
          <w:sz w:val="28"/>
          <w:szCs w:val="28"/>
        </w:rPr>
        <w:t>二、机构设置</w:t>
      </w:r>
      <w:r>
        <w:rPr>
          <w:rFonts w:hint="eastAsia" w:ascii="宋体" w:hAnsi="宋体" w:eastAsia="宋体" w:cs="仿宋_GB2312"/>
          <w:sz w:val="28"/>
          <w:szCs w:val="28"/>
          <w:lang w:val="en-US" w:eastAsia="zh-CN"/>
        </w:rPr>
        <w:t>及决算单位构成</w:t>
      </w:r>
    </w:p>
    <w:p>
      <w:pPr>
        <w:pStyle w:val="16"/>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6"/>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6"/>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九、机关运行经费支出说明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6"/>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十二、国有资产占用情况说明</w:t>
      </w:r>
    </w:p>
    <w:p>
      <w:pPr>
        <w:pStyle w:val="16"/>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6"/>
        <w:jc w:val="center"/>
        <w:rPr>
          <w:rFonts w:hint="eastAsia" w:eastAsia="黑体"/>
          <w:sz w:val="84"/>
          <w:szCs w:val="84"/>
          <w:lang w:eastAsia="zh-CN"/>
        </w:rPr>
      </w:pPr>
      <w:r>
        <w:rPr>
          <w:rFonts w:hint="eastAsia"/>
          <w:sz w:val="84"/>
          <w:szCs w:val="84"/>
        </w:rPr>
        <w:t>第一部分</w:t>
      </w:r>
    </w:p>
    <w:p>
      <w:pPr>
        <w:pStyle w:val="16"/>
        <w:jc w:val="center"/>
        <w:rPr>
          <w:sz w:val="84"/>
          <w:szCs w:val="84"/>
        </w:rPr>
      </w:pPr>
    </w:p>
    <w:p>
      <w:pPr>
        <w:pStyle w:val="16"/>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7"/>
        <w:ind w:left="720" w:firstLine="0" w:firstLineChars="0"/>
        <w:jc w:val="left"/>
        <w:rPr>
          <w:rFonts w:ascii="黑体" w:hAnsi="黑体" w:eastAsia="黑体"/>
          <w:sz w:val="32"/>
          <w:szCs w:val="32"/>
        </w:rPr>
      </w:pPr>
    </w:p>
    <w:p>
      <w:pPr>
        <w:pStyle w:val="17"/>
        <w:ind w:left="720" w:firstLine="0" w:firstLineChars="0"/>
        <w:jc w:val="left"/>
        <w:rPr>
          <w:rFonts w:ascii="黑体" w:hAnsi="黑体" w:eastAsia="黑体"/>
          <w:sz w:val="32"/>
          <w:szCs w:val="32"/>
        </w:rPr>
      </w:pPr>
    </w:p>
    <w:p>
      <w:pPr>
        <w:pStyle w:val="17"/>
        <w:ind w:left="720" w:firstLine="0" w:firstLineChars="0"/>
        <w:jc w:val="left"/>
        <w:rPr>
          <w:rFonts w:ascii="黑体" w:hAnsi="黑体" w:eastAsia="黑体"/>
          <w:sz w:val="32"/>
          <w:szCs w:val="32"/>
        </w:rPr>
      </w:pPr>
    </w:p>
    <w:p>
      <w:pPr>
        <w:pStyle w:val="17"/>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widowControl/>
        <w:spacing w:line="600" w:lineRule="exact"/>
        <w:rPr>
          <w:rFonts w:ascii="宋体" w:hAnsi="宋体"/>
          <w:sz w:val="32"/>
          <w:szCs w:val="32"/>
        </w:rPr>
      </w:pPr>
      <w:r>
        <w:rPr>
          <w:rFonts w:hint="eastAsia" w:ascii="宋体" w:hAnsi="宋体"/>
          <w:sz w:val="32"/>
          <w:szCs w:val="32"/>
        </w:rPr>
        <w:t>（一）拟定全县宣传思想文化工作规划；</w:t>
      </w:r>
    </w:p>
    <w:p>
      <w:pPr>
        <w:widowControl/>
        <w:spacing w:line="600" w:lineRule="exact"/>
        <w:rPr>
          <w:rFonts w:ascii="宋体" w:hAnsi="宋体"/>
          <w:sz w:val="32"/>
          <w:szCs w:val="32"/>
        </w:rPr>
      </w:pPr>
      <w:r>
        <w:rPr>
          <w:rFonts w:hint="eastAsia" w:ascii="宋体" w:hAnsi="宋体"/>
          <w:sz w:val="32"/>
          <w:szCs w:val="32"/>
        </w:rPr>
        <w:t>（二）统筹协调全县党的意识形态工作；</w:t>
      </w:r>
    </w:p>
    <w:p>
      <w:pPr>
        <w:widowControl/>
        <w:spacing w:line="600" w:lineRule="exact"/>
        <w:rPr>
          <w:rFonts w:ascii="宋体" w:hAnsi="宋体"/>
          <w:sz w:val="32"/>
          <w:szCs w:val="32"/>
        </w:rPr>
      </w:pPr>
      <w:r>
        <w:rPr>
          <w:rFonts w:hint="eastAsia" w:ascii="宋体" w:hAnsi="宋体"/>
          <w:sz w:val="32"/>
          <w:szCs w:val="32"/>
        </w:rPr>
        <w:t>（三）统筹指导协调全县理论学习、理论宣传、理论研究工作，组织</w:t>
      </w:r>
    </w:p>
    <w:p>
      <w:pPr>
        <w:widowControl/>
        <w:spacing w:line="600" w:lineRule="exact"/>
        <w:rPr>
          <w:rFonts w:ascii="宋体" w:hAnsi="宋体"/>
          <w:sz w:val="32"/>
          <w:szCs w:val="32"/>
        </w:rPr>
      </w:pPr>
      <w:r>
        <w:rPr>
          <w:rFonts w:hint="eastAsia" w:ascii="宋体" w:hAnsi="宋体"/>
          <w:sz w:val="32"/>
          <w:szCs w:val="32"/>
        </w:rPr>
        <w:t>推动理论武装工作；</w:t>
      </w:r>
    </w:p>
    <w:p>
      <w:pPr>
        <w:widowControl/>
        <w:spacing w:line="600" w:lineRule="exact"/>
        <w:rPr>
          <w:rFonts w:ascii="宋体" w:hAnsi="宋体"/>
          <w:sz w:val="32"/>
          <w:szCs w:val="32"/>
        </w:rPr>
      </w:pPr>
      <w:r>
        <w:rPr>
          <w:rFonts w:hint="eastAsia" w:ascii="宋体" w:hAnsi="宋体"/>
          <w:sz w:val="32"/>
          <w:szCs w:val="32"/>
        </w:rPr>
        <w:t>（四）负责规划组织全局性思想政治工作；</w:t>
      </w:r>
    </w:p>
    <w:p>
      <w:pPr>
        <w:widowControl/>
        <w:spacing w:line="600" w:lineRule="exact"/>
        <w:rPr>
          <w:rFonts w:ascii="宋体" w:hAnsi="宋体"/>
          <w:sz w:val="32"/>
          <w:szCs w:val="32"/>
        </w:rPr>
      </w:pPr>
      <w:r>
        <w:rPr>
          <w:rFonts w:hint="eastAsia" w:ascii="宋体" w:hAnsi="宋体"/>
          <w:sz w:val="32"/>
          <w:szCs w:val="32"/>
        </w:rPr>
        <w:t>（五）统筹分析研判和引导社会舆论；</w:t>
      </w:r>
    </w:p>
    <w:p>
      <w:pPr>
        <w:widowControl/>
        <w:spacing w:line="600" w:lineRule="exact"/>
        <w:rPr>
          <w:rFonts w:ascii="宋体" w:hAnsi="宋体"/>
          <w:sz w:val="32"/>
          <w:szCs w:val="32"/>
        </w:rPr>
      </w:pPr>
      <w:r>
        <w:rPr>
          <w:rFonts w:hint="eastAsia" w:ascii="宋体" w:hAnsi="宋体"/>
          <w:sz w:val="32"/>
          <w:szCs w:val="32"/>
        </w:rPr>
        <w:t>（六）拟定全县新闻出版业的管理政策并督促落实；</w:t>
      </w:r>
    </w:p>
    <w:p>
      <w:pPr>
        <w:widowControl/>
        <w:spacing w:line="600" w:lineRule="exact"/>
        <w:rPr>
          <w:rFonts w:ascii="宋体" w:hAnsi="宋体"/>
          <w:sz w:val="32"/>
          <w:szCs w:val="32"/>
        </w:rPr>
      </w:pPr>
      <w:r>
        <w:rPr>
          <w:rFonts w:hint="eastAsia" w:ascii="宋体" w:hAnsi="宋体"/>
          <w:sz w:val="32"/>
          <w:szCs w:val="32"/>
        </w:rPr>
        <w:t>（七）从宏观上统筹指导协调全县互联网宣传和信息内容管理工作；</w:t>
      </w:r>
    </w:p>
    <w:p>
      <w:pPr>
        <w:widowControl/>
        <w:spacing w:line="600" w:lineRule="exact"/>
        <w:rPr>
          <w:rFonts w:ascii="宋体" w:hAnsi="宋体"/>
          <w:sz w:val="32"/>
          <w:szCs w:val="32"/>
        </w:rPr>
      </w:pPr>
      <w:r>
        <w:rPr>
          <w:rFonts w:hint="eastAsia" w:ascii="宋体" w:hAnsi="宋体"/>
          <w:sz w:val="32"/>
          <w:szCs w:val="32"/>
        </w:rPr>
        <w:t>（八）统筹指导协调全县精神文化产品的创作、生产；</w:t>
      </w:r>
    </w:p>
    <w:p>
      <w:pPr>
        <w:widowControl/>
        <w:spacing w:line="600" w:lineRule="exact"/>
        <w:rPr>
          <w:rFonts w:ascii="宋体" w:hAnsi="宋体"/>
          <w:sz w:val="32"/>
          <w:szCs w:val="32"/>
        </w:rPr>
      </w:pPr>
      <w:r>
        <w:rPr>
          <w:rFonts w:hint="eastAsia" w:ascii="宋体" w:hAnsi="宋体"/>
          <w:sz w:val="32"/>
          <w:szCs w:val="32"/>
        </w:rPr>
        <w:t>（九）负责管理全县电影行政事务；承担县文化改革发展领导小组办</w:t>
      </w:r>
    </w:p>
    <w:p>
      <w:pPr>
        <w:widowControl/>
        <w:spacing w:line="600" w:lineRule="exact"/>
        <w:rPr>
          <w:rFonts w:ascii="宋体" w:hAnsi="宋体"/>
          <w:sz w:val="32"/>
          <w:szCs w:val="32"/>
        </w:rPr>
      </w:pPr>
      <w:r>
        <w:rPr>
          <w:rFonts w:hint="eastAsia" w:ascii="宋体" w:hAnsi="宋体"/>
          <w:sz w:val="32"/>
          <w:szCs w:val="32"/>
        </w:rPr>
        <w:t>公室日常工作；统筹指导协调全县舆情信息工作；</w:t>
      </w:r>
    </w:p>
    <w:p>
      <w:pPr>
        <w:widowControl/>
        <w:spacing w:line="600" w:lineRule="exact"/>
        <w:rPr>
          <w:rFonts w:ascii="宋体" w:hAnsi="宋体"/>
          <w:sz w:val="32"/>
          <w:szCs w:val="32"/>
        </w:rPr>
      </w:pPr>
      <w:r>
        <w:rPr>
          <w:rFonts w:hint="eastAsia" w:ascii="宋体" w:hAnsi="宋体"/>
          <w:sz w:val="32"/>
          <w:szCs w:val="32"/>
        </w:rPr>
        <w:t>（十）统筹协调全县对外宣传工作，指导协调对外文化交流工作；</w:t>
      </w:r>
    </w:p>
    <w:p>
      <w:pPr>
        <w:widowControl/>
        <w:spacing w:line="600" w:lineRule="exact"/>
        <w:rPr>
          <w:rFonts w:ascii="宋体" w:hAnsi="宋体"/>
          <w:sz w:val="32"/>
          <w:szCs w:val="32"/>
        </w:rPr>
      </w:pPr>
      <w:r>
        <w:rPr>
          <w:rFonts w:hint="eastAsia" w:ascii="宋体" w:hAnsi="宋体"/>
          <w:sz w:val="32"/>
          <w:szCs w:val="32"/>
        </w:rPr>
        <w:t>（十一）统筹协调组织开展全县新闻发布工作，承担县委新闻发布有</w:t>
      </w:r>
    </w:p>
    <w:p>
      <w:pPr>
        <w:widowControl/>
        <w:spacing w:line="600" w:lineRule="exact"/>
        <w:rPr>
          <w:rFonts w:ascii="宋体" w:hAnsi="宋体"/>
          <w:sz w:val="32"/>
          <w:szCs w:val="32"/>
        </w:rPr>
      </w:pPr>
      <w:r>
        <w:rPr>
          <w:rFonts w:hint="eastAsia" w:ascii="宋体" w:hAnsi="宋体"/>
          <w:sz w:val="32"/>
          <w:szCs w:val="32"/>
        </w:rPr>
        <w:t>关组织协调工作；</w:t>
      </w:r>
    </w:p>
    <w:p>
      <w:pPr>
        <w:widowControl/>
        <w:spacing w:line="600" w:lineRule="exact"/>
        <w:rPr>
          <w:rFonts w:ascii="宋体" w:hAnsi="宋体"/>
          <w:sz w:val="32"/>
          <w:szCs w:val="32"/>
        </w:rPr>
      </w:pPr>
      <w:r>
        <w:rPr>
          <w:rFonts w:hint="eastAsia" w:ascii="宋体" w:hAnsi="宋体"/>
          <w:sz w:val="32"/>
          <w:szCs w:val="32"/>
        </w:rPr>
        <w:t>（十二）负责落实中央、省、市、县精神文明建设指导委员会工作部</w:t>
      </w:r>
    </w:p>
    <w:p>
      <w:pPr>
        <w:widowControl/>
        <w:spacing w:line="600" w:lineRule="exact"/>
        <w:rPr>
          <w:rFonts w:ascii="宋体" w:hAnsi="宋体"/>
          <w:sz w:val="32"/>
          <w:szCs w:val="32"/>
        </w:rPr>
      </w:pPr>
      <w:r>
        <w:rPr>
          <w:rFonts w:hint="eastAsia" w:ascii="宋体" w:hAnsi="宋体"/>
          <w:sz w:val="32"/>
          <w:szCs w:val="32"/>
        </w:rPr>
        <w:t>署，拟定全县精神文明建设工作规划并组织实施；</w:t>
      </w:r>
    </w:p>
    <w:p>
      <w:pPr>
        <w:widowControl/>
        <w:spacing w:line="600" w:lineRule="exact"/>
        <w:rPr>
          <w:rFonts w:ascii="宋体" w:hAnsi="宋体"/>
          <w:sz w:val="32"/>
          <w:szCs w:val="32"/>
        </w:rPr>
      </w:pPr>
      <w:r>
        <w:rPr>
          <w:rFonts w:hint="eastAsia" w:ascii="宋体" w:hAnsi="宋体"/>
          <w:sz w:val="32"/>
          <w:szCs w:val="32"/>
        </w:rPr>
        <w:t>（十三）负责组织开展全县宣传思想文化系统干部教育培训和人才工</w:t>
      </w:r>
    </w:p>
    <w:p>
      <w:pPr>
        <w:widowControl/>
        <w:spacing w:line="600" w:lineRule="exact"/>
        <w:rPr>
          <w:rFonts w:ascii="宋体" w:hAnsi="宋体"/>
          <w:sz w:val="32"/>
          <w:szCs w:val="32"/>
        </w:rPr>
      </w:pPr>
      <w:r>
        <w:rPr>
          <w:rFonts w:hint="eastAsia" w:ascii="宋体" w:hAnsi="宋体"/>
          <w:sz w:val="32"/>
          <w:szCs w:val="32"/>
        </w:rPr>
        <w:t>作；</w:t>
      </w:r>
    </w:p>
    <w:p>
      <w:pPr>
        <w:widowControl/>
        <w:spacing w:line="600" w:lineRule="exact"/>
        <w:rPr>
          <w:rFonts w:ascii="宋体" w:hAnsi="宋体"/>
          <w:sz w:val="32"/>
          <w:szCs w:val="32"/>
        </w:rPr>
      </w:pPr>
      <w:r>
        <w:rPr>
          <w:rFonts w:hint="eastAsia" w:ascii="宋体" w:hAnsi="宋体"/>
          <w:sz w:val="32"/>
          <w:szCs w:val="32"/>
        </w:rPr>
        <w:t>（十四）对县互联网信息办公室互联网宣传和信息内容管理方面的工</w:t>
      </w:r>
    </w:p>
    <w:p>
      <w:pPr>
        <w:widowControl/>
        <w:spacing w:line="600" w:lineRule="exact"/>
        <w:rPr>
          <w:rFonts w:ascii="宋体" w:hAnsi="宋体"/>
          <w:sz w:val="32"/>
          <w:szCs w:val="32"/>
        </w:rPr>
      </w:pPr>
      <w:r>
        <w:rPr>
          <w:rFonts w:hint="eastAsia" w:ascii="宋体" w:hAnsi="宋体"/>
          <w:sz w:val="32"/>
          <w:szCs w:val="32"/>
        </w:rPr>
        <w:t>作实施政策指导；</w:t>
      </w:r>
    </w:p>
    <w:p>
      <w:pPr>
        <w:widowControl/>
        <w:numPr>
          <w:numId w:val="0"/>
        </w:numPr>
        <w:spacing w:line="600" w:lineRule="exact"/>
        <w:rPr>
          <w:rFonts w:ascii="黑体" w:hAnsi="黑体" w:eastAsia="黑体"/>
          <w:bCs/>
          <w:kern w:val="0"/>
          <w:sz w:val="32"/>
          <w:szCs w:val="32"/>
        </w:rPr>
      </w:pPr>
      <w:r>
        <w:rPr>
          <w:rFonts w:hint="eastAsia" w:ascii="宋体" w:hAnsi="宋体"/>
          <w:sz w:val="32"/>
          <w:szCs w:val="32"/>
        </w:rPr>
        <w:t>（十</w:t>
      </w:r>
      <w:r>
        <w:rPr>
          <w:rFonts w:hint="eastAsia" w:ascii="宋体" w:hAnsi="宋体"/>
          <w:sz w:val="32"/>
          <w:szCs w:val="32"/>
          <w:lang w:eastAsia="zh-CN"/>
        </w:rPr>
        <w:t>五</w:t>
      </w:r>
      <w:r>
        <w:rPr>
          <w:rFonts w:hint="eastAsia" w:ascii="宋体" w:hAnsi="宋体"/>
          <w:sz w:val="32"/>
          <w:szCs w:val="32"/>
        </w:rPr>
        <w:t>）完成县委交办的其他任务。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宋体" w:hAnsi="宋体"/>
          <w:bCs/>
          <w:kern w:val="0"/>
          <w:sz w:val="32"/>
          <w:szCs w:val="32"/>
        </w:rPr>
      </w:pPr>
      <w:r>
        <w:rPr>
          <w:rFonts w:hint="eastAsia" w:ascii="宋体" w:hAnsi="宋体"/>
          <w:bCs/>
          <w:kern w:val="0"/>
          <w:sz w:val="32"/>
          <w:szCs w:val="32"/>
        </w:rPr>
        <w:t>（一）内设机构设置。2021年本单位由宣传部本级机关与县社科联合署办公组成。单位内设机构7个：办公室、意识形态工作指导室、理论政策研究室、新闻室、出版管理室、文化艺术宣教室、文明创建指导室。下设二级机构1个：新时代文明实践实践指导中心。</w:t>
      </w:r>
    </w:p>
    <w:p>
      <w:pPr>
        <w:widowControl/>
        <w:spacing w:line="600" w:lineRule="exact"/>
        <w:ind w:firstLine="640" w:firstLineChars="200"/>
        <w:rPr>
          <w:rFonts w:hint="eastAsia" w:ascii="宋体" w:hAnsi="宋体"/>
          <w:bCs/>
          <w:kern w:val="0"/>
          <w:sz w:val="32"/>
          <w:szCs w:val="32"/>
        </w:rPr>
      </w:pPr>
      <w:r>
        <w:rPr>
          <w:rFonts w:hint="eastAsia" w:ascii="宋体" w:hAnsi="宋体"/>
          <w:bCs/>
          <w:kern w:val="0"/>
          <w:sz w:val="32"/>
          <w:szCs w:val="32"/>
        </w:rPr>
        <w:t>（二）决算单位构成。中共会同县委宣传部本级。2021年部门决算汇总公开单位构成包括：中共会同县委宣传部本级。</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ascii="黑体" w:hAnsi="黑体" w:eastAsia="黑体"/>
          <w:sz w:val="84"/>
          <w:szCs w:val="84"/>
        </w:rPr>
      </w:pPr>
      <w:r>
        <w:rPr>
          <w:rFonts w:hint="eastAsia" w:ascii="黑体" w:hAnsi="黑体" w:eastAsia="黑体"/>
          <w:sz w:val="84"/>
          <w:szCs w:val="84"/>
        </w:rPr>
        <w:t>第二部分</w:t>
      </w:r>
    </w:p>
    <w:p>
      <w:pPr>
        <w:jc w:val="center"/>
        <w:rPr>
          <w:rFonts w:ascii="黑体" w:hAnsi="黑体" w:eastAsia="黑体"/>
          <w:sz w:val="84"/>
          <w:szCs w:val="84"/>
        </w:rPr>
      </w:pPr>
    </w:p>
    <w:p>
      <w:pPr>
        <w:jc w:val="center"/>
        <w:rPr>
          <w:rFonts w:ascii="黑体" w:hAnsi="黑体" w:eastAsia="黑体"/>
          <w:sz w:val="84"/>
          <w:szCs w:val="84"/>
        </w:rPr>
      </w:pPr>
      <w:r>
        <w:rPr>
          <w:rFonts w:hint="eastAsia" w:ascii="黑体" w:hAnsi="黑体" w:eastAsia="黑体"/>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1526" w:bottom="720" w:left="1360"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W w:w="14071" w:type="dxa"/>
        <w:tblInd w:w="93" w:type="dxa"/>
        <w:shd w:val="clear" w:color="auto" w:fill="FFFFFF" w:themeFill="background1"/>
        <w:tblLayout w:type="fixed"/>
        <w:tblCellMar>
          <w:top w:w="0" w:type="dxa"/>
          <w:left w:w="108" w:type="dxa"/>
          <w:bottom w:w="0" w:type="dxa"/>
          <w:right w:w="108" w:type="dxa"/>
        </w:tblCellMar>
      </w:tblPr>
      <w:tblGrid>
        <w:gridCol w:w="4754"/>
        <w:gridCol w:w="835"/>
        <w:gridCol w:w="1115"/>
        <w:gridCol w:w="4475"/>
        <w:gridCol w:w="835"/>
        <w:gridCol w:w="2057"/>
      </w:tblGrid>
      <w:tr>
        <w:tblPrEx>
          <w:shd w:val="clear" w:color="auto" w:fill="FFFFFF" w:themeFill="background1"/>
          <w:tblCellMar>
            <w:top w:w="0" w:type="dxa"/>
            <w:left w:w="108" w:type="dxa"/>
            <w:bottom w:w="0" w:type="dxa"/>
            <w:right w:w="108" w:type="dxa"/>
          </w:tblCellMar>
        </w:tblPrEx>
        <w:trPr>
          <w:trHeight w:val="390" w:hRule="atLeast"/>
        </w:trPr>
        <w:tc>
          <w:tcPr>
            <w:tcW w:w="14071" w:type="dxa"/>
            <w:gridSpan w:val="6"/>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shd w:val="clear" w:color="auto" w:fill="FFFFFF" w:themeFill="background1"/>
          <w:tblCellMar>
            <w:top w:w="0" w:type="dxa"/>
            <w:left w:w="108" w:type="dxa"/>
            <w:bottom w:w="0" w:type="dxa"/>
            <w:right w:w="108" w:type="dxa"/>
          </w:tblCellMar>
        </w:tblPrEx>
        <w:trPr>
          <w:trHeight w:val="255" w:hRule="atLeast"/>
        </w:trPr>
        <w:tc>
          <w:tcPr>
            <w:tcW w:w="475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3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1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47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3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057"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shd w:val="clear" w:color="auto" w:fill="FFFFFF" w:themeFill="background1"/>
          <w:tblCellMar>
            <w:top w:w="0" w:type="dxa"/>
            <w:left w:w="108" w:type="dxa"/>
            <w:bottom w:w="0" w:type="dxa"/>
            <w:right w:w="108" w:type="dxa"/>
          </w:tblCellMar>
        </w:tblPrEx>
        <w:trPr>
          <w:trHeight w:val="255" w:hRule="atLeast"/>
        </w:trPr>
        <w:tc>
          <w:tcPr>
            <w:tcW w:w="4754"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83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1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47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3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057"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7367"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835"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835"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365.68</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kern w:val="0"/>
                <w:sz w:val="22"/>
              </w:rPr>
              <w:t>457.</w:t>
            </w:r>
            <w:r>
              <w:rPr>
                <w:rFonts w:hint="eastAsia" w:ascii="宋体" w:hAnsi="宋体" w:cs="宋体"/>
                <w:color w:val="000000"/>
                <w:kern w:val="0"/>
                <w:sz w:val="22"/>
                <w:lang w:val="en-US" w:eastAsia="zh-CN"/>
              </w:rPr>
              <w:t>5</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2.</w:t>
            </w:r>
            <w:r>
              <w:rPr>
                <w:rFonts w:hint="eastAsia" w:ascii="宋体" w:hAnsi="宋体" w:cs="宋体"/>
                <w:color w:val="000000"/>
                <w:kern w:val="0"/>
                <w:sz w:val="22"/>
                <w:lang w:val="en-US" w:eastAsia="zh-CN"/>
              </w:rPr>
              <w:t>8</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b/>
                <w:bCs/>
                <w:color w:val="000000"/>
                <w:sz w:val="20"/>
                <w:szCs w:val="20"/>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0"/>
                <w:szCs w:val="20"/>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0"/>
                <w:szCs w:val="20"/>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0"/>
                <w:szCs w:val="20"/>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0"/>
                <w:szCs w:val="20"/>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0"/>
                <w:szCs w:val="20"/>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368.4</w:t>
            </w:r>
            <w:r>
              <w:rPr>
                <w:rFonts w:hint="eastAsia" w:ascii="宋体" w:hAnsi="宋体" w:cs="宋体"/>
                <w:color w:val="000000"/>
                <w:kern w:val="0"/>
                <w:sz w:val="22"/>
                <w:lang w:val="en-US" w:eastAsia="zh-CN"/>
              </w:rPr>
              <w:t>8</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499.47</w:t>
            </w: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130.99</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115"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4475"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2057"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115"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499.47</w:t>
            </w:r>
          </w:p>
        </w:tc>
        <w:tc>
          <w:tcPr>
            <w:tcW w:w="447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83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205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499.47</w:t>
            </w:r>
          </w:p>
        </w:tc>
      </w:tr>
      <w:tr>
        <w:tblPrEx>
          <w:tblCellMar>
            <w:top w:w="0" w:type="dxa"/>
            <w:left w:w="108" w:type="dxa"/>
            <w:bottom w:w="0" w:type="dxa"/>
            <w:right w:w="108" w:type="dxa"/>
          </w:tblCellMar>
        </w:tblPrEx>
        <w:trPr>
          <w:trHeight w:val="308" w:hRule="atLeast"/>
        </w:trPr>
        <w:tc>
          <w:tcPr>
            <w:tcW w:w="14071" w:type="dxa"/>
            <w:gridSpan w:val="6"/>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注：1.本表反映部门本年度的总收支和年末结转结余情况。</w:t>
            </w:r>
          </w:p>
        </w:tc>
      </w:tr>
      <w:tr>
        <w:tblPrEx>
          <w:tblCellMar>
            <w:top w:w="0" w:type="dxa"/>
            <w:left w:w="108" w:type="dxa"/>
            <w:bottom w:w="0" w:type="dxa"/>
            <w:right w:w="108" w:type="dxa"/>
          </w:tblCellMar>
        </w:tblPrEx>
        <w:trPr>
          <w:trHeight w:val="308" w:hRule="atLeast"/>
        </w:trPr>
        <w:tc>
          <w:tcPr>
            <w:tcW w:w="14071" w:type="dxa"/>
            <w:gridSpan w:val="6"/>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2.本套报表金额单位转换时可能存在尾数误差。</w:t>
            </w:r>
          </w:p>
        </w:tc>
      </w:tr>
    </w:tbl>
    <w:p>
      <w:pPr>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tbl>
      <w:tblPr>
        <w:tblStyle w:val="9"/>
        <w:tblW w:w="14262" w:type="dxa"/>
        <w:tblInd w:w="93" w:type="dxa"/>
        <w:shd w:val="clear" w:color="auto" w:fill="FFFFFF" w:themeFill="background1"/>
        <w:tblLayout w:type="fixed"/>
        <w:tblCellMar>
          <w:top w:w="0" w:type="dxa"/>
          <w:left w:w="108" w:type="dxa"/>
          <w:bottom w:w="0" w:type="dxa"/>
          <w:right w:w="108" w:type="dxa"/>
        </w:tblCellMar>
      </w:tblPr>
      <w:tblGrid>
        <w:gridCol w:w="2611"/>
        <w:gridCol w:w="236"/>
        <w:gridCol w:w="240"/>
        <w:gridCol w:w="4137"/>
        <w:gridCol w:w="1188"/>
        <w:gridCol w:w="1077"/>
        <w:gridCol w:w="887"/>
        <w:gridCol w:w="701"/>
        <w:gridCol w:w="820"/>
        <w:gridCol w:w="1223"/>
        <w:gridCol w:w="1142"/>
      </w:tblGrid>
      <w:tr>
        <w:tblPrEx>
          <w:shd w:val="clear" w:color="auto" w:fill="FFFFFF" w:themeFill="background1"/>
          <w:tblCellMar>
            <w:top w:w="0" w:type="dxa"/>
            <w:left w:w="108" w:type="dxa"/>
            <w:bottom w:w="0" w:type="dxa"/>
            <w:right w:w="108" w:type="dxa"/>
          </w:tblCellMar>
        </w:tblPrEx>
        <w:trPr>
          <w:trHeight w:val="390" w:hRule="atLeast"/>
        </w:trPr>
        <w:tc>
          <w:tcPr>
            <w:tcW w:w="14262" w:type="dxa"/>
            <w:gridSpan w:val="11"/>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shd w:val="clear" w:color="auto" w:fill="FFFFFF" w:themeFill="background1"/>
          <w:tblCellMar>
            <w:top w:w="0" w:type="dxa"/>
            <w:left w:w="108" w:type="dxa"/>
            <w:bottom w:w="0" w:type="dxa"/>
            <w:right w:w="108" w:type="dxa"/>
          </w:tblCellMar>
        </w:tblPrEx>
        <w:trPr>
          <w:trHeight w:val="255" w:hRule="atLeast"/>
        </w:trPr>
        <w:tc>
          <w:tcPr>
            <w:tcW w:w="26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13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8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7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8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70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2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22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42"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shd w:val="clear" w:color="auto" w:fill="FFFFFF" w:themeFill="background1"/>
          <w:tblCellMar>
            <w:top w:w="0" w:type="dxa"/>
            <w:left w:w="108" w:type="dxa"/>
            <w:bottom w:w="0" w:type="dxa"/>
            <w:right w:w="108" w:type="dxa"/>
          </w:tblCellMar>
        </w:tblPrEx>
        <w:trPr>
          <w:trHeight w:val="255" w:hRule="atLeast"/>
        </w:trPr>
        <w:tc>
          <w:tcPr>
            <w:tcW w:w="2611"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13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8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7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8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70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2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365" w:type="dxa"/>
            <w:gridSpan w:val="2"/>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08" w:hRule="atLeast"/>
        </w:trPr>
        <w:tc>
          <w:tcPr>
            <w:tcW w:w="722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18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07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8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70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8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22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14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shd w:val="clear" w:color="auto" w:fill="FFFFFF" w:themeFill="background1"/>
          <w:tblCellMar>
            <w:top w:w="0" w:type="dxa"/>
            <w:left w:w="108" w:type="dxa"/>
            <w:bottom w:w="0" w:type="dxa"/>
            <w:right w:w="108" w:type="dxa"/>
          </w:tblCellMar>
        </w:tblPrEx>
        <w:trPr>
          <w:trHeight w:val="312" w:hRule="atLeast"/>
        </w:trPr>
        <w:tc>
          <w:tcPr>
            <w:tcW w:w="3087"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13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8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7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8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0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22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12" w:hRule="atLeast"/>
        </w:trPr>
        <w:tc>
          <w:tcPr>
            <w:tcW w:w="3087"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413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8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7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8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0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22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12" w:hRule="atLeast"/>
        </w:trPr>
        <w:tc>
          <w:tcPr>
            <w:tcW w:w="3087"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413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8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7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8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0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22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7224"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8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0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82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2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42"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shd w:val="clear" w:color="auto" w:fill="FFFFFF" w:themeFill="background1"/>
          <w:tblCellMar>
            <w:top w:w="0" w:type="dxa"/>
            <w:left w:w="108" w:type="dxa"/>
            <w:bottom w:w="0" w:type="dxa"/>
            <w:right w:w="108" w:type="dxa"/>
          </w:tblCellMar>
        </w:tblPrEx>
        <w:trPr>
          <w:trHeight w:val="308" w:hRule="atLeast"/>
        </w:trPr>
        <w:tc>
          <w:tcPr>
            <w:tcW w:w="7224"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default" w:ascii="宋体" w:hAnsi="宋体" w:eastAsia="宋体" w:cs="宋体"/>
                <w:b/>
                <w:bCs/>
                <w:color w:val="000000"/>
                <w:sz w:val="22"/>
                <w:lang w:val="en-US" w:eastAsia="zh-CN"/>
              </w:rPr>
            </w:pPr>
            <w:r>
              <w:rPr>
                <w:rFonts w:hint="eastAsia" w:ascii="宋体" w:hAnsi="宋体" w:cs="宋体"/>
                <w:b/>
                <w:bCs/>
                <w:color w:val="000000"/>
                <w:kern w:val="0"/>
                <w:sz w:val="22"/>
              </w:rPr>
              <w:t>368.</w:t>
            </w:r>
            <w:r>
              <w:rPr>
                <w:rFonts w:hint="eastAsia" w:ascii="宋体" w:hAnsi="宋体" w:cs="宋体"/>
                <w:b/>
                <w:bCs/>
                <w:color w:val="000000"/>
                <w:kern w:val="0"/>
                <w:sz w:val="22"/>
                <w:lang w:val="en-US" w:eastAsia="zh-CN"/>
              </w:rPr>
              <w:t>48</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365.68</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b/>
                <w:bCs/>
                <w:color w:val="000000"/>
                <w:sz w:val="22"/>
                <w:lang w:eastAsia="zh-CN"/>
              </w:rPr>
            </w:pPr>
            <w:r>
              <w:rPr>
                <w:rFonts w:hint="eastAsia" w:ascii="宋体" w:hAnsi="宋体" w:cs="宋体"/>
                <w:b/>
                <w:bCs/>
                <w:color w:val="000000"/>
                <w:kern w:val="0"/>
                <w:sz w:val="22"/>
              </w:rPr>
              <w:t>2.</w:t>
            </w:r>
            <w:r>
              <w:rPr>
                <w:rFonts w:hint="eastAsia" w:ascii="宋体" w:hAnsi="宋体" w:cs="宋体"/>
                <w:b/>
                <w:bCs/>
                <w:color w:val="000000"/>
                <w:kern w:val="0"/>
                <w:sz w:val="22"/>
                <w:lang w:val="en-US" w:eastAsia="zh-CN"/>
              </w:rPr>
              <w:t>8</w:t>
            </w: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326.5</w:t>
            </w:r>
            <w:r>
              <w:rPr>
                <w:rFonts w:hint="eastAsia" w:ascii="宋体" w:hAnsi="宋体" w:cs="宋体"/>
                <w:color w:val="000000"/>
                <w:kern w:val="0"/>
                <w:sz w:val="22"/>
                <w:lang w:val="en-US" w:eastAsia="zh-CN"/>
              </w:rPr>
              <w:t>1</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323.71</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2.</w:t>
            </w:r>
            <w:r>
              <w:rPr>
                <w:rFonts w:hint="eastAsia" w:ascii="宋体" w:hAnsi="宋体" w:cs="宋体"/>
                <w:color w:val="000000"/>
                <w:kern w:val="0"/>
                <w:sz w:val="22"/>
                <w:lang w:val="en-US" w:eastAsia="zh-CN"/>
              </w:rPr>
              <w:t>8</w:t>
            </w: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2010301</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行政运行</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宣传事务</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310.2</w:t>
            </w:r>
            <w:r>
              <w:rPr>
                <w:rFonts w:hint="eastAsia" w:ascii="宋体" w:hAnsi="宋体" w:cs="宋体"/>
                <w:color w:val="000000"/>
                <w:kern w:val="0"/>
                <w:sz w:val="22"/>
                <w:lang w:val="en-US" w:eastAsia="zh-CN"/>
              </w:rPr>
              <w:t>8</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307.4</w:t>
            </w:r>
            <w:r>
              <w:rPr>
                <w:rFonts w:hint="eastAsia" w:ascii="宋体" w:hAnsi="宋体" w:cs="宋体"/>
                <w:color w:val="000000"/>
                <w:kern w:val="0"/>
                <w:sz w:val="22"/>
                <w:lang w:val="en-US" w:eastAsia="zh-CN"/>
              </w:rPr>
              <w:t>8</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2.</w:t>
            </w:r>
            <w:r>
              <w:rPr>
                <w:rFonts w:hint="eastAsia" w:ascii="宋体" w:hAnsi="宋体" w:cs="宋体"/>
                <w:color w:val="000000"/>
                <w:kern w:val="0"/>
                <w:sz w:val="22"/>
                <w:lang w:val="en-US" w:eastAsia="zh-CN"/>
              </w:rPr>
              <w:t>8</w:t>
            </w: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2013301</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行政运行</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72.36</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72.36</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2013350</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事业运行</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8</w:t>
            </w:r>
          </w:p>
        </w:tc>
        <w:tc>
          <w:tcPr>
            <w:tcW w:w="10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8</w:t>
            </w: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2013399</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其他宣传事务支出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237.12</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235.12</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2.00</w:t>
            </w: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文化旅游体育与传媒支出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其他文化旅游体育与传媒支出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2079999</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其他文化旅游体育与传媒支出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机关事业单位基本养老保险缴费支出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21012</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财政对基本医疗保险基金的补助</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2101201</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财政对职工基本医疗保险基金的补助</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扶贫</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87"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2130599</w:t>
            </w:r>
          </w:p>
        </w:tc>
        <w:tc>
          <w:tcPr>
            <w:tcW w:w="413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其他扶贫支出</w:t>
            </w:r>
          </w:p>
        </w:tc>
        <w:tc>
          <w:tcPr>
            <w:tcW w:w="1188"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0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8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0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82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22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4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262" w:type="dxa"/>
            <w:gridSpan w:val="11"/>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w:t>
            </w:r>
          </w:p>
        </w:tc>
      </w:tr>
      <w:tr>
        <w:tblPrEx>
          <w:tblCellMar>
            <w:top w:w="0" w:type="dxa"/>
            <w:left w:w="108" w:type="dxa"/>
            <w:bottom w:w="0" w:type="dxa"/>
            <w:right w:w="108" w:type="dxa"/>
          </w:tblCellMar>
        </w:tblPrEx>
        <w:trPr>
          <w:trHeight w:val="255" w:hRule="atLeast"/>
        </w:trPr>
        <w:tc>
          <w:tcPr>
            <w:tcW w:w="26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13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8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7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8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70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2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22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4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r>
    </w:tbl>
    <w:tbl>
      <w:tblPr>
        <w:tblStyle w:val="9"/>
        <w:tblpPr w:leftFromText="180" w:rightFromText="180" w:vertAnchor="text" w:horzAnchor="page" w:tblpXSpec="center" w:tblpY="90"/>
        <w:tblOverlap w:val="never"/>
        <w:tblW w:w="13602" w:type="dxa"/>
        <w:jc w:val="center"/>
        <w:shd w:val="clear" w:color="auto" w:fill="FFFFFF" w:themeFill="background1"/>
        <w:tblLayout w:type="fixed"/>
        <w:tblCellMar>
          <w:top w:w="0" w:type="dxa"/>
          <w:left w:w="108" w:type="dxa"/>
          <w:bottom w:w="0" w:type="dxa"/>
          <w:right w:w="108" w:type="dxa"/>
        </w:tblCellMar>
      </w:tblPr>
      <w:tblGrid>
        <w:gridCol w:w="2609"/>
        <w:gridCol w:w="236"/>
        <w:gridCol w:w="236"/>
        <w:gridCol w:w="3947"/>
        <w:gridCol w:w="1053"/>
        <w:gridCol w:w="1060"/>
        <w:gridCol w:w="1122"/>
        <w:gridCol w:w="973"/>
        <w:gridCol w:w="779"/>
        <w:gridCol w:w="1587"/>
      </w:tblGrid>
      <w:tr>
        <w:tblPrEx>
          <w:shd w:val="clear" w:color="auto" w:fill="FFFFFF" w:themeFill="background1"/>
          <w:tblCellMar>
            <w:top w:w="0" w:type="dxa"/>
            <w:left w:w="108" w:type="dxa"/>
            <w:bottom w:w="0" w:type="dxa"/>
            <w:right w:w="108" w:type="dxa"/>
          </w:tblCellMar>
        </w:tblPrEx>
        <w:trPr>
          <w:trHeight w:val="390" w:hRule="atLeast"/>
          <w:jc w:val="center"/>
        </w:trPr>
        <w:tc>
          <w:tcPr>
            <w:tcW w:w="13602" w:type="dxa"/>
            <w:gridSpan w:val="10"/>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shd w:val="clear" w:color="auto" w:fill="FFFFFF" w:themeFill="background1"/>
          <w:tblCellMar>
            <w:top w:w="0" w:type="dxa"/>
            <w:left w:w="108" w:type="dxa"/>
            <w:bottom w:w="0" w:type="dxa"/>
            <w:right w:w="108" w:type="dxa"/>
          </w:tblCellMar>
        </w:tblPrEx>
        <w:trPr>
          <w:trHeight w:val="255" w:hRule="atLeast"/>
          <w:jc w:val="center"/>
        </w:trPr>
        <w:tc>
          <w:tcPr>
            <w:tcW w:w="260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94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2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7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77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587"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shd w:val="clear" w:color="auto" w:fill="FFFFFF" w:themeFill="background1"/>
          <w:tblCellMar>
            <w:top w:w="0" w:type="dxa"/>
            <w:left w:w="108" w:type="dxa"/>
            <w:bottom w:w="0" w:type="dxa"/>
            <w:right w:w="108" w:type="dxa"/>
          </w:tblCellMar>
        </w:tblPrEx>
        <w:trPr>
          <w:trHeight w:val="255" w:hRule="atLeast"/>
          <w:jc w:val="center"/>
        </w:trPr>
        <w:tc>
          <w:tcPr>
            <w:tcW w:w="2609"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94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2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7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77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587"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08" w:hRule="atLeast"/>
          <w:jc w:val="center"/>
        </w:trPr>
        <w:tc>
          <w:tcPr>
            <w:tcW w:w="702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5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06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12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97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77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58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shd w:val="clear" w:color="auto" w:fill="FFFFFF" w:themeFill="background1"/>
          <w:tblCellMar>
            <w:top w:w="0" w:type="dxa"/>
            <w:left w:w="108" w:type="dxa"/>
            <w:bottom w:w="0" w:type="dxa"/>
            <w:right w:w="108" w:type="dxa"/>
          </w:tblCellMar>
        </w:tblPrEx>
        <w:trPr>
          <w:trHeight w:val="312" w:hRule="atLeast"/>
          <w:jc w:val="center"/>
        </w:trPr>
        <w:tc>
          <w:tcPr>
            <w:tcW w:w="3081"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4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5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2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7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8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12" w:hRule="atLeast"/>
          <w:jc w:val="center"/>
        </w:trPr>
        <w:tc>
          <w:tcPr>
            <w:tcW w:w="3081"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94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5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2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7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8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12" w:hRule="atLeast"/>
          <w:jc w:val="center"/>
        </w:trPr>
        <w:tc>
          <w:tcPr>
            <w:tcW w:w="3081"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94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5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2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7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8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7028"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7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779"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58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shd w:val="clear" w:color="auto" w:fill="FFFFFF" w:themeFill="background1"/>
          <w:tblCellMar>
            <w:top w:w="0" w:type="dxa"/>
            <w:left w:w="108" w:type="dxa"/>
            <w:bottom w:w="0" w:type="dxa"/>
            <w:right w:w="108" w:type="dxa"/>
          </w:tblCellMar>
        </w:tblPrEx>
        <w:trPr>
          <w:trHeight w:val="308" w:hRule="atLeast"/>
          <w:jc w:val="center"/>
        </w:trPr>
        <w:tc>
          <w:tcPr>
            <w:tcW w:w="7028"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b/>
                <w:bCs/>
                <w:color w:val="000000"/>
                <w:sz w:val="22"/>
                <w:lang w:eastAsia="zh-CN"/>
              </w:rPr>
            </w:pPr>
            <w:r>
              <w:rPr>
                <w:rFonts w:hint="eastAsia" w:ascii="宋体" w:hAnsi="宋体" w:cs="宋体"/>
                <w:b/>
                <w:bCs/>
                <w:color w:val="000000"/>
                <w:kern w:val="0"/>
                <w:sz w:val="22"/>
              </w:rPr>
              <w:t>499.4</w:t>
            </w:r>
            <w:r>
              <w:rPr>
                <w:rFonts w:hint="eastAsia" w:ascii="宋体" w:hAnsi="宋体" w:cs="宋体"/>
                <w:b/>
                <w:bCs/>
                <w:color w:val="000000"/>
                <w:kern w:val="0"/>
                <w:sz w:val="22"/>
                <w:lang w:val="en-US" w:eastAsia="zh-CN"/>
              </w:rPr>
              <w:t>8</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b/>
                <w:bCs/>
                <w:color w:val="000000"/>
                <w:sz w:val="22"/>
                <w:lang w:eastAsia="zh-CN"/>
              </w:rPr>
            </w:pPr>
            <w:r>
              <w:rPr>
                <w:rFonts w:hint="eastAsia" w:ascii="宋体" w:hAnsi="宋体" w:cs="宋体"/>
                <w:b/>
                <w:bCs/>
                <w:color w:val="000000"/>
                <w:kern w:val="0"/>
                <w:sz w:val="22"/>
              </w:rPr>
              <w:t>225.6</w:t>
            </w:r>
            <w:r>
              <w:rPr>
                <w:rFonts w:hint="eastAsia" w:ascii="宋体" w:hAnsi="宋体" w:cs="宋体"/>
                <w:b/>
                <w:bCs/>
                <w:color w:val="000000"/>
                <w:kern w:val="0"/>
                <w:sz w:val="22"/>
                <w:lang w:val="en-US" w:eastAsia="zh-CN"/>
              </w:rPr>
              <w:t>7</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273.80</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b/>
                <w:bCs/>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kern w:val="0"/>
                <w:sz w:val="22"/>
              </w:rPr>
              <w:t>457.</w:t>
            </w:r>
            <w:r>
              <w:rPr>
                <w:rFonts w:hint="eastAsia" w:ascii="宋体" w:hAnsi="宋体" w:cs="宋体"/>
                <w:color w:val="000000"/>
                <w:kern w:val="0"/>
                <w:sz w:val="22"/>
                <w:lang w:val="en-US" w:eastAsia="zh-CN"/>
              </w:rPr>
              <w:t>5</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203.5</w:t>
            </w:r>
            <w:r>
              <w:rPr>
                <w:rFonts w:hint="eastAsia" w:ascii="宋体" w:hAnsi="宋体" w:cs="宋体"/>
                <w:color w:val="000000"/>
                <w:kern w:val="0"/>
                <w:sz w:val="22"/>
                <w:lang w:val="en-US" w:eastAsia="zh-CN"/>
              </w:rPr>
              <w:t>5</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253.95</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14.60</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2010301</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行政运行</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14.60</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宣传事务</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441.2</w:t>
            </w:r>
            <w:r>
              <w:rPr>
                <w:rFonts w:hint="eastAsia" w:ascii="宋体" w:hAnsi="宋体" w:cs="宋体"/>
                <w:color w:val="000000"/>
                <w:kern w:val="0"/>
                <w:sz w:val="22"/>
                <w:lang w:val="en-US" w:eastAsia="zh-CN"/>
              </w:rPr>
              <w:t>7</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kern w:val="0"/>
                <w:sz w:val="22"/>
              </w:rPr>
              <w:t>201.9</w:t>
            </w:r>
            <w:r>
              <w:rPr>
                <w:rFonts w:hint="eastAsia" w:ascii="宋体" w:hAnsi="宋体" w:cs="宋体"/>
                <w:color w:val="000000"/>
                <w:kern w:val="0"/>
                <w:sz w:val="22"/>
                <w:lang w:val="en-US" w:eastAsia="zh-CN"/>
              </w:rPr>
              <w:t>1</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239.36</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2013301</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行政运行</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72.36</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66.52</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5.83</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2013350</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事业运行</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8</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8</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2013399</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其他宣传事务支出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368.11</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134.59</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233.52</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文化旅游体育与传媒支出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06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其他文化旅游体育与传媒支出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06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2079999</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其他文化旅游体育与传媒支出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060"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机关事业单位基本养老保险缴费支出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21012</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财政对基本医疗保险基金的补助</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2101201</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财政对职工基本医疗保险基金的补助</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扶贫</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81"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2130599</w:t>
            </w:r>
          </w:p>
        </w:tc>
        <w:tc>
          <w:tcPr>
            <w:tcW w:w="3947"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其他扶贫支出</w:t>
            </w:r>
          </w:p>
        </w:tc>
        <w:tc>
          <w:tcPr>
            <w:tcW w:w="1053"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060"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973"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77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8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3602" w:type="dxa"/>
            <w:gridSpan w:val="10"/>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w:t>
            </w:r>
          </w:p>
        </w:tc>
      </w:tr>
    </w:tbl>
    <w:tbl>
      <w:tblPr>
        <w:tblStyle w:val="9"/>
        <w:tblpPr w:leftFromText="180" w:rightFromText="180" w:vertAnchor="text" w:horzAnchor="page" w:tblpX="1397" w:tblpY="175"/>
        <w:tblOverlap w:val="never"/>
        <w:tblW w:w="14527" w:type="dxa"/>
        <w:tblInd w:w="0" w:type="dxa"/>
        <w:shd w:val="clear" w:color="auto" w:fill="FFFFFF" w:themeFill="background1"/>
        <w:tblLayout w:type="fixed"/>
        <w:tblCellMar>
          <w:top w:w="0" w:type="dxa"/>
          <w:left w:w="108" w:type="dxa"/>
          <w:bottom w:w="0" w:type="dxa"/>
          <w:right w:w="108" w:type="dxa"/>
        </w:tblCellMar>
      </w:tblPr>
      <w:tblGrid>
        <w:gridCol w:w="2997"/>
        <w:gridCol w:w="863"/>
        <w:gridCol w:w="1066"/>
        <w:gridCol w:w="3128"/>
        <w:gridCol w:w="900"/>
        <w:gridCol w:w="992"/>
        <w:gridCol w:w="1477"/>
        <w:gridCol w:w="1546"/>
        <w:gridCol w:w="1558"/>
      </w:tblGrid>
      <w:tr>
        <w:tblPrEx>
          <w:shd w:val="clear" w:color="auto" w:fill="FFFFFF" w:themeFill="background1"/>
          <w:tblCellMar>
            <w:top w:w="0" w:type="dxa"/>
            <w:left w:w="108" w:type="dxa"/>
            <w:bottom w:w="0" w:type="dxa"/>
            <w:right w:w="108" w:type="dxa"/>
          </w:tblCellMar>
        </w:tblPrEx>
        <w:trPr>
          <w:trHeight w:val="609" w:hRule="atLeast"/>
        </w:trPr>
        <w:tc>
          <w:tcPr>
            <w:tcW w:w="14527" w:type="dxa"/>
            <w:gridSpan w:val="9"/>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shd w:val="clear" w:color="auto" w:fill="FFFFFF" w:themeFill="background1"/>
          <w:tblCellMar>
            <w:top w:w="0" w:type="dxa"/>
            <w:left w:w="108" w:type="dxa"/>
            <w:bottom w:w="0" w:type="dxa"/>
            <w:right w:w="108" w:type="dxa"/>
          </w:tblCellMar>
        </w:tblPrEx>
        <w:trPr>
          <w:trHeight w:val="304" w:hRule="atLeast"/>
        </w:trPr>
        <w:tc>
          <w:tcPr>
            <w:tcW w:w="299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6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12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0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9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7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54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558"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shd w:val="clear" w:color="auto" w:fill="FFFFFF" w:themeFill="background1"/>
          <w:tblCellMar>
            <w:top w:w="0" w:type="dxa"/>
            <w:left w:w="108" w:type="dxa"/>
            <w:bottom w:w="0" w:type="dxa"/>
            <w:right w:w="108" w:type="dxa"/>
          </w:tblCellMar>
        </w:tblPrEx>
        <w:trPr>
          <w:trHeight w:val="609" w:hRule="atLeast"/>
        </w:trPr>
        <w:tc>
          <w:tcPr>
            <w:tcW w:w="2997"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86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12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0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9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7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104" w:type="dxa"/>
            <w:gridSpan w:val="2"/>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34" w:hRule="atLeast"/>
        </w:trPr>
        <w:tc>
          <w:tcPr>
            <w:tcW w:w="492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9601" w:type="dxa"/>
            <w:gridSpan w:val="6"/>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shd w:val="clear" w:color="auto" w:fill="FFFFFF" w:themeFill="background1"/>
          <w:tblCellMar>
            <w:top w:w="0" w:type="dxa"/>
            <w:left w:w="108" w:type="dxa"/>
            <w:bottom w:w="0" w:type="dxa"/>
            <w:right w:w="108" w:type="dxa"/>
          </w:tblCellMar>
        </w:tblPrEx>
        <w:trPr>
          <w:trHeight w:val="334" w:hRule="atLeast"/>
        </w:trPr>
        <w:tc>
          <w:tcPr>
            <w:tcW w:w="2997"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63"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06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128"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90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92"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47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54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558"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shd w:val="clear" w:color="auto" w:fill="FFFFFF" w:themeFill="background1"/>
          <w:tblCellMar>
            <w:top w:w="0" w:type="dxa"/>
            <w:left w:w="108" w:type="dxa"/>
            <w:bottom w:w="0" w:type="dxa"/>
            <w:right w:w="108" w:type="dxa"/>
          </w:tblCellMar>
        </w:tblPrEx>
        <w:trPr>
          <w:trHeight w:val="1540" w:hRule="atLeast"/>
        </w:trPr>
        <w:tc>
          <w:tcPr>
            <w:tcW w:w="299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86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6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12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0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9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7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4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5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863"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6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900"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54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55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shd w:val="clear" w:color="auto" w:fill="FFFFFF" w:themeFill="background1"/>
          <w:tblCellMar>
            <w:top w:w="0" w:type="dxa"/>
            <w:left w:w="108" w:type="dxa"/>
            <w:bottom w:w="0" w:type="dxa"/>
            <w:right w:w="108" w:type="dxa"/>
          </w:tblCellMar>
        </w:tblPrEx>
        <w:trPr>
          <w:trHeight w:val="599"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66"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365.68</w:t>
            </w: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454.70</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454.70</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603"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603"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603"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603"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b/>
                <w:bCs/>
                <w:color w:val="000000"/>
                <w:sz w:val="20"/>
                <w:szCs w:val="20"/>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0"/>
                <w:szCs w:val="20"/>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603"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0"/>
                <w:szCs w:val="20"/>
              </w:rPr>
            </w:pP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599"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066"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365.68</w:t>
            </w: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496.67</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496.67</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066"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130.99</w:t>
            </w: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066"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130.99</w:t>
            </w:r>
          </w:p>
        </w:tc>
        <w:tc>
          <w:tcPr>
            <w:tcW w:w="3128"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34"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06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128"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99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7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599" w:hRule="atLeast"/>
        </w:trPr>
        <w:tc>
          <w:tcPr>
            <w:tcW w:w="2997"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86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066"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496.67</w:t>
            </w:r>
          </w:p>
        </w:tc>
        <w:tc>
          <w:tcPr>
            <w:tcW w:w="312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90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99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496.67</w:t>
            </w:r>
          </w:p>
        </w:tc>
        <w:tc>
          <w:tcPr>
            <w:tcW w:w="147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496.67</w:t>
            </w:r>
          </w:p>
        </w:tc>
        <w:tc>
          <w:tcPr>
            <w:tcW w:w="154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55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99" w:hRule="atLeast"/>
        </w:trPr>
        <w:tc>
          <w:tcPr>
            <w:tcW w:w="12969" w:type="dxa"/>
            <w:gridSpan w:val="8"/>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w:t>
            </w:r>
          </w:p>
        </w:tc>
        <w:tc>
          <w:tcPr>
            <w:tcW w:w="1558" w:type="dxa"/>
            <w:tcBorders>
              <w:top w:val="nil"/>
              <w:left w:val="nil"/>
              <w:bottom w:val="nil"/>
              <w:right w:val="nil"/>
            </w:tcBorders>
            <w:shd w:val="clear" w:color="auto" w:fill="FFFFFF" w:themeFill="background1"/>
            <w:vAlign w:val="center"/>
          </w:tcPr>
          <w:p>
            <w:pPr>
              <w:jc w:val="left"/>
              <w:rPr>
                <w:rFonts w:ascii="宋体" w:hAnsi="宋体" w:cs="宋体"/>
                <w:color w:val="000000"/>
                <w:sz w:val="20"/>
                <w:szCs w:val="20"/>
              </w:rPr>
            </w:pPr>
          </w:p>
        </w:tc>
      </w:tr>
    </w:tbl>
    <w:p>
      <w:pPr>
        <w:pStyle w:val="2"/>
        <w:rPr>
          <w:rFonts w:ascii="Times New Roman" w:hAnsi="Times New Roman" w:eastAsia="黑体"/>
          <w:bCs/>
          <w:kern w:val="0"/>
          <w:sz w:val="32"/>
          <w:szCs w:val="32"/>
        </w:rPr>
      </w:pPr>
    </w:p>
    <w:p>
      <w:pPr>
        <w:pStyle w:val="2"/>
      </w:pPr>
    </w:p>
    <w:p>
      <w:pPr>
        <w:pStyle w:val="2"/>
      </w:pPr>
    </w:p>
    <w:p>
      <w:pPr>
        <w:pStyle w:val="2"/>
      </w:pPr>
    </w:p>
    <w:p>
      <w:pPr>
        <w:pStyle w:val="2"/>
      </w:pPr>
    </w:p>
    <w:p>
      <w:pPr>
        <w:pStyle w:val="2"/>
        <w:rPr>
          <w:rFonts w:ascii="Times New Roman" w:hAnsi="Times New Roman" w:eastAsia="黑体"/>
          <w:bCs/>
          <w:kern w:val="0"/>
          <w:sz w:val="32"/>
          <w:szCs w:val="32"/>
        </w:rPr>
      </w:pPr>
    </w:p>
    <w:p>
      <w:pPr>
        <w:pStyle w:val="2"/>
        <w:rPr>
          <w:rFonts w:ascii="Times New Roman" w:hAnsi="Times New Roman" w:eastAsia="黑体"/>
          <w:bCs/>
          <w:kern w:val="0"/>
          <w:sz w:val="32"/>
          <w:szCs w:val="32"/>
        </w:rPr>
      </w:pPr>
    </w:p>
    <w:tbl>
      <w:tblPr>
        <w:tblStyle w:val="9"/>
        <w:tblW w:w="13620" w:type="dxa"/>
        <w:jc w:val="center"/>
        <w:shd w:val="clear" w:color="auto" w:fill="FFFFFF" w:themeFill="background1"/>
        <w:tblLayout w:type="fixed"/>
        <w:tblCellMar>
          <w:top w:w="0" w:type="dxa"/>
          <w:left w:w="108" w:type="dxa"/>
          <w:bottom w:w="0" w:type="dxa"/>
          <w:right w:w="108" w:type="dxa"/>
        </w:tblCellMar>
      </w:tblPr>
      <w:tblGrid>
        <w:gridCol w:w="2739"/>
        <w:gridCol w:w="247"/>
        <w:gridCol w:w="247"/>
        <w:gridCol w:w="4695"/>
        <w:gridCol w:w="1697"/>
        <w:gridCol w:w="2074"/>
        <w:gridCol w:w="1921"/>
      </w:tblGrid>
      <w:tr>
        <w:tblPrEx>
          <w:shd w:val="clear" w:color="auto" w:fill="FFFFFF" w:themeFill="background1"/>
          <w:tblCellMar>
            <w:top w:w="0" w:type="dxa"/>
            <w:left w:w="108" w:type="dxa"/>
            <w:bottom w:w="0" w:type="dxa"/>
            <w:right w:w="108" w:type="dxa"/>
          </w:tblCellMar>
        </w:tblPrEx>
        <w:trPr>
          <w:trHeight w:val="630" w:hRule="atLeast"/>
          <w:jc w:val="center"/>
        </w:trPr>
        <w:tc>
          <w:tcPr>
            <w:tcW w:w="13620" w:type="dxa"/>
            <w:gridSpan w:val="7"/>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shd w:val="clear" w:color="auto" w:fill="FFFFFF" w:themeFill="background1"/>
          <w:tblCellMar>
            <w:top w:w="0" w:type="dxa"/>
            <w:left w:w="108" w:type="dxa"/>
            <w:bottom w:w="0" w:type="dxa"/>
            <w:right w:w="108" w:type="dxa"/>
          </w:tblCellMar>
        </w:tblPrEx>
        <w:trPr>
          <w:trHeight w:val="315" w:hRule="atLeast"/>
          <w:jc w:val="center"/>
        </w:trPr>
        <w:tc>
          <w:tcPr>
            <w:tcW w:w="273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4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4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69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69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07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921"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shd w:val="clear" w:color="auto" w:fill="FFFFFF" w:themeFill="background1"/>
          <w:tblCellMar>
            <w:top w:w="0" w:type="dxa"/>
            <w:left w:w="108" w:type="dxa"/>
            <w:bottom w:w="0" w:type="dxa"/>
            <w:right w:w="108" w:type="dxa"/>
          </w:tblCellMar>
        </w:tblPrEx>
        <w:trPr>
          <w:trHeight w:val="315" w:hRule="atLeast"/>
          <w:jc w:val="center"/>
        </w:trPr>
        <w:tc>
          <w:tcPr>
            <w:tcW w:w="2739"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24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4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69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697"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07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921"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792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692"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695"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69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07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92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469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69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07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92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469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69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07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92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7928"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7928"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496.67</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222.87</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273.80</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454.70</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200.75</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253.95</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14.60</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2010301</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行政运行</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16.23</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14.60</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宣传事务</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438.46</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199.11</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239.36</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2013301</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行政运行</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72.36</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66.52</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5.83</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2013399</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其他宣传事务支出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366.11</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132.59</w:t>
            </w: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233.52</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文化旅游体育与传媒支出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2074"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其他文化旅游体育与传媒支出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2074"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2079999</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其他文化旅游体育与传媒支出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c>
          <w:tcPr>
            <w:tcW w:w="2074"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921"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19.85</w:t>
            </w: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机关事业单位基本养老保险缴费支出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11.78</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21012</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财政对基本医疗保险基金的补助</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2101201</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财政对职工基本医疗保险基金的补助</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6.20</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扶贫</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5" w:hRule="atLeast"/>
          <w:jc w:val="center"/>
        </w:trPr>
        <w:tc>
          <w:tcPr>
            <w:tcW w:w="32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2130599</w:t>
            </w:r>
          </w:p>
        </w:tc>
        <w:tc>
          <w:tcPr>
            <w:tcW w:w="4695"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其他扶贫支出</w:t>
            </w:r>
          </w:p>
        </w:tc>
        <w:tc>
          <w:tcPr>
            <w:tcW w:w="169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2074"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w:t>
            </w:r>
          </w:p>
        </w:tc>
        <w:tc>
          <w:tcPr>
            <w:tcW w:w="1921"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5" w:hRule="atLeast"/>
          <w:jc w:val="center"/>
        </w:trPr>
        <w:tc>
          <w:tcPr>
            <w:tcW w:w="13620" w:type="dxa"/>
            <w:gridSpan w:val="7"/>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w:t>
            </w:r>
          </w:p>
        </w:tc>
      </w:tr>
    </w:tbl>
    <w:p>
      <w:pPr>
        <w:widowControl/>
        <w:jc w:val="left"/>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tbl>
      <w:tblPr>
        <w:tblStyle w:val="9"/>
        <w:tblW w:w="13700" w:type="dxa"/>
        <w:tblInd w:w="93" w:type="dxa"/>
        <w:shd w:val="clear" w:color="auto" w:fill="FFFFFF" w:themeFill="background1"/>
        <w:tblLayout w:type="fixed"/>
        <w:tblCellMar>
          <w:top w:w="0" w:type="dxa"/>
          <w:left w:w="108" w:type="dxa"/>
          <w:bottom w:w="0" w:type="dxa"/>
          <w:right w:w="108" w:type="dxa"/>
        </w:tblCellMar>
      </w:tblPr>
      <w:tblGrid>
        <w:gridCol w:w="1494"/>
        <w:gridCol w:w="2634"/>
        <w:gridCol w:w="1112"/>
        <w:gridCol w:w="1191"/>
        <w:gridCol w:w="1840"/>
        <w:gridCol w:w="1019"/>
        <w:gridCol w:w="1122"/>
        <w:gridCol w:w="2121"/>
        <w:gridCol w:w="1167"/>
      </w:tblGrid>
      <w:tr>
        <w:tblPrEx>
          <w:shd w:val="clear" w:color="auto" w:fill="FFFFFF" w:themeFill="background1"/>
          <w:tblCellMar>
            <w:top w:w="0" w:type="dxa"/>
            <w:left w:w="108" w:type="dxa"/>
            <w:bottom w:w="0" w:type="dxa"/>
            <w:right w:w="108" w:type="dxa"/>
          </w:tblCellMar>
        </w:tblPrEx>
        <w:trPr>
          <w:trHeight w:val="390" w:hRule="atLeast"/>
        </w:trPr>
        <w:tc>
          <w:tcPr>
            <w:tcW w:w="13700" w:type="dxa"/>
            <w:gridSpan w:val="9"/>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shd w:val="clear" w:color="auto" w:fill="FFFFFF" w:themeFill="background1"/>
          <w:tblCellMar>
            <w:top w:w="0" w:type="dxa"/>
            <w:left w:w="108" w:type="dxa"/>
            <w:bottom w:w="0" w:type="dxa"/>
            <w:right w:w="108" w:type="dxa"/>
          </w:tblCellMar>
        </w:tblPrEx>
        <w:trPr>
          <w:trHeight w:val="255" w:hRule="atLeast"/>
        </w:trPr>
        <w:tc>
          <w:tcPr>
            <w:tcW w:w="149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63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1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9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84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1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2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12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67"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公开06表</w:t>
            </w:r>
          </w:p>
        </w:tc>
      </w:tr>
      <w:tr>
        <w:tblPrEx>
          <w:shd w:val="clear" w:color="auto" w:fill="FFFFFF" w:themeFill="background1"/>
          <w:tblCellMar>
            <w:top w:w="0" w:type="dxa"/>
            <w:left w:w="108" w:type="dxa"/>
            <w:bottom w:w="0" w:type="dxa"/>
            <w:right w:w="108" w:type="dxa"/>
          </w:tblCellMar>
        </w:tblPrEx>
        <w:trPr>
          <w:trHeight w:val="255" w:hRule="atLeast"/>
        </w:trPr>
        <w:tc>
          <w:tcPr>
            <w:tcW w:w="1494"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263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1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9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84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1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2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288" w:type="dxa"/>
            <w:gridSpan w:val="2"/>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08" w:hRule="atLeast"/>
        </w:trPr>
        <w:tc>
          <w:tcPr>
            <w:tcW w:w="52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8460" w:type="dxa"/>
            <w:gridSpan w:val="6"/>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shd w:val="clear" w:color="auto" w:fill="FFFFFF" w:themeFill="background1"/>
          <w:tblCellMar>
            <w:top w:w="0" w:type="dxa"/>
            <w:left w:w="108" w:type="dxa"/>
            <w:bottom w:w="0" w:type="dxa"/>
            <w:right w:w="108" w:type="dxa"/>
          </w:tblCellMar>
        </w:tblPrEx>
        <w:trPr>
          <w:trHeight w:val="312" w:hRule="atLeast"/>
        </w:trPr>
        <w:tc>
          <w:tcPr>
            <w:tcW w:w="1494"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63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12"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19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84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19"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122"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12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6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shd w:val="clear" w:color="auto" w:fill="FFFFFF" w:themeFill="background1"/>
          <w:tblCellMar>
            <w:top w:w="0" w:type="dxa"/>
            <w:left w:w="108" w:type="dxa"/>
            <w:bottom w:w="0" w:type="dxa"/>
            <w:right w:w="108" w:type="dxa"/>
          </w:tblCellMar>
        </w:tblPrEx>
        <w:trPr>
          <w:trHeight w:val="312" w:hRule="atLeast"/>
        </w:trPr>
        <w:tc>
          <w:tcPr>
            <w:tcW w:w="1494"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6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1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9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84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019"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2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12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6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147.59</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61.14</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基本工资</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42.50</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办公费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国内债务付息</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津贴补贴</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33.47</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印刷费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国外债务付息</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奖金</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24.24</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咨询费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16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6.62</w:t>
            </w: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伙食补助费</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5.83</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手续费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房屋建筑物购建</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绩效工资</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水费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办公设备购置</w:t>
            </w:r>
          </w:p>
        </w:tc>
        <w:tc>
          <w:tcPr>
            <w:tcW w:w="116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6.62</w:t>
            </w: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机关事业单位基本养老保险缴费</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21.02</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电费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专用设备购置</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职业年金缴费</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cs="宋体"/>
                <w:color w:val="000000"/>
                <w:kern w:val="0"/>
                <w:sz w:val="22"/>
              </w:rPr>
              <w:t>0.2</w:t>
            </w:r>
            <w:r>
              <w:rPr>
                <w:rFonts w:hint="eastAsia" w:ascii="宋体" w:hAnsi="宋体" w:cs="宋体"/>
                <w:color w:val="000000"/>
                <w:kern w:val="0"/>
                <w:sz w:val="22"/>
                <w:lang w:val="en-US" w:eastAsia="zh-CN"/>
              </w:rPr>
              <w:t>2</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邮电费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0.09</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基础设施建设</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职工基本医疗保险缴费</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8.55</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取暖费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大型修缮</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公务员医疗补助缴费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物业管理费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信息网络及软件购置更新</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其他社会保障缴费</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4.41</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差旅费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7.44</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物资储备</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住房公积金</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因公出国（境）费用</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土地补偿</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医疗费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维修（护）费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0.05</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安置补助</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其他工资福利支出</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7.35</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租赁费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地上附着物和青苗补偿</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7.52</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会议费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0.15</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拆迁补偿</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离休费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培训费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0.50</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退休费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其他交通工具购置</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退职（役）费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专用材料费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文物和陈列品购置</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抚恤金</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0.83</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被装购置费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无形资产购置</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生活补助</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6.59</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专用燃料费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其他资本性支出</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救济费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劳务费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0.86</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医疗费补助</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委托业务费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赠与</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助学金</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工会经费</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25.24</w:t>
            </w: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国家赔偿费用支出</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奖励金</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0.10</w:t>
            </w: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福利费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对民间非营利组织和群众性自治组织补贴</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个人农业生产补贴</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公务用车运行维护费</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12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代缴社会保险费</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其他交通费用</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10.96</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21"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634"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其他对个人和家庭的补助</w:t>
            </w: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税金及附加费用</w:t>
            </w:r>
          </w:p>
        </w:tc>
        <w:tc>
          <w:tcPr>
            <w:tcW w:w="1019"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21"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94" w:type="dxa"/>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63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1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191"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840" w:type="dxa"/>
            <w:tcBorders>
              <w:top w:val="nil"/>
              <w:left w:val="nil"/>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其他商品和服务支出</w:t>
            </w:r>
          </w:p>
        </w:tc>
        <w:tc>
          <w:tcPr>
            <w:tcW w:w="1019"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5.52</w:t>
            </w:r>
          </w:p>
        </w:tc>
        <w:tc>
          <w:tcPr>
            <w:tcW w:w="1122"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21"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167"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8" w:type="dxa"/>
            <w:gridSpan w:val="2"/>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112"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155.11</w:t>
            </w:r>
          </w:p>
        </w:tc>
        <w:tc>
          <w:tcPr>
            <w:tcW w:w="7293" w:type="dxa"/>
            <w:gridSpan w:val="5"/>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167" w:type="dxa"/>
            <w:tcBorders>
              <w:top w:val="nil"/>
              <w:left w:val="nil"/>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67.76</w:t>
            </w:r>
          </w:p>
        </w:tc>
      </w:tr>
      <w:tr>
        <w:tblPrEx>
          <w:tblCellMar>
            <w:top w:w="0" w:type="dxa"/>
            <w:left w:w="108" w:type="dxa"/>
            <w:bottom w:w="0" w:type="dxa"/>
            <w:right w:w="108" w:type="dxa"/>
          </w:tblCellMar>
        </w:tblPrEx>
        <w:trPr>
          <w:trHeight w:val="308" w:hRule="atLeast"/>
        </w:trPr>
        <w:tc>
          <w:tcPr>
            <w:tcW w:w="13700" w:type="dxa"/>
            <w:gridSpan w:val="9"/>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w:t>
            </w:r>
          </w:p>
        </w:tc>
      </w:tr>
    </w:tbl>
    <w:p>
      <w:pPr>
        <w:pStyle w:val="2"/>
        <w:rPr>
          <w:rFonts w:ascii="Times New Roman" w:hAnsi="Times New Roman" w:eastAsia="仿宋_GB2312"/>
          <w:bCs/>
          <w:kern w:val="0"/>
          <w:szCs w:val="21"/>
        </w:rPr>
      </w:pPr>
    </w:p>
    <w:p>
      <w:pPr>
        <w:widowControl/>
        <w:jc w:val="left"/>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p>
      <w:pPr>
        <w:pStyle w:val="2"/>
        <w:rPr>
          <w:rFonts w:ascii="Times New Roman" w:hAnsi="Times New Roman" w:eastAsia="仿宋_GB2312"/>
          <w:bCs/>
          <w:kern w:val="0"/>
          <w:szCs w:val="21"/>
        </w:rPr>
      </w:pPr>
    </w:p>
    <w:tbl>
      <w:tblPr>
        <w:tblStyle w:val="9"/>
        <w:tblW w:w="13960" w:type="dxa"/>
        <w:tblInd w:w="93" w:type="dxa"/>
        <w:shd w:val="clear" w:color="auto" w:fill="FFFFFF" w:themeFill="background1"/>
        <w:tblLayout w:type="fixed"/>
        <w:tblCellMar>
          <w:top w:w="0" w:type="dxa"/>
          <w:left w:w="108" w:type="dxa"/>
          <w:bottom w:w="0" w:type="dxa"/>
          <w:right w:w="108" w:type="dxa"/>
        </w:tblCellMar>
      </w:tblPr>
      <w:tblGrid>
        <w:gridCol w:w="1835"/>
        <w:gridCol w:w="1154"/>
        <w:gridCol w:w="950"/>
        <w:gridCol w:w="844"/>
        <w:gridCol w:w="1011"/>
        <w:gridCol w:w="911"/>
        <w:gridCol w:w="698"/>
        <w:gridCol w:w="911"/>
        <w:gridCol w:w="1154"/>
        <w:gridCol w:w="1795"/>
        <w:gridCol w:w="1296"/>
        <w:gridCol w:w="1401"/>
      </w:tblGrid>
      <w:tr>
        <w:tblPrEx>
          <w:shd w:val="clear" w:color="auto" w:fill="FFFFFF" w:themeFill="background1"/>
          <w:tblCellMar>
            <w:top w:w="0" w:type="dxa"/>
            <w:left w:w="108" w:type="dxa"/>
            <w:bottom w:w="0" w:type="dxa"/>
            <w:right w:w="108" w:type="dxa"/>
          </w:tblCellMar>
        </w:tblPrEx>
        <w:trPr>
          <w:trHeight w:val="617" w:hRule="atLeast"/>
        </w:trPr>
        <w:tc>
          <w:tcPr>
            <w:tcW w:w="13960" w:type="dxa"/>
            <w:gridSpan w:val="12"/>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一般公共预算财政拨款“三公”经费支出决算表</w:t>
            </w:r>
          </w:p>
        </w:tc>
      </w:tr>
      <w:tr>
        <w:tblPrEx>
          <w:shd w:val="clear" w:color="auto" w:fill="FFFFFF" w:themeFill="background1"/>
          <w:tblCellMar>
            <w:top w:w="0" w:type="dxa"/>
            <w:left w:w="108" w:type="dxa"/>
            <w:bottom w:w="0" w:type="dxa"/>
            <w:right w:w="108" w:type="dxa"/>
          </w:tblCellMar>
        </w:tblPrEx>
        <w:trPr>
          <w:trHeight w:val="356" w:hRule="atLeast"/>
        </w:trPr>
        <w:tc>
          <w:tcPr>
            <w:tcW w:w="183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5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5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4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69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5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79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29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01"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617" w:hRule="atLeast"/>
        </w:trPr>
        <w:tc>
          <w:tcPr>
            <w:tcW w:w="1835"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115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50"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84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0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69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911"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15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79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697" w:type="dxa"/>
            <w:gridSpan w:val="2"/>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457" w:hRule="atLeast"/>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7255" w:type="dxa"/>
            <w:gridSpan w:val="6"/>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466" w:hRule="atLeast"/>
        </w:trPr>
        <w:tc>
          <w:tcPr>
            <w:tcW w:w="1835"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5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805" w:type="dxa"/>
            <w:gridSpan w:val="3"/>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91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698"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1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4245" w:type="dxa"/>
            <w:gridSpan w:val="3"/>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40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1136" w:hRule="atLeast"/>
        </w:trPr>
        <w:tc>
          <w:tcPr>
            <w:tcW w:w="1835"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5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5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844"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1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91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69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1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154"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79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29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40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8" w:hRule="atLeast"/>
        </w:trPr>
        <w:tc>
          <w:tcPr>
            <w:tcW w:w="1835"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54"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5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4"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1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1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69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91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54"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795"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29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40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603" w:hRule="atLeast"/>
        </w:trPr>
        <w:tc>
          <w:tcPr>
            <w:tcW w:w="1835"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12.00</w:t>
            </w:r>
          </w:p>
        </w:tc>
        <w:tc>
          <w:tcPr>
            <w:tcW w:w="1154"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95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5.70</w:t>
            </w:r>
          </w:p>
        </w:tc>
        <w:tc>
          <w:tcPr>
            <w:tcW w:w="844"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101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5.70</w:t>
            </w:r>
          </w:p>
        </w:tc>
        <w:tc>
          <w:tcPr>
            <w:tcW w:w="91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6.30</w:t>
            </w:r>
          </w:p>
        </w:tc>
        <w:tc>
          <w:tcPr>
            <w:tcW w:w="69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5.37</w:t>
            </w:r>
          </w:p>
        </w:tc>
        <w:tc>
          <w:tcPr>
            <w:tcW w:w="911"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1154"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1795"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1296"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140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5.37</w:t>
            </w:r>
          </w:p>
        </w:tc>
      </w:tr>
      <w:tr>
        <w:tblPrEx>
          <w:tblCellMar>
            <w:top w:w="0" w:type="dxa"/>
            <w:left w:w="108" w:type="dxa"/>
            <w:bottom w:w="0" w:type="dxa"/>
            <w:right w:w="108" w:type="dxa"/>
          </w:tblCellMar>
        </w:tblPrEx>
        <w:trPr>
          <w:trHeight w:val="1235" w:hRule="atLeast"/>
        </w:trPr>
        <w:tc>
          <w:tcPr>
            <w:tcW w:w="13960" w:type="dxa"/>
            <w:gridSpan w:val="12"/>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宋体" w:cs="宋体"/>
          <w:kern w:val="0"/>
          <w:sz w:val="24"/>
          <w:szCs w:val="24"/>
        </w:rPr>
      </w:pPr>
      <w:r>
        <w:rPr>
          <w:rFonts w:ascii="宋体" w:cs="宋体"/>
          <w:kern w:val="0"/>
          <w:sz w:val="24"/>
          <w:szCs w:val="24"/>
        </w:rPr>
        <w:br w:type="page"/>
      </w:r>
    </w:p>
    <w:tbl>
      <w:tblPr>
        <w:tblStyle w:val="9"/>
        <w:tblW w:w="14360" w:type="dxa"/>
        <w:tblInd w:w="93" w:type="dxa"/>
        <w:shd w:val="clear" w:color="auto" w:fill="FFFFFF" w:themeFill="background1"/>
        <w:tblLayout w:type="fixed"/>
        <w:tblCellMar>
          <w:top w:w="0" w:type="dxa"/>
          <w:left w:w="108" w:type="dxa"/>
          <w:bottom w:w="0" w:type="dxa"/>
          <w:right w:w="108" w:type="dxa"/>
        </w:tblCellMar>
      </w:tblPr>
      <w:tblGrid>
        <w:gridCol w:w="3365"/>
        <w:gridCol w:w="284"/>
        <w:gridCol w:w="284"/>
        <w:gridCol w:w="1409"/>
        <w:gridCol w:w="1386"/>
        <w:gridCol w:w="1386"/>
        <w:gridCol w:w="1386"/>
        <w:gridCol w:w="1386"/>
        <w:gridCol w:w="1386"/>
        <w:gridCol w:w="2088"/>
      </w:tblGrid>
      <w:tr>
        <w:tblPrEx>
          <w:shd w:val="clear" w:color="auto" w:fill="FFFFFF" w:themeFill="background1"/>
          <w:tblCellMar>
            <w:top w:w="0" w:type="dxa"/>
            <w:left w:w="108" w:type="dxa"/>
            <w:bottom w:w="0" w:type="dxa"/>
            <w:right w:w="108" w:type="dxa"/>
          </w:tblCellMar>
        </w:tblPrEx>
        <w:trPr>
          <w:trHeight w:val="661" w:hRule="atLeast"/>
        </w:trPr>
        <w:tc>
          <w:tcPr>
            <w:tcW w:w="14360" w:type="dxa"/>
            <w:gridSpan w:val="10"/>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shd w:val="clear" w:color="auto" w:fill="FFFFFF" w:themeFill="background1"/>
          <w:tblCellMar>
            <w:top w:w="0" w:type="dxa"/>
            <w:left w:w="108" w:type="dxa"/>
            <w:bottom w:w="0" w:type="dxa"/>
            <w:right w:w="108" w:type="dxa"/>
          </w:tblCellMar>
        </w:tblPrEx>
        <w:trPr>
          <w:trHeight w:val="330" w:hRule="atLeast"/>
        </w:trPr>
        <w:tc>
          <w:tcPr>
            <w:tcW w:w="3365"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8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8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0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088"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shd w:val="clear" w:color="auto" w:fill="FFFFFF" w:themeFill="background1"/>
          <w:tblCellMar>
            <w:top w:w="0" w:type="dxa"/>
            <w:left w:w="108" w:type="dxa"/>
            <w:bottom w:w="0" w:type="dxa"/>
            <w:right w:w="108" w:type="dxa"/>
          </w:tblCellMar>
        </w:tblPrEx>
        <w:trPr>
          <w:trHeight w:val="330" w:hRule="atLeast"/>
        </w:trPr>
        <w:tc>
          <w:tcPr>
            <w:tcW w:w="3365"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28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8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09"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386"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088"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52" w:hRule="atLeast"/>
        </w:trPr>
        <w:tc>
          <w:tcPr>
            <w:tcW w:w="534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8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38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4158"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08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shd w:val="clear" w:color="auto" w:fill="FFFFFF" w:themeFill="background1"/>
          <w:tblCellMar>
            <w:top w:w="0" w:type="dxa"/>
            <w:left w:w="108" w:type="dxa"/>
            <w:bottom w:w="0" w:type="dxa"/>
            <w:right w:w="108" w:type="dxa"/>
          </w:tblCellMar>
        </w:tblPrEx>
        <w:trPr>
          <w:trHeight w:val="352" w:hRule="atLeast"/>
        </w:trPr>
        <w:tc>
          <w:tcPr>
            <w:tcW w:w="3933"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1409"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38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8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08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52" w:hRule="atLeast"/>
        </w:trPr>
        <w:tc>
          <w:tcPr>
            <w:tcW w:w="393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09"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08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52" w:hRule="atLeast"/>
        </w:trPr>
        <w:tc>
          <w:tcPr>
            <w:tcW w:w="393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09"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8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08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52" w:hRule="atLeast"/>
        </w:trPr>
        <w:tc>
          <w:tcPr>
            <w:tcW w:w="5342"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8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8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8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8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86"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08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shd w:val="clear" w:color="auto" w:fill="FFFFFF" w:themeFill="background1"/>
          <w:tblCellMar>
            <w:top w:w="0" w:type="dxa"/>
            <w:left w:w="108" w:type="dxa"/>
            <w:bottom w:w="0" w:type="dxa"/>
            <w:right w:w="108" w:type="dxa"/>
          </w:tblCellMar>
        </w:tblPrEx>
        <w:trPr>
          <w:trHeight w:val="352" w:hRule="atLeast"/>
        </w:trPr>
        <w:tc>
          <w:tcPr>
            <w:tcW w:w="5342"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86"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0</w:t>
            </w:r>
          </w:p>
        </w:tc>
        <w:tc>
          <w:tcPr>
            <w:tcW w:w="1386"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0</w:t>
            </w:r>
          </w:p>
        </w:tc>
        <w:tc>
          <w:tcPr>
            <w:tcW w:w="1386"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0</w:t>
            </w:r>
          </w:p>
        </w:tc>
        <w:tc>
          <w:tcPr>
            <w:tcW w:w="1386"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0</w:t>
            </w:r>
          </w:p>
        </w:tc>
        <w:tc>
          <w:tcPr>
            <w:tcW w:w="1386" w:type="dxa"/>
            <w:tcBorders>
              <w:top w:val="nil"/>
              <w:left w:val="nil"/>
              <w:bottom w:val="single" w:color="000000" w:sz="4" w:space="0"/>
              <w:right w:val="single" w:color="000000" w:sz="4" w:space="0"/>
            </w:tcBorders>
            <w:shd w:val="clear" w:color="auto" w:fill="FFFFFF" w:themeFill="background1"/>
            <w:vAlign w:val="center"/>
          </w:tcPr>
          <w:p>
            <w:pPr>
              <w:jc w:val="center"/>
              <w:rPr>
                <w:rFonts w:hint="default" w:ascii="宋体" w:hAnsi="宋体" w:eastAsia="宋体" w:cs="宋体"/>
                <w:b/>
                <w:bCs/>
                <w:color w:val="000000"/>
                <w:sz w:val="22"/>
                <w:lang w:val="en-US" w:eastAsia="zh-CN"/>
              </w:rPr>
            </w:pPr>
            <w:r>
              <w:rPr>
                <w:rFonts w:hint="eastAsia" w:ascii="宋体" w:hAnsi="宋体" w:cs="宋体"/>
                <w:b/>
                <w:bCs/>
                <w:color w:val="000000"/>
                <w:sz w:val="22"/>
                <w:lang w:val="en-US" w:eastAsia="zh-CN"/>
              </w:rPr>
              <w:t>0</w:t>
            </w:r>
          </w:p>
        </w:tc>
        <w:tc>
          <w:tcPr>
            <w:tcW w:w="2088" w:type="dxa"/>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0</w:t>
            </w:r>
          </w:p>
        </w:tc>
      </w:tr>
      <w:tr>
        <w:tblPrEx>
          <w:tblCellMar>
            <w:top w:w="0" w:type="dxa"/>
            <w:left w:w="108" w:type="dxa"/>
            <w:bottom w:w="0" w:type="dxa"/>
            <w:right w:w="108" w:type="dxa"/>
          </w:tblCellMar>
        </w:tblPrEx>
        <w:trPr>
          <w:trHeight w:val="352" w:hRule="atLeast"/>
        </w:trPr>
        <w:tc>
          <w:tcPr>
            <w:tcW w:w="39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09"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208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2" w:hRule="atLeast"/>
        </w:trPr>
        <w:tc>
          <w:tcPr>
            <w:tcW w:w="39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09"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208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2" w:hRule="atLeast"/>
        </w:trPr>
        <w:tc>
          <w:tcPr>
            <w:tcW w:w="39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09"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208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2" w:hRule="atLeast"/>
        </w:trPr>
        <w:tc>
          <w:tcPr>
            <w:tcW w:w="39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09"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208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2" w:hRule="atLeast"/>
        </w:trPr>
        <w:tc>
          <w:tcPr>
            <w:tcW w:w="39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09"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208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2" w:hRule="atLeast"/>
        </w:trPr>
        <w:tc>
          <w:tcPr>
            <w:tcW w:w="3933"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09"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386"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208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2" w:hRule="atLeast"/>
        </w:trPr>
        <w:tc>
          <w:tcPr>
            <w:tcW w:w="14360" w:type="dxa"/>
            <w:gridSpan w:val="10"/>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w:t>
            </w:r>
          </w:p>
        </w:tc>
      </w:tr>
    </w:tbl>
    <w:p>
      <w:pPr>
        <w:widowControl/>
        <w:jc w:val="left"/>
        <w:rPr>
          <w:rFonts w:ascii="Times New Roman" w:hAnsi="Times New Roman" w:eastAsia="仿宋_GB2312"/>
          <w:b/>
          <w:kern w:val="0"/>
          <w:szCs w:val="21"/>
        </w:rPr>
      </w:pPr>
      <w:r>
        <w:rPr>
          <w:rFonts w:hint="eastAsia" w:ascii="Times New Roman" w:hAnsi="Times New Roman" w:eastAsia="仿宋_GB2312"/>
          <w:b/>
          <w:kern w:val="0"/>
          <w:szCs w:val="21"/>
        </w:rPr>
        <w:t>本单位没有政府性基金收入，也没有使用政府性基金安排的支出，故本表无数据。</w:t>
      </w:r>
    </w:p>
    <w:p>
      <w:pPr>
        <w:widowControl/>
        <w:jc w:val="left"/>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p>
      <w:pPr>
        <w:pStyle w:val="2"/>
        <w:rPr>
          <w:rFonts w:ascii="黑体" w:hAnsi="黑体" w:eastAsia="黑体"/>
          <w:szCs w:val="21"/>
        </w:rPr>
      </w:pPr>
    </w:p>
    <w:tbl>
      <w:tblPr>
        <w:tblStyle w:val="9"/>
        <w:tblpPr w:leftFromText="180" w:rightFromText="180" w:vertAnchor="text" w:horzAnchor="page" w:tblpX="1420" w:tblpY="17"/>
        <w:tblOverlap w:val="never"/>
        <w:tblW w:w="14340" w:type="dxa"/>
        <w:tblInd w:w="0" w:type="dxa"/>
        <w:shd w:val="clear" w:color="auto" w:fill="FFFFFF" w:themeFill="background1"/>
        <w:tblLayout w:type="fixed"/>
        <w:tblCellMar>
          <w:top w:w="0" w:type="dxa"/>
          <w:left w:w="108" w:type="dxa"/>
          <w:bottom w:w="0" w:type="dxa"/>
          <w:right w:w="108" w:type="dxa"/>
        </w:tblCellMar>
      </w:tblPr>
      <w:tblGrid>
        <w:gridCol w:w="5122"/>
        <w:gridCol w:w="433"/>
        <w:gridCol w:w="433"/>
        <w:gridCol w:w="2144"/>
        <w:gridCol w:w="1498"/>
        <w:gridCol w:w="1498"/>
        <w:gridCol w:w="3212"/>
      </w:tblGrid>
      <w:tr>
        <w:tblPrEx>
          <w:shd w:val="clear" w:color="auto" w:fill="FFFFFF" w:themeFill="background1"/>
          <w:tblCellMar>
            <w:top w:w="0" w:type="dxa"/>
            <w:left w:w="108" w:type="dxa"/>
            <w:bottom w:w="0" w:type="dxa"/>
            <w:right w:w="108" w:type="dxa"/>
          </w:tblCellMar>
        </w:tblPrEx>
        <w:trPr>
          <w:trHeight w:val="652" w:hRule="atLeast"/>
        </w:trPr>
        <w:tc>
          <w:tcPr>
            <w:tcW w:w="14340" w:type="dxa"/>
            <w:gridSpan w:val="7"/>
            <w:tcBorders>
              <w:top w:val="nil"/>
              <w:left w:val="nil"/>
              <w:bottom w:val="nil"/>
              <w:right w:val="nil"/>
            </w:tcBorders>
            <w:shd w:val="clear" w:color="auto" w:fill="FFFFFF" w:themeFill="background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国有资本经营预算财政拨款支出决算表</w:t>
            </w:r>
          </w:p>
        </w:tc>
      </w:tr>
      <w:tr>
        <w:tblPrEx>
          <w:shd w:val="clear" w:color="auto" w:fill="FFFFFF" w:themeFill="background1"/>
          <w:tblCellMar>
            <w:top w:w="0" w:type="dxa"/>
            <w:left w:w="108" w:type="dxa"/>
            <w:bottom w:w="0" w:type="dxa"/>
            <w:right w:w="108" w:type="dxa"/>
          </w:tblCellMar>
        </w:tblPrEx>
        <w:trPr>
          <w:trHeight w:val="325" w:hRule="atLeast"/>
        </w:trPr>
        <w:tc>
          <w:tcPr>
            <w:tcW w:w="5122"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3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3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14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9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9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212"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公开09表</w:t>
            </w:r>
          </w:p>
        </w:tc>
      </w:tr>
      <w:tr>
        <w:tblPrEx>
          <w:shd w:val="clear" w:color="auto" w:fill="FFFFFF" w:themeFill="background1"/>
          <w:tblCellMar>
            <w:top w:w="0" w:type="dxa"/>
            <w:left w:w="108" w:type="dxa"/>
            <w:bottom w:w="0" w:type="dxa"/>
            <w:right w:w="108" w:type="dxa"/>
          </w:tblCellMar>
        </w:tblPrEx>
        <w:trPr>
          <w:trHeight w:val="325" w:hRule="atLeast"/>
        </w:trPr>
        <w:tc>
          <w:tcPr>
            <w:tcW w:w="5122" w:type="dxa"/>
            <w:tcBorders>
              <w:top w:val="nil"/>
              <w:left w:val="nil"/>
              <w:bottom w:val="nil"/>
              <w:right w:val="nil"/>
            </w:tcBorders>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部门：中共会同县委宣传部</w:t>
            </w:r>
          </w:p>
        </w:tc>
        <w:tc>
          <w:tcPr>
            <w:tcW w:w="43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433"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2144"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9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1498" w:type="dxa"/>
            <w:tcBorders>
              <w:top w:val="nil"/>
              <w:left w:val="nil"/>
              <w:bottom w:val="nil"/>
              <w:right w:val="nil"/>
            </w:tcBorders>
            <w:shd w:val="clear" w:color="auto" w:fill="FFFFFF" w:themeFill="background1"/>
            <w:vAlign w:val="bottom"/>
          </w:tcPr>
          <w:p>
            <w:pPr>
              <w:rPr>
                <w:rFonts w:ascii="Arial" w:hAnsi="Arial" w:cs="Arial"/>
                <w:color w:val="000000"/>
                <w:sz w:val="20"/>
                <w:szCs w:val="20"/>
              </w:rPr>
            </w:pPr>
          </w:p>
        </w:tc>
        <w:tc>
          <w:tcPr>
            <w:tcW w:w="3212" w:type="dxa"/>
            <w:tcBorders>
              <w:top w:val="nil"/>
              <w:left w:val="nil"/>
              <w:bottom w:val="nil"/>
              <w:right w:val="nil"/>
            </w:tcBorders>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shd w:val="clear" w:color="auto" w:fill="FFFFFF" w:themeFill="background1"/>
          <w:tblCellMar>
            <w:top w:w="0" w:type="dxa"/>
            <w:left w:w="108" w:type="dxa"/>
            <w:bottom w:w="0" w:type="dxa"/>
            <w:right w:w="108" w:type="dxa"/>
          </w:tblCellMar>
        </w:tblPrEx>
        <w:trPr>
          <w:trHeight w:val="355" w:hRule="atLeast"/>
        </w:trPr>
        <w:tc>
          <w:tcPr>
            <w:tcW w:w="813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208"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shd w:val="clear" w:color="auto" w:fill="FFFFFF" w:themeFill="background1"/>
          <w:tblCellMar>
            <w:top w:w="0" w:type="dxa"/>
            <w:left w:w="108" w:type="dxa"/>
            <w:bottom w:w="0" w:type="dxa"/>
            <w:right w:w="108" w:type="dxa"/>
          </w:tblCellMar>
        </w:tblPrEx>
        <w:trPr>
          <w:trHeight w:val="355" w:hRule="atLeast"/>
        </w:trPr>
        <w:tc>
          <w:tcPr>
            <w:tcW w:w="5988"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214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98"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498"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3212"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shd w:val="clear" w:color="auto" w:fill="FFFFFF" w:themeFill="background1"/>
          <w:tblCellMar>
            <w:top w:w="0" w:type="dxa"/>
            <w:left w:w="108" w:type="dxa"/>
            <w:bottom w:w="0" w:type="dxa"/>
            <w:right w:w="108" w:type="dxa"/>
          </w:tblCellMar>
        </w:tblPrEx>
        <w:trPr>
          <w:trHeight w:val="355" w:hRule="atLeast"/>
        </w:trPr>
        <w:tc>
          <w:tcPr>
            <w:tcW w:w="598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14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9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9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21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CellMar>
            <w:top w:w="0" w:type="dxa"/>
            <w:left w:w="108" w:type="dxa"/>
            <w:bottom w:w="0" w:type="dxa"/>
            <w:right w:w="108" w:type="dxa"/>
          </w:tblCellMar>
        </w:tblPrEx>
        <w:trPr>
          <w:trHeight w:val="355" w:hRule="atLeast"/>
        </w:trPr>
        <w:tc>
          <w:tcPr>
            <w:tcW w:w="598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214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9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9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21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8132"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9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98"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212"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55" w:hRule="atLeast"/>
        </w:trPr>
        <w:tc>
          <w:tcPr>
            <w:tcW w:w="8132"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498"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b/>
                <w:bCs/>
                <w:color w:val="000000"/>
                <w:sz w:val="22"/>
              </w:rPr>
            </w:pPr>
            <w:r>
              <w:rPr>
                <w:rFonts w:hint="eastAsia" w:ascii="宋体" w:hAnsi="宋体" w:cs="宋体"/>
                <w:b/>
                <w:bCs/>
                <w:color w:val="000000"/>
                <w:sz w:val="22"/>
              </w:rPr>
              <w:t>0</w:t>
            </w:r>
          </w:p>
        </w:tc>
        <w:tc>
          <w:tcPr>
            <w:tcW w:w="1498"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b/>
                <w:bCs/>
                <w:color w:val="000000"/>
                <w:sz w:val="22"/>
              </w:rPr>
            </w:pPr>
            <w:r>
              <w:rPr>
                <w:rFonts w:hint="eastAsia" w:ascii="宋体" w:hAnsi="宋体" w:cs="宋体"/>
                <w:b/>
                <w:bCs/>
                <w:color w:val="000000"/>
                <w:sz w:val="22"/>
              </w:rPr>
              <w:t>0</w:t>
            </w:r>
          </w:p>
        </w:tc>
        <w:tc>
          <w:tcPr>
            <w:tcW w:w="3212" w:type="dxa"/>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b/>
                <w:bCs/>
                <w:color w:val="000000"/>
                <w:sz w:val="22"/>
              </w:rPr>
            </w:pPr>
            <w:r>
              <w:rPr>
                <w:rFonts w:hint="eastAsia" w:ascii="宋体" w:hAnsi="宋体" w:cs="宋体"/>
                <w:b/>
                <w:bCs/>
                <w:color w:val="000000"/>
                <w:sz w:val="22"/>
              </w:rPr>
              <w:t>0</w:t>
            </w:r>
          </w:p>
        </w:tc>
      </w:tr>
      <w:tr>
        <w:tblPrEx>
          <w:tblCellMar>
            <w:top w:w="0" w:type="dxa"/>
            <w:left w:w="108" w:type="dxa"/>
            <w:bottom w:w="0" w:type="dxa"/>
            <w:right w:w="108" w:type="dxa"/>
          </w:tblCellMar>
        </w:tblPrEx>
        <w:trPr>
          <w:trHeight w:val="355" w:hRule="atLeast"/>
        </w:trPr>
        <w:tc>
          <w:tcPr>
            <w:tcW w:w="5988"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4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2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5988"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4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2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5988"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4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2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5988"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4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2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5988"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4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2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5988"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2144" w:type="dxa"/>
            <w:tcBorders>
              <w:top w:val="nil"/>
              <w:left w:val="nil"/>
              <w:bottom w:val="single" w:color="000000" w:sz="4" w:space="0"/>
              <w:right w:val="single" w:color="000000" w:sz="4" w:space="0"/>
            </w:tcBorders>
            <w:shd w:val="clear" w:color="auto" w:fill="FFFFFF" w:themeFill="background1"/>
            <w:vAlign w:val="center"/>
          </w:tcPr>
          <w:p>
            <w:pPr>
              <w:jc w:val="lef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1498"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c>
          <w:tcPr>
            <w:tcW w:w="3212" w:type="dxa"/>
            <w:tcBorders>
              <w:top w:val="nil"/>
              <w:left w:val="nil"/>
              <w:bottom w:val="single" w:color="000000" w:sz="4" w:space="0"/>
              <w:right w:val="single" w:color="000000" w:sz="4" w:space="0"/>
            </w:tcBorders>
            <w:shd w:val="clear" w:color="auto" w:fill="FFFFFF" w:themeFill="background1"/>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5" w:hRule="atLeast"/>
        </w:trPr>
        <w:tc>
          <w:tcPr>
            <w:tcW w:w="14340" w:type="dxa"/>
            <w:gridSpan w:val="7"/>
            <w:tcBorders>
              <w:top w:val="nil"/>
              <w:left w:val="nil"/>
              <w:bottom w:val="nil"/>
              <w:right w:val="nil"/>
            </w:tcBorders>
            <w:shd w:val="clear" w:color="auto" w:fill="FFFFFF" w:themeFill="background1"/>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注：本表反映部门本年度国有资本经营预算财政拨款支出情况。</w:t>
            </w:r>
          </w:p>
        </w:tc>
      </w:tr>
    </w:tbl>
    <w:p>
      <w:pPr>
        <w:pStyle w:val="16"/>
        <w:rPr>
          <w:sz w:val="72"/>
          <w:szCs w:val="72"/>
        </w:rPr>
      </w:pPr>
      <w:r>
        <w:rPr>
          <w:rFonts w:hint="eastAsia" w:ascii="Times New Roman" w:hAnsi="Times New Roman" w:eastAsia="仿宋_GB2312"/>
          <w:b/>
          <w:kern w:val="0"/>
          <w:szCs w:val="21"/>
        </w:rPr>
        <w:t>本单位没有国有资本经营收入，也没有使用国有资本经营安排的支出，故本表无数据。</w:t>
      </w:r>
    </w:p>
    <w:p>
      <w:pPr>
        <w:pStyle w:val="16"/>
        <w:rPr>
          <w:sz w:val="72"/>
          <w:szCs w:val="72"/>
        </w:rPr>
      </w:pPr>
    </w:p>
    <w:p>
      <w:pPr>
        <w:pStyle w:val="16"/>
        <w:rPr>
          <w:sz w:val="72"/>
          <w:szCs w:val="72"/>
        </w:rPr>
      </w:pPr>
    </w:p>
    <w:p>
      <w:pPr>
        <w:pStyle w:val="16"/>
        <w:jc w:val="both"/>
        <w:rPr>
          <w:sz w:val="72"/>
          <w:szCs w:val="72"/>
        </w:rPr>
        <w:sectPr>
          <w:pgSz w:w="16838" w:h="11906" w:orient="landscape"/>
          <w:pgMar w:top="720" w:right="1618" w:bottom="720" w:left="1360"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16"/>
        <w:jc w:val="both"/>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r>
        <w:rPr>
          <w:rFonts w:hint="eastAsia"/>
          <w:sz w:val="72"/>
          <w:szCs w:val="72"/>
        </w:rPr>
        <w:t>第三部分</w:t>
      </w:r>
    </w:p>
    <w:p>
      <w:pPr>
        <w:pStyle w:val="16"/>
        <w:jc w:val="center"/>
        <w:rPr>
          <w:sz w:val="70"/>
          <w:szCs w:val="70"/>
        </w:rPr>
      </w:pPr>
    </w:p>
    <w:p>
      <w:pPr>
        <w:pStyle w:val="16"/>
        <w:jc w:val="center"/>
        <w:rPr>
          <w:sz w:val="70"/>
          <w:szCs w:val="70"/>
        </w:rPr>
      </w:pPr>
      <w:r>
        <w:rPr>
          <w:sz w:val="70"/>
          <w:szCs w:val="70"/>
        </w:rPr>
        <w:t>2021</w:t>
      </w:r>
      <w:r>
        <w:rPr>
          <w:rFonts w:hint="eastAsia"/>
          <w:sz w:val="70"/>
          <w:szCs w:val="70"/>
        </w:rPr>
        <w:t>年度部门决算情况说明</w:t>
      </w:r>
    </w:p>
    <w:p>
      <w:pPr>
        <w:widowControl/>
        <w:spacing w:line="600" w:lineRule="exact"/>
        <w:jc w:val="left"/>
        <w:rPr>
          <w:rFonts w:ascii="黑体" w:hAnsi="黑体" w:eastAsia="黑体" w:cs="黑体"/>
          <w:b/>
          <w:color w:val="000000"/>
          <w:kern w:val="0"/>
          <w:sz w:val="32"/>
          <w:szCs w:val="32"/>
        </w:rPr>
      </w:pPr>
      <w:r>
        <w:br w:type="page"/>
      </w:r>
      <w:r>
        <w:rPr>
          <w:rFonts w:hint="eastAsia" w:ascii="黑体" w:hAnsi="黑体" w:eastAsia="黑体"/>
          <w:b/>
          <w:sz w:val="32"/>
          <w:szCs w:val="32"/>
        </w:rPr>
        <w:t>一、收入支出决算总体情况说明</w:t>
      </w:r>
    </w:p>
    <w:p>
      <w:pPr>
        <w:snapToGrid w:val="0"/>
        <w:spacing w:line="540" w:lineRule="exact"/>
        <w:ind w:firstLine="640" w:firstLineChars="200"/>
        <w:rPr>
          <w:rFonts w:hint="eastAsia" w:ascii="宋体" w:hAnsi="宋体"/>
          <w:sz w:val="32"/>
          <w:szCs w:val="32"/>
        </w:rPr>
      </w:pPr>
      <w:r>
        <w:rPr>
          <w:rFonts w:hint="eastAsia" w:ascii="宋体" w:hAnsi="宋体"/>
          <w:sz w:val="32"/>
          <w:szCs w:val="32"/>
        </w:rPr>
        <w:t>2021年度收入总计</w:t>
      </w:r>
      <w:r>
        <w:rPr>
          <w:rFonts w:hint="eastAsia" w:ascii="宋体" w:hAnsi="宋体"/>
          <w:sz w:val="32"/>
          <w:szCs w:val="32"/>
          <w:lang w:val="en-US" w:eastAsia="zh-CN"/>
        </w:rPr>
        <w:t>499.47</w:t>
      </w:r>
      <w:r>
        <w:rPr>
          <w:rFonts w:hint="eastAsia" w:ascii="宋体" w:hAnsi="宋体"/>
          <w:sz w:val="32"/>
          <w:szCs w:val="32"/>
        </w:rPr>
        <w:t>万元（含年初结转和结余资金</w:t>
      </w:r>
      <w:r>
        <w:rPr>
          <w:rFonts w:hint="eastAsia" w:ascii="宋体" w:hAnsi="宋体"/>
          <w:sz w:val="32"/>
          <w:szCs w:val="32"/>
          <w:lang w:val="en-US" w:eastAsia="zh-CN"/>
        </w:rPr>
        <w:t>130.99</w:t>
      </w:r>
      <w:r>
        <w:rPr>
          <w:rFonts w:hint="eastAsia" w:ascii="宋体" w:hAnsi="宋体"/>
          <w:sz w:val="32"/>
          <w:szCs w:val="32"/>
        </w:rPr>
        <w:t>万元），与上年相比，减少</w:t>
      </w:r>
      <w:r>
        <w:rPr>
          <w:rFonts w:hint="eastAsia" w:ascii="宋体" w:hAnsi="宋体"/>
          <w:sz w:val="32"/>
          <w:szCs w:val="32"/>
          <w:lang w:val="en-US" w:eastAsia="zh-CN"/>
        </w:rPr>
        <w:t>131.49</w:t>
      </w:r>
      <w:r>
        <w:rPr>
          <w:rFonts w:hint="eastAsia" w:ascii="宋体" w:hAnsi="宋体"/>
          <w:sz w:val="32"/>
          <w:szCs w:val="32"/>
        </w:rPr>
        <w:t>万元，减少</w:t>
      </w:r>
      <w:r>
        <w:rPr>
          <w:rFonts w:hint="eastAsia" w:ascii="宋体" w:hAnsi="宋体"/>
          <w:sz w:val="32"/>
          <w:szCs w:val="32"/>
          <w:lang w:val="en-US" w:eastAsia="zh-CN"/>
        </w:rPr>
        <w:t>20.84</w:t>
      </w:r>
      <w:r>
        <w:rPr>
          <w:rFonts w:hint="eastAsia" w:ascii="宋体" w:hAnsi="宋体"/>
          <w:sz w:val="32"/>
          <w:szCs w:val="32"/>
        </w:rPr>
        <w:t>%，主要是因为经费紧张，缩减开支。</w:t>
      </w:r>
    </w:p>
    <w:p>
      <w:pPr>
        <w:snapToGrid w:val="0"/>
        <w:spacing w:line="540" w:lineRule="exact"/>
        <w:ind w:firstLine="640" w:firstLineChars="200"/>
        <w:rPr>
          <w:rFonts w:hint="eastAsia" w:ascii="宋体" w:hAnsi="宋体" w:eastAsia="宋体"/>
          <w:sz w:val="32"/>
          <w:szCs w:val="32"/>
        </w:rPr>
      </w:pPr>
      <w:r>
        <w:rPr>
          <w:rFonts w:hint="eastAsia" w:ascii="宋体" w:hAnsi="宋体"/>
          <w:sz w:val="32"/>
          <w:szCs w:val="32"/>
        </w:rPr>
        <w:t>2021年度支出总计</w:t>
      </w:r>
      <w:r>
        <w:rPr>
          <w:rFonts w:hint="eastAsia" w:ascii="宋体" w:hAnsi="宋体"/>
          <w:sz w:val="32"/>
          <w:szCs w:val="32"/>
          <w:lang w:val="en-US" w:eastAsia="zh-CN"/>
        </w:rPr>
        <w:t>499.47</w:t>
      </w:r>
      <w:r>
        <w:rPr>
          <w:rFonts w:hint="eastAsia" w:ascii="宋体" w:hAnsi="宋体"/>
          <w:sz w:val="32"/>
          <w:szCs w:val="32"/>
        </w:rPr>
        <w:t>万元（含年末结转和结余资金0万元），与上年相比，减少131.49万元，减少20.84%，主要是因为经费紧张，缩减开支。</w:t>
      </w:r>
    </w:p>
    <w:p>
      <w:pPr>
        <w:pStyle w:val="16"/>
        <w:spacing w:line="600" w:lineRule="exact"/>
        <w:rPr>
          <w:rFonts w:hAnsi="黑体"/>
          <w:b/>
          <w:sz w:val="32"/>
          <w:szCs w:val="32"/>
        </w:rPr>
      </w:pPr>
      <w:r>
        <w:rPr>
          <w:rFonts w:hint="eastAsia" w:hAnsi="黑体"/>
          <w:b/>
          <w:sz w:val="32"/>
          <w:szCs w:val="32"/>
        </w:rPr>
        <w:t>二、收入决算情况说明</w:t>
      </w:r>
    </w:p>
    <w:p>
      <w:pPr>
        <w:pStyle w:val="16"/>
        <w:ind w:firstLine="640" w:firstLineChars="200"/>
        <w:rPr>
          <w:rFonts w:ascii="宋体" w:hAnsi="宋体" w:eastAsia="宋体"/>
          <w:sz w:val="32"/>
          <w:szCs w:val="32"/>
        </w:rPr>
      </w:pPr>
      <w:r>
        <w:rPr>
          <w:rFonts w:hint="eastAsia" w:ascii="宋体" w:hAnsi="宋体" w:eastAsia="宋体"/>
          <w:sz w:val="32"/>
          <w:szCs w:val="32"/>
          <w:lang w:eastAsia="zh-CN"/>
        </w:rPr>
        <w:t>本年</w:t>
      </w:r>
      <w:r>
        <w:rPr>
          <w:rFonts w:hint="eastAsia" w:ascii="宋体" w:hAnsi="宋体" w:eastAsia="宋体"/>
          <w:sz w:val="32"/>
          <w:szCs w:val="32"/>
        </w:rPr>
        <w:t>收入合计368.4</w:t>
      </w:r>
      <w:r>
        <w:rPr>
          <w:rFonts w:hint="eastAsia" w:ascii="宋体" w:hAnsi="宋体" w:eastAsia="宋体"/>
          <w:sz w:val="32"/>
          <w:szCs w:val="32"/>
          <w:lang w:val="en-US" w:eastAsia="zh-CN"/>
        </w:rPr>
        <w:t>8</w:t>
      </w:r>
      <w:r>
        <w:rPr>
          <w:rFonts w:hint="eastAsia" w:ascii="宋体" w:hAnsi="宋体" w:eastAsia="宋体"/>
          <w:sz w:val="32"/>
          <w:szCs w:val="32"/>
        </w:rPr>
        <w:t>万元，其中：一般公共预算财政拨款收入365.68万元，占99.24</w:t>
      </w:r>
      <w:r>
        <w:rPr>
          <w:rFonts w:ascii="宋体" w:hAnsi="宋体" w:eastAsia="宋体"/>
          <w:sz w:val="32"/>
          <w:szCs w:val="32"/>
        </w:rPr>
        <w:t>%</w:t>
      </w:r>
      <w:r>
        <w:rPr>
          <w:rFonts w:hint="eastAsia" w:ascii="宋体" w:hAnsi="宋体" w:eastAsia="宋体"/>
          <w:sz w:val="32"/>
          <w:szCs w:val="32"/>
        </w:rPr>
        <w:t>；上级补助收</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；事业收入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；经营收入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；附属单位上缴收入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；其他收入2.</w:t>
      </w:r>
      <w:r>
        <w:rPr>
          <w:rFonts w:hint="eastAsia" w:ascii="宋体" w:hAnsi="宋体" w:eastAsia="宋体"/>
          <w:sz w:val="32"/>
          <w:szCs w:val="32"/>
          <w:lang w:val="en-US" w:eastAsia="zh-CN"/>
        </w:rPr>
        <w:t>8</w:t>
      </w:r>
      <w:r>
        <w:rPr>
          <w:rFonts w:hint="eastAsia" w:ascii="宋体" w:hAnsi="宋体" w:eastAsia="宋体"/>
          <w:sz w:val="32"/>
          <w:szCs w:val="32"/>
        </w:rPr>
        <w:t>万元，占0.76</w:t>
      </w:r>
      <w:r>
        <w:rPr>
          <w:rFonts w:ascii="宋体" w:hAnsi="宋体" w:eastAsia="宋体"/>
          <w:sz w:val="32"/>
          <w:szCs w:val="32"/>
        </w:rPr>
        <w:t>%</w:t>
      </w:r>
      <w:r>
        <w:rPr>
          <w:rFonts w:hint="eastAsia" w:ascii="宋体" w:hAnsi="宋体" w:eastAsia="宋体"/>
          <w:sz w:val="32"/>
          <w:szCs w:val="32"/>
        </w:rPr>
        <w:t>。</w:t>
      </w:r>
    </w:p>
    <w:p>
      <w:pPr>
        <w:pStyle w:val="16"/>
        <w:spacing w:line="600" w:lineRule="exact"/>
        <w:rPr>
          <w:rFonts w:hAnsi="黑体"/>
          <w:b/>
          <w:sz w:val="32"/>
          <w:szCs w:val="32"/>
        </w:rPr>
      </w:pPr>
      <w:r>
        <w:rPr>
          <w:rFonts w:hint="eastAsia" w:hAnsi="黑体"/>
          <w:b/>
          <w:sz w:val="32"/>
          <w:szCs w:val="32"/>
        </w:rPr>
        <w:t>三、支出决算情况说明</w:t>
      </w:r>
    </w:p>
    <w:p>
      <w:pPr>
        <w:pStyle w:val="16"/>
        <w:ind w:firstLine="640" w:firstLineChars="200"/>
        <w:rPr>
          <w:rFonts w:ascii="宋体" w:hAnsi="宋体" w:eastAsia="宋体"/>
          <w:sz w:val="32"/>
          <w:szCs w:val="32"/>
        </w:rPr>
      </w:pPr>
      <w:r>
        <w:rPr>
          <w:rFonts w:hint="eastAsia" w:ascii="宋体" w:hAnsi="宋体" w:eastAsia="宋体"/>
          <w:sz w:val="32"/>
          <w:szCs w:val="32"/>
          <w:lang w:eastAsia="zh-CN"/>
        </w:rPr>
        <w:t>本年</w:t>
      </w:r>
      <w:r>
        <w:rPr>
          <w:rFonts w:hint="eastAsia" w:ascii="宋体" w:hAnsi="宋体" w:eastAsia="宋体"/>
          <w:sz w:val="32"/>
          <w:szCs w:val="32"/>
        </w:rPr>
        <w:t>支出合计499.4</w:t>
      </w:r>
      <w:r>
        <w:rPr>
          <w:rFonts w:hint="eastAsia" w:ascii="宋体" w:hAnsi="宋体" w:eastAsia="宋体"/>
          <w:sz w:val="32"/>
          <w:szCs w:val="32"/>
          <w:lang w:val="en-US" w:eastAsia="zh-CN"/>
        </w:rPr>
        <w:t>8</w:t>
      </w:r>
      <w:r>
        <w:rPr>
          <w:rFonts w:hint="eastAsia" w:ascii="宋体" w:hAnsi="宋体" w:eastAsia="宋体"/>
          <w:sz w:val="32"/>
          <w:szCs w:val="32"/>
        </w:rPr>
        <w:t>万元，其中：基本支出225.6</w:t>
      </w:r>
      <w:r>
        <w:rPr>
          <w:rFonts w:hint="eastAsia" w:ascii="宋体" w:hAnsi="宋体" w:eastAsia="宋体"/>
          <w:sz w:val="32"/>
          <w:szCs w:val="32"/>
          <w:lang w:val="en-US" w:eastAsia="zh-CN"/>
        </w:rPr>
        <w:t>7</w:t>
      </w:r>
      <w:r>
        <w:rPr>
          <w:rFonts w:hint="eastAsia" w:ascii="宋体" w:hAnsi="宋体" w:eastAsia="宋体"/>
          <w:sz w:val="32"/>
          <w:szCs w:val="32"/>
        </w:rPr>
        <w:t>万元，占45.18</w:t>
      </w:r>
      <w:r>
        <w:rPr>
          <w:rFonts w:ascii="宋体" w:hAnsi="宋体" w:eastAsia="宋体"/>
          <w:sz w:val="32"/>
          <w:szCs w:val="32"/>
        </w:rPr>
        <w:t>%</w:t>
      </w:r>
      <w:r>
        <w:rPr>
          <w:rFonts w:hint="eastAsia" w:ascii="宋体" w:hAnsi="宋体" w:eastAsia="宋体"/>
          <w:sz w:val="32"/>
          <w:szCs w:val="32"/>
        </w:rPr>
        <w:t>；项目支出273.8万元，占54.82</w:t>
      </w:r>
      <w:r>
        <w:rPr>
          <w:rFonts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上缴上级支出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；经营支出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；对附属单位补助支出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rPr>
        <w:t>。</w:t>
      </w:r>
    </w:p>
    <w:p>
      <w:pPr>
        <w:pStyle w:val="16"/>
        <w:spacing w:line="600" w:lineRule="exact"/>
        <w:rPr>
          <w:rFonts w:hAnsi="黑体"/>
          <w:b/>
          <w:sz w:val="32"/>
          <w:szCs w:val="32"/>
        </w:rPr>
      </w:pPr>
      <w:r>
        <w:rPr>
          <w:rFonts w:hint="eastAsia" w:hAnsi="黑体"/>
          <w:b/>
          <w:sz w:val="32"/>
          <w:szCs w:val="32"/>
        </w:rPr>
        <w:t>四、财政拨款收入支出决算总体情况说明</w:t>
      </w:r>
    </w:p>
    <w:p>
      <w:pPr>
        <w:pStyle w:val="16"/>
        <w:spacing w:line="600" w:lineRule="exact"/>
        <w:ind w:firstLine="640" w:firstLineChars="200"/>
        <w:rPr>
          <w:rFonts w:ascii="宋体" w:hAnsi="宋体" w:eastAsia="宋体"/>
          <w:sz w:val="32"/>
          <w:szCs w:val="32"/>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365.68</w:t>
      </w:r>
      <w:r>
        <w:rPr>
          <w:rFonts w:hint="eastAsia" w:ascii="宋体" w:hAnsi="宋体" w:eastAsia="宋体"/>
          <w:sz w:val="32"/>
          <w:szCs w:val="32"/>
        </w:rPr>
        <w:t>万元（不含年初财政拨款结转和结余资金），与上年相比，减少</w:t>
      </w:r>
      <w:r>
        <w:rPr>
          <w:rFonts w:hint="eastAsia" w:ascii="宋体" w:hAnsi="宋体" w:eastAsia="宋体"/>
          <w:sz w:val="32"/>
          <w:szCs w:val="32"/>
          <w:lang w:val="en-US" w:eastAsia="zh-CN"/>
        </w:rPr>
        <w:t>118.04</w:t>
      </w:r>
      <w:r>
        <w:rPr>
          <w:rFonts w:hint="eastAsia" w:ascii="宋体" w:hAnsi="宋体" w:eastAsia="宋体"/>
          <w:sz w:val="32"/>
          <w:szCs w:val="32"/>
        </w:rPr>
        <w:t>万元,减少</w:t>
      </w:r>
      <w:r>
        <w:rPr>
          <w:rFonts w:hint="eastAsia" w:ascii="宋体" w:hAnsi="宋体" w:eastAsia="宋体"/>
          <w:sz w:val="32"/>
          <w:szCs w:val="32"/>
          <w:lang w:val="en-US" w:eastAsia="zh-CN"/>
        </w:rPr>
        <w:t>24.4</w:t>
      </w:r>
      <w:r>
        <w:rPr>
          <w:rFonts w:hint="eastAsia" w:ascii="宋体" w:hAnsi="宋体" w:eastAsia="宋体"/>
          <w:sz w:val="32"/>
          <w:szCs w:val="32"/>
        </w:rPr>
        <w:t>%，主要是因为</w:t>
      </w:r>
      <w:r>
        <w:rPr>
          <w:rFonts w:hint="eastAsia" w:ascii="宋体" w:hAnsi="宋体" w:eastAsia="宋体"/>
          <w:sz w:val="32"/>
          <w:szCs w:val="32"/>
          <w:lang w:val="zh-CN"/>
        </w:rPr>
        <w:t>经费紧张，</w:t>
      </w:r>
      <w:r>
        <w:rPr>
          <w:rFonts w:hint="eastAsia" w:ascii="宋体" w:hAnsi="宋体" w:eastAsia="宋体"/>
          <w:sz w:val="32"/>
          <w:szCs w:val="32"/>
        </w:rPr>
        <w:t>缩减开支。</w:t>
      </w:r>
    </w:p>
    <w:p>
      <w:pPr>
        <w:snapToGrid w:val="0"/>
        <w:spacing w:line="540" w:lineRule="exact"/>
        <w:ind w:firstLine="640" w:firstLineChars="200"/>
        <w:rPr>
          <w:rFonts w:hint="eastAsia" w:ascii="宋体" w:hAnsi="宋体" w:eastAsia="宋体"/>
          <w:sz w:val="32"/>
          <w:szCs w:val="32"/>
        </w:rPr>
      </w:pPr>
      <w:r>
        <w:rPr>
          <w:rFonts w:hint="eastAsia" w:ascii="宋体" w:hAnsi="宋体" w:eastAsia="宋体"/>
          <w:sz w:val="32"/>
          <w:szCs w:val="32"/>
        </w:rPr>
        <w:t>2021年度财政拨款支出合计</w:t>
      </w:r>
      <w:r>
        <w:rPr>
          <w:rFonts w:hint="eastAsia" w:ascii="宋体" w:hAnsi="宋体"/>
          <w:sz w:val="32"/>
          <w:szCs w:val="32"/>
          <w:lang w:val="en-US" w:eastAsia="zh-CN"/>
        </w:rPr>
        <w:t>496.67</w:t>
      </w:r>
      <w:r>
        <w:rPr>
          <w:rFonts w:hint="eastAsia" w:ascii="宋体" w:hAnsi="宋体" w:eastAsia="宋体"/>
          <w:sz w:val="32"/>
          <w:szCs w:val="32"/>
        </w:rPr>
        <w:t>万元（不含年末财政拨款结转和结余资金），与上年相比，增加</w:t>
      </w:r>
      <w:r>
        <w:rPr>
          <w:rFonts w:hint="eastAsia" w:ascii="宋体" w:hAnsi="宋体"/>
          <w:sz w:val="32"/>
          <w:szCs w:val="32"/>
          <w:lang w:val="en-US" w:eastAsia="zh-CN"/>
        </w:rPr>
        <w:t>11.57</w:t>
      </w:r>
      <w:r>
        <w:rPr>
          <w:rFonts w:hint="eastAsia" w:ascii="宋体" w:hAnsi="宋体" w:eastAsia="宋体"/>
          <w:sz w:val="32"/>
          <w:szCs w:val="32"/>
        </w:rPr>
        <w:t>万元,增长41.87%，主要是因为</w:t>
      </w:r>
      <w:r>
        <w:rPr>
          <w:rFonts w:hint="eastAsia" w:ascii="宋体" w:hAnsi="宋体"/>
          <w:sz w:val="32"/>
          <w:szCs w:val="32"/>
        </w:rPr>
        <w:t>2021年人员增加5人</w:t>
      </w:r>
      <w:r>
        <w:rPr>
          <w:rFonts w:hint="eastAsia" w:ascii="宋体" w:hAnsi="宋体" w:eastAsia="宋体"/>
          <w:sz w:val="32"/>
          <w:szCs w:val="32"/>
        </w:rPr>
        <w:t>。</w:t>
      </w:r>
    </w:p>
    <w:p>
      <w:pPr>
        <w:pStyle w:val="16"/>
        <w:spacing w:line="600" w:lineRule="exact"/>
        <w:rPr>
          <w:rFonts w:hAnsi="黑体"/>
          <w:b/>
          <w:sz w:val="32"/>
          <w:szCs w:val="32"/>
        </w:rPr>
      </w:pPr>
      <w:r>
        <w:rPr>
          <w:rFonts w:hint="eastAsia" w:hAnsi="黑体"/>
          <w:b/>
          <w:sz w:val="32"/>
          <w:szCs w:val="32"/>
        </w:rPr>
        <w:t>五、一般公共预算财政拨款支出决算情况说明</w:t>
      </w:r>
    </w:p>
    <w:p>
      <w:pPr>
        <w:pStyle w:val="16"/>
        <w:spacing w:line="600" w:lineRule="exact"/>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snapToGrid w:val="0"/>
        <w:spacing w:line="540" w:lineRule="exact"/>
        <w:ind w:firstLine="640" w:firstLineChars="200"/>
        <w:rPr>
          <w:rFonts w:hint="eastAsia" w:ascii="宋体" w:hAnsi="宋体" w:eastAsia="宋体"/>
          <w:sz w:val="32"/>
          <w:szCs w:val="32"/>
          <w:lang w:eastAsia="zh-CN"/>
        </w:rPr>
      </w:pPr>
      <w:r>
        <w:rPr>
          <w:rFonts w:hint="eastAsia" w:ascii="宋体" w:hAnsi="宋体" w:eastAsia="宋体"/>
          <w:sz w:val="32"/>
          <w:szCs w:val="32"/>
        </w:rPr>
        <w:t>2021年度财政拨款支出496.67万元，占本年支出合计的</w:t>
      </w:r>
      <w:r>
        <w:rPr>
          <w:rFonts w:hint="eastAsia" w:ascii="宋体" w:hAnsi="宋体"/>
          <w:sz w:val="32"/>
          <w:szCs w:val="32"/>
          <w:lang w:val="en-US" w:eastAsia="zh-CN"/>
        </w:rPr>
        <w:t>100</w:t>
      </w:r>
      <w:r>
        <w:rPr>
          <w:rFonts w:hint="eastAsia" w:ascii="宋体" w:hAnsi="宋体" w:eastAsia="宋体"/>
          <w:sz w:val="32"/>
          <w:szCs w:val="32"/>
        </w:rPr>
        <w:t>%，与</w:t>
      </w:r>
      <w:r>
        <w:rPr>
          <w:rFonts w:hint="eastAsia" w:ascii="宋体" w:hAnsi="宋体"/>
          <w:sz w:val="32"/>
          <w:szCs w:val="32"/>
          <w:lang w:eastAsia="zh-CN"/>
        </w:rPr>
        <w:t>上</w:t>
      </w:r>
      <w:r>
        <w:rPr>
          <w:rFonts w:hint="eastAsia" w:ascii="宋体" w:hAnsi="宋体" w:eastAsia="宋体"/>
          <w:sz w:val="32"/>
          <w:szCs w:val="32"/>
        </w:rPr>
        <w:t>年相比，财政拨款支出增加11.57万元，增长2.39%</w:t>
      </w:r>
      <w:r>
        <w:rPr>
          <w:rFonts w:hint="eastAsia" w:ascii="宋体" w:hAnsi="宋体" w:eastAsia="宋体"/>
          <w:sz w:val="32"/>
          <w:szCs w:val="32"/>
          <w:lang w:eastAsia="zh-CN"/>
        </w:rPr>
        <w:t>，</w:t>
      </w:r>
      <w:r>
        <w:rPr>
          <w:rFonts w:hint="eastAsia" w:ascii="宋体" w:hAnsi="宋体"/>
          <w:sz w:val="32"/>
          <w:szCs w:val="32"/>
        </w:rPr>
        <w:t>比上年增加的原因：2021年人员增加5人</w:t>
      </w:r>
      <w:r>
        <w:rPr>
          <w:rFonts w:hint="eastAsia" w:ascii="宋体" w:hAnsi="宋体" w:eastAsia="宋体"/>
          <w:sz w:val="32"/>
          <w:szCs w:val="32"/>
        </w:rPr>
        <w:t>。</w:t>
      </w:r>
    </w:p>
    <w:p>
      <w:pPr>
        <w:pStyle w:val="16"/>
        <w:spacing w:line="600" w:lineRule="exact"/>
        <w:ind w:firstLine="640" w:firstLineChars="200"/>
        <w:rPr>
          <w:rFonts w:ascii="宋体" w:hAnsi="宋体" w:eastAsia="宋体"/>
          <w:b/>
          <w:sz w:val="32"/>
          <w:szCs w:val="32"/>
        </w:rPr>
      </w:pPr>
      <w:r>
        <w:rPr>
          <w:rFonts w:hint="eastAsia" w:ascii="宋体" w:hAnsi="宋体" w:eastAsia="宋体"/>
          <w:b/>
          <w:sz w:val="32"/>
          <w:szCs w:val="32"/>
        </w:rPr>
        <w:t>（二）财政拨款支出决算结构情况</w:t>
      </w:r>
    </w:p>
    <w:p>
      <w:pPr>
        <w:pStyle w:val="16"/>
        <w:spacing w:line="600" w:lineRule="exact"/>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年度财政拨款支出496.67万元，主要用于以下方面：一般公共服务支出454.7万元，占91.55</w:t>
      </w:r>
      <w:r>
        <w:rPr>
          <w:rFonts w:ascii="宋体" w:hAnsi="宋体" w:eastAsia="宋体"/>
          <w:sz w:val="32"/>
          <w:szCs w:val="32"/>
        </w:rPr>
        <w:t>%</w:t>
      </w:r>
      <w:r>
        <w:rPr>
          <w:rFonts w:hint="eastAsia" w:ascii="宋体" w:hAnsi="宋体" w:eastAsia="宋体"/>
          <w:sz w:val="32"/>
          <w:szCs w:val="32"/>
        </w:rPr>
        <w:t>；文化旅游体育与传媒支出19.85万元，占4</w:t>
      </w:r>
      <w:r>
        <w:rPr>
          <w:rFonts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社会保障和就业支出11.78万元，占2.37</w:t>
      </w:r>
      <w:r>
        <w:rPr>
          <w:rFonts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卫生健康支出6.2万元，占1.25</w:t>
      </w:r>
      <w:r>
        <w:rPr>
          <w:rFonts w:ascii="宋体" w:hAnsi="宋体" w:eastAsia="宋体"/>
          <w:sz w:val="32"/>
          <w:szCs w:val="32"/>
        </w:rPr>
        <w:t>%;</w:t>
      </w:r>
      <w:r>
        <w:rPr>
          <w:rFonts w:hint="eastAsia" w:ascii="宋体" w:hAnsi="宋体" w:eastAsia="宋体"/>
          <w:sz w:val="32"/>
          <w:szCs w:val="32"/>
        </w:rPr>
        <w:t>农林水支出4.14万元，占0.83</w:t>
      </w:r>
      <w:r>
        <w:rPr>
          <w:rFonts w:ascii="宋体" w:hAnsi="宋体" w:eastAsia="宋体"/>
          <w:sz w:val="32"/>
          <w:szCs w:val="32"/>
        </w:rPr>
        <w:t>%</w:t>
      </w:r>
      <w:r>
        <w:rPr>
          <w:rFonts w:hint="eastAsia" w:ascii="宋体" w:hAnsi="宋体" w:eastAsia="宋体"/>
          <w:sz w:val="32"/>
          <w:szCs w:val="32"/>
        </w:rPr>
        <w:t>。</w:t>
      </w:r>
    </w:p>
    <w:p>
      <w:pPr>
        <w:pStyle w:val="16"/>
        <w:spacing w:line="600" w:lineRule="exact"/>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2021年度财政拨款支出年初预算数为</w:t>
      </w:r>
      <w:r>
        <w:rPr>
          <w:rFonts w:hint="eastAsia" w:ascii="宋体" w:hAnsi="宋体" w:eastAsia="宋体"/>
          <w:sz w:val="32"/>
          <w:szCs w:val="32"/>
          <w:lang w:val="en-US" w:eastAsia="zh-CN"/>
        </w:rPr>
        <w:t>170.19</w:t>
      </w:r>
      <w:r>
        <w:rPr>
          <w:rFonts w:hint="eastAsia" w:ascii="宋体" w:hAnsi="宋体" w:eastAsia="宋体"/>
          <w:sz w:val="32"/>
          <w:szCs w:val="32"/>
        </w:rPr>
        <w:t>万元，支出决算数为</w:t>
      </w:r>
      <w:r>
        <w:rPr>
          <w:rFonts w:hint="eastAsia" w:ascii="宋体" w:hAnsi="宋体" w:eastAsia="宋体"/>
          <w:sz w:val="32"/>
          <w:szCs w:val="32"/>
          <w:lang w:val="en-US" w:eastAsia="zh-CN"/>
        </w:rPr>
        <w:t>496.67</w:t>
      </w:r>
      <w:r>
        <w:rPr>
          <w:rFonts w:hint="eastAsia" w:ascii="宋体" w:hAnsi="宋体" w:eastAsia="宋体"/>
          <w:sz w:val="32"/>
          <w:szCs w:val="32"/>
        </w:rPr>
        <w:t>万元，完成年初预算的</w:t>
      </w:r>
      <w:r>
        <w:rPr>
          <w:rFonts w:hint="eastAsia" w:ascii="宋体" w:hAnsi="宋体" w:eastAsia="宋体"/>
          <w:sz w:val="32"/>
          <w:szCs w:val="32"/>
          <w:lang w:val="en-US" w:eastAsia="zh-CN"/>
        </w:rPr>
        <w:t>291.83</w:t>
      </w:r>
      <w:r>
        <w:rPr>
          <w:rFonts w:hint="eastAsia" w:ascii="宋体" w:hAnsi="宋体" w:eastAsia="宋体"/>
          <w:sz w:val="32"/>
          <w:szCs w:val="32"/>
        </w:rPr>
        <w:t>%，其中：</w:t>
      </w:r>
    </w:p>
    <w:p>
      <w:pPr>
        <w:pStyle w:val="16"/>
        <w:spacing w:line="600" w:lineRule="exact"/>
        <w:ind w:firstLine="800" w:firstLineChars="250"/>
        <w:rPr>
          <w:rFonts w:hint="eastAsia" w:ascii="宋体" w:hAnsi="宋体" w:eastAsia="宋体"/>
          <w:sz w:val="32"/>
          <w:szCs w:val="32"/>
        </w:rPr>
      </w:pPr>
      <w:r>
        <w:rPr>
          <w:rFonts w:ascii="宋体" w:hAnsi="宋体" w:eastAsia="宋体"/>
          <w:sz w:val="32"/>
          <w:szCs w:val="32"/>
        </w:rPr>
        <w:t>1</w:t>
      </w:r>
      <w:r>
        <w:rPr>
          <w:rFonts w:hint="eastAsia" w:ascii="宋体" w:hAnsi="宋体" w:eastAsia="宋体"/>
          <w:sz w:val="32"/>
          <w:szCs w:val="32"/>
        </w:rPr>
        <w:t>、一般公共服务支出（类）政府办公厅（室）及相关机构事务（款）行政运行（项）。</w:t>
      </w:r>
    </w:p>
    <w:p>
      <w:pPr>
        <w:ind w:firstLine="640" w:firstLineChars="200"/>
        <w:rPr>
          <w:rFonts w:hint="default" w:ascii="宋体" w:hAnsi="宋体" w:eastAsia="宋体"/>
          <w:sz w:val="32"/>
          <w:szCs w:val="32"/>
          <w:lang w:val="en-US" w:eastAsia="zh-CN"/>
        </w:rPr>
      </w:pPr>
      <w:r>
        <w:rPr>
          <w:rFonts w:hint="eastAsia" w:ascii="宋体" w:hAnsi="宋体" w:eastAsia="宋体"/>
          <w:sz w:val="32"/>
          <w:szCs w:val="32"/>
        </w:rPr>
        <w:t>年初预算为0万元，支出决算为</w:t>
      </w:r>
      <w:r>
        <w:rPr>
          <w:rFonts w:hint="eastAsia" w:ascii="宋体" w:hAnsi="宋体" w:eastAsia="宋体"/>
          <w:sz w:val="32"/>
          <w:szCs w:val="32"/>
          <w:lang w:val="en-US" w:eastAsia="zh-CN"/>
        </w:rPr>
        <w:t>16.23</w:t>
      </w:r>
      <w:r>
        <w:rPr>
          <w:rFonts w:hint="eastAsia" w:ascii="宋体" w:hAnsi="宋体" w:eastAsia="宋体"/>
          <w:sz w:val="32"/>
          <w:szCs w:val="32"/>
        </w:rPr>
        <w:t>万元，</w:t>
      </w:r>
      <w:r>
        <w:rPr>
          <w:rFonts w:hint="eastAsia" w:ascii="宋体" w:hAnsi="宋体" w:eastAsia="宋体" w:cs="宋体"/>
          <w:sz w:val="32"/>
          <w:szCs w:val="32"/>
          <w:lang w:eastAsia="zh-CN"/>
        </w:rPr>
        <w:t>年初预算数为</w:t>
      </w:r>
      <w:r>
        <w:rPr>
          <w:rFonts w:hint="eastAsia" w:ascii="宋体" w:hAnsi="宋体" w:eastAsia="宋体" w:cs="宋体"/>
          <w:sz w:val="32"/>
          <w:szCs w:val="32"/>
          <w:lang w:val="en-US" w:eastAsia="zh-CN"/>
        </w:rPr>
        <w:t>0，无法计算百分比</w:t>
      </w:r>
      <w:r>
        <w:rPr>
          <w:rFonts w:hint="eastAsia" w:ascii="宋体" w:hAnsi="宋体" w:eastAsia="宋体"/>
          <w:sz w:val="32"/>
          <w:szCs w:val="32"/>
        </w:rPr>
        <w:t>，决算数大于年初预算的主要原因是:本年度</w:t>
      </w:r>
      <w:r>
        <w:rPr>
          <w:rFonts w:hint="eastAsia" w:ascii="宋体" w:hAnsi="宋体" w:eastAsia="宋体"/>
          <w:sz w:val="32"/>
          <w:szCs w:val="32"/>
          <w:lang w:eastAsia="zh-CN"/>
        </w:rPr>
        <w:t>新增人员</w:t>
      </w:r>
      <w:r>
        <w:rPr>
          <w:rFonts w:hint="eastAsia" w:ascii="宋体" w:hAnsi="宋体" w:eastAsia="宋体"/>
          <w:sz w:val="32"/>
          <w:szCs w:val="32"/>
          <w:lang w:val="en-US" w:eastAsia="zh-CN"/>
        </w:rPr>
        <w:t>5人，相关开支增加。</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2、一般公共服务支出（类）宣传事务（款）行政运行（项）。</w:t>
      </w:r>
    </w:p>
    <w:p>
      <w:pPr>
        <w:ind w:firstLine="640" w:firstLineChars="200"/>
        <w:rPr>
          <w:rFonts w:hint="eastAsia" w:ascii="宋体" w:hAnsi="宋体" w:eastAsia="宋体"/>
          <w:sz w:val="32"/>
          <w:szCs w:val="32"/>
          <w:lang w:eastAsia="zh-CN"/>
        </w:rPr>
      </w:pPr>
      <w:r>
        <w:rPr>
          <w:rFonts w:hint="eastAsia" w:ascii="宋体" w:hAnsi="宋体" w:eastAsia="宋体"/>
          <w:sz w:val="32"/>
          <w:szCs w:val="32"/>
        </w:rPr>
        <w:t>年初预算为0万元，支出决算为</w:t>
      </w:r>
      <w:r>
        <w:rPr>
          <w:rFonts w:hint="eastAsia" w:ascii="宋体" w:hAnsi="宋体" w:eastAsia="宋体"/>
          <w:sz w:val="32"/>
          <w:szCs w:val="32"/>
          <w:lang w:val="en-US" w:eastAsia="zh-CN"/>
        </w:rPr>
        <w:t>72.36</w:t>
      </w:r>
      <w:r>
        <w:rPr>
          <w:rFonts w:hint="eastAsia" w:ascii="宋体" w:hAnsi="宋体" w:eastAsia="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lang w:eastAsia="zh-CN"/>
        </w:rPr>
        <w:t>年初预算数为</w:t>
      </w:r>
      <w:r>
        <w:rPr>
          <w:rFonts w:hint="eastAsia" w:ascii="宋体" w:hAnsi="宋体" w:eastAsia="宋体" w:cs="宋体"/>
          <w:sz w:val="32"/>
          <w:szCs w:val="32"/>
          <w:lang w:val="en-US" w:eastAsia="zh-CN"/>
        </w:rPr>
        <w:t>0，无法计算百分比</w:t>
      </w:r>
      <w:r>
        <w:rPr>
          <w:rFonts w:hint="eastAsia" w:ascii="宋体" w:hAnsi="宋体" w:eastAsia="宋体" w:cs="宋体"/>
          <w:sz w:val="32"/>
          <w:szCs w:val="32"/>
          <w:lang w:eastAsia="zh-CN"/>
        </w:rPr>
        <w:t>，决算数大于年初预算的主要原因是:2021年人员增加5人，公用经费</w:t>
      </w:r>
      <w:r>
        <w:rPr>
          <w:rFonts w:hint="eastAsia" w:ascii="宋体" w:hAnsi="宋体" w:eastAsia="宋体"/>
          <w:sz w:val="32"/>
          <w:szCs w:val="32"/>
          <w:lang w:eastAsia="zh-CN"/>
        </w:rPr>
        <w:t>增加。</w:t>
      </w:r>
    </w:p>
    <w:p>
      <w:pPr>
        <w:pStyle w:val="16"/>
        <w:spacing w:line="600" w:lineRule="exact"/>
        <w:ind w:firstLine="800" w:firstLineChars="250"/>
        <w:rPr>
          <w:rFonts w:ascii="宋体" w:hAnsi="宋体" w:eastAsia="宋体"/>
          <w:sz w:val="32"/>
          <w:szCs w:val="32"/>
        </w:rPr>
      </w:pPr>
      <w:r>
        <w:rPr>
          <w:rFonts w:hint="eastAsia" w:ascii="宋体" w:hAnsi="宋体" w:eastAsia="宋体"/>
          <w:sz w:val="32"/>
          <w:szCs w:val="32"/>
        </w:rPr>
        <w:t>3、一般公共服务支出（类）宣传事务（款）其他宣传事务支出（项）。</w:t>
      </w:r>
    </w:p>
    <w:p>
      <w:pPr>
        <w:spacing w:line="600" w:lineRule="exact"/>
        <w:ind w:firstLine="800" w:firstLineChars="250"/>
        <w:rPr>
          <w:rFonts w:hint="eastAsia" w:ascii="宋体" w:hAnsi="宋体" w:eastAsia="宋体"/>
          <w:sz w:val="32"/>
          <w:szCs w:val="32"/>
          <w:lang w:eastAsia="zh-CN"/>
        </w:rPr>
      </w:pPr>
      <w:r>
        <w:rPr>
          <w:rFonts w:hint="eastAsia" w:ascii="宋体" w:hAnsi="宋体"/>
          <w:sz w:val="32"/>
          <w:szCs w:val="32"/>
        </w:rPr>
        <w:t>年初预算为</w:t>
      </w:r>
      <w:r>
        <w:rPr>
          <w:rFonts w:hint="eastAsia" w:ascii="宋体" w:hAnsi="宋体"/>
          <w:sz w:val="32"/>
          <w:szCs w:val="32"/>
          <w:lang w:val="en-US" w:eastAsia="zh-CN"/>
        </w:rPr>
        <w:t>170.19</w:t>
      </w:r>
      <w:r>
        <w:rPr>
          <w:rFonts w:hint="eastAsia" w:ascii="宋体" w:hAnsi="宋体"/>
          <w:sz w:val="32"/>
          <w:szCs w:val="32"/>
        </w:rPr>
        <w:t>万元，支出决算为</w:t>
      </w:r>
      <w:r>
        <w:rPr>
          <w:rFonts w:hint="eastAsia" w:ascii="宋体" w:hAnsi="宋体"/>
          <w:sz w:val="32"/>
          <w:szCs w:val="32"/>
          <w:lang w:val="en-US" w:eastAsia="zh-CN"/>
        </w:rPr>
        <w:t>366.11</w:t>
      </w:r>
      <w:r>
        <w:rPr>
          <w:rFonts w:hint="eastAsia" w:ascii="宋体" w:hAnsi="宋体"/>
          <w:sz w:val="32"/>
          <w:szCs w:val="32"/>
        </w:rPr>
        <w:t>万元，完成年初预算的</w:t>
      </w:r>
      <w:r>
        <w:rPr>
          <w:rFonts w:hint="eastAsia" w:ascii="宋体" w:hAnsi="宋体"/>
          <w:sz w:val="32"/>
          <w:szCs w:val="32"/>
          <w:lang w:val="en-US" w:eastAsia="zh-CN"/>
        </w:rPr>
        <w:t>215.12</w:t>
      </w:r>
      <w:r>
        <w:rPr>
          <w:rFonts w:hint="eastAsia" w:ascii="宋体" w:hAnsi="宋体"/>
          <w:sz w:val="32"/>
          <w:szCs w:val="32"/>
        </w:rPr>
        <w:t>%，决算数大于年初预算的主要原因是:2021年人员增加5人，</w:t>
      </w:r>
      <w:r>
        <w:rPr>
          <w:rFonts w:hint="eastAsia" w:ascii="宋体" w:hAnsi="宋体"/>
          <w:sz w:val="32"/>
          <w:szCs w:val="32"/>
          <w:lang w:eastAsia="zh-CN"/>
        </w:rPr>
        <w:t>相应的运转经费增加。</w:t>
      </w:r>
    </w:p>
    <w:p>
      <w:pPr>
        <w:pStyle w:val="16"/>
        <w:spacing w:line="600" w:lineRule="exact"/>
        <w:ind w:firstLine="800" w:firstLineChars="250"/>
        <w:rPr>
          <w:rFonts w:ascii="宋体" w:hAnsi="宋体" w:eastAsia="宋体"/>
          <w:sz w:val="32"/>
          <w:szCs w:val="32"/>
        </w:rPr>
      </w:pPr>
      <w:r>
        <w:rPr>
          <w:rFonts w:hint="eastAsia" w:ascii="宋体" w:hAnsi="宋体" w:eastAsia="宋体"/>
          <w:sz w:val="32"/>
          <w:szCs w:val="32"/>
        </w:rPr>
        <w:t>4、文化旅游体育与传媒支出（类）其他文化旅游体育与传媒支出（款）其他文化旅游体育与传媒支出（项）。</w:t>
      </w:r>
    </w:p>
    <w:p>
      <w:pPr>
        <w:ind w:firstLine="640" w:firstLineChars="200"/>
        <w:rPr>
          <w:rFonts w:hint="eastAsia"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19.85</w:t>
      </w:r>
      <w:r>
        <w:rPr>
          <w:rFonts w:hint="eastAsia" w:ascii="宋体" w:hAnsi="宋体" w:eastAsia="宋体"/>
          <w:sz w:val="32"/>
          <w:szCs w:val="32"/>
        </w:rPr>
        <w:t>万元，</w:t>
      </w:r>
      <w:r>
        <w:rPr>
          <w:rFonts w:hint="eastAsia" w:ascii="宋体" w:hAnsi="宋体" w:eastAsia="宋体" w:cs="宋体"/>
          <w:sz w:val="32"/>
          <w:szCs w:val="32"/>
          <w:lang w:eastAsia="zh-CN"/>
        </w:rPr>
        <w:t>年初预算数为</w:t>
      </w:r>
      <w:r>
        <w:rPr>
          <w:rFonts w:hint="eastAsia" w:ascii="宋体" w:hAnsi="宋体" w:eastAsia="宋体" w:cs="宋体"/>
          <w:sz w:val="32"/>
          <w:szCs w:val="32"/>
          <w:lang w:val="en-US" w:eastAsia="zh-CN"/>
        </w:rPr>
        <w:t>0，无法计算百分比</w:t>
      </w:r>
      <w:r>
        <w:rPr>
          <w:rFonts w:hint="eastAsia" w:ascii="宋体" w:hAnsi="宋体" w:eastAsia="宋体"/>
          <w:sz w:val="32"/>
          <w:szCs w:val="32"/>
        </w:rPr>
        <w:t>，决算数大于年初预算的主要原因是:</w:t>
      </w:r>
      <w:r>
        <w:rPr>
          <w:rFonts w:hint="eastAsia" w:ascii="宋体" w:hAnsi="宋体" w:eastAsia="宋体"/>
          <w:sz w:val="32"/>
          <w:szCs w:val="32"/>
          <w:lang w:eastAsia="zh-CN"/>
        </w:rPr>
        <w:t>本年增加其他文化旅游体育与传媒支出。</w:t>
      </w:r>
    </w:p>
    <w:p>
      <w:pPr>
        <w:pStyle w:val="16"/>
        <w:spacing w:line="600" w:lineRule="exact"/>
        <w:ind w:firstLine="800" w:firstLineChars="250"/>
        <w:rPr>
          <w:rFonts w:ascii="宋体" w:hAnsi="宋体" w:eastAsia="宋体"/>
          <w:sz w:val="32"/>
          <w:szCs w:val="32"/>
        </w:rPr>
      </w:pPr>
      <w:r>
        <w:rPr>
          <w:rFonts w:hint="eastAsia" w:ascii="宋体" w:hAnsi="宋体" w:eastAsia="宋体"/>
          <w:sz w:val="32"/>
          <w:szCs w:val="32"/>
        </w:rPr>
        <w:t>5、社会保障和就业支出（类）行政事业单位养老支出（款）机关事业单位基本养老保险缴费支出（项）。</w:t>
      </w:r>
    </w:p>
    <w:p>
      <w:pPr>
        <w:ind w:firstLine="640" w:firstLineChars="200"/>
        <w:rPr>
          <w:rFonts w:hint="eastAsia" w:ascii="宋体" w:hAnsi="宋体" w:eastAsia="宋体"/>
          <w:sz w:val="32"/>
          <w:szCs w:val="32"/>
          <w:lang w:eastAsia="zh-CN"/>
        </w:rPr>
      </w:pPr>
      <w:r>
        <w:rPr>
          <w:rFonts w:hint="eastAsia" w:ascii="宋体" w:hAnsi="宋体" w:eastAsia="宋体"/>
          <w:sz w:val="32"/>
          <w:szCs w:val="32"/>
        </w:rPr>
        <w:t>年初预算为0万元，支出决算为</w:t>
      </w:r>
      <w:r>
        <w:rPr>
          <w:rFonts w:hint="eastAsia" w:ascii="宋体" w:hAnsi="宋体" w:eastAsia="宋体"/>
          <w:sz w:val="32"/>
          <w:szCs w:val="32"/>
          <w:lang w:val="en-US" w:eastAsia="zh-CN"/>
        </w:rPr>
        <w:t>11.78</w:t>
      </w:r>
      <w:r>
        <w:rPr>
          <w:rFonts w:hint="eastAsia" w:ascii="宋体" w:hAnsi="宋体" w:eastAsia="宋体"/>
          <w:sz w:val="32"/>
          <w:szCs w:val="32"/>
        </w:rPr>
        <w:t>万元，</w:t>
      </w:r>
      <w:r>
        <w:rPr>
          <w:rFonts w:hint="eastAsia" w:ascii="宋体" w:hAnsi="宋体" w:eastAsia="宋体" w:cs="宋体"/>
          <w:sz w:val="32"/>
          <w:szCs w:val="32"/>
          <w:lang w:eastAsia="zh-CN"/>
        </w:rPr>
        <w:t>年初预算数为</w:t>
      </w:r>
      <w:r>
        <w:rPr>
          <w:rFonts w:hint="eastAsia" w:ascii="宋体" w:hAnsi="宋体" w:eastAsia="宋体" w:cs="宋体"/>
          <w:sz w:val="32"/>
          <w:szCs w:val="32"/>
          <w:lang w:val="en-US" w:eastAsia="zh-CN"/>
        </w:rPr>
        <w:t>0，无法计算百分比</w:t>
      </w:r>
      <w:r>
        <w:rPr>
          <w:rFonts w:hint="eastAsia" w:ascii="宋体" w:hAnsi="宋体" w:eastAsia="宋体"/>
          <w:sz w:val="32"/>
          <w:szCs w:val="32"/>
        </w:rPr>
        <w:t>，决算数大于年初预算的主要原因是:本年增加行政事业单位养老支出</w:t>
      </w:r>
      <w:r>
        <w:rPr>
          <w:rFonts w:hint="eastAsia" w:ascii="宋体" w:hAnsi="宋体" w:eastAsia="宋体"/>
          <w:sz w:val="32"/>
          <w:szCs w:val="32"/>
          <w:lang w:eastAsia="zh-CN"/>
        </w:rPr>
        <w:t>。</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6、卫生健康支出（类）财政对基本医疗保险基金的补助（款）财政对职工基本医疗保险基金的补助（项）。</w:t>
      </w:r>
    </w:p>
    <w:p>
      <w:pPr>
        <w:ind w:firstLine="640" w:firstLineChars="200"/>
        <w:rPr>
          <w:rFonts w:hint="eastAsia" w:ascii="宋体" w:hAnsi="宋体" w:eastAsia="宋体"/>
          <w:sz w:val="32"/>
          <w:szCs w:val="32"/>
          <w:lang w:eastAsia="zh-CN"/>
        </w:rPr>
      </w:pPr>
      <w:r>
        <w:rPr>
          <w:rFonts w:hint="eastAsia" w:ascii="宋体" w:hAnsi="宋体" w:eastAsia="宋体"/>
          <w:sz w:val="32"/>
          <w:szCs w:val="32"/>
        </w:rPr>
        <w:t>年初预算为0万元，支出决算为</w:t>
      </w:r>
      <w:r>
        <w:rPr>
          <w:rFonts w:hint="eastAsia" w:ascii="宋体" w:hAnsi="宋体" w:eastAsia="宋体"/>
          <w:sz w:val="32"/>
          <w:szCs w:val="32"/>
          <w:lang w:val="en-US" w:eastAsia="zh-CN"/>
        </w:rPr>
        <w:t>6.2</w:t>
      </w:r>
      <w:r>
        <w:rPr>
          <w:rFonts w:hint="eastAsia" w:ascii="宋体" w:hAnsi="宋体" w:eastAsia="宋体"/>
          <w:sz w:val="32"/>
          <w:szCs w:val="32"/>
        </w:rPr>
        <w:t>万元，</w:t>
      </w:r>
      <w:r>
        <w:rPr>
          <w:rFonts w:hint="eastAsia" w:ascii="宋体" w:hAnsi="宋体" w:eastAsia="宋体" w:cs="宋体"/>
          <w:sz w:val="32"/>
          <w:szCs w:val="32"/>
          <w:lang w:eastAsia="zh-CN"/>
        </w:rPr>
        <w:t>年初预算数为</w:t>
      </w:r>
      <w:r>
        <w:rPr>
          <w:rFonts w:hint="eastAsia" w:ascii="宋体" w:hAnsi="宋体" w:eastAsia="宋体" w:cs="宋体"/>
          <w:sz w:val="32"/>
          <w:szCs w:val="32"/>
          <w:lang w:val="en-US" w:eastAsia="zh-CN"/>
        </w:rPr>
        <w:t>0，无法计算百分比</w:t>
      </w:r>
      <w:r>
        <w:rPr>
          <w:rFonts w:hint="eastAsia" w:ascii="宋体" w:hAnsi="宋体" w:eastAsia="宋体"/>
          <w:sz w:val="32"/>
          <w:szCs w:val="32"/>
        </w:rPr>
        <w:t>，决算数大于年初预算的主要原因是:本年增加职工基本医疗保险基金的补助</w:t>
      </w:r>
      <w:r>
        <w:rPr>
          <w:rFonts w:hint="eastAsia" w:ascii="宋体" w:hAnsi="宋体" w:eastAsia="宋体"/>
          <w:sz w:val="32"/>
          <w:szCs w:val="32"/>
          <w:lang w:eastAsia="zh-CN"/>
        </w:rPr>
        <w:t>。</w:t>
      </w:r>
    </w:p>
    <w:p>
      <w:pPr>
        <w:pStyle w:val="16"/>
        <w:spacing w:line="600" w:lineRule="exact"/>
        <w:ind w:firstLine="800" w:firstLineChars="250"/>
        <w:rPr>
          <w:rFonts w:hint="eastAsia" w:ascii="宋体" w:hAnsi="宋体" w:eastAsia="宋体" w:cs="Times New Roman"/>
          <w:color w:val="auto"/>
          <w:kern w:val="2"/>
          <w:sz w:val="32"/>
          <w:szCs w:val="32"/>
          <w:lang w:val="en-US" w:eastAsia="zh-CN" w:bidi="ar-SA"/>
        </w:rPr>
      </w:pPr>
      <w:r>
        <w:rPr>
          <w:rFonts w:hint="eastAsia" w:ascii="宋体" w:hAnsi="宋体" w:eastAsia="宋体"/>
          <w:sz w:val="32"/>
          <w:szCs w:val="32"/>
        </w:rPr>
        <w:t>7、</w:t>
      </w:r>
      <w:r>
        <w:rPr>
          <w:rFonts w:hint="eastAsia" w:ascii="宋体" w:hAnsi="宋体" w:eastAsia="宋体" w:cs="Times New Roman"/>
          <w:color w:val="auto"/>
          <w:kern w:val="2"/>
          <w:sz w:val="32"/>
          <w:szCs w:val="32"/>
          <w:lang w:val="en-US" w:eastAsia="zh-CN" w:bidi="ar-SA"/>
        </w:rPr>
        <w:t>农林水支出（类）扶贫（款）其他扶贫支出（项）。</w:t>
      </w:r>
    </w:p>
    <w:p>
      <w:pPr>
        <w:ind w:firstLine="640" w:firstLineChars="200"/>
        <w:rPr>
          <w:rFonts w:hint="eastAsia" w:ascii="宋体" w:hAnsi="宋体" w:eastAsia="宋体" w:cs="Times New Roman"/>
          <w:color w:val="auto"/>
          <w:kern w:val="2"/>
          <w:sz w:val="32"/>
          <w:szCs w:val="32"/>
          <w:lang w:val="en-US" w:eastAsia="zh-CN" w:bidi="ar-SA"/>
        </w:rPr>
      </w:pPr>
      <w:r>
        <w:rPr>
          <w:rFonts w:hint="eastAsia" w:ascii="宋体" w:hAnsi="宋体" w:eastAsia="宋体" w:cs="Times New Roman"/>
          <w:color w:val="auto"/>
          <w:kern w:val="2"/>
          <w:sz w:val="32"/>
          <w:szCs w:val="32"/>
          <w:lang w:val="en-US" w:eastAsia="zh-CN" w:bidi="ar-SA"/>
        </w:rPr>
        <w:t>年初预算为0万元，支出决算为</w:t>
      </w:r>
      <w:r>
        <w:rPr>
          <w:rFonts w:hint="eastAsia" w:ascii="宋体" w:hAnsi="宋体" w:cs="Times New Roman"/>
          <w:color w:val="auto"/>
          <w:kern w:val="2"/>
          <w:sz w:val="32"/>
          <w:szCs w:val="32"/>
          <w:lang w:val="en-US" w:eastAsia="zh-CN" w:bidi="ar-SA"/>
        </w:rPr>
        <w:t>4.14</w:t>
      </w:r>
      <w:r>
        <w:rPr>
          <w:rFonts w:hint="eastAsia" w:ascii="宋体" w:hAnsi="宋体" w:eastAsia="宋体" w:cs="Times New Roman"/>
          <w:color w:val="auto"/>
          <w:kern w:val="2"/>
          <w:sz w:val="32"/>
          <w:szCs w:val="32"/>
          <w:lang w:val="en-US" w:eastAsia="zh-CN" w:bidi="ar-SA"/>
        </w:rPr>
        <w:t>万元，</w:t>
      </w:r>
      <w:r>
        <w:rPr>
          <w:rFonts w:hint="eastAsia" w:ascii="宋体" w:hAnsi="宋体" w:eastAsia="宋体" w:cs="宋体"/>
          <w:sz w:val="32"/>
          <w:szCs w:val="32"/>
          <w:lang w:eastAsia="zh-CN"/>
        </w:rPr>
        <w:t>年初预算数为</w:t>
      </w:r>
      <w:r>
        <w:rPr>
          <w:rFonts w:hint="eastAsia" w:ascii="宋体" w:hAnsi="宋体" w:eastAsia="宋体" w:cs="宋体"/>
          <w:sz w:val="32"/>
          <w:szCs w:val="32"/>
          <w:lang w:val="en-US" w:eastAsia="zh-CN"/>
        </w:rPr>
        <w:t>0，无法计算百分比</w:t>
      </w:r>
      <w:r>
        <w:rPr>
          <w:rFonts w:hint="eastAsia" w:ascii="宋体" w:hAnsi="宋体" w:eastAsia="宋体" w:cs="Times New Roman"/>
          <w:color w:val="auto"/>
          <w:kern w:val="2"/>
          <w:sz w:val="32"/>
          <w:szCs w:val="32"/>
          <w:lang w:val="en-US" w:eastAsia="zh-CN" w:bidi="ar-SA"/>
        </w:rPr>
        <w:t>，决算数大于年初预算的主要原因是:</w:t>
      </w:r>
      <w:r>
        <w:rPr>
          <w:rFonts w:hint="eastAsia" w:ascii="宋体" w:hAnsi="宋体" w:cs="Times New Roman"/>
          <w:color w:val="auto"/>
          <w:kern w:val="2"/>
          <w:sz w:val="32"/>
          <w:szCs w:val="32"/>
          <w:lang w:val="en-US" w:eastAsia="zh-CN" w:bidi="ar-SA"/>
        </w:rPr>
        <w:t>本年新增乡村振兴经费。</w:t>
      </w:r>
    </w:p>
    <w:p>
      <w:pPr>
        <w:pStyle w:val="16"/>
        <w:spacing w:line="600" w:lineRule="exact"/>
        <w:rPr>
          <w:rFonts w:hAnsi="黑体"/>
          <w:b/>
          <w:sz w:val="32"/>
          <w:szCs w:val="32"/>
        </w:rPr>
      </w:pPr>
      <w:r>
        <w:rPr>
          <w:rFonts w:hint="eastAsia" w:hAnsi="黑体"/>
          <w:b/>
          <w:sz w:val="32"/>
          <w:szCs w:val="32"/>
        </w:rPr>
        <w:t>六、一般公共预算财政拨款基本支出决算情况说明</w:t>
      </w:r>
    </w:p>
    <w:p>
      <w:pPr>
        <w:pStyle w:val="16"/>
        <w:spacing w:line="600" w:lineRule="exact"/>
        <w:ind w:firstLine="640" w:firstLineChars="200"/>
        <w:rPr>
          <w:rFonts w:hint="eastAsia" w:ascii="宋体" w:hAnsi="宋体" w:eastAsia="宋体"/>
          <w:i/>
          <w:color w:val="FF0000"/>
          <w:sz w:val="32"/>
          <w:szCs w:val="32"/>
          <w:lang w:eastAsia="zh-CN"/>
        </w:rPr>
      </w:pPr>
      <w:r>
        <w:rPr>
          <w:rFonts w:ascii="宋体" w:hAnsi="宋体" w:eastAsia="宋体"/>
          <w:sz w:val="32"/>
          <w:szCs w:val="32"/>
        </w:rPr>
        <w:t>2021</w:t>
      </w:r>
      <w:r>
        <w:rPr>
          <w:rFonts w:hint="eastAsia" w:ascii="宋体" w:hAnsi="宋体" w:eastAsia="宋体"/>
          <w:sz w:val="32"/>
          <w:szCs w:val="32"/>
        </w:rPr>
        <w:t>年度财政拨款基本支出222.87万元，其中：</w:t>
      </w:r>
      <w:r>
        <w:rPr>
          <w:rFonts w:hint="eastAsia" w:ascii="宋体" w:hAnsi="宋体" w:eastAsia="宋体"/>
          <w:b/>
          <w:bCs/>
          <w:sz w:val="32"/>
          <w:szCs w:val="32"/>
        </w:rPr>
        <w:t>人员经费155.11万元</w:t>
      </w:r>
      <w:r>
        <w:rPr>
          <w:rFonts w:hint="eastAsia" w:ascii="宋体" w:hAnsi="宋体" w:eastAsia="宋体"/>
          <w:sz w:val="32"/>
          <w:szCs w:val="32"/>
        </w:rPr>
        <w:t>，占基本支出的69.60%,主要包括基本工资、津贴补贴、奖金、伙食补助费、单位养老保险等；</w:t>
      </w:r>
      <w:r>
        <w:rPr>
          <w:rFonts w:hint="eastAsia" w:ascii="宋体" w:hAnsi="宋体" w:eastAsia="宋体"/>
          <w:b/>
          <w:bCs/>
          <w:sz w:val="32"/>
          <w:szCs w:val="32"/>
        </w:rPr>
        <w:t>公用经费67.76万元</w:t>
      </w:r>
      <w:r>
        <w:rPr>
          <w:rFonts w:hint="eastAsia" w:ascii="宋体" w:hAnsi="宋体" w:eastAsia="宋体"/>
          <w:sz w:val="32"/>
          <w:szCs w:val="32"/>
        </w:rPr>
        <w:t>，占基本支出的30.40</w:t>
      </w:r>
      <w:r>
        <w:rPr>
          <w:rFonts w:ascii="宋体" w:hAnsi="宋体" w:eastAsia="宋体"/>
          <w:sz w:val="32"/>
          <w:szCs w:val="32"/>
        </w:rPr>
        <w:t>%</w:t>
      </w:r>
      <w:r>
        <w:rPr>
          <w:rFonts w:hint="eastAsia" w:ascii="宋体" w:hAnsi="宋体" w:eastAsia="宋体"/>
          <w:sz w:val="32"/>
          <w:szCs w:val="32"/>
        </w:rPr>
        <w:t>，主要包括办公费、印刷费、差旅费、工会经费等。</w:t>
      </w:r>
    </w:p>
    <w:p>
      <w:pPr>
        <w:pStyle w:val="16"/>
        <w:spacing w:line="600" w:lineRule="exact"/>
        <w:rPr>
          <w:rFonts w:hAnsi="黑体"/>
          <w:b/>
          <w:sz w:val="32"/>
          <w:szCs w:val="32"/>
        </w:rPr>
      </w:pPr>
      <w:r>
        <w:rPr>
          <w:rFonts w:hint="eastAsia" w:hAnsi="黑体"/>
          <w:b/>
          <w:sz w:val="32"/>
          <w:szCs w:val="32"/>
        </w:rPr>
        <w:t>七、一般公共预算财政拨款“三公”经费支出决算情况说明</w:t>
      </w:r>
    </w:p>
    <w:p>
      <w:pPr>
        <w:pStyle w:val="16"/>
        <w:spacing w:line="600" w:lineRule="exact"/>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“三公”经费财政拨款</w:t>
      </w:r>
      <w:r>
        <w:rPr>
          <w:rFonts w:hint="eastAsia" w:ascii="宋体" w:hAnsi="宋体" w:eastAsia="宋体"/>
          <w:sz w:val="32"/>
          <w:szCs w:val="32"/>
          <w:lang w:eastAsia="zh-CN"/>
        </w:rPr>
        <w:t>年初</w:t>
      </w:r>
      <w:r>
        <w:rPr>
          <w:rFonts w:hint="eastAsia" w:ascii="宋体" w:hAnsi="宋体" w:eastAsia="宋体"/>
          <w:sz w:val="32"/>
          <w:szCs w:val="32"/>
        </w:rPr>
        <w:t>预算为</w:t>
      </w:r>
      <w:r>
        <w:rPr>
          <w:rFonts w:hint="eastAsia" w:ascii="仿宋_GB2312" w:hAnsi="DengXian Western" w:eastAsia="仿宋_GB2312"/>
          <w:sz w:val="32"/>
        </w:rPr>
        <w:t>12</w:t>
      </w:r>
      <w:r>
        <w:rPr>
          <w:rFonts w:hint="eastAsia" w:ascii="宋体" w:hAnsi="宋体" w:eastAsia="宋体"/>
          <w:sz w:val="32"/>
          <w:szCs w:val="32"/>
        </w:rPr>
        <w:t>万元，支出决算为</w:t>
      </w:r>
      <w:r>
        <w:rPr>
          <w:rFonts w:hint="eastAsia" w:ascii="仿宋_GB2312" w:hAnsi="DengXian Western" w:eastAsia="仿宋_GB2312"/>
          <w:sz w:val="32"/>
        </w:rPr>
        <w:t>5.37</w:t>
      </w:r>
      <w:r>
        <w:rPr>
          <w:rFonts w:hint="eastAsia" w:ascii="宋体" w:hAnsi="宋体" w:eastAsia="宋体"/>
          <w:sz w:val="32"/>
          <w:szCs w:val="32"/>
        </w:rPr>
        <w:t>万元，完成预算的44.75</w:t>
      </w:r>
      <w:r>
        <w:rPr>
          <w:rFonts w:ascii="宋体" w:hAnsi="宋体" w:eastAsia="宋体"/>
          <w:sz w:val="32"/>
          <w:szCs w:val="32"/>
        </w:rPr>
        <w:t>%</w:t>
      </w:r>
      <w:r>
        <w:rPr>
          <w:rFonts w:hint="eastAsia" w:ascii="宋体" w:hAnsi="宋体" w:eastAsia="宋体"/>
          <w:sz w:val="32"/>
          <w:szCs w:val="32"/>
        </w:rPr>
        <w:t>，其中：</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因公出国（境）费年初预算0万元，支出决算为0万元，与年初预算数一致，与上年决算0万元一致，原因是没有因公出国（境）费用类支出。</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公务接待费</w:t>
      </w:r>
      <w:r>
        <w:rPr>
          <w:rFonts w:hint="eastAsia" w:ascii="宋体" w:hAnsi="宋体" w:eastAsia="宋体"/>
          <w:sz w:val="32"/>
          <w:szCs w:val="32"/>
          <w:lang w:eastAsia="zh-CN"/>
        </w:rPr>
        <w:t>年初</w:t>
      </w:r>
      <w:r>
        <w:rPr>
          <w:rFonts w:hint="eastAsia" w:ascii="宋体" w:hAnsi="宋体" w:eastAsia="宋体"/>
          <w:sz w:val="32"/>
          <w:szCs w:val="32"/>
        </w:rPr>
        <w:t>预算为6.3</w:t>
      </w:r>
      <w:r>
        <w:rPr>
          <w:rFonts w:hint="eastAsia" w:ascii="宋体" w:hAnsi="宋体" w:eastAsia="宋体"/>
          <w:sz w:val="32"/>
          <w:szCs w:val="32"/>
          <w:lang w:val="en-US" w:eastAsia="zh-CN"/>
        </w:rPr>
        <w:t>0</w:t>
      </w:r>
      <w:r>
        <w:rPr>
          <w:rFonts w:hint="eastAsia" w:ascii="宋体" w:hAnsi="宋体" w:eastAsia="宋体"/>
          <w:sz w:val="32"/>
          <w:szCs w:val="32"/>
        </w:rPr>
        <w:t>万元，支出决算为5.37万元，完成预算的85.24</w:t>
      </w:r>
      <w:r>
        <w:rPr>
          <w:rFonts w:ascii="宋体" w:hAnsi="宋体" w:eastAsia="宋体"/>
          <w:sz w:val="32"/>
          <w:szCs w:val="32"/>
        </w:rPr>
        <w:t>%</w:t>
      </w:r>
      <w:r>
        <w:rPr>
          <w:rFonts w:hint="eastAsia" w:ascii="宋体" w:hAnsi="宋体" w:eastAsia="宋体"/>
          <w:sz w:val="32"/>
          <w:szCs w:val="32"/>
        </w:rPr>
        <w:t>，决算数小于预算数的主要原因是部分发票于2022年报销</w:t>
      </w:r>
      <w:r>
        <w:rPr>
          <w:rFonts w:hint="eastAsia" w:ascii="宋体" w:hAnsi="宋体" w:eastAsia="宋体"/>
          <w:sz w:val="32"/>
          <w:szCs w:val="32"/>
          <w:lang w:eastAsia="zh-CN"/>
        </w:rPr>
        <w:t>。</w:t>
      </w:r>
      <w:r>
        <w:rPr>
          <w:rFonts w:hint="eastAsia" w:ascii="宋体" w:hAnsi="宋体" w:eastAsia="宋体"/>
          <w:sz w:val="32"/>
          <w:szCs w:val="32"/>
        </w:rPr>
        <w:t>与</w:t>
      </w:r>
      <w:r>
        <w:rPr>
          <w:rFonts w:hint="eastAsia" w:ascii="宋体" w:hAnsi="宋体" w:eastAsia="宋体"/>
          <w:sz w:val="32"/>
          <w:szCs w:val="32"/>
          <w:lang w:eastAsia="zh-CN"/>
        </w:rPr>
        <w:t>上</w:t>
      </w:r>
      <w:r>
        <w:rPr>
          <w:rFonts w:hint="eastAsia" w:ascii="宋体" w:hAnsi="宋体" w:eastAsia="宋体"/>
          <w:sz w:val="32"/>
          <w:szCs w:val="32"/>
        </w:rPr>
        <w:t>年</w:t>
      </w:r>
      <w:r>
        <w:rPr>
          <w:rFonts w:hint="eastAsia" w:ascii="宋体" w:hAnsi="宋体" w:eastAsia="宋体"/>
          <w:sz w:val="32"/>
          <w:szCs w:val="32"/>
          <w:lang w:eastAsia="zh-CN"/>
        </w:rPr>
        <w:t>决算</w:t>
      </w:r>
      <w:r>
        <w:rPr>
          <w:rFonts w:hint="eastAsia" w:ascii="宋体" w:hAnsi="宋体" w:eastAsia="宋体"/>
          <w:sz w:val="32"/>
          <w:szCs w:val="32"/>
          <w:lang w:val="en-US" w:eastAsia="zh-CN"/>
        </w:rPr>
        <w:t>2.37万元</w:t>
      </w:r>
      <w:r>
        <w:rPr>
          <w:rFonts w:hint="eastAsia" w:ascii="宋体" w:hAnsi="宋体" w:eastAsia="宋体"/>
          <w:sz w:val="32"/>
          <w:szCs w:val="32"/>
        </w:rPr>
        <w:t>相比</w:t>
      </w:r>
      <w:r>
        <w:rPr>
          <w:rFonts w:hint="eastAsia" w:ascii="宋体" w:hAnsi="宋体" w:eastAsia="宋体"/>
          <w:sz w:val="32"/>
          <w:szCs w:val="32"/>
          <w:lang w:eastAsia="zh-CN"/>
        </w:rPr>
        <w:t>，</w:t>
      </w:r>
      <w:r>
        <w:rPr>
          <w:rFonts w:hint="eastAsia" w:ascii="宋体" w:hAnsi="宋体" w:eastAsia="宋体"/>
          <w:sz w:val="32"/>
          <w:szCs w:val="32"/>
        </w:rPr>
        <w:t>增加3万元，增长126.58</w:t>
      </w:r>
      <w:r>
        <w:rPr>
          <w:rFonts w:ascii="宋体" w:hAnsi="宋体" w:eastAsia="宋体"/>
          <w:sz w:val="32"/>
          <w:szCs w:val="32"/>
        </w:rPr>
        <w:t>%,</w:t>
      </w:r>
      <w:r>
        <w:rPr>
          <w:rFonts w:hint="eastAsia" w:ascii="宋体" w:hAnsi="宋体" w:eastAsia="宋体"/>
          <w:sz w:val="32"/>
          <w:szCs w:val="32"/>
        </w:rPr>
        <w:t>主要原因是2021年开展党史学习教育活动和举办建党一百周年相关活动接待上级来访和同级单位交流学习次数较多。</w:t>
      </w:r>
    </w:p>
    <w:p>
      <w:pPr>
        <w:pStyle w:val="16"/>
        <w:spacing w:line="600" w:lineRule="exact"/>
        <w:ind w:firstLine="800" w:firstLineChars="250"/>
        <w:rPr>
          <w:rFonts w:hint="eastAsia" w:ascii="宋体" w:hAnsi="宋体" w:eastAsia="宋体"/>
          <w:sz w:val="32"/>
          <w:szCs w:val="32"/>
        </w:rPr>
      </w:pPr>
      <w:r>
        <w:rPr>
          <w:rFonts w:hint="eastAsia" w:ascii="宋体" w:hAnsi="宋体" w:eastAsia="宋体"/>
          <w:sz w:val="32"/>
          <w:szCs w:val="32"/>
        </w:rPr>
        <w:t>公务用车购置费年初预算为0万元，支出决算为0万元，决算数与年初预算一致，未安排车辆购置，与上年决算0万元一致，未安排车辆购置。</w:t>
      </w:r>
    </w:p>
    <w:p>
      <w:pPr>
        <w:pStyle w:val="16"/>
        <w:spacing w:line="600" w:lineRule="exact"/>
        <w:ind w:firstLine="640" w:firstLineChars="200"/>
        <w:rPr>
          <w:rFonts w:hint="eastAsia" w:ascii="宋体" w:hAnsi="宋体" w:eastAsia="宋体"/>
          <w:sz w:val="32"/>
          <w:szCs w:val="32"/>
          <w:highlight w:val="none"/>
          <w:lang w:eastAsia="zh-CN"/>
        </w:rPr>
      </w:pPr>
      <w:r>
        <w:rPr>
          <w:rFonts w:hint="eastAsia" w:ascii="宋体" w:hAnsi="宋体" w:eastAsia="宋体"/>
          <w:sz w:val="32"/>
          <w:szCs w:val="32"/>
        </w:rPr>
        <w:t>公务用车运行维护费支出预算为5.7</w:t>
      </w:r>
      <w:r>
        <w:rPr>
          <w:rFonts w:hint="eastAsia" w:ascii="宋体" w:hAnsi="宋体" w:eastAsia="宋体"/>
          <w:sz w:val="32"/>
          <w:szCs w:val="32"/>
          <w:lang w:val="en-US" w:eastAsia="zh-CN"/>
        </w:rPr>
        <w:t>0</w:t>
      </w:r>
      <w:r>
        <w:rPr>
          <w:rFonts w:hint="eastAsia" w:ascii="宋体" w:hAnsi="宋体" w:eastAsia="宋体"/>
          <w:sz w:val="32"/>
          <w:szCs w:val="32"/>
        </w:rPr>
        <w:t>万元，支出决算为0万元，完成预算的0</w:t>
      </w:r>
      <w:r>
        <w:rPr>
          <w:rFonts w:ascii="宋体" w:hAnsi="宋体" w:eastAsia="宋体"/>
          <w:sz w:val="32"/>
          <w:szCs w:val="32"/>
        </w:rPr>
        <w:t>%</w:t>
      </w:r>
      <w:r>
        <w:rPr>
          <w:rFonts w:hint="eastAsia" w:ascii="宋体" w:hAnsi="宋体" w:eastAsia="宋体"/>
          <w:sz w:val="32"/>
          <w:szCs w:val="32"/>
        </w:rPr>
        <w:t>，决算数小于预算数的主要原因是公车改革，无公车。</w:t>
      </w:r>
      <w:r>
        <w:rPr>
          <w:rFonts w:hint="eastAsia" w:ascii="宋体" w:hAnsi="宋体" w:eastAsia="宋体"/>
          <w:sz w:val="32"/>
          <w:szCs w:val="32"/>
          <w:lang w:eastAsia="zh-CN"/>
        </w:rPr>
        <w:t>上年决算数为</w:t>
      </w:r>
      <w:r>
        <w:rPr>
          <w:rFonts w:hint="eastAsia" w:ascii="宋体" w:hAnsi="宋体" w:eastAsia="宋体"/>
          <w:sz w:val="32"/>
          <w:szCs w:val="32"/>
          <w:lang w:val="en-US" w:eastAsia="zh-CN"/>
        </w:rPr>
        <w:t>0万元，</w:t>
      </w:r>
      <w:r>
        <w:rPr>
          <w:rFonts w:hint="eastAsia" w:ascii="宋体" w:hAnsi="宋体" w:eastAsia="宋体"/>
          <w:sz w:val="32"/>
          <w:szCs w:val="32"/>
          <w:highlight w:val="none"/>
          <w:lang w:eastAsia="zh-CN"/>
        </w:rPr>
        <w:t>与上年决算数持平。</w:t>
      </w:r>
    </w:p>
    <w:p>
      <w:pPr>
        <w:pStyle w:val="16"/>
        <w:spacing w:line="600" w:lineRule="exact"/>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6"/>
        <w:spacing w:line="600" w:lineRule="exact"/>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年度“三公”经费财政拨款支出决算中，公务接待费支出决算5.37万元，占100</w:t>
      </w:r>
      <w:r>
        <w:rPr>
          <w:rFonts w:ascii="宋体" w:hAnsi="宋体" w:eastAsia="宋体"/>
          <w:sz w:val="32"/>
          <w:szCs w:val="32"/>
        </w:rPr>
        <w:t>%,</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公务用车购置费及运行维护费支出决算0万元，占0</w:t>
      </w:r>
      <w:r>
        <w:rPr>
          <w:rFonts w:ascii="宋体" w:hAnsi="宋体" w:eastAsia="宋体"/>
          <w:sz w:val="32"/>
          <w:szCs w:val="32"/>
        </w:rPr>
        <w:t>%</w:t>
      </w:r>
      <w:r>
        <w:rPr>
          <w:rFonts w:hint="eastAsia" w:ascii="宋体" w:hAnsi="宋体" w:eastAsia="宋体"/>
          <w:sz w:val="32"/>
          <w:szCs w:val="32"/>
        </w:rPr>
        <w:t>。其中：</w:t>
      </w:r>
    </w:p>
    <w:p>
      <w:pPr>
        <w:pStyle w:val="16"/>
        <w:spacing w:line="600" w:lineRule="exact"/>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人次，与上年决算数一致。</w:t>
      </w:r>
    </w:p>
    <w:p>
      <w:pPr>
        <w:pStyle w:val="16"/>
        <w:spacing w:line="600" w:lineRule="exact"/>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、公务接待费支出决算为5.37万元，全年</w:t>
      </w:r>
      <w:r>
        <w:rPr>
          <w:rFonts w:hint="eastAsia" w:ascii="宋体" w:hAnsi="宋体" w:eastAsia="宋体"/>
          <w:sz w:val="32"/>
          <w:szCs w:val="32"/>
          <w:highlight w:val="none"/>
        </w:rPr>
        <w:t>共接待来访团组</w:t>
      </w:r>
      <w:r>
        <w:rPr>
          <w:rFonts w:hint="eastAsia" w:ascii="宋体" w:hAnsi="宋体" w:eastAsia="宋体"/>
          <w:sz w:val="32"/>
          <w:szCs w:val="32"/>
          <w:highlight w:val="none"/>
          <w:lang w:val="en-US" w:eastAsia="zh-CN"/>
        </w:rPr>
        <w:t>45</w:t>
      </w:r>
      <w:r>
        <w:rPr>
          <w:rFonts w:hint="eastAsia" w:ascii="宋体" w:hAnsi="宋体" w:eastAsia="宋体"/>
          <w:sz w:val="32"/>
          <w:szCs w:val="32"/>
          <w:highlight w:val="none"/>
        </w:rPr>
        <w:t>个、来宾</w:t>
      </w:r>
      <w:r>
        <w:rPr>
          <w:rFonts w:hint="eastAsia" w:ascii="宋体" w:hAnsi="宋体" w:eastAsia="宋体"/>
          <w:sz w:val="32"/>
          <w:szCs w:val="32"/>
          <w:highlight w:val="none"/>
          <w:lang w:val="en-US" w:eastAsia="zh-CN"/>
        </w:rPr>
        <w:t>542</w:t>
      </w:r>
      <w:r>
        <w:rPr>
          <w:rFonts w:hint="eastAsia" w:ascii="宋体" w:hAnsi="宋体" w:eastAsia="宋体"/>
          <w:sz w:val="32"/>
          <w:szCs w:val="32"/>
          <w:highlight w:val="none"/>
        </w:rPr>
        <w:t>人次，主要是2021</w:t>
      </w:r>
      <w:r>
        <w:rPr>
          <w:rFonts w:hint="eastAsia" w:ascii="宋体" w:hAnsi="宋体" w:eastAsia="宋体"/>
          <w:sz w:val="32"/>
          <w:szCs w:val="32"/>
        </w:rPr>
        <w:t>年开展党史学习教育活动和举办建党一百周年相关活动接待上级来访和同级单位交流学习发生的接待支出。</w:t>
      </w:r>
    </w:p>
    <w:p>
      <w:pPr>
        <w:spacing w:line="600" w:lineRule="exact"/>
        <w:ind w:firstLine="800" w:firstLineChars="250"/>
        <w:rPr>
          <w:rFonts w:ascii="宋体" w:cs="黑体"/>
          <w:color w:val="auto"/>
          <w:kern w:val="0"/>
          <w:sz w:val="32"/>
          <w:szCs w:val="32"/>
        </w:rPr>
      </w:pPr>
      <w:r>
        <w:rPr>
          <w:rFonts w:ascii="宋体" w:hAnsi="宋体"/>
          <w:sz w:val="32"/>
          <w:szCs w:val="32"/>
        </w:rPr>
        <w:t>3</w:t>
      </w:r>
      <w:r>
        <w:rPr>
          <w:rFonts w:hint="eastAsia" w:ascii="宋体" w:hAnsi="宋体"/>
          <w:sz w:val="32"/>
          <w:szCs w:val="32"/>
        </w:rPr>
        <w:t>、公务用车购置费及运行维护费支出决算为0万元，其中：公务用车购置费0万元，更新公务用车0辆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w:t>
      </w:r>
      <w:r>
        <w:rPr>
          <w:rFonts w:hint="eastAsia" w:ascii="宋体" w:hAnsi="宋体"/>
          <w:color w:val="auto"/>
          <w:sz w:val="32"/>
          <w:szCs w:val="32"/>
        </w:rPr>
        <w:t>务用车保有量为0辆。</w:t>
      </w:r>
    </w:p>
    <w:p>
      <w:pPr>
        <w:pStyle w:val="16"/>
        <w:spacing w:line="600" w:lineRule="exact"/>
        <w:rPr>
          <w:rFonts w:hAnsi="黑体"/>
          <w:b/>
          <w:sz w:val="32"/>
          <w:szCs w:val="32"/>
        </w:rPr>
      </w:pPr>
      <w:r>
        <w:rPr>
          <w:rFonts w:hint="eastAsia" w:hAnsi="黑体"/>
          <w:b/>
          <w:sz w:val="32"/>
          <w:szCs w:val="32"/>
        </w:rPr>
        <w:t>八、政府性基金预算收入支出决算情况</w:t>
      </w:r>
    </w:p>
    <w:p>
      <w:pPr>
        <w:pStyle w:val="16"/>
        <w:spacing w:line="600" w:lineRule="exact"/>
        <w:ind w:firstLine="640" w:firstLineChars="200"/>
        <w:rPr>
          <w:rFonts w:hint="eastAsia" w:ascii="宋体" w:hAnsi="宋体" w:eastAsia="宋体"/>
          <w:sz w:val="32"/>
          <w:szCs w:val="32"/>
        </w:rPr>
      </w:pPr>
      <w:bookmarkStart w:id="0" w:name="_GoBack"/>
      <w:bookmarkEnd w:id="0"/>
      <w:r>
        <w:rPr>
          <w:rFonts w:hint="eastAsia" w:ascii="宋体" w:hAnsi="宋体" w:eastAsia="宋体"/>
          <w:sz w:val="32"/>
          <w:szCs w:val="32"/>
        </w:rPr>
        <w:t>2021年度政府性基金预算财政拨款收入</w:t>
      </w:r>
      <w:r>
        <w:rPr>
          <w:rFonts w:hint="eastAsia" w:ascii="宋体" w:hAnsi="宋体" w:eastAsia="宋体"/>
          <w:sz w:val="32"/>
          <w:szCs w:val="32"/>
          <w:lang w:val="en-US" w:eastAsia="zh-CN"/>
        </w:rPr>
        <w:t>0</w:t>
      </w:r>
      <w:r>
        <w:rPr>
          <w:rFonts w:hint="eastAsia" w:ascii="宋体" w:hAnsi="宋体" w:eastAsia="宋体"/>
          <w:sz w:val="32"/>
          <w:szCs w:val="32"/>
        </w:rPr>
        <w:t>万元，支出</w:t>
      </w:r>
      <w:r>
        <w:rPr>
          <w:rFonts w:hint="eastAsia" w:ascii="宋体" w:hAnsi="宋体" w:eastAsia="宋体"/>
          <w:sz w:val="32"/>
          <w:szCs w:val="32"/>
          <w:lang w:val="en-US" w:eastAsia="zh-CN"/>
        </w:rPr>
        <w:t>0</w:t>
      </w:r>
      <w:r>
        <w:rPr>
          <w:rFonts w:hint="eastAsia" w:ascii="宋体" w:hAnsi="宋体" w:eastAsia="宋体"/>
          <w:sz w:val="32"/>
          <w:szCs w:val="32"/>
        </w:rPr>
        <w:t>万元，其中基本支出0万元，项目支出</w:t>
      </w:r>
      <w:r>
        <w:rPr>
          <w:rFonts w:hint="eastAsia" w:ascii="宋体" w:hAnsi="宋体" w:eastAsia="宋体"/>
          <w:sz w:val="32"/>
          <w:szCs w:val="32"/>
          <w:lang w:val="en-US" w:eastAsia="zh-CN"/>
        </w:rPr>
        <w:t>0</w:t>
      </w:r>
      <w:r>
        <w:rPr>
          <w:rFonts w:hint="eastAsia" w:ascii="宋体" w:hAnsi="宋体" w:eastAsia="宋体"/>
          <w:sz w:val="32"/>
          <w:szCs w:val="32"/>
        </w:rPr>
        <w:t>万元。</w:t>
      </w:r>
    </w:p>
    <w:p>
      <w:pPr>
        <w:pStyle w:val="16"/>
        <w:spacing w:line="600" w:lineRule="exact"/>
        <w:rPr>
          <w:rFonts w:hAnsi="黑体"/>
          <w:b/>
          <w:sz w:val="32"/>
          <w:szCs w:val="32"/>
        </w:rPr>
      </w:pPr>
      <w:r>
        <w:rPr>
          <w:rFonts w:hint="eastAsia" w:hAnsi="黑体"/>
          <w:b/>
          <w:sz w:val="32"/>
          <w:szCs w:val="32"/>
        </w:rPr>
        <w:t>九、机关运行经费支出说明</w:t>
      </w:r>
    </w:p>
    <w:p>
      <w:pPr>
        <w:pStyle w:val="16"/>
        <w:spacing w:line="600" w:lineRule="exact"/>
        <w:ind w:firstLine="640" w:firstLineChars="200"/>
        <w:rPr>
          <w:rFonts w:hint="eastAsia" w:ascii="宋体" w:hAnsi="宋体" w:eastAsia="宋体" w:cs="Times New Roman"/>
          <w:color w:val="auto"/>
          <w:kern w:val="2"/>
          <w:sz w:val="32"/>
          <w:szCs w:val="32"/>
          <w:highlight w:val="none"/>
          <w:lang w:val="en-US" w:eastAsia="zh-CN" w:bidi="ar-SA"/>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年度机关运行经费支出</w:t>
      </w:r>
      <w:r>
        <w:rPr>
          <w:rFonts w:hint="eastAsia" w:ascii="宋体" w:hAnsi="宋体" w:eastAsia="宋体"/>
          <w:sz w:val="32"/>
          <w:szCs w:val="32"/>
          <w:highlight w:val="none"/>
          <w:lang w:val="en-US" w:eastAsia="zh-CN"/>
        </w:rPr>
        <w:t>67.76</w:t>
      </w:r>
      <w:r>
        <w:rPr>
          <w:rFonts w:hint="eastAsia" w:ascii="宋体" w:hAnsi="宋体" w:eastAsia="宋体"/>
          <w:sz w:val="32"/>
          <w:szCs w:val="32"/>
        </w:rPr>
        <w:t>万元，上年决算数</w:t>
      </w:r>
      <w:r>
        <w:rPr>
          <w:rFonts w:hint="eastAsia" w:ascii="宋体" w:hAnsi="宋体" w:eastAsia="宋体"/>
          <w:sz w:val="32"/>
          <w:szCs w:val="32"/>
          <w:lang w:val="en-US" w:eastAsia="zh-CN"/>
        </w:rPr>
        <w:t>59.07万元，</w:t>
      </w:r>
      <w:r>
        <w:rPr>
          <w:rFonts w:hint="eastAsia" w:ascii="宋体" w:hAnsi="宋体" w:eastAsia="宋体"/>
          <w:sz w:val="32"/>
          <w:szCs w:val="32"/>
        </w:rPr>
        <w:t>减少</w:t>
      </w:r>
      <w:r>
        <w:rPr>
          <w:rFonts w:hint="eastAsia" w:ascii="宋体" w:hAnsi="宋体" w:eastAsia="宋体"/>
          <w:sz w:val="32"/>
          <w:szCs w:val="32"/>
          <w:lang w:val="en-US" w:eastAsia="zh-CN"/>
        </w:rPr>
        <w:t>2.07</w:t>
      </w:r>
      <w:r>
        <w:rPr>
          <w:rFonts w:hint="eastAsia" w:ascii="宋体" w:hAnsi="宋体" w:eastAsia="宋体"/>
          <w:sz w:val="32"/>
          <w:szCs w:val="32"/>
        </w:rPr>
        <w:t>万元，降低</w:t>
      </w:r>
      <w:r>
        <w:rPr>
          <w:rFonts w:hint="eastAsia" w:ascii="宋体" w:hAnsi="宋体" w:eastAsia="宋体"/>
          <w:sz w:val="32"/>
          <w:szCs w:val="32"/>
          <w:lang w:val="en-US" w:eastAsia="zh-CN"/>
        </w:rPr>
        <w:t>3.50</w:t>
      </w:r>
      <w:r>
        <w:rPr>
          <w:rFonts w:ascii="宋体" w:hAnsi="宋体" w:eastAsia="宋体"/>
          <w:sz w:val="32"/>
          <w:szCs w:val="32"/>
        </w:rPr>
        <w:t>%</w:t>
      </w:r>
      <w:r>
        <w:rPr>
          <w:rFonts w:hint="eastAsia" w:ascii="宋体" w:hAnsi="宋体" w:eastAsia="宋体"/>
          <w:sz w:val="32"/>
          <w:szCs w:val="32"/>
        </w:rPr>
        <w:t>。主要原因是：</w:t>
      </w:r>
      <w:r>
        <w:rPr>
          <w:rFonts w:hint="eastAsia" w:ascii="宋体" w:hAnsi="宋体" w:eastAsia="宋体" w:cs="Times New Roman"/>
          <w:color w:val="auto"/>
          <w:kern w:val="2"/>
          <w:sz w:val="32"/>
          <w:szCs w:val="32"/>
          <w:lang w:val="en-US" w:eastAsia="zh-CN" w:bidi="ar-SA"/>
        </w:rPr>
        <w:t>厉行节约，压减支出。</w:t>
      </w:r>
      <w:r>
        <w:rPr>
          <w:rFonts w:hint="eastAsia" w:ascii="宋体" w:hAnsi="宋体" w:eastAsia="宋体" w:cs="Times New Roman"/>
          <w:color w:val="auto"/>
          <w:kern w:val="2"/>
          <w:sz w:val="32"/>
          <w:szCs w:val="32"/>
          <w:highlight w:val="none"/>
          <w:lang w:val="en-US" w:eastAsia="zh-CN" w:bidi="ar-SA"/>
        </w:rPr>
        <w:t>比年初预算数增加27.16万元，增长66.89%。主要原因是：人员经费增加。</w:t>
      </w:r>
    </w:p>
    <w:p>
      <w:pPr>
        <w:pStyle w:val="16"/>
        <w:spacing w:line="600" w:lineRule="exact"/>
        <w:rPr>
          <w:rFonts w:hAnsi="黑体"/>
          <w:b/>
          <w:sz w:val="32"/>
          <w:szCs w:val="32"/>
        </w:rPr>
      </w:pPr>
      <w:r>
        <w:rPr>
          <w:rFonts w:hint="eastAsia" w:hAnsi="黑体"/>
          <w:b/>
          <w:sz w:val="32"/>
          <w:szCs w:val="32"/>
        </w:rPr>
        <w:t>十、一般性支出情况说明</w:t>
      </w:r>
    </w:p>
    <w:p>
      <w:pPr>
        <w:pStyle w:val="16"/>
        <w:spacing w:line="600" w:lineRule="exact"/>
        <w:ind w:firstLine="640" w:firstLineChars="200"/>
        <w:rPr>
          <w:rFonts w:ascii="宋体" w:hAnsi="宋体" w:eastAsia="宋体"/>
          <w:sz w:val="32"/>
          <w:szCs w:val="32"/>
          <w:highlight w:val="none"/>
        </w:rPr>
      </w:pPr>
      <w:r>
        <w:rPr>
          <w:rFonts w:ascii="宋体" w:hAnsi="宋体" w:eastAsia="宋体"/>
          <w:sz w:val="32"/>
          <w:szCs w:val="32"/>
        </w:rPr>
        <w:t>2021</w:t>
      </w:r>
      <w:r>
        <w:rPr>
          <w:rFonts w:hint="eastAsia" w:ascii="宋体" w:hAnsi="宋体" w:eastAsia="宋体"/>
          <w:sz w:val="32"/>
          <w:szCs w:val="32"/>
        </w:rPr>
        <w:t>年本部门开支</w:t>
      </w:r>
      <w:r>
        <w:rPr>
          <w:rFonts w:hint="eastAsia" w:ascii="宋体" w:hAnsi="宋体" w:eastAsia="宋体"/>
          <w:b/>
          <w:sz w:val="32"/>
          <w:szCs w:val="32"/>
        </w:rPr>
        <w:t>会议费</w:t>
      </w:r>
      <w:r>
        <w:rPr>
          <w:rFonts w:hint="eastAsia" w:ascii="宋体" w:hAnsi="宋体" w:eastAsia="宋体"/>
          <w:b/>
          <w:sz w:val="32"/>
          <w:szCs w:val="32"/>
          <w:lang w:val="en-US" w:eastAsia="zh-CN"/>
        </w:rPr>
        <w:t>1.32</w:t>
      </w:r>
      <w:r>
        <w:rPr>
          <w:rFonts w:hint="eastAsia" w:ascii="宋体" w:hAnsi="宋体" w:eastAsia="宋体"/>
          <w:b/>
          <w:sz w:val="32"/>
          <w:szCs w:val="32"/>
        </w:rPr>
        <w:t>万元</w:t>
      </w:r>
      <w:r>
        <w:rPr>
          <w:rFonts w:hint="eastAsia" w:ascii="宋体" w:hAnsi="宋体" w:eastAsia="宋体"/>
          <w:b w:val="0"/>
          <w:bCs/>
          <w:sz w:val="32"/>
          <w:szCs w:val="32"/>
          <w:lang w:eastAsia="zh-CN"/>
        </w:rPr>
        <w:t>（</w:t>
      </w:r>
      <w:r>
        <w:rPr>
          <w:rFonts w:hint="eastAsia" w:ascii="宋体" w:hAnsi="宋体" w:eastAsia="宋体"/>
          <w:b w:val="0"/>
          <w:bCs/>
          <w:sz w:val="32"/>
          <w:szCs w:val="32"/>
          <w:lang w:val="en-US" w:eastAsia="zh-CN"/>
        </w:rPr>
        <w:t>基本支出0.15万元，项目支出1.17万元</w:t>
      </w:r>
      <w:r>
        <w:rPr>
          <w:rFonts w:hint="eastAsia" w:ascii="宋体" w:hAnsi="宋体" w:eastAsia="宋体"/>
          <w:b w:val="0"/>
          <w:bCs/>
          <w:sz w:val="32"/>
          <w:szCs w:val="32"/>
          <w:lang w:eastAsia="zh-CN"/>
        </w:rPr>
        <w:t>）</w:t>
      </w:r>
      <w:r>
        <w:rPr>
          <w:rFonts w:hint="eastAsia" w:ascii="宋体" w:hAnsi="宋体" w:eastAsia="宋体"/>
          <w:sz w:val="32"/>
          <w:szCs w:val="32"/>
        </w:rPr>
        <w:t>，</w:t>
      </w:r>
      <w:r>
        <w:rPr>
          <w:rFonts w:hint="eastAsia" w:ascii="宋体" w:hAnsi="宋体" w:eastAsia="宋体"/>
          <w:sz w:val="32"/>
          <w:szCs w:val="32"/>
          <w:lang w:val="en-US" w:eastAsia="zh-CN"/>
        </w:rPr>
        <w:t>主要是</w:t>
      </w:r>
      <w:r>
        <w:rPr>
          <w:rFonts w:hint="eastAsia" w:ascii="宋体" w:hAnsi="宋体" w:eastAsia="宋体"/>
          <w:sz w:val="32"/>
          <w:szCs w:val="32"/>
          <w:lang w:eastAsia="zh-CN"/>
        </w:rPr>
        <w:t>：</w:t>
      </w:r>
      <w:r>
        <w:rPr>
          <w:rFonts w:hint="eastAsia" w:ascii="宋体" w:hAnsi="宋体" w:eastAsia="宋体"/>
          <w:sz w:val="32"/>
          <w:szCs w:val="32"/>
          <w:lang w:val="en-US" w:eastAsia="zh-CN"/>
        </w:rPr>
        <w:t>上级媒体来访</w:t>
      </w:r>
      <w:r>
        <w:rPr>
          <w:rFonts w:hint="eastAsia" w:ascii="宋体" w:hAnsi="宋体" w:eastAsia="宋体"/>
          <w:sz w:val="32"/>
          <w:szCs w:val="32"/>
        </w:rPr>
        <w:t>会议</w:t>
      </w:r>
      <w:r>
        <w:rPr>
          <w:rFonts w:hint="eastAsia" w:ascii="宋体" w:hAnsi="宋体" w:eastAsia="宋体"/>
          <w:sz w:val="32"/>
          <w:szCs w:val="32"/>
          <w:lang w:eastAsia="zh-CN"/>
        </w:rPr>
        <w:t>：</w:t>
      </w:r>
      <w:r>
        <w:rPr>
          <w:rFonts w:hint="eastAsia" w:ascii="宋体" w:hAnsi="宋体" w:eastAsia="宋体"/>
          <w:sz w:val="32"/>
          <w:szCs w:val="32"/>
          <w:lang w:val="en-US" w:eastAsia="zh-CN"/>
        </w:rPr>
        <w:t>时间为2021年全年不定期，预算0.5万元。意识形态会议：时间为2021年6月，开展意识形态会议，预算0.3万元。党史学习教育会议</w:t>
      </w:r>
      <w:r>
        <w:rPr>
          <w:rFonts w:hint="eastAsia" w:ascii="宋体" w:hAnsi="宋体" w:eastAsia="宋体"/>
          <w:sz w:val="32"/>
          <w:szCs w:val="32"/>
        </w:rPr>
        <w:t>；</w:t>
      </w:r>
      <w:r>
        <w:rPr>
          <w:rFonts w:hint="eastAsia" w:ascii="宋体" w:hAnsi="宋体" w:eastAsia="宋体"/>
          <w:sz w:val="32"/>
          <w:szCs w:val="32"/>
          <w:lang w:val="en-US" w:eastAsia="zh-CN"/>
        </w:rPr>
        <w:t>时间为2021年全年不定期，预算0.4万元。</w:t>
      </w:r>
      <w:r>
        <w:rPr>
          <w:rFonts w:ascii="宋体" w:hAnsi="宋体" w:eastAsia="宋体"/>
          <w:sz w:val="32"/>
          <w:szCs w:val="32"/>
        </w:rPr>
        <w:t>2021</w:t>
      </w:r>
      <w:r>
        <w:rPr>
          <w:rFonts w:hint="eastAsia" w:ascii="宋体" w:hAnsi="宋体" w:eastAsia="宋体"/>
          <w:sz w:val="32"/>
          <w:szCs w:val="32"/>
        </w:rPr>
        <w:t>年本部门开支</w:t>
      </w:r>
      <w:r>
        <w:rPr>
          <w:rFonts w:hint="eastAsia" w:ascii="宋体" w:hAnsi="宋体" w:eastAsia="宋体"/>
          <w:b/>
          <w:sz w:val="32"/>
          <w:szCs w:val="32"/>
        </w:rPr>
        <w:t>培训费</w:t>
      </w:r>
      <w:r>
        <w:rPr>
          <w:rFonts w:hint="eastAsia" w:ascii="宋体" w:hAnsi="宋体" w:eastAsia="宋体"/>
          <w:b/>
          <w:sz w:val="32"/>
          <w:szCs w:val="32"/>
          <w:lang w:val="en-US" w:eastAsia="zh-CN"/>
        </w:rPr>
        <w:t>0.55</w:t>
      </w:r>
      <w:r>
        <w:rPr>
          <w:rFonts w:hint="eastAsia" w:ascii="宋体" w:hAnsi="宋体" w:eastAsia="宋体"/>
          <w:b/>
          <w:sz w:val="32"/>
          <w:szCs w:val="32"/>
        </w:rPr>
        <w:t>万元</w:t>
      </w:r>
      <w:r>
        <w:rPr>
          <w:rFonts w:hint="eastAsia" w:ascii="宋体" w:hAnsi="宋体" w:eastAsia="宋体"/>
          <w:b w:val="0"/>
          <w:bCs/>
          <w:sz w:val="32"/>
          <w:szCs w:val="32"/>
          <w:lang w:eastAsia="zh-CN"/>
        </w:rPr>
        <w:t>（</w:t>
      </w:r>
      <w:r>
        <w:rPr>
          <w:rFonts w:hint="eastAsia" w:ascii="宋体" w:hAnsi="宋体" w:eastAsia="宋体"/>
          <w:b w:val="0"/>
          <w:bCs/>
          <w:sz w:val="32"/>
          <w:szCs w:val="32"/>
          <w:lang w:val="en-US" w:eastAsia="zh-CN"/>
        </w:rPr>
        <w:t>基本支出0.5万元，项目支出0.05万元</w:t>
      </w:r>
      <w:r>
        <w:rPr>
          <w:rFonts w:hint="eastAsia" w:ascii="宋体" w:hAnsi="宋体" w:eastAsia="宋体"/>
          <w:b w:val="0"/>
          <w:bCs/>
          <w:sz w:val="32"/>
          <w:szCs w:val="32"/>
          <w:lang w:eastAsia="zh-CN"/>
        </w:rPr>
        <w:t>）</w:t>
      </w:r>
      <w:r>
        <w:rPr>
          <w:rFonts w:hint="eastAsia" w:ascii="宋体" w:hAnsi="宋体" w:eastAsia="宋体"/>
          <w:sz w:val="32"/>
          <w:szCs w:val="32"/>
        </w:rPr>
        <w:t>，主要</w:t>
      </w:r>
      <w:r>
        <w:rPr>
          <w:rFonts w:hint="eastAsia" w:ascii="宋体" w:hAnsi="宋体" w:eastAsia="宋体"/>
          <w:sz w:val="32"/>
          <w:szCs w:val="32"/>
          <w:lang w:val="en-US" w:eastAsia="zh-CN"/>
        </w:rPr>
        <w:t>是县领导“七一”重要精神宣讲培训，时间为一天，预算0.6万元。</w:t>
      </w:r>
      <w:r>
        <w:rPr>
          <w:rFonts w:hint="eastAsia" w:ascii="宋体" w:hAnsi="宋体" w:eastAsia="宋体"/>
          <w:sz w:val="32"/>
          <w:szCs w:val="32"/>
          <w:highlight w:val="none"/>
          <w:lang w:val="en-US" w:eastAsia="zh-CN"/>
        </w:rPr>
        <w:t>举办节庆、晚会、论坛、赛事活动，开支0万元。</w:t>
      </w:r>
    </w:p>
    <w:p>
      <w:pPr>
        <w:pStyle w:val="16"/>
        <w:spacing w:line="600" w:lineRule="exact"/>
        <w:rPr>
          <w:rFonts w:hAnsi="黑体"/>
          <w:b/>
          <w:sz w:val="32"/>
          <w:szCs w:val="32"/>
        </w:rPr>
      </w:pPr>
      <w:r>
        <w:rPr>
          <w:rFonts w:hint="eastAsia" w:hAnsi="黑体"/>
          <w:b/>
          <w:sz w:val="32"/>
          <w:szCs w:val="32"/>
        </w:rPr>
        <w:t>十一、政府采购支出说明</w:t>
      </w:r>
    </w:p>
    <w:p>
      <w:pPr>
        <w:pStyle w:val="16"/>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6"/>
        <w:spacing w:line="600" w:lineRule="exact"/>
        <w:rPr>
          <w:rFonts w:hAnsi="黑体"/>
          <w:b/>
          <w:sz w:val="32"/>
          <w:szCs w:val="32"/>
        </w:rPr>
      </w:pPr>
      <w:r>
        <w:rPr>
          <w:rFonts w:hint="eastAsia" w:hAnsi="黑体"/>
          <w:b/>
          <w:sz w:val="32"/>
          <w:szCs w:val="32"/>
        </w:rPr>
        <w:t>十二、国有资产占用情况说明</w:t>
      </w:r>
    </w:p>
    <w:p>
      <w:pPr>
        <w:pStyle w:val="16"/>
        <w:spacing w:line="600" w:lineRule="exact"/>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日，单位共有车辆</w:t>
      </w:r>
      <w:r>
        <w:rPr>
          <w:rFonts w:hint="eastAsia" w:ascii="宋体" w:hAnsi="宋体" w:eastAsia="宋体"/>
          <w:sz w:val="32"/>
          <w:szCs w:val="32"/>
          <w:lang w:val="en-US" w:eastAsia="zh-CN"/>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hint="eastAsia" w:ascii="宋体" w:hAnsi="宋体" w:eastAsia="宋体"/>
          <w:sz w:val="32"/>
          <w:szCs w:val="32"/>
          <w:lang w:val="en-US" w:eastAsia="zh-CN"/>
        </w:rPr>
        <w:t>0</w:t>
      </w:r>
      <w:r>
        <w:rPr>
          <w:rFonts w:hint="eastAsia" w:ascii="宋体" w:hAnsi="宋体" w:eastAsia="宋体"/>
          <w:sz w:val="32"/>
          <w:szCs w:val="32"/>
        </w:rPr>
        <w:t>辆、特种专业技术用车</w:t>
      </w:r>
      <w:r>
        <w:rPr>
          <w:rFonts w:hint="eastAsia" w:ascii="宋体" w:hAnsi="宋体" w:eastAsia="宋体"/>
          <w:sz w:val="32"/>
          <w:szCs w:val="32"/>
          <w:lang w:val="en-US" w:eastAsia="zh-CN"/>
        </w:rPr>
        <w:t>0</w:t>
      </w:r>
      <w:r>
        <w:rPr>
          <w:rFonts w:hint="eastAsia" w:ascii="宋体" w:hAnsi="宋体" w:eastAsia="宋体"/>
          <w:sz w:val="32"/>
          <w:szCs w:val="32"/>
        </w:rPr>
        <w:t>辆、其他用车</w:t>
      </w:r>
      <w:r>
        <w:rPr>
          <w:rFonts w:hint="eastAsia" w:ascii="宋体" w:hAnsi="宋体" w:eastAsia="宋体"/>
          <w:sz w:val="32"/>
          <w:szCs w:val="32"/>
          <w:lang w:val="en-US" w:eastAsia="zh-CN"/>
        </w:rPr>
        <w:t>0</w:t>
      </w:r>
      <w:r>
        <w:rPr>
          <w:rFonts w:hint="eastAsia" w:ascii="宋体" w:hAnsi="宋体" w:eastAsia="宋体"/>
          <w:sz w:val="32"/>
          <w:szCs w:val="32"/>
        </w:rPr>
        <w:t>辆</w:t>
      </w:r>
      <w:r>
        <w:rPr>
          <w:rFonts w:hint="eastAsia" w:ascii="宋体" w:hAnsi="宋体" w:eastAsia="宋体"/>
          <w:sz w:val="32"/>
          <w:szCs w:val="32"/>
          <w:lang w:val="en-US" w:eastAsia="zh-CN"/>
        </w:rPr>
        <w:t>0</w:t>
      </w:r>
      <w:r>
        <w:rPr>
          <w:rFonts w:hint="eastAsia" w:ascii="宋体" w:hAnsi="宋体" w:eastAsia="宋体"/>
          <w:sz w:val="32"/>
          <w:szCs w:val="32"/>
        </w:rPr>
        <w:t>；单位价值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6"/>
        <w:spacing w:line="600" w:lineRule="exact"/>
        <w:rPr>
          <w:rFonts w:hAnsi="黑体"/>
          <w:b/>
          <w:sz w:val="32"/>
          <w:szCs w:val="32"/>
        </w:rPr>
      </w:pPr>
      <w:r>
        <w:rPr>
          <w:rFonts w:hint="eastAsia" w:hAnsi="黑体"/>
          <w:b/>
          <w:sz w:val="32"/>
          <w:szCs w:val="32"/>
        </w:rPr>
        <w:t>十三、</w:t>
      </w:r>
      <w:r>
        <w:rPr>
          <w:rFonts w:hAnsi="黑体"/>
          <w:b/>
          <w:sz w:val="32"/>
          <w:szCs w:val="32"/>
        </w:rPr>
        <w:t>2021</w:t>
      </w:r>
      <w:r>
        <w:rPr>
          <w:rFonts w:hint="eastAsia" w:hAnsi="黑体"/>
          <w:b/>
          <w:sz w:val="32"/>
          <w:szCs w:val="32"/>
        </w:rPr>
        <w:t>年度预算绩效情况说明</w:t>
      </w:r>
    </w:p>
    <w:p>
      <w:pPr>
        <w:autoSpaceDE w:val="0"/>
        <w:autoSpaceDN w:val="0"/>
        <w:adjustRightInd w:val="0"/>
        <w:spacing w:line="600" w:lineRule="exact"/>
        <w:ind w:firstLine="640" w:firstLineChars="200"/>
        <w:jc w:val="left"/>
        <w:rPr>
          <w:rFonts w:asci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1</w:t>
      </w:r>
      <w:r>
        <w:rPr>
          <w:rFonts w:hint="eastAsia" w:ascii="宋体" w:hAnsi="宋体" w:cs="黑体"/>
          <w:b/>
          <w:color w:val="000000"/>
          <w:kern w:val="0"/>
          <w:sz w:val="32"/>
          <w:szCs w:val="32"/>
        </w:rPr>
        <w:t>）绩效管理评价工作开展情况</w:t>
      </w:r>
      <w:r>
        <w:rPr>
          <w:rFonts w:hint="eastAsia" w:ascii="宋体" w:hAnsi="宋体" w:cs="黑体"/>
          <w:color w:val="000000"/>
          <w:kern w:val="0"/>
          <w:sz w:val="32"/>
          <w:szCs w:val="32"/>
        </w:rPr>
        <w:t>。</w:t>
      </w:r>
    </w:p>
    <w:p>
      <w:pPr>
        <w:autoSpaceDE w:val="0"/>
        <w:autoSpaceDN w:val="0"/>
        <w:adjustRightInd w:val="0"/>
        <w:spacing w:line="600" w:lineRule="exact"/>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本部门2021年整体支出499.48万元，其中项目支出273.8万元，</w:t>
      </w:r>
      <w:r>
        <w:rPr>
          <w:rFonts w:hint="eastAsia" w:ascii="宋体" w:hAnsi="宋体" w:cs="黑体"/>
          <w:color w:val="000000"/>
          <w:kern w:val="0"/>
          <w:sz w:val="32"/>
          <w:szCs w:val="32"/>
          <w:highlight w:val="none"/>
        </w:rPr>
        <w:t>本年度</w:t>
      </w:r>
      <w:r>
        <w:rPr>
          <w:rFonts w:hint="eastAsia" w:ascii="宋体" w:hAnsi="宋体" w:cs="黑体"/>
          <w:color w:val="000000"/>
          <w:kern w:val="0"/>
          <w:sz w:val="32"/>
          <w:szCs w:val="32"/>
          <w:highlight w:val="none"/>
          <w:lang w:eastAsia="zh-CN"/>
        </w:rPr>
        <w:t>无</w:t>
      </w:r>
      <w:r>
        <w:rPr>
          <w:rFonts w:hint="eastAsia" w:ascii="宋体" w:hAnsi="宋体" w:cs="黑体"/>
          <w:color w:val="000000"/>
          <w:kern w:val="0"/>
          <w:sz w:val="32"/>
          <w:szCs w:val="32"/>
          <w:highlight w:val="none"/>
        </w:rPr>
        <w:t>重点项目支出。</w:t>
      </w: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2021</w:t>
      </w:r>
      <w:r>
        <w:rPr>
          <w:rFonts w:hint="eastAsia" w:ascii="宋体" w:hAnsi="宋体" w:cs="黑体"/>
          <w:color w:val="000000"/>
          <w:kern w:val="0"/>
          <w:sz w:val="32"/>
          <w:szCs w:val="32"/>
        </w:rPr>
        <w:t>年度一般公共预算项目支出全面开展绩效自评，其中，一级项目</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个，二级项目</w:t>
      </w:r>
      <w:r>
        <w:rPr>
          <w:rFonts w:hint="eastAsia" w:ascii="宋体" w:hAnsi="宋体" w:cs="黑体"/>
          <w:color w:val="000000"/>
          <w:kern w:val="0"/>
          <w:sz w:val="32"/>
          <w:szCs w:val="32"/>
          <w:lang w:val="en-US" w:eastAsia="zh-CN"/>
        </w:rPr>
        <w:t>4</w:t>
      </w:r>
      <w:r>
        <w:rPr>
          <w:rFonts w:hint="eastAsia" w:ascii="宋体" w:hAnsi="宋体" w:cs="黑体"/>
          <w:color w:val="000000"/>
          <w:kern w:val="0"/>
          <w:sz w:val="32"/>
          <w:szCs w:val="32"/>
        </w:rPr>
        <w:t>个，共涉及资金</w:t>
      </w:r>
      <w:r>
        <w:rPr>
          <w:rFonts w:hint="eastAsia" w:ascii="宋体" w:hAnsi="宋体" w:cs="黑体"/>
          <w:color w:val="000000"/>
          <w:kern w:val="0"/>
          <w:sz w:val="32"/>
          <w:szCs w:val="32"/>
          <w:lang w:val="en-US" w:eastAsia="zh-CN"/>
        </w:rPr>
        <w:t>273.80</w:t>
      </w:r>
      <w:r>
        <w:rPr>
          <w:rFonts w:hint="eastAsia" w:ascii="宋体" w:hAnsi="宋体" w:cs="黑体"/>
          <w:color w:val="000000"/>
          <w:kern w:val="0"/>
          <w:sz w:val="32"/>
          <w:szCs w:val="32"/>
        </w:rPr>
        <w:t>万元，占一般公共预算项目支出总额的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w:t>
      </w:r>
      <w:r>
        <w:rPr>
          <w:rFonts w:ascii="宋体" w:hAnsi="宋体" w:cs="黑体"/>
          <w:color w:val="000000"/>
          <w:kern w:val="0"/>
          <w:sz w:val="32"/>
          <w:szCs w:val="32"/>
        </w:rPr>
        <w:t>2021</w:t>
      </w:r>
      <w:r>
        <w:rPr>
          <w:rFonts w:hint="eastAsia" w:ascii="宋体" w:hAnsi="宋体" w:cs="黑体"/>
          <w:color w:val="000000"/>
          <w:kern w:val="0"/>
          <w:sz w:val="32"/>
          <w:szCs w:val="32"/>
        </w:rPr>
        <w:t>年度本单位未安排政府性基金预算项目支出</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国有资本经营预算项目支出。</w:t>
      </w:r>
    </w:p>
    <w:p>
      <w:pPr>
        <w:autoSpaceDE w:val="0"/>
        <w:autoSpaceDN w:val="0"/>
        <w:adjustRightInd w:val="0"/>
        <w:spacing w:line="600" w:lineRule="exact"/>
        <w:ind w:firstLine="640" w:firstLineChars="200"/>
        <w:jc w:val="left"/>
        <w:rPr>
          <w:rFonts w:ascii="宋体" w:cs="黑体"/>
          <w:b/>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2</w:t>
      </w:r>
      <w:r>
        <w:rPr>
          <w:rFonts w:hint="eastAsia" w:ascii="宋体" w:hAnsi="宋体" w:cs="黑体"/>
          <w:b/>
          <w:color w:val="000000"/>
          <w:kern w:val="0"/>
          <w:sz w:val="32"/>
          <w:szCs w:val="32"/>
        </w:rPr>
        <w:t>）部门决算中项目绩效自评结果。</w:t>
      </w:r>
    </w:p>
    <w:p>
      <w:pPr>
        <w:autoSpaceDE w:val="0"/>
        <w:autoSpaceDN w:val="0"/>
        <w:adjustRightInd w:val="0"/>
        <w:spacing w:line="600" w:lineRule="exact"/>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lang w:val="en-US" w:eastAsia="zh-CN"/>
        </w:rPr>
        <w:t>庆祝中国共产党成立100周年群众文化活动</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93.5</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20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14.60</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73</w:t>
      </w:r>
      <w:r>
        <w:rPr>
          <w:rFonts w:ascii="宋体" w:hAnsi="宋体" w:cs="黑体"/>
          <w:color w:val="000000"/>
          <w:kern w:val="0"/>
          <w:sz w:val="32"/>
          <w:szCs w:val="32"/>
        </w:rPr>
        <w:t>%</w:t>
      </w:r>
      <w:r>
        <w:rPr>
          <w:rFonts w:hint="eastAsia" w:ascii="宋体" w:hAnsi="宋体" w:cs="黑体"/>
          <w:color w:val="000000"/>
          <w:kern w:val="0"/>
          <w:sz w:val="32"/>
          <w:szCs w:val="32"/>
        </w:rPr>
        <w:t>。</w:t>
      </w:r>
    </w:p>
    <w:p>
      <w:pPr>
        <w:autoSpaceDE w:val="0"/>
        <w:autoSpaceDN w:val="0"/>
        <w:adjustRightInd w:val="0"/>
        <w:spacing w:line="600" w:lineRule="exact"/>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lang w:val="en-US" w:eastAsia="zh-CN"/>
        </w:rPr>
        <w:t>党史学习教育等</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93.5</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5.83</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w:t>
      </w:r>
    </w:p>
    <w:p>
      <w:pPr>
        <w:pStyle w:val="2"/>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宋体" w:hAnsi="宋体" w:cs="黑体"/>
          <w:color w:val="000000"/>
          <w:kern w:val="0"/>
          <w:sz w:val="32"/>
          <w:szCs w:val="32"/>
        </w:rPr>
      </w:pPr>
      <w:r>
        <w:rPr>
          <w:rFonts w:hint="eastAsia" w:ascii="宋体" w:hAnsi="宋体" w:cs="黑体"/>
          <w:color w:val="000000"/>
          <w:kern w:val="0"/>
          <w:sz w:val="32"/>
          <w:szCs w:val="32"/>
          <w:lang w:val="en-US" w:eastAsia="zh-CN"/>
        </w:rPr>
        <w:t>党十九届五中全会精神宣讲、党报党刊等</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93.5</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233.52</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w:t>
      </w:r>
    </w:p>
    <w:p>
      <w:pPr>
        <w:pStyle w:val="2"/>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宋体" w:hAnsi="宋体" w:cs="黑体"/>
          <w:color w:val="000000"/>
          <w:kern w:val="0"/>
          <w:sz w:val="32"/>
          <w:szCs w:val="32"/>
        </w:rPr>
      </w:pPr>
      <w:r>
        <w:rPr>
          <w:rFonts w:hint="eastAsia" w:ascii="宋体" w:hAnsi="宋体" w:cs="黑体"/>
          <w:color w:val="000000"/>
          <w:kern w:val="0"/>
          <w:sz w:val="32"/>
          <w:szCs w:val="32"/>
          <w:lang w:val="en-US" w:eastAsia="zh-CN"/>
        </w:rPr>
        <w:t>大型舞台情景剧《战神粟裕》演出经费、中国共产党成立100周年氛围营造经费等</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93.5</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20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19.85</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99.25</w:t>
      </w:r>
      <w:r>
        <w:rPr>
          <w:rFonts w:ascii="宋体" w:hAnsi="宋体" w:cs="黑体"/>
          <w:color w:val="000000"/>
          <w:kern w:val="0"/>
          <w:sz w:val="32"/>
          <w:szCs w:val="32"/>
        </w:rPr>
        <w:t>%</w:t>
      </w:r>
      <w:r>
        <w:rPr>
          <w:rFonts w:hint="eastAsia" w:ascii="宋体" w:hAnsi="宋体" w:cs="黑体"/>
          <w:color w:val="000000"/>
          <w:kern w:val="0"/>
          <w:sz w:val="32"/>
          <w:szCs w:val="32"/>
        </w:rPr>
        <w:t>。</w:t>
      </w:r>
    </w:p>
    <w:p>
      <w:pPr>
        <w:autoSpaceDE w:val="0"/>
        <w:autoSpaceDN w:val="0"/>
        <w:adjustRightInd w:val="0"/>
        <w:spacing w:line="600" w:lineRule="exact"/>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项目绩效目标全部完成。发现的主要问题及原因：一是预算</w:t>
      </w:r>
      <w:r>
        <w:rPr>
          <w:rFonts w:hint="eastAsia" w:ascii="宋体" w:hAnsi="宋体" w:cs="黑体"/>
          <w:color w:val="000000"/>
          <w:kern w:val="0"/>
          <w:sz w:val="32"/>
          <w:szCs w:val="32"/>
          <w:lang w:val="en-US" w:eastAsia="zh-CN"/>
        </w:rPr>
        <w:t>不精确</w:t>
      </w:r>
      <w:r>
        <w:rPr>
          <w:rFonts w:hint="eastAsia" w:ascii="宋体" w:hAnsi="宋体" w:cs="黑体"/>
          <w:color w:val="000000"/>
          <w:kern w:val="0"/>
          <w:sz w:val="32"/>
          <w:szCs w:val="32"/>
        </w:rPr>
        <w:t>；二是绩效指标值设置的不够科学。下一步改进措施：结合绩效目标和年度工作计划，进一步完善年度指标值设定，加强资金统筹。</w:t>
      </w:r>
    </w:p>
    <w:p>
      <w:pPr>
        <w:numPr>
          <w:ilvl w:val="0"/>
          <w:numId w:val="2"/>
        </w:numPr>
        <w:autoSpaceDE w:val="0"/>
        <w:autoSpaceDN w:val="0"/>
        <w:adjustRightInd w:val="0"/>
        <w:spacing w:line="600" w:lineRule="exact"/>
        <w:ind w:firstLine="640" w:firstLineChars="200"/>
        <w:jc w:val="left"/>
        <w:rPr>
          <w:rFonts w:ascii="宋体" w:cs="黑体"/>
          <w:b/>
          <w:color w:val="000000"/>
          <w:kern w:val="0"/>
          <w:sz w:val="32"/>
          <w:szCs w:val="32"/>
        </w:rPr>
      </w:pPr>
      <w:r>
        <w:rPr>
          <w:rFonts w:hint="eastAsia" w:ascii="宋体" w:hAnsi="宋体" w:cs="黑体"/>
          <w:b/>
          <w:color w:val="000000"/>
          <w:kern w:val="0"/>
          <w:sz w:val="32"/>
          <w:szCs w:val="32"/>
        </w:rPr>
        <w:t>部门评价项目绩效评价结果。</w:t>
      </w:r>
    </w:p>
    <w:p>
      <w:pPr>
        <w:autoSpaceDE w:val="0"/>
        <w:autoSpaceDN w:val="0"/>
        <w:adjustRightInd w:val="0"/>
        <w:spacing w:line="600" w:lineRule="exact"/>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庆祝中国共产党成立100周年群众文化活动</w:t>
      </w:r>
      <w:r>
        <w:rPr>
          <w:rFonts w:hint="eastAsia" w:ascii="宋体" w:hAnsi="宋体" w:cs="黑体"/>
          <w:color w:val="000000"/>
          <w:kern w:val="0"/>
          <w:sz w:val="32"/>
          <w:szCs w:val="32"/>
        </w:rPr>
        <w:t>项目</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党史学习教育等、党十九届五中全会精神宣讲、党报党刊等大型舞台情景剧《战神粟裕》演出经费、中国共产党成立100周年氛围营造经费等</w:t>
      </w:r>
      <w:r>
        <w:rPr>
          <w:rFonts w:hint="eastAsia" w:ascii="宋体" w:hAnsi="宋体" w:cs="黑体"/>
          <w:color w:val="000000"/>
          <w:kern w:val="0"/>
          <w:sz w:val="32"/>
          <w:szCs w:val="32"/>
        </w:rPr>
        <w:t>项目绩效评价综合得分</w:t>
      </w:r>
      <w:r>
        <w:rPr>
          <w:rFonts w:hint="eastAsia" w:ascii="宋体" w:hAnsi="宋体" w:cs="黑体"/>
          <w:color w:val="000000"/>
          <w:kern w:val="0"/>
          <w:sz w:val="32"/>
          <w:szCs w:val="32"/>
          <w:lang w:val="en-US" w:eastAsia="zh-CN"/>
        </w:rPr>
        <w:t>93.5</w:t>
      </w:r>
      <w:r>
        <w:rPr>
          <w:rFonts w:hint="eastAsia" w:ascii="宋体" w:hAnsi="宋体" w:cs="黑体"/>
          <w:color w:val="000000"/>
          <w:kern w:val="0"/>
          <w:sz w:val="32"/>
          <w:szCs w:val="32"/>
        </w:rPr>
        <w:t>分，绩效评价结果为“</w:t>
      </w:r>
      <w:r>
        <w:rPr>
          <w:rFonts w:hint="eastAsia" w:ascii="宋体" w:hAnsi="宋体" w:cs="黑体"/>
          <w:color w:val="000000"/>
          <w:kern w:val="0"/>
          <w:sz w:val="32"/>
          <w:szCs w:val="32"/>
          <w:lang w:eastAsia="zh-CN"/>
        </w:rPr>
        <w:t>优</w:t>
      </w:r>
      <w:r>
        <w:rPr>
          <w:rFonts w:hint="eastAsia" w:ascii="宋体" w:hAnsi="宋体" w:cs="黑体"/>
          <w:color w:val="000000"/>
          <w:kern w:val="0"/>
          <w:sz w:val="32"/>
          <w:szCs w:val="32"/>
        </w:rPr>
        <w:t>”，绩效评价报告详见附件</w:t>
      </w:r>
      <w:r>
        <w:rPr>
          <w:rFonts w:hint="eastAsia" w:ascii="宋体" w:hAnsi="宋体" w:cs="黑体"/>
          <w:color w:val="000000"/>
          <w:kern w:val="0"/>
          <w:sz w:val="32"/>
          <w:szCs w:val="32"/>
          <w:lang w:eastAsia="zh-CN"/>
        </w:rPr>
        <w:t>。</w:t>
      </w:r>
    </w:p>
    <w:p>
      <w:pPr>
        <w:pStyle w:val="2"/>
        <w:rPr>
          <w:rFonts w:hint="eastAsia"/>
          <w:lang w:eastAsia="zh-CN"/>
        </w:rPr>
      </w:pPr>
    </w:p>
    <w:p>
      <w:pPr>
        <w:pStyle w:val="16"/>
        <w:spacing w:line="600" w:lineRule="exact"/>
        <w:rPr>
          <w:rFonts w:hint="eastAsia" w:hAnsi="黑体"/>
          <w:b/>
          <w:sz w:val="32"/>
          <w:szCs w:val="32"/>
        </w:rPr>
      </w:pPr>
      <w:r>
        <w:rPr>
          <w:rFonts w:hint="eastAsia" w:hAnsi="黑体"/>
          <w:b/>
          <w:sz w:val="32"/>
          <w:szCs w:val="32"/>
        </w:rPr>
        <w:t>十四、国有资本经营预算财政拨款支出决算情况</w:t>
      </w:r>
    </w:p>
    <w:p>
      <w:pPr>
        <w:pStyle w:val="16"/>
        <w:ind w:firstLine="640" w:firstLineChars="20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2021年度国有资本经营预算财政拨款支出0万元，其中基本支出0万元，项目支出0万元。</w:t>
      </w:r>
    </w:p>
    <w:p>
      <w:pPr>
        <w:pStyle w:val="16"/>
        <w:rPr>
          <w:sz w:val="72"/>
          <w:szCs w:val="72"/>
        </w:rPr>
      </w:pPr>
    </w:p>
    <w:p>
      <w:pPr>
        <w:pStyle w:val="16"/>
        <w:rPr>
          <w:sz w:val="72"/>
          <w:szCs w:val="72"/>
        </w:rPr>
      </w:pPr>
    </w:p>
    <w:p>
      <w:pPr>
        <w:pStyle w:val="16"/>
        <w:jc w:val="both"/>
        <w:rPr>
          <w:sz w:val="72"/>
          <w:szCs w:val="72"/>
        </w:rPr>
      </w:pPr>
    </w:p>
    <w:p>
      <w:pPr>
        <w:pStyle w:val="16"/>
        <w:jc w:val="both"/>
        <w:rPr>
          <w:sz w:val="72"/>
          <w:szCs w:val="72"/>
        </w:rPr>
      </w:pPr>
    </w:p>
    <w:p>
      <w:pPr>
        <w:pStyle w:val="16"/>
        <w:jc w:val="both"/>
        <w:rPr>
          <w:sz w:val="72"/>
          <w:szCs w:val="72"/>
        </w:rPr>
      </w:pPr>
    </w:p>
    <w:p>
      <w:pPr>
        <w:pStyle w:val="16"/>
        <w:jc w:val="both"/>
        <w:rPr>
          <w:rFonts w:hint="eastAsia"/>
          <w:sz w:val="72"/>
          <w:szCs w:val="72"/>
        </w:rPr>
      </w:pPr>
    </w:p>
    <w:p>
      <w:pPr>
        <w:pStyle w:val="16"/>
        <w:jc w:val="center"/>
        <w:rPr>
          <w:rFonts w:hint="eastAsia"/>
          <w:sz w:val="72"/>
          <w:szCs w:val="72"/>
        </w:rPr>
      </w:pPr>
    </w:p>
    <w:p>
      <w:pPr>
        <w:pStyle w:val="16"/>
        <w:jc w:val="center"/>
        <w:rPr>
          <w:rFonts w:hint="eastAsia"/>
          <w:sz w:val="72"/>
          <w:szCs w:val="72"/>
        </w:rPr>
      </w:pPr>
    </w:p>
    <w:p>
      <w:pPr>
        <w:pStyle w:val="16"/>
        <w:jc w:val="center"/>
        <w:rPr>
          <w:rFonts w:hint="eastAsia"/>
          <w:sz w:val="72"/>
          <w:szCs w:val="72"/>
        </w:rPr>
      </w:pPr>
    </w:p>
    <w:p>
      <w:pPr>
        <w:pStyle w:val="16"/>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pStyle w:val="3"/>
        <w:rPr>
          <w:rFonts w:ascii="黑体" w:eastAsia="黑体" w:cs="黑体"/>
          <w:color w:val="000000"/>
          <w:kern w:val="0"/>
          <w:sz w:val="70"/>
          <w:szCs w:val="70"/>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ascii="宋体" w:hAnsi="宋体"/>
          <w:color w:val="333333"/>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03"/>
        <w:jc w:val="left"/>
        <w:textAlignment w:val="auto"/>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宋体"/>
          <w:sz w:val="32"/>
          <w:szCs w:val="32"/>
        </w:rPr>
      </w:pPr>
      <w:r>
        <w:rPr>
          <w:rFonts w:ascii="宋体" w:hAnsi="宋体"/>
          <w:sz w:val="32"/>
          <w:szCs w:val="32"/>
        </w:rPr>
        <w:t>18.</w:t>
      </w:r>
      <w:r>
        <w:rPr>
          <w:rFonts w:hint="eastAsia" w:ascii="宋体" w:hAnsi="宋体"/>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6"/>
        <w:jc w:val="both"/>
        <w:rPr>
          <w:sz w:val="72"/>
          <w:szCs w:val="72"/>
        </w:rPr>
      </w:pPr>
    </w:p>
    <w:p>
      <w:pPr>
        <w:pStyle w:val="16"/>
        <w:rPr>
          <w:sz w:val="72"/>
          <w:szCs w:val="72"/>
        </w:rPr>
      </w:pPr>
    </w:p>
    <w:p>
      <w:pPr>
        <w:pStyle w:val="16"/>
        <w:rPr>
          <w:sz w:val="72"/>
          <w:szCs w:val="72"/>
        </w:rPr>
      </w:pPr>
    </w:p>
    <w:p>
      <w:pPr>
        <w:pStyle w:val="16"/>
        <w:rPr>
          <w:sz w:val="72"/>
          <w:szCs w:val="72"/>
        </w:rPr>
      </w:pPr>
    </w:p>
    <w:p>
      <w:pPr>
        <w:pStyle w:val="16"/>
        <w:rPr>
          <w:sz w:val="72"/>
          <w:szCs w:val="72"/>
        </w:rPr>
      </w:pPr>
    </w:p>
    <w:p>
      <w:pPr>
        <w:pStyle w:val="16"/>
        <w:rPr>
          <w:sz w:val="72"/>
          <w:szCs w:val="72"/>
        </w:rPr>
      </w:pPr>
    </w:p>
    <w:p>
      <w:pPr>
        <w:pStyle w:val="16"/>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p>
    <w:p>
      <w:pPr>
        <w:pStyle w:val="3"/>
        <w:rPr>
          <w:rFonts w:ascii="黑体" w:eastAsia="黑体" w:cs="黑体"/>
          <w:color w:val="000000"/>
          <w:kern w:val="0"/>
          <w:sz w:val="70"/>
          <w:szCs w:val="70"/>
        </w:rPr>
      </w:pPr>
    </w:p>
    <w:p>
      <w:pPr>
        <w:pStyle w:val="3"/>
        <w:rPr>
          <w:rFonts w:ascii="黑体" w:eastAsia="黑体" w:cs="黑体"/>
          <w:color w:val="000000"/>
          <w:kern w:val="0"/>
          <w:sz w:val="70"/>
          <w:szCs w:val="70"/>
        </w:rPr>
      </w:pPr>
    </w:p>
    <w:p>
      <w:pPr>
        <w:pStyle w:val="3"/>
        <w:rPr>
          <w:rFonts w:ascii="黑体" w:eastAsia="黑体" w:cs="黑体"/>
          <w:color w:val="000000"/>
          <w:kern w:val="0"/>
          <w:sz w:val="70"/>
          <w:szCs w:val="70"/>
        </w:rPr>
      </w:pPr>
    </w:p>
    <w:p>
      <w:pPr>
        <w:pStyle w:val="3"/>
        <w:rPr>
          <w:rFonts w:ascii="黑体" w:eastAsia="黑体" w:cs="黑体"/>
          <w:color w:val="000000"/>
          <w:kern w:val="0"/>
          <w:sz w:val="70"/>
          <w:szCs w:val="70"/>
        </w:rPr>
      </w:pPr>
    </w:p>
    <w:p>
      <w:pPr>
        <w:pStyle w:val="3"/>
        <w:rPr>
          <w:rFonts w:ascii="黑体" w:eastAsia="黑体" w:cs="黑体"/>
          <w:color w:val="000000"/>
          <w:kern w:val="0"/>
          <w:sz w:val="70"/>
          <w:szCs w:val="70"/>
        </w:rPr>
      </w:pPr>
    </w:p>
    <w:p>
      <w:pPr>
        <w:jc w:val="center"/>
        <w:rPr>
          <w:rFonts w:hint="eastAsia" w:ascii="宋体" w:hAnsi="宋体" w:cs="黑体"/>
          <w:b/>
          <w:color w:val="000000"/>
          <w:kern w:val="0"/>
          <w:sz w:val="44"/>
          <w:szCs w:val="44"/>
        </w:rPr>
      </w:pPr>
      <w:r>
        <w:rPr>
          <w:rFonts w:ascii="宋体" w:hAnsi="宋体" w:cs="黑体"/>
          <w:b/>
          <w:color w:val="000000"/>
          <w:kern w:val="0"/>
          <w:sz w:val="44"/>
          <w:szCs w:val="44"/>
        </w:rPr>
        <w:t>2021</w:t>
      </w:r>
      <w:r>
        <w:rPr>
          <w:rFonts w:hint="eastAsia" w:ascii="宋体" w:hAnsi="宋体" w:cs="黑体"/>
          <w:b/>
          <w:color w:val="000000"/>
          <w:kern w:val="0"/>
          <w:sz w:val="44"/>
          <w:szCs w:val="44"/>
        </w:rPr>
        <w:t>年度部门整体支出绩效评价报告</w:t>
      </w:r>
    </w:p>
    <w:p>
      <w:pPr>
        <w:pStyle w:val="2"/>
      </w:pP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为加强预算绩效管理，强化预算支出绩效责任，提高财政资金使用效益，根据《中共湖南省委办公厅 湖南省人民政府办公厅关于全面实施预算绩效管理的实施意见》</w:t>
      </w:r>
      <w:r>
        <w:rPr>
          <w:rFonts w:hint="eastAsia" w:ascii="仿宋_GB2312" w:hAnsi="仿宋_GB2312" w:eastAsia="仿宋_GB2312" w:cs="仿宋_GB2312"/>
          <w:sz w:val="32"/>
          <w:szCs w:val="32"/>
          <w:lang w:eastAsia="zh-CN"/>
        </w:rPr>
        <w:t>（湘办发</w:t>
      </w:r>
      <w:r>
        <w:rPr>
          <w:rFonts w:hint="eastAsia" w:ascii="仿宋_GB2312" w:hAnsi="仿宋_GB2312" w:eastAsia="仿宋_GB2312" w:cs="仿宋_GB2312"/>
          <w:sz w:val="32"/>
          <w:szCs w:val="32"/>
          <w:lang w:val="en-US" w:eastAsia="zh-CN"/>
        </w:rPr>
        <w:t>[2019]10号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《会同县财政局关于开展</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年度本级财政资金绩效自评工作的通知》（会财绩[202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］11号），我单位拟公开</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年度一般公共支出整体绩效和专项资金预算绩效情况。公开如下：</w:t>
      </w:r>
    </w:p>
    <w:p>
      <w:pPr>
        <w:keepNext w:val="0"/>
        <w:keepLines w:val="0"/>
        <w:pageBreakBefore w:val="0"/>
        <w:kinsoku/>
        <w:wordWrap/>
        <w:overflowPunct/>
        <w:topLinePunct w:val="0"/>
        <w:autoSpaceDE/>
        <w:autoSpaceDN w:val="0"/>
        <w:bidi w:val="0"/>
        <w:adjustRightInd/>
        <w:snapToGrid/>
        <w:spacing w:line="240" w:lineRule="auto"/>
        <w:ind w:firstLine="643"/>
        <w:textAlignment w:val="auto"/>
        <w:rPr>
          <w:rFonts w:hint="eastAsia" w:ascii="仿宋_GB2312" w:hAnsi="仿宋_GB2312" w:eastAsia="仿宋_GB2312" w:cs="仿宋_GB2312"/>
          <w:b/>
          <w:bCs/>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一、单位的主要职责、工作任务及目标</w:t>
      </w:r>
    </w:p>
    <w:p>
      <w:pPr>
        <w:keepNext w:val="0"/>
        <w:keepLines w:val="0"/>
        <w:pageBreakBefore w:val="0"/>
        <w:kinsoku/>
        <w:wordWrap/>
        <w:overflowPunct/>
        <w:topLinePunct w:val="0"/>
        <w:autoSpaceDE/>
        <w:autoSpaceDN w:val="0"/>
        <w:bidi w:val="0"/>
        <w:adjustRightInd/>
        <w:snapToGrid/>
        <w:spacing w:line="240" w:lineRule="auto"/>
        <w:ind w:firstLine="643"/>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主要职责：</w:t>
      </w:r>
    </w:p>
    <w:p>
      <w:pPr>
        <w:keepNext w:val="0"/>
        <w:keepLines w:val="0"/>
        <w:pageBreakBefore w:val="0"/>
        <w:kinsoku/>
        <w:wordWrap/>
        <w:overflowPunct/>
        <w:topLinePunct w:val="0"/>
        <w:autoSpaceDE/>
        <w:bidi w:val="0"/>
        <w:adjustRightInd/>
        <w:snapToGrid/>
        <w:spacing w:beforeLines="0" w:afterLines="0"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拟定全县宣传思想文化工作规划；统筹协调全县党的意识形态工作；统筹指导协调全县理论学习、理论宣传、理论研究工作，组织推动理论武装工作；负责规划组织全局性思想政治工作；统筹分析研判和引导社会舆论；拟定全县新闻出版业的管理政策并督促落实；从宏观上统筹指导协调全县互联网宣传和信息内容管理工作；统筹指导协调全县精神文化产品的创作、生产；负责管理全县电影行政事务；承担县文化改革发展领导小组办公室日常工作；统筹指导协调全县舆情信息工作；统筹协调全县对外宣传工作，指导协调对外文化交流工作；统筹协调组织开展全县新闻发布工作，承担县委新闻发布有关组织协调工作；负责落实中央、省、市、县精神文明建设指导委员会工作部署，拟定全县精神文明建设工作规划并组织实施；负责组织开展全县宣传思想文化系统干部教育培训和人才工作；对县互联网信息办公室互联网宣传和信息内容管理方面的工作实施政策指导；完成县委县政府交办的其他任务。</w:t>
      </w:r>
    </w:p>
    <w:p>
      <w:pPr>
        <w:keepNext w:val="0"/>
        <w:keepLines w:val="0"/>
        <w:pageBreakBefore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主要工作任务及目标：</w:t>
      </w:r>
    </w:p>
    <w:p>
      <w:pPr>
        <w:keepNext w:val="0"/>
        <w:keepLines w:val="0"/>
        <w:pageBreakBefore w:val="0"/>
        <w:widowControl w:val="0"/>
        <w:kinsoku/>
        <w:wordWrap/>
        <w:overflowPunct/>
        <w:topLinePunct w:val="0"/>
        <w:autoSpaceDE/>
        <w:bidi w:val="0"/>
        <w:adjustRightInd/>
        <w:snapToGrid/>
        <w:spacing w:beforeLines="0" w:afterLines="0"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2021年本单位项目支出273.80万元。主要为：意识形态工作经费9万元，县委中心组学习经费8万元，社会主义精神文明建设经费9万元，社科联工作经费5万元，上级新闻媒体对接经费9万元，上级报刊杂志款、党史学习教育活动经费、庆祝中国共产党100周年群众文化活动及营造氛围宣传经费、党的十九届五中全会精神宣讲等专项费用233.80万元。</w:t>
      </w:r>
    </w:p>
    <w:p>
      <w:pPr>
        <w:keepNext w:val="0"/>
        <w:keepLines w:val="0"/>
        <w:pageBreakBefore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b/>
          <w:bCs/>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二、基本情况</w:t>
      </w:r>
    </w:p>
    <w:p>
      <w:pPr>
        <w:keepNext w:val="0"/>
        <w:keepLines w:val="0"/>
        <w:pageBreakBefore w:val="0"/>
        <w:kinsoku/>
        <w:wordWrap/>
        <w:overflowPunct/>
        <w:topLinePunct w:val="0"/>
        <w:autoSpaceDE/>
        <w:bidi w:val="0"/>
        <w:adjustRightInd/>
        <w:snapToGrid/>
        <w:spacing w:line="240" w:lineRule="auto"/>
        <w:ind w:firstLine="480" w:firstLineChars="15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现有行政编制人员11个，全额拨款事业编制4个，自收自支事业编0个，实有在职人数15人，离、退休人员2人。有车辆1台（已移交公车办，但财务暂未做减少），实有在职人数与编制数相符。</w:t>
      </w:r>
    </w:p>
    <w:p>
      <w:pPr>
        <w:keepNext w:val="0"/>
        <w:keepLines w:val="0"/>
        <w:pageBreakBefore w:val="0"/>
        <w:kinsoku/>
        <w:wordWrap/>
        <w:overflowPunct/>
        <w:topLinePunct w:val="0"/>
        <w:autoSpaceDE/>
        <w:bidi w:val="0"/>
        <w:adjustRightInd/>
        <w:snapToGrid/>
        <w:spacing w:line="240" w:lineRule="auto"/>
        <w:ind w:firstLine="480" w:firstLineChars="150"/>
        <w:textAlignment w:val="auto"/>
        <w:rPr>
          <w:rFonts w:hint="eastAsia" w:ascii="仿宋_GB2312" w:hAnsi="仿宋_GB2312" w:eastAsia="仿宋_GB2312" w:cs="仿宋_GB2312"/>
          <w:b/>
          <w:bCs/>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三、年初预算安排情况</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县本级安排单位预算收入170.19万元，其中</w:t>
      </w:r>
      <w:r>
        <w:rPr>
          <w:rFonts w:hint="eastAsia" w:ascii="仿宋_GB2312" w:hAnsi="仿宋_GB2312" w:eastAsia="仿宋_GB2312" w:cs="仿宋_GB2312"/>
          <w:sz w:val="32"/>
          <w:szCs w:val="24"/>
        </w:rPr>
        <w:t>人员经费</w:t>
      </w:r>
      <w:r>
        <w:rPr>
          <w:rFonts w:hint="eastAsia" w:ascii="仿宋_GB2312" w:hAnsi="仿宋_GB2312" w:eastAsia="仿宋_GB2312" w:cs="仿宋_GB2312"/>
          <w:snapToGrid/>
          <w:kern w:val="2"/>
          <w:sz w:val="32"/>
          <w:szCs w:val="24"/>
          <w:lang w:val="en-US" w:eastAsia="zh-CN" w:bidi="zh-CN"/>
        </w:rPr>
        <w:t>支出</w:t>
      </w:r>
      <w:r>
        <w:rPr>
          <w:rFonts w:hint="eastAsia" w:ascii="仿宋_GB2312" w:hAnsi="仿宋_GB2312" w:eastAsia="仿宋_GB2312" w:cs="仿宋_GB2312"/>
          <w:sz w:val="32"/>
          <w:szCs w:val="24"/>
        </w:rPr>
        <w:t>89.59万元</w:t>
      </w:r>
      <w:r>
        <w:rPr>
          <w:rFonts w:hint="eastAsia" w:ascii="仿宋_GB2312" w:hAnsi="仿宋_GB2312" w:eastAsia="仿宋_GB2312" w:cs="仿宋_GB2312"/>
          <w:snapToGrid/>
          <w:kern w:val="2"/>
          <w:sz w:val="32"/>
          <w:szCs w:val="24"/>
          <w:lang w:val="en-US" w:eastAsia="zh-CN" w:bidi="zh-CN"/>
        </w:rPr>
        <w:t>万元；项目支出40万元，主要围绕意识形态工作进行安排（其中意识形态工作经费9万元，县委中心组学习经费8万元，社会主义精神文明建设经费9万元，社科联工作经费5万元，上级新闻媒体对接经费9万元）；</w:t>
      </w:r>
      <w:r>
        <w:rPr>
          <w:rFonts w:hint="eastAsia" w:ascii="仿宋_GB2312" w:hAnsi="仿宋_GB2312" w:eastAsia="仿宋_GB2312" w:cs="仿宋_GB2312"/>
          <w:sz w:val="32"/>
          <w:szCs w:val="24"/>
        </w:rPr>
        <w:t>公用经费由40.6万元</w:t>
      </w:r>
      <w:r>
        <w:rPr>
          <w:rFonts w:hint="eastAsia" w:ascii="仿宋_GB2312" w:hAnsi="仿宋_GB2312" w:eastAsia="仿宋_GB2312" w:cs="仿宋_GB2312"/>
          <w:snapToGrid/>
          <w:kern w:val="2"/>
          <w:sz w:val="32"/>
          <w:szCs w:val="24"/>
          <w:lang w:val="en-US" w:eastAsia="zh-CN" w:bidi="zh-CN"/>
        </w:rPr>
        <w:t>（其中“三公”经费预算中的公务接待费为5.37万元、公务用车购置及运行维护费为0元）；对个人家庭补助0元。基本能够保障本单位履行主要工作职责。</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snapToGrid/>
          <w:kern w:val="2"/>
          <w:sz w:val="32"/>
          <w:szCs w:val="24"/>
          <w:lang w:val="en-US" w:eastAsia="zh-CN" w:bidi="zh-CN"/>
        </w:rPr>
        <w:t>四、</w:t>
      </w:r>
      <w:r>
        <w:rPr>
          <w:rFonts w:hint="eastAsia" w:ascii="仿宋_GB2312" w:hAnsi="仿宋_GB2312" w:eastAsia="仿宋_GB2312" w:cs="仿宋_GB2312"/>
          <w:b/>
          <w:bCs/>
          <w:snapToGrid/>
          <w:kern w:val="2"/>
          <w:sz w:val="32"/>
          <w:szCs w:val="24"/>
          <w:lang w:val="en-US" w:eastAsia="zh-CN" w:bidi="zh-CN"/>
        </w:rPr>
        <w:t>本年预算执行情况</w:t>
      </w:r>
    </w:p>
    <w:p>
      <w:pPr>
        <w:keepNext w:val="0"/>
        <w:keepLines w:val="0"/>
        <w:pageBreakBefore w:val="0"/>
        <w:widowControl w:val="0"/>
        <w:kinsoku/>
        <w:wordWrap/>
        <w:overflowPunct/>
        <w:topLinePunct w:val="0"/>
        <w:autoSpaceDE/>
        <w:bidi w:val="0"/>
        <w:adjustRightInd/>
        <w:snapToGrid/>
        <w:spacing w:beforeLines="0" w:afterLines="0"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2020年结余资金130.99万元，2021年收入368.48万元，支出499.47万元，2021年年末无结余资金。</w:t>
      </w:r>
    </w:p>
    <w:p>
      <w:pPr>
        <w:keepNext w:val="0"/>
        <w:keepLines w:val="0"/>
        <w:pageBreakBefore w:val="0"/>
        <w:widowControl w:val="0"/>
        <w:kinsoku/>
        <w:wordWrap/>
        <w:overflowPunct/>
        <w:topLinePunct w:val="0"/>
        <w:autoSpaceDE/>
        <w:bidi w:val="0"/>
        <w:adjustRightInd/>
        <w:snapToGrid/>
        <w:spacing w:beforeLines="0" w:afterLines="0"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收入方面：在实际执行中，单位全年收入为368.48万元，其中上级补助收入为0万元，本级财政拨入368.47万元，比年初预算追加198.28万元，主要原因为：报刊杂志款、党史学习教育活动经费、庆祝中国共产党100周年群众文化活动及营造氛围宣传经费、党的十九届五中全会精神宣讲等专项费用。</w:t>
      </w:r>
    </w:p>
    <w:p>
      <w:pPr>
        <w:keepNext w:val="0"/>
        <w:keepLines w:val="0"/>
        <w:pageBreakBefore w:val="0"/>
        <w:widowControl w:val="0"/>
        <w:kinsoku/>
        <w:wordWrap/>
        <w:overflowPunct/>
        <w:topLinePunct w:val="0"/>
        <w:autoSpaceDE/>
        <w:bidi w:val="0"/>
        <w:adjustRightInd/>
        <w:snapToGrid/>
        <w:spacing w:beforeLines="0" w:afterLines="0"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支出方面：全年实际支出为499.47万元，财政均按实际支出进度予以拨付，剔除工资性支出及公务费处，主要项目为：意识形态工作经费9万元，县委中心组学习经费8万元，社会主义精神文明建设经费9万元，社科联工作经费5万元，上级新闻媒体对接经费9万元，报刊杂志款、党史学习教育活动经费、庆祝中国共产党100周年群众文化活动及营造氛围宣传经费、党的十九届五中全会精神宣讲等专项费用233.8万元。</w:t>
      </w:r>
    </w:p>
    <w:p>
      <w:pPr>
        <w:keepNext w:val="0"/>
        <w:keepLines w:val="0"/>
        <w:pageBreakBefore w:val="0"/>
        <w:numPr>
          <w:ilvl w:val="0"/>
          <w:numId w:val="0"/>
        </w:numPr>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b/>
          <w:bCs/>
          <w:sz w:val="32"/>
          <w:szCs w:val="32"/>
          <w:lang w:val="en-US" w:eastAsia="zh-CN"/>
        </w:rPr>
        <w:t>225.67</w:t>
      </w:r>
      <w:r>
        <w:rPr>
          <w:rFonts w:hint="eastAsia" w:ascii="仿宋_GB2312" w:hAnsi="仿宋_GB2312" w:eastAsia="仿宋_GB2312" w:cs="仿宋_GB2312"/>
          <w:b/>
          <w:bCs/>
          <w:sz w:val="32"/>
          <w:szCs w:val="32"/>
        </w:rPr>
        <w:t>万元，占</w:t>
      </w:r>
      <w:r>
        <w:rPr>
          <w:rFonts w:hint="eastAsia" w:ascii="仿宋_GB2312" w:hAnsi="仿宋_GB2312" w:eastAsia="仿宋_GB2312" w:cs="仿宋_GB2312"/>
          <w:b/>
          <w:bCs/>
          <w:sz w:val="32"/>
          <w:szCs w:val="32"/>
          <w:lang w:eastAsia="zh-CN"/>
        </w:rPr>
        <w:t>全年</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val="en-US" w:eastAsia="zh-CN"/>
        </w:rPr>
        <w:t>45.18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其中年中预算调整收入支出</w:t>
      </w:r>
      <w:r>
        <w:rPr>
          <w:rFonts w:hint="eastAsia" w:ascii="仿宋_GB2312" w:hAnsi="仿宋_GB2312" w:eastAsia="仿宋_GB2312" w:cs="仿宋_GB2312"/>
          <w:b/>
          <w:bCs/>
          <w:sz w:val="32"/>
          <w:szCs w:val="32"/>
          <w:lang w:val="en-US" w:eastAsia="zh-CN"/>
        </w:rPr>
        <w:t>95.49</w:t>
      </w:r>
      <w:r>
        <w:rPr>
          <w:rFonts w:hint="eastAsia" w:ascii="仿宋_GB2312" w:hAnsi="仿宋_GB2312" w:eastAsia="仿宋_GB2312" w:cs="仿宋_GB2312"/>
          <w:b/>
          <w:bCs/>
          <w:sz w:val="32"/>
          <w:szCs w:val="32"/>
        </w:rPr>
        <w:t>万元。</w:t>
      </w:r>
    </w:p>
    <w:p>
      <w:pPr>
        <w:keepNext w:val="0"/>
        <w:keepLines w:val="0"/>
        <w:pageBreakBefore w:val="0"/>
        <w:numPr>
          <w:ilvl w:val="0"/>
          <w:numId w:val="0"/>
        </w:numPr>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1、工资福利性支出</w:t>
      </w:r>
      <w:r>
        <w:rPr>
          <w:rFonts w:hint="eastAsia" w:ascii="仿宋_GB2312" w:hAnsi="仿宋_GB2312" w:eastAsia="仿宋_GB2312" w:cs="仿宋_GB2312"/>
          <w:sz w:val="32"/>
          <w:szCs w:val="32"/>
          <w:lang w:val="en-US" w:eastAsia="zh-CN"/>
        </w:rPr>
        <w:t>147.59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29.55</w:t>
      </w:r>
      <w:r>
        <w:rPr>
          <w:rFonts w:hint="eastAsia" w:ascii="仿宋_GB2312" w:hAnsi="仿宋_GB2312" w:eastAsia="仿宋_GB2312" w:cs="仿宋_GB2312"/>
          <w:sz w:val="32"/>
          <w:szCs w:val="32"/>
        </w:rPr>
        <w:t>%。其中基本工资</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33.47</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24.24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伙食补助</w:t>
      </w:r>
      <w:r>
        <w:rPr>
          <w:rFonts w:hint="eastAsia" w:ascii="仿宋_GB2312" w:hAnsi="仿宋_GB2312" w:eastAsia="仿宋_GB2312" w:cs="仿宋_GB2312"/>
          <w:sz w:val="32"/>
          <w:szCs w:val="32"/>
          <w:lang w:val="en-US" w:eastAsia="zh-CN"/>
        </w:rPr>
        <w:t>5.83万元，</w:t>
      </w:r>
      <w:r>
        <w:rPr>
          <w:rFonts w:hint="eastAsia" w:ascii="仿宋_GB2312" w:hAnsi="仿宋_GB2312" w:eastAsia="仿宋_GB2312" w:cs="仿宋_GB2312"/>
          <w:sz w:val="32"/>
          <w:szCs w:val="32"/>
        </w:rPr>
        <w:t>基本</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保险缴费</w:t>
      </w:r>
      <w:r>
        <w:rPr>
          <w:rFonts w:hint="eastAsia" w:ascii="仿宋_GB2312" w:hAnsi="仿宋_GB2312" w:eastAsia="仿宋_GB2312" w:cs="仿宋_GB2312"/>
          <w:sz w:val="32"/>
          <w:szCs w:val="32"/>
          <w:lang w:val="en-US" w:eastAsia="zh-CN"/>
        </w:rPr>
        <w:t>21.02万元，职业年金缴费0.23万元，职工</w:t>
      </w:r>
      <w:r>
        <w:rPr>
          <w:rFonts w:hint="eastAsia" w:ascii="仿宋_GB2312" w:hAnsi="仿宋_GB2312" w:eastAsia="仿宋_GB2312" w:cs="仿宋_GB2312"/>
          <w:sz w:val="32"/>
          <w:szCs w:val="32"/>
        </w:rPr>
        <w:t>医疗保险缴</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lang w:val="en-US" w:eastAsia="zh-CN"/>
        </w:rPr>
        <w:t>8.55万元，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4.41</w:t>
      </w:r>
      <w:r>
        <w:rPr>
          <w:rFonts w:hint="eastAsia" w:ascii="仿宋_GB2312" w:hAnsi="仿宋_GB2312" w:eastAsia="仿宋_GB2312" w:cs="仿宋_GB2312"/>
          <w:sz w:val="32"/>
          <w:szCs w:val="32"/>
        </w:rPr>
        <w:t>万元，其他工资福利支出</w:t>
      </w:r>
      <w:r>
        <w:rPr>
          <w:rFonts w:hint="eastAsia" w:ascii="仿宋_GB2312" w:hAnsi="仿宋_GB2312" w:eastAsia="仿宋_GB2312" w:cs="仿宋_GB2312"/>
          <w:sz w:val="32"/>
          <w:szCs w:val="32"/>
          <w:lang w:val="en-US" w:eastAsia="zh-CN"/>
        </w:rPr>
        <w:t>7.35</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2、日常公用经费支出</w:t>
      </w:r>
      <w:r>
        <w:rPr>
          <w:rFonts w:hint="eastAsia" w:ascii="仿宋_GB2312" w:hAnsi="仿宋_GB2312" w:eastAsia="仿宋_GB2312" w:cs="仿宋_GB2312"/>
          <w:sz w:val="32"/>
          <w:szCs w:val="32"/>
          <w:highlight w:val="none"/>
          <w:lang w:val="en-US" w:eastAsia="zh-CN"/>
        </w:rPr>
        <w:t>63.14</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12.24</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lang w:val="en-US" w:eastAsia="zh-CN"/>
        </w:rPr>
        <w:t>7.13</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万元，维修（护）费</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会议费0.15万元，培训费0.5万元，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万元，工会经费</w:t>
      </w:r>
      <w:r>
        <w:rPr>
          <w:rFonts w:hint="eastAsia" w:ascii="仿宋_GB2312" w:hAnsi="仿宋_GB2312" w:eastAsia="仿宋_GB2312" w:cs="仿宋_GB2312"/>
          <w:sz w:val="32"/>
          <w:szCs w:val="32"/>
          <w:lang w:val="en-US" w:eastAsia="zh-CN"/>
        </w:rPr>
        <w:t>25.24</w:t>
      </w:r>
      <w:r>
        <w:rPr>
          <w:rFonts w:hint="eastAsia" w:ascii="仿宋_GB2312" w:hAnsi="仿宋_GB2312" w:eastAsia="仿宋_GB2312" w:cs="仿宋_GB2312"/>
          <w:sz w:val="32"/>
          <w:szCs w:val="32"/>
        </w:rPr>
        <w:t>万元，其他交通费用</w:t>
      </w:r>
      <w:r>
        <w:rPr>
          <w:rFonts w:hint="eastAsia" w:ascii="仿宋_GB2312" w:hAnsi="仿宋_GB2312" w:eastAsia="仿宋_GB2312" w:cs="仿宋_GB2312"/>
          <w:sz w:val="32"/>
          <w:szCs w:val="32"/>
          <w:lang w:val="en-US" w:eastAsia="zh-CN"/>
        </w:rPr>
        <w:t>10.96</w:t>
      </w:r>
      <w:r>
        <w:rPr>
          <w:rFonts w:hint="eastAsia" w:ascii="仿宋_GB2312" w:hAnsi="仿宋_GB2312" w:eastAsia="仿宋_GB2312" w:cs="仿宋_GB2312"/>
          <w:sz w:val="32"/>
          <w:szCs w:val="32"/>
        </w:rPr>
        <w:t>万元，其他商品服务和支出</w:t>
      </w:r>
      <w:r>
        <w:rPr>
          <w:rFonts w:hint="eastAsia" w:ascii="仿宋_GB2312" w:hAnsi="仿宋_GB2312" w:eastAsia="仿宋_GB2312" w:cs="仿宋_GB2312"/>
          <w:sz w:val="32"/>
          <w:szCs w:val="32"/>
          <w:lang w:val="en-US" w:eastAsia="zh-CN"/>
        </w:rPr>
        <w:t>5.52</w:t>
      </w:r>
      <w:r>
        <w:rPr>
          <w:rFonts w:hint="eastAsia" w:ascii="仿宋_GB2312" w:hAnsi="仿宋_GB2312" w:eastAsia="仿宋_GB2312" w:cs="仿宋_GB2312"/>
          <w:sz w:val="32"/>
          <w:szCs w:val="32"/>
        </w:rPr>
        <w:t>元。</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eastAsia="zh-CN"/>
        </w:rPr>
        <w:t>7.52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%。其中抚恤金</w:t>
      </w:r>
      <w:r>
        <w:rPr>
          <w:rFonts w:hint="eastAsia" w:ascii="仿宋_GB2312" w:hAnsi="仿宋_GB2312" w:eastAsia="仿宋_GB2312" w:cs="仿宋_GB2312"/>
          <w:sz w:val="32"/>
          <w:szCs w:val="32"/>
          <w:lang w:val="en-US" w:eastAsia="zh-CN"/>
        </w:rPr>
        <w:t>0.83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生活补助6.59万元，</w:t>
      </w:r>
      <w:r>
        <w:rPr>
          <w:rFonts w:hint="eastAsia" w:ascii="仿宋_GB2312" w:hAnsi="仿宋_GB2312" w:eastAsia="仿宋_GB2312" w:cs="仿宋_GB2312"/>
          <w:sz w:val="32"/>
          <w:szCs w:val="32"/>
        </w:rPr>
        <w:t>奖励金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4、资本性支出6.62万元，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其中办公设备购置6.62万元。</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（二）项目支出为273.80万元，占</w:t>
      </w:r>
      <w:r>
        <w:rPr>
          <w:rFonts w:hint="eastAsia" w:ascii="仿宋_GB2312" w:hAnsi="仿宋_GB2312" w:eastAsia="仿宋_GB2312" w:cs="仿宋_GB2312"/>
          <w:b/>
          <w:bCs/>
          <w:sz w:val="32"/>
          <w:szCs w:val="32"/>
          <w:lang w:eastAsia="zh-CN"/>
        </w:rPr>
        <w:t>全年</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val="en-US" w:eastAsia="zh-CN"/>
        </w:rPr>
        <w:t>54.82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其中年中预算调整收入支出</w:t>
      </w:r>
      <w:r>
        <w:rPr>
          <w:rFonts w:hint="eastAsia" w:ascii="仿宋_GB2312" w:hAnsi="仿宋_GB2312" w:eastAsia="仿宋_GB2312" w:cs="仿宋_GB2312"/>
          <w:b/>
          <w:bCs/>
          <w:sz w:val="32"/>
          <w:szCs w:val="32"/>
          <w:lang w:val="en-US" w:eastAsia="zh-CN"/>
        </w:rPr>
        <w:t>233.8</w:t>
      </w:r>
      <w:r>
        <w:rPr>
          <w:rFonts w:hint="eastAsia" w:ascii="仿宋_GB2312" w:hAnsi="仿宋_GB2312" w:eastAsia="仿宋_GB2312" w:cs="仿宋_GB2312"/>
          <w:b/>
          <w:bCs/>
          <w:sz w:val="32"/>
          <w:szCs w:val="32"/>
        </w:rPr>
        <w:t>万元。</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1.意识形态工作经费支出专项9万元。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印刷费5.31万元，劳务费3.69万元。</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2.县委中心组学习经费支出专项8万元。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印刷费4.61万元，党史学习教育活动经费3.39万元。</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3.社会主义精神文明建设经费支出专项9万元。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3.6万元，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4.5万元。</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4.社科联工作经费支出专项5万元。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1.84万元、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5.上级新闻媒体对接经费支出专项9万元。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公务接待费3.77万元，</w:t>
      </w:r>
      <w:r>
        <w:rPr>
          <w:rFonts w:hint="eastAsia" w:ascii="仿宋_GB2312" w:hAnsi="仿宋_GB2312" w:eastAsia="仿宋_GB2312" w:cs="仿宋_GB2312"/>
          <w:sz w:val="32"/>
          <w:szCs w:val="32"/>
          <w:lang w:val="en-US" w:eastAsia="zh-CN"/>
        </w:rPr>
        <w:t>印刷费</w:t>
      </w:r>
      <w:r>
        <w:rPr>
          <w:rFonts w:hint="eastAsia" w:ascii="仿宋_GB2312" w:hAnsi="仿宋_GB2312" w:eastAsia="仿宋_GB2312" w:cs="仿宋_GB2312"/>
          <w:sz w:val="32"/>
          <w:szCs w:val="32"/>
        </w:rPr>
        <w:t>5.23万元。</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专项费用233.80万元。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印刷费32.09万元，其他交通费用0.68万元，会议费1.17万元，差旅费0.90万元，办公费4.26万元，专用材料1.94万元，劳务费9.36万元，委托业务费39.19万元，培训费0.05万元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其他商品和服务支出费144.16万元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主要为</w:t>
      </w:r>
      <w:r>
        <w:rPr>
          <w:rFonts w:hint="eastAsia" w:ascii="仿宋_GB2312" w:hAnsi="仿宋_GB2312" w:eastAsia="仿宋_GB2312" w:cs="仿宋_GB2312"/>
          <w:sz w:val="32"/>
          <w:szCs w:val="32"/>
        </w:rPr>
        <w:t>上级报刊杂志款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党的十九届五中全会精神宣讲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庆祝中国共产党100周年群众文化活动及营造氛围宣传经费等。</w:t>
      </w:r>
    </w:p>
    <w:p>
      <w:pPr>
        <w:pStyle w:val="2"/>
        <w:rPr>
          <w:rFonts w:hint="eastAsia"/>
          <w:lang w:val="en-US" w:eastAsia="zh-CN"/>
        </w:rPr>
      </w:pPr>
    </w:p>
    <w:p>
      <w:pPr>
        <w:keepNext w:val="0"/>
        <w:keepLines w:val="0"/>
        <w:pageBreakBefore w:val="0"/>
        <w:widowControl w:val="0"/>
        <w:kinsoku/>
        <w:wordWrap/>
        <w:overflowPunct/>
        <w:topLinePunct w:val="0"/>
        <w:autoSpaceDE/>
        <w:bidi w:val="0"/>
        <w:adjustRightInd/>
        <w:snapToGrid/>
        <w:spacing w:beforeLines="0" w:afterLines="0"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“三公”经费控制情况：</w:t>
      </w:r>
      <w:r>
        <w:rPr>
          <w:rFonts w:hint="eastAsia" w:ascii="仿宋_GB2312" w:hAnsi="仿宋_GB2312" w:eastAsia="仿宋_GB2312" w:cs="仿宋_GB2312"/>
          <w:snapToGrid/>
          <w:kern w:val="2"/>
          <w:sz w:val="32"/>
          <w:szCs w:val="24"/>
          <w:lang w:val="en-US" w:eastAsia="zh-CN" w:bidi="zh-CN"/>
        </w:rPr>
        <w:t>没有因公出国（境）人员，公务接待费占年初预算安排数44.75%，年初预算数6.3万元，支出</w:t>
      </w:r>
      <w:r>
        <w:rPr>
          <w:rFonts w:hint="eastAsia" w:ascii="仿宋_GB2312" w:hAnsi="仿宋_GB2312" w:eastAsia="仿宋_GB2312" w:cs="仿宋_GB2312"/>
          <w:sz w:val="32"/>
          <w:szCs w:val="24"/>
        </w:rPr>
        <w:t>5.37万</w:t>
      </w:r>
      <w:r>
        <w:rPr>
          <w:rFonts w:hint="eastAsia" w:ascii="仿宋_GB2312" w:hAnsi="仿宋_GB2312" w:eastAsia="仿宋_GB2312" w:cs="仿宋_GB2312"/>
          <w:snapToGrid/>
          <w:kern w:val="2"/>
          <w:sz w:val="32"/>
          <w:szCs w:val="24"/>
          <w:lang w:val="en-US" w:eastAsia="zh-CN" w:bidi="zh-CN"/>
        </w:rPr>
        <w:t>元，公务用车购置及运行维护费占年初预算安排数0%，年初预算数5.7万元，支出0万元，有效的控制了“三公经费”的支出。</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政府采购方面：</w:t>
      </w:r>
      <w:r>
        <w:rPr>
          <w:rFonts w:hint="eastAsia" w:ascii="仿宋_GB2312" w:hAnsi="仿宋_GB2312" w:eastAsia="仿宋_GB2312" w:cs="仿宋_GB2312"/>
          <w:snapToGrid/>
          <w:kern w:val="2"/>
          <w:sz w:val="32"/>
          <w:szCs w:val="24"/>
          <w:lang w:val="en-US" w:eastAsia="zh-CN" w:bidi="zh-CN"/>
        </w:rPr>
        <w:t>全年通过政府采购支出0万元。</w:t>
      </w:r>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财务管理方面：</w:t>
      </w:r>
      <w:r>
        <w:rPr>
          <w:rFonts w:hint="eastAsia" w:ascii="仿宋_GB2312" w:hAnsi="仿宋_GB2312" w:eastAsia="仿宋_GB2312" w:cs="仿宋_GB2312"/>
          <w:snapToGrid/>
          <w:kern w:val="2"/>
          <w:sz w:val="32"/>
          <w:szCs w:val="24"/>
          <w:lang w:val="en-US" w:eastAsia="zh-CN" w:bidi="zh-CN"/>
        </w:rPr>
        <w:t>中共会同县委宣传部单位认真履行部门“三定”方案确定的职责。没有存在截留、挤占、挪用、虚列支出等情况；基础数据信息和会计信息资料真实、完整、准确。并按规定内容公开预、决算信息。对有关财务方面文件及时掌握，对财务管理进行规范化，同财政部门及时沟通学习，积极进行财政部门组织的决算、编报、审核等方面工作按时按成，认真如实填报。对有关财务方面文件及时掌握，我单位在以下方面进行了严格的管理：1、加强预算和专户管理。根据县财政局部门预算编制的相关要求，结合本单位事业任务和服务规模，在保工资、保运转和宣传事业发展的基础上，科学地做好2021年部门预算编报工作。预算执行时，坚持分月编制资金使用计划，确保资金支出不突破预算。2、规范财务管理。一是认真做好了会计核算工作，完成了日常财务报销、工资以及各项费用的支出。二是认真执行《会计法》《预算法》，进一步加强了对财务人员财务基础工作的指导，规范了记账凭证的编制，严格了原始凭证的审核，强化了会计档案的管理等。三是加强内、外部的沟通。进一步协调了和财政、审计、税务等业务部门的关系。四是合理调度资金，保证了单位事业发展的需要。3.加强管理厉行节支。结合我单位实际情况，完善了接待、出差、会议、培训等制度和审批程序，规范了公务支出行为。</w:t>
      </w:r>
    </w:p>
    <w:p>
      <w:pPr>
        <w:keepNext w:val="0"/>
        <w:keepLines w:val="0"/>
        <w:pageBreakBefore w:val="0"/>
        <w:numPr>
          <w:ilvl w:val="0"/>
          <w:numId w:val="3"/>
        </w:numPr>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b/>
          <w:bCs/>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单位工作目标履职情况</w:t>
      </w:r>
    </w:p>
    <w:p>
      <w:pPr>
        <w:pStyle w:val="7"/>
        <w:keepNext w:val="0"/>
        <w:keepLines w:val="0"/>
        <w:pageBreakBefore w:val="0"/>
        <w:kinsoku/>
        <w:wordWrap/>
        <w:overflowPunct/>
        <w:topLinePunct w:val="0"/>
        <w:autoSpaceDE/>
        <w:bidi w:val="0"/>
        <w:adjustRightInd/>
        <w:snapToGrid/>
        <w:spacing w:before="0" w:beforeAutospacing="0" w:after="0" w:afterAutospacing="0" w:line="240" w:lineRule="auto"/>
        <w:ind w:firstLine="48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由于年初预算安排及有目的进行了预算调整，有效的保障了各项业务工作顺利开展，反映良好，主要表现在：</w:t>
      </w:r>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1、抓好新闻舆论，全面举旗鼓劲讲好“会同故事”。内宣有成效。发挥主流媒体优势，各平台先后开辟了“奋斗百年路启航新征程”“我为群众办实事”“深入学习贯彻党的十九届六中全会精神”等专题专栏，共编审刊播各类新闻作品1万余件；制作推广抖音短视频220余条，点赞量16.6万。开展大型网络直播4场，直播间观众人数达30余万人。外宣有突破。在央视、新华社等央媒发稿10余条，在湖南日报、湖南卫视、湖南“学习强国”平台等省级媒体发稿60余条，在怀化日报、怀化电视台等市级媒体发稿300余条。《六中全会精神在基层牛铃奏响边界和谐音》《“暖薪”！包工头拖欠农民工血汗钱7年湖南会同多部门联合追回》《一所山区小学的“双减”秘诀》《这群“斜杠”教师给山里少年N+1种可能》《你好，“双减”！》等关于会同县落实六中全会精神和教育“双减”政策的六篇新闻报道先后在《新华每日电讯》、新华社客户端、央视新闻客户端等连续刊载，人民网、新华网等权威媒体纷纷转载；“堡子月饼”三天内在央视《晚间新闻》《新闻直播间》等五档新闻栏目播出七次，网络点击浏览量破1亿；保障务工人员返岗复工稿件登上CCTV-13新闻直播间；国防教育进校园增强学生爱国意识好做法在CCTV-7军事频道播出；《浓墨重彩，绘就“幸福会同”—会同县持续改善民生福祉走笔》以专版的形式，在《湖南日报》上发表；老旧小区改造成效、“学位”“厕位”建设、“四好农村公路”建设、易地扶贫搬迁安置后续帮扶、根治欠薪问题等经验做法得到湖南日报宣传推介和怀化日报头版（专版）刊发。主题宣传有保障。先后推出《会同这些年》《党代表风采》《代表委员风采》《聚焦“两会”》等系列报道；精心制作了《回顾五年奋进路步履铿锵踏歌行》《粟裕将军故乡的憧憬》等专题片和《味道湖南会同味道》系列短视频。</w:t>
      </w:r>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2、抓好精神文明创建，全面培育社会主义核心价值观。出台《会同县加强新时代公民道德建设工作方案》《会同县加强爱国主义教育工作方案》，加强公民道德建设和爱国主义教育。围绕建党100周年，开展“扣好人生第一粒扣子·传承红色基因”主题教育实践和“新时代好少年”学习宣传。开展“道德模范”“身边好人”等评议推荐活动，乡村教师胡勇入选“中国好人榜”，“全国脱贫攻坚先进个人”龙秋香入选怀化市第六届敬业奉献模范候选人名单。推进全域文明城市创建，结合卫生城市、老旧小区改造、清廉会同建设、人居环境整治等重点工作，修订文明单位、村镇、校园考核体系，启动县级文明社区（小区）创建，进一步深化群众性精神文明创建活动。推进新时代文明实践中心建设，完善12支专业志愿服务队，开展微宣讲、志愿服务活动400余场；在小区、火车站、汽车站等公共场所设置“书香驿站”7个。开展农村人居环境整治，通过月度竞赛活动、暗查暗访、拍摄专题片等方式，着力提升城乡环境卫生。</w:t>
      </w:r>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3、抓好群众文艺文化，全面践行为民惠民宗旨意识。以庆祝中国共产党成立100周年为主题，举办“我们的中国梦·文化惠民·戏曲进万村”文艺演出活动，举办大型美术书法摄影剪纸展，展出作品400余幅。开展“文化科技卫生三下乡”“送电影下乡”活动，累计服务群众10万余人次。积极推进全域旅游，挖掘本地“红色、绿色、古色”特色文化资源，粟裕故里景区升级为国家4A级景区。成功举办会同县第二届桃花文化旅游节及高椅古村第三届“黑饭节”暨民俗非遗文化旅游活动。</w:t>
      </w:r>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4、抓好党史学习教育，唱响中国共产党好的主旋律。开辟“奋斗百年路启航新征程”、“我为群众办实事”等5个专题专栏，进行新闻转载、报道750余次，推进党史学习教育“七个一”特色工作的经验文章《守正创新“声”“色”俱佳》在《湖南宣传》上发表。开展各类党史宣讲4000多场，受听群众7万余人次。开展党史知识竞赛、群众合唱等30余项群众性文化活动，原创小品《战神少年梦》荣获2021年怀化市首届艺术节群众文化优秀作品展演（小戏小品专场）金奖。联合驻地部队打造的大型舞台情景剧《战神粟裕》，在县“两会”期间演出，获良好反响。全县基层党组织认领办结“我为群众办实事”1000余件，全县党员认领办结15000余件。积极发挥粟裕故居和纪念馆作为党和国家红色基因库的功能作用，结合党史学习教育，将宣讲粟裕大将故事，弘扬革命先辈光荣传统作为师生开学“第一课”、新兵入伍“第一课”、创业培训“第一课”、村支书履职“第一课”。今年以来，粟裕故居和纪念馆共接待游客103万人次，其中学生26.2万人，开展党史学习教育团体24.6万人，宣讲红色故事180场次。2021年6月，粟裕故居被中宣部命名为“全国爱国主义教育示范基地”；12月24日，举行授牌仪式。</w:t>
      </w:r>
    </w:p>
    <w:p>
      <w:pPr>
        <w:keepNext w:val="0"/>
        <w:keepLines w:val="0"/>
        <w:pageBreakBefore w:val="0"/>
        <w:widowControl/>
        <w:kinsoku/>
        <w:wordWrap/>
        <w:overflowPunct/>
        <w:topLinePunct w:val="0"/>
        <w:autoSpaceDE/>
        <w:bidi w:val="0"/>
        <w:adjustRightInd/>
        <w:snapToGrid/>
        <w:spacing w:line="240" w:lineRule="auto"/>
        <w:ind w:firstLine="473" w:firstLineChars="148"/>
        <w:jc w:val="left"/>
        <w:textAlignment w:val="auto"/>
        <w:rPr>
          <w:rFonts w:hint="eastAsia" w:ascii="仿宋_GB2312" w:hAnsi="仿宋_GB2312" w:eastAsia="仿宋_GB2312" w:cs="仿宋_GB2312"/>
          <w:b/>
          <w:bCs/>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六、单位履职效益</w:t>
      </w:r>
    </w:p>
    <w:p>
      <w:pPr>
        <w:keepNext w:val="0"/>
        <w:keepLines w:val="0"/>
        <w:pageBreakBefore w:val="0"/>
        <w:widowControl/>
        <w:numPr>
          <w:ilvl w:val="0"/>
          <w:numId w:val="4"/>
        </w:numPr>
        <w:tabs>
          <w:tab w:val="left" w:pos="5625"/>
        </w:tabs>
        <w:kinsoku/>
        <w:wordWrap/>
        <w:overflowPunct/>
        <w:topLinePunct w:val="0"/>
        <w:autoSpaceDE/>
        <w:bidi w:val="0"/>
        <w:adjustRightInd/>
        <w:snapToGrid/>
        <w:spacing w:line="240" w:lineRule="auto"/>
        <w:ind w:left="0" w:leftChars="0" w:firstLine="640" w:firstLineChars="200"/>
        <w:jc w:val="left"/>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社会效益方面：提升理论研究水平，提高干部群众运用科学理论解决实际问题能力，增强广大干部群众理论自信、道路自信、制度自信，巩固全县人民团结奋斗共同思想基础。</w:t>
      </w:r>
    </w:p>
    <w:p>
      <w:pPr>
        <w:keepNext w:val="0"/>
        <w:keepLines w:val="0"/>
        <w:pageBreakBefore w:val="0"/>
        <w:widowControl/>
        <w:numPr>
          <w:ilvl w:val="0"/>
          <w:numId w:val="4"/>
        </w:numPr>
        <w:tabs>
          <w:tab w:val="left" w:pos="5625"/>
        </w:tabs>
        <w:kinsoku/>
        <w:wordWrap/>
        <w:overflowPunct/>
        <w:topLinePunct w:val="0"/>
        <w:autoSpaceDE/>
        <w:bidi w:val="0"/>
        <w:adjustRightInd/>
        <w:snapToGrid/>
        <w:spacing w:line="240" w:lineRule="auto"/>
        <w:ind w:left="0" w:leftChars="0" w:firstLine="640" w:firstLineChars="200"/>
        <w:jc w:val="left"/>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可持续影响方面：为经济社会发展提供有力的思想保证、精神动力、舆论支持</w:t>
      </w:r>
    </w:p>
    <w:p>
      <w:pPr>
        <w:keepNext w:val="0"/>
        <w:keepLines w:val="0"/>
        <w:pageBreakBefore w:val="0"/>
        <w:widowControl/>
        <w:numPr>
          <w:ilvl w:val="0"/>
          <w:numId w:val="4"/>
        </w:numPr>
        <w:tabs>
          <w:tab w:val="left" w:pos="5625"/>
        </w:tabs>
        <w:kinsoku/>
        <w:wordWrap/>
        <w:overflowPunct/>
        <w:topLinePunct w:val="0"/>
        <w:autoSpaceDE/>
        <w:bidi w:val="0"/>
        <w:adjustRightInd/>
        <w:snapToGrid/>
        <w:spacing w:line="240" w:lineRule="auto"/>
        <w:ind w:left="0" w:leftChars="0" w:firstLine="640" w:firstLineChars="200"/>
        <w:jc w:val="left"/>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公众满意度方面：提升社会群众满意度，提升服务质量及干部职工素质，满意度90%。</w:t>
      </w:r>
    </w:p>
    <w:p>
      <w:pPr>
        <w:keepNext w:val="0"/>
        <w:keepLines w:val="0"/>
        <w:pageBreakBefore w:val="0"/>
        <w:widowControl/>
        <w:numPr>
          <w:ilvl w:val="0"/>
          <w:numId w:val="0"/>
        </w:numPr>
        <w:tabs>
          <w:tab w:val="left" w:pos="5625"/>
        </w:tabs>
        <w:kinsoku/>
        <w:wordWrap/>
        <w:overflowPunct/>
        <w:topLinePunct w:val="0"/>
        <w:autoSpaceDE/>
        <w:bidi w:val="0"/>
        <w:adjustRightInd/>
        <w:snapToGrid/>
        <w:spacing w:line="240" w:lineRule="auto"/>
        <w:ind w:leftChars="200"/>
        <w:jc w:val="left"/>
        <w:textAlignment w:val="auto"/>
        <w:rPr>
          <w:rFonts w:hint="eastAsia" w:ascii="仿宋_GB2312" w:hAnsi="仿宋_GB2312" w:eastAsia="仿宋_GB2312" w:cs="仿宋_GB2312"/>
          <w:b/>
          <w:bCs/>
          <w:snapToGrid/>
          <w:kern w:val="2"/>
          <w:sz w:val="32"/>
          <w:szCs w:val="24"/>
          <w:lang w:val="en-US" w:eastAsia="zh-CN" w:bidi="zh-CN"/>
        </w:rPr>
      </w:pPr>
      <w:r>
        <w:rPr>
          <w:rFonts w:hint="eastAsia" w:ascii="仿宋_GB2312" w:hAnsi="仿宋_GB2312" w:eastAsia="仿宋_GB2312" w:cs="仿宋_GB2312"/>
          <w:b/>
          <w:bCs/>
          <w:snapToGrid/>
          <w:kern w:val="2"/>
          <w:sz w:val="32"/>
          <w:szCs w:val="24"/>
          <w:lang w:val="en-US" w:eastAsia="zh-CN" w:bidi="zh-CN"/>
        </w:rPr>
        <w:t>七、绩效自评结论</w:t>
      </w:r>
    </w:p>
    <w:p>
      <w:pPr>
        <w:keepNext w:val="0"/>
        <w:keepLines w:val="0"/>
        <w:pageBreakBefore w:val="0"/>
        <w:widowControl/>
        <w:numPr>
          <w:ilvl w:val="0"/>
          <w:numId w:val="0"/>
        </w:numPr>
        <w:tabs>
          <w:tab w:val="left" w:pos="5625"/>
        </w:tabs>
        <w:kinsoku/>
        <w:wordWrap/>
        <w:overflowPunct/>
        <w:topLinePunct w:val="0"/>
        <w:autoSpaceDE/>
        <w:bidi w:val="0"/>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24"/>
          <w:lang w:val="en-US" w:eastAsia="zh-CN" w:bidi="zh-CN"/>
        </w:rPr>
      </w:pPr>
      <w:r>
        <w:rPr>
          <w:rFonts w:hint="eastAsia" w:ascii="仿宋_GB2312" w:hAnsi="仿宋_GB2312" w:eastAsia="仿宋_GB2312" w:cs="仿宋_GB2312"/>
          <w:snapToGrid/>
          <w:kern w:val="2"/>
          <w:sz w:val="32"/>
          <w:szCs w:val="24"/>
          <w:lang w:val="en-US" w:eastAsia="zh-CN" w:bidi="zh-CN"/>
        </w:rPr>
        <w:t>经自评，2021年度我单位部门整体支出绩效评价结论为“优”，自查评分为</w:t>
      </w:r>
      <w:r>
        <w:rPr>
          <w:rFonts w:hint="eastAsia" w:ascii="仿宋_GB2312" w:hAnsi="仿宋_GB2312" w:eastAsia="仿宋_GB2312" w:cs="仿宋_GB2312"/>
          <w:snapToGrid/>
          <w:kern w:val="2"/>
          <w:sz w:val="32"/>
          <w:szCs w:val="24"/>
          <w:highlight w:val="none"/>
          <w:lang w:val="en-US" w:eastAsia="zh-CN" w:bidi="zh-CN"/>
        </w:rPr>
        <w:t>93.5分。</w:t>
      </w:r>
    </w:p>
    <w:p>
      <w:pPr>
        <w:keepNext w:val="0"/>
        <w:keepLines w:val="0"/>
        <w:pageBreakBefore w:val="0"/>
        <w:widowControl/>
        <w:numPr>
          <w:ilvl w:val="0"/>
          <w:numId w:val="0"/>
        </w:numPr>
        <w:tabs>
          <w:tab w:val="left" w:pos="5625"/>
        </w:tabs>
        <w:kinsoku/>
        <w:wordWrap/>
        <w:overflowPunct/>
        <w:topLinePunct w:val="0"/>
        <w:autoSpaceDE/>
        <w:bidi w:val="0"/>
        <w:adjustRightInd/>
        <w:snapToGrid/>
        <w:spacing w:line="240" w:lineRule="auto"/>
        <w:jc w:val="left"/>
        <w:textAlignment w:val="auto"/>
        <w:rPr>
          <w:rFonts w:hint="eastAsia" w:ascii="仿宋_GB2312" w:hAnsi="仿宋_GB2312" w:eastAsia="仿宋_GB2312" w:cs="仿宋_GB2312"/>
          <w:color w:val="343233"/>
          <w:kern w:val="0"/>
          <w:sz w:val="32"/>
          <w:szCs w:val="32"/>
          <w:lang w:eastAsia="zh-CN"/>
        </w:rPr>
      </w:pPr>
    </w:p>
    <w:p>
      <w:pPr>
        <w:ind w:firstLine="640" w:firstLineChars="200"/>
        <w:jc w:val="left"/>
        <w:rPr>
          <w:rFonts w:ascii="宋体" w:cs="黑体"/>
          <w:color w:val="000000"/>
          <w:kern w:val="0"/>
          <w:sz w:val="32"/>
          <w:szCs w:val="32"/>
        </w:rPr>
      </w:pPr>
    </w:p>
    <w:sectPr>
      <w:pgSz w:w="11906" w:h="16838"/>
      <w:pgMar w:top="1618" w:right="720" w:bottom="136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ngXian Wester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A0B86"/>
    <w:multiLevelType w:val="singleLevel"/>
    <w:tmpl w:val="EEDA0B86"/>
    <w:lvl w:ilvl="0" w:tentative="0">
      <w:start w:val="5"/>
      <w:numFmt w:val="chineseCounting"/>
      <w:suff w:val="space"/>
      <w:lvlText w:val="%1、"/>
      <w:lvlJc w:val="left"/>
      <w:rPr>
        <w:rFonts w:hint="eastAsia"/>
      </w:rPr>
    </w:lvl>
  </w:abstractNum>
  <w:abstractNum w:abstractNumId="1">
    <w:nsid w:val="372677C0"/>
    <w:multiLevelType w:val="singleLevel"/>
    <w:tmpl w:val="372677C0"/>
    <w:lvl w:ilvl="0" w:tentative="0">
      <w:start w:val="3"/>
      <w:numFmt w:val="decimal"/>
      <w:suff w:val="nothing"/>
      <w:lvlText w:val="（%1）"/>
      <w:lvlJc w:val="left"/>
      <w:rPr>
        <w:rFonts w:cs="Times New Roman"/>
      </w:rPr>
    </w:lvl>
  </w:abstractNum>
  <w:abstractNum w:abstractNumId="2">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275F8F6"/>
    <w:multiLevelType w:val="singleLevel"/>
    <w:tmpl w:val="7275F8F6"/>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ZWQ5YzA0NDZhYzUwZTVmNWYyODI1OWNiMGIzYmMifQ=="/>
  </w:docVars>
  <w:rsids>
    <w:rsidRoot w:val="004506F9"/>
    <w:rsid w:val="0002229B"/>
    <w:rsid w:val="000273BD"/>
    <w:rsid w:val="000415B7"/>
    <w:rsid w:val="00041E3F"/>
    <w:rsid w:val="00043144"/>
    <w:rsid w:val="000470F0"/>
    <w:rsid w:val="00055DAA"/>
    <w:rsid w:val="00061F7B"/>
    <w:rsid w:val="00064AF7"/>
    <w:rsid w:val="000658A3"/>
    <w:rsid w:val="00074155"/>
    <w:rsid w:val="000873EF"/>
    <w:rsid w:val="000A3F69"/>
    <w:rsid w:val="000C095D"/>
    <w:rsid w:val="000C201E"/>
    <w:rsid w:val="000D4500"/>
    <w:rsid w:val="00101B6E"/>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1D52"/>
    <w:rsid w:val="00264552"/>
    <w:rsid w:val="00264EF9"/>
    <w:rsid w:val="00265724"/>
    <w:rsid w:val="0027426B"/>
    <w:rsid w:val="002E0A30"/>
    <w:rsid w:val="003130C4"/>
    <w:rsid w:val="00316C4B"/>
    <w:rsid w:val="0032192B"/>
    <w:rsid w:val="003409BB"/>
    <w:rsid w:val="003479BD"/>
    <w:rsid w:val="0037197D"/>
    <w:rsid w:val="00375DDC"/>
    <w:rsid w:val="00376751"/>
    <w:rsid w:val="003768D5"/>
    <w:rsid w:val="003C4197"/>
    <w:rsid w:val="003C47E6"/>
    <w:rsid w:val="003C4FC2"/>
    <w:rsid w:val="003E2331"/>
    <w:rsid w:val="00415AB4"/>
    <w:rsid w:val="00416E61"/>
    <w:rsid w:val="00424C94"/>
    <w:rsid w:val="0042790C"/>
    <w:rsid w:val="004506F9"/>
    <w:rsid w:val="004717A2"/>
    <w:rsid w:val="00473DF3"/>
    <w:rsid w:val="00487911"/>
    <w:rsid w:val="00491741"/>
    <w:rsid w:val="004B0CEE"/>
    <w:rsid w:val="004B1FDE"/>
    <w:rsid w:val="004D7768"/>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45D80"/>
    <w:rsid w:val="00651EEC"/>
    <w:rsid w:val="00661846"/>
    <w:rsid w:val="00686673"/>
    <w:rsid w:val="00691E8C"/>
    <w:rsid w:val="006A22C4"/>
    <w:rsid w:val="006A348B"/>
    <w:rsid w:val="006A351B"/>
    <w:rsid w:val="006A4355"/>
    <w:rsid w:val="006B0422"/>
    <w:rsid w:val="006C1B53"/>
    <w:rsid w:val="006D7730"/>
    <w:rsid w:val="006E296E"/>
    <w:rsid w:val="006E5284"/>
    <w:rsid w:val="006F3EB5"/>
    <w:rsid w:val="00702E34"/>
    <w:rsid w:val="00704395"/>
    <w:rsid w:val="00710FE7"/>
    <w:rsid w:val="00713D8A"/>
    <w:rsid w:val="00717621"/>
    <w:rsid w:val="00720FF1"/>
    <w:rsid w:val="00727A53"/>
    <w:rsid w:val="007412B6"/>
    <w:rsid w:val="007453A1"/>
    <w:rsid w:val="00787B42"/>
    <w:rsid w:val="007C4539"/>
    <w:rsid w:val="007F3657"/>
    <w:rsid w:val="00812ED5"/>
    <w:rsid w:val="00820B48"/>
    <w:rsid w:val="008277D9"/>
    <w:rsid w:val="0084478C"/>
    <w:rsid w:val="0086638C"/>
    <w:rsid w:val="008A3E8D"/>
    <w:rsid w:val="009237C4"/>
    <w:rsid w:val="00944C48"/>
    <w:rsid w:val="00950252"/>
    <w:rsid w:val="00967F5D"/>
    <w:rsid w:val="00975D41"/>
    <w:rsid w:val="009A0F95"/>
    <w:rsid w:val="009B3ADF"/>
    <w:rsid w:val="009B62B2"/>
    <w:rsid w:val="009C3B52"/>
    <w:rsid w:val="009E6817"/>
    <w:rsid w:val="009E6E9A"/>
    <w:rsid w:val="00A01D2B"/>
    <w:rsid w:val="00A42218"/>
    <w:rsid w:val="00A527D8"/>
    <w:rsid w:val="00A70249"/>
    <w:rsid w:val="00A70B02"/>
    <w:rsid w:val="00A71D9F"/>
    <w:rsid w:val="00A92E9F"/>
    <w:rsid w:val="00B33BEA"/>
    <w:rsid w:val="00B57C9F"/>
    <w:rsid w:val="00B63572"/>
    <w:rsid w:val="00B7147A"/>
    <w:rsid w:val="00B845B3"/>
    <w:rsid w:val="00B85CB5"/>
    <w:rsid w:val="00B85D8B"/>
    <w:rsid w:val="00B957D4"/>
    <w:rsid w:val="00BB4A40"/>
    <w:rsid w:val="00BD6C3E"/>
    <w:rsid w:val="00BE3674"/>
    <w:rsid w:val="00C10681"/>
    <w:rsid w:val="00C3049A"/>
    <w:rsid w:val="00C31B1E"/>
    <w:rsid w:val="00C73190"/>
    <w:rsid w:val="00C77645"/>
    <w:rsid w:val="00CD576B"/>
    <w:rsid w:val="00CE04C3"/>
    <w:rsid w:val="00CE0C2D"/>
    <w:rsid w:val="00CE2FE7"/>
    <w:rsid w:val="00CE76A0"/>
    <w:rsid w:val="00D01F85"/>
    <w:rsid w:val="00D148C6"/>
    <w:rsid w:val="00D17A8A"/>
    <w:rsid w:val="00D2143C"/>
    <w:rsid w:val="00D415BA"/>
    <w:rsid w:val="00D63780"/>
    <w:rsid w:val="00D644EE"/>
    <w:rsid w:val="00D75489"/>
    <w:rsid w:val="00DD06FF"/>
    <w:rsid w:val="00DD5FE9"/>
    <w:rsid w:val="00DF185C"/>
    <w:rsid w:val="00DF4B04"/>
    <w:rsid w:val="00E00C7A"/>
    <w:rsid w:val="00E209CF"/>
    <w:rsid w:val="00E37D6C"/>
    <w:rsid w:val="00E55B68"/>
    <w:rsid w:val="00E6244A"/>
    <w:rsid w:val="00E67BE6"/>
    <w:rsid w:val="00E80F31"/>
    <w:rsid w:val="00E8683C"/>
    <w:rsid w:val="00EA2B72"/>
    <w:rsid w:val="00EC1C42"/>
    <w:rsid w:val="00F35DC2"/>
    <w:rsid w:val="00F74360"/>
    <w:rsid w:val="00FB462F"/>
    <w:rsid w:val="00FE16FA"/>
    <w:rsid w:val="00FE328A"/>
    <w:rsid w:val="00FE6269"/>
    <w:rsid w:val="00FF5CD6"/>
    <w:rsid w:val="030179DA"/>
    <w:rsid w:val="044B0E13"/>
    <w:rsid w:val="06E770E0"/>
    <w:rsid w:val="076C5BAF"/>
    <w:rsid w:val="07896B8C"/>
    <w:rsid w:val="0A970EF9"/>
    <w:rsid w:val="0B326E84"/>
    <w:rsid w:val="0B5F7EDA"/>
    <w:rsid w:val="0B681AA1"/>
    <w:rsid w:val="0C2F31A4"/>
    <w:rsid w:val="0C884593"/>
    <w:rsid w:val="0CE57788"/>
    <w:rsid w:val="0F287EE6"/>
    <w:rsid w:val="139C2061"/>
    <w:rsid w:val="147128B8"/>
    <w:rsid w:val="1473060D"/>
    <w:rsid w:val="16C14718"/>
    <w:rsid w:val="170033E8"/>
    <w:rsid w:val="1736468F"/>
    <w:rsid w:val="18CA0C8D"/>
    <w:rsid w:val="1A2F0D50"/>
    <w:rsid w:val="1BB16BE7"/>
    <w:rsid w:val="1BE453BE"/>
    <w:rsid w:val="1C0E1D26"/>
    <w:rsid w:val="1C173B88"/>
    <w:rsid w:val="1CF64321"/>
    <w:rsid w:val="1D797A4B"/>
    <w:rsid w:val="1DBB7F04"/>
    <w:rsid w:val="1DED42B6"/>
    <w:rsid w:val="1FF73DCF"/>
    <w:rsid w:val="202C550F"/>
    <w:rsid w:val="209B5D54"/>
    <w:rsid w:val="220E2F56"/>
    <w:rsid w:val="22EE65E3"/>
    <w:rsid w:val="247A1A75"/>
    <w:rsid w:val="24F33FDE"/>
    <w:rsid w:val="252C3A8C"/>
    <w:rsid w:val="259B2558"/>
    <w:rsid w:val="276D5CEC"/>
    <w:rsid w:val="27E32278"/>
    <w:rsid w:val="29F040E3"/>
    <w:rsid w:val="2B535A4B"/>
    <w:rsid w:val="2C3121CC"/>
    <w:rsid w:val="2D193F26"/>
    <w:rsid w:val="2D6163A1"/>
    <w:rsid w:val="2DBD77FC"/>
    <w:rsid w:val="30A747F3"/>
    <w:rsid w:val="31A31492"/>
    <w:rsid w:val="33850149"/>
    <w:rsid w:val="347052E9"/>
    <w:rsid w:val="35120873"/>
    <w:rsid w:val="35726CBD"/>
    <w:rsid w:val="358B570B"/>
    <w:rsid w:val="35F34154"/>
    <w:rsid w:val="38EF68A1"/>
    <w:rsid w:val="3DBE4B6D"/>
    <w:rsid w:val="3E2B5313"/>
    <w:rsid w:val="3FDF4A3C"/>
    <w:rsid w:val="40134EA7"/>
    <w:rsid w:val="40503BAB"/>
    <w:rsid w:val="43094BD8"/>
    <w:rsid w:val="437C2638"/>
    <w:rsid w:val="43F046E1"/>
    <w:rsid w:val="45E20F6E"/>
    <w:rsid w:val="4600548B"/>
    <w:rsid w:val="466977A5"/>
    <w:rsid w:val="46A53C2E"/>
    <w:rsid w:val="47D03D55"/>
    <w:rsid w:val="48645A8C"/>
    <w:rsid w:val="49C67FCA"/>
    <w:rsid w:val="51DD6864"/>
    <w:rsid w:val="52194801"/>
    <w:rsid w:val="53AA205B"/>
    <w:rsid w:val="5406268D"/>
    <w:rsid w:val="552719FA"/>
    <w:rsid w:val="55CE34F2"/>
    <w:rsid w:val="55D67233"/>
    <w:rsid w:val="5720735F"/>
    <w:rsid w:val="58100933"/>
    <w:rsid w:val="5AE2375A"/>
    <w:rsid w:val="5B5F453F"/>
    <w:rsid w:val="5CF6172D"/>
    <w:rsid w:val="5DBE7013"/>
    <w:rsid w:val="5DEF522C"/>
    <w:rsid w:val="5E0D7A68"/>
    <w:rsid w:val="5E4C6B63"/>
    <w:rsid w:val="609357C0"/>
    <w:rsid w:val="61335F33"/>
    <w:rsid w:val="617A4592"/>
    <w:rsid w:val="623F1617"/>
    <w:rsid w:val="64AA3E3C"/>
    <w:rsid w:val="6A120861"/>
    <w:rsid w:val="6A3F0082"/>
    <w:rsid w:val="6DBB7F45"/>
    <w:rsid w:val="71D02DCC"/>
    <w:rsid w:val="7259600B"/>
    <w:rsid w:val="73A13A2B"/>
    <w:rsid w:val="73A33069"/>
    <w:rsid w:val="755E7F19"/>
    <w:rsid w:val="755F447F"/>
    <w:rsid w:val="773857FF"/>
    <w:rsid w:val="779525F2"/>
    <w:rsid w:val="7891094D"/>
    <w:rsid w:val="78EB063D"/>
    <w:rsid w:val="7CB529E3"/>
    <w:rsid w:val="7D2C6C53"/>
    <w:rsid w:val="7D505E89"/>
    <w:rsid w:val="7DB94306"/>
    <w:rsid w:val="7E3A13D9"/>
    <w:rsid w:val="7ECC15F7"/>
    <w:rsid w:val="7F0C369E"/>
    <w:rsid w:val="7F4A1B66"/>
    <w:rsid w:val="7F4C00D2"/>
    <w:rsid w:val="7FA122C3"/>
    <w:rsid w:val="7FA40DA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24"/>
    </w:rPr>
  </w:style>
  <w:style w:type="paragraph" w:styleId="3">
    <w:name w:val="Body Text"/>
    <w:basedOn w:val="1"/>
    <w:link w:val="11"/>
    <w:qFormat/>
    <w:uiPriority w:val="99"/>
    <w:pPr>
      <w:spacing w:after="120"/>
    </w:p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paragraph" w:styleId="8">
    <w:name w:val="Body Text First Indent"/>
    <w:basedOn w:val="3"/>
    <w:link w:val="15"/>
    <w:qFormat/>
    <w:uiPriority w:val="99"/>
    <w:pPr>
      <w:ind w:firstLine="420" w:firstLineChars="100"/>
    </w:pPr>
  </w:style>
  <w:style w:type="character" w:customStyle="1" w:styleId="11">
    <w:name w:val="正文文本 Char"/>
    <w:basedOn w:val="10"/>
    <w:link w:val="3"/>
    <w:semiHidden/>
    <w:qFormat/>
    <w:locked/>
    <w:uiPriority w:val="99"/>
    <w:rPr>
      <w:rFonts w:cs="Times New Roman"/>
    </w:rPr>
  </w:style>
  <w:style w:type="character" w:customStyle="1" w:styleId="12">
    <w:name w:val="批注框文本 Char"/>
    <w:basedOn w:val="10"/>
    <w:link w:val="4"/>
    <w:semiHidden/>
    <w:qFormat/>
    <w:locked/>
    <w:uiPriority w:val="99"/>
    <w:rPr>
      <w:rFonts w:cs="Times New Roman"/>
      <w:sz w:val="18"/>
      <w:szCs w:val="18"/>
    </w:rPr>
  </w:style>
  <w:style w:type="character" w:customStyle="1" w:styleId="13">
    <w:name w:val="页脚 Char"/>
    <w:basedOn w:val="10"/>
    <w:link w:val="5"/>
    <w:qFormat/>
    <w:locked/>
    <w:uiPriority w:val="99"/>
    <w:rPr>
      <w:rFonts w:cs="Times New Roman"/>
      <w:sz w:val="18"/>
      <w:szCs w:val="18"/>
    </w:rPr>
  </w:style>
  <w:style w:type="character" w:customStyle="1" w:styleId="14">
    <w:name w:val="页眉 Char"/>
    <w:basedOn w:val="10"/>
    <w:link w:val="6"/>
    <w:qFormat/>
    <w:locked/>
    <w:uiPriority w:val="99"/>
    <w:rPr>
      <w:rFonts w:cs="Times New Roman"/>
      <w:sz w:val="18"/>
      <w:szCs w:val="18"/>
    </w:rPr>
  </w:style>
  <w:style w:type="character" w:customStyle="1" w:styleId="15">
    <w:name w:val="正文首行缩进 Char"/>
    <w:basedOn w:val="11"/>
    <w:link w:val="8"/>
    <w:semiHidden/>
    <w:qFormat/>
    <w:locked/>
    <w:uiPriority w:val="99"/>
  </w:style>
  <w:style w:type="paragraph" w:customStyle="1" w:styleId="16">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14332</Words>
  <Characters>16778</Characters>
  <Lines>93</Lines>
  <Paragraphs>26</Paragraphs>
  <TotalTime>0</TotalTime>
  <ScaleCrop>false</ScaleCrop>
  <LinksUpToDate>false</LinksUpToDate>
  <CharactersWithSpaces>16779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2023-09-25T01:15:28Z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F6FEEE7AB3C34AC59970C6B301FBA7C7_13</vt:lpwstr>
  </property>
</Properties>
</file>