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color w:val="auto"/>
          <w:sz w:val="56"/>
          <w:szCs w:val="56"/>
          <w:highlight w:val="none"/>
        </w:rPr>
      </w:pPr>
    </w:p>
    <w:p>
      <w:pPr>
        <w:pStyle w:val="16"/>
        <w:jc w:val="center"/>
        <w:rPr>
          <w:color w:val="auto"/>
          <w:sz w:val="56"/>
          <w:szCs w:val="56"/>
          <w:highlight w:val="none"/>
        </w:rPr>
      </w:pPr>
    </w:p>
    <w:p>
      <w:pPr>
        <w:pStyle w:val="16"/>
        <w:jc w:val="center"/>
        <w:rPr>
          <w:color w:val="auto"/>
          <w:sz w:val="84"/>
          <w:szCs w:val="84"/>
          <w:highlight w:val="none"/>
        </w:rPr>
      </w:pPr>
    </w:p>
    <w:p>
      <w:pPr>
        <w:pStyle w:val="16"/>
        <w:jc w:val="center"/>
        <w:rPr>
          <w:color w:val="auto"/>
          <w:sz w:val="84"/>
          <w:szCs w:val="84"/>
          <w:highlight w:val="none"/>
        </w:rPr>
      </w:pPr>
    </w:p>
    <w:p>
      <w:pPr>
        <w:pStyle w:val="16"/>
        <w:jc w:val="center"/>
        <w:rPr>
          <w:color w:val="auto"/>
          <w:sz w:val="84"/>
          <w:szCs w:val="84"/>
          <w:highlight w:val="none"/>
        </w:rPr>
      </w:pPr>
    </w:p>
    <w:p>
      <w:pPr>
        <w:pStyle w:val="16"/>
        <w:jc w:val="center"/>
        <w:rPr>
          <w:rFonts w:hint="eastAsia" w:ascii="黑体" w:hAnsi="黑体" w:eastAsia="黑体" w:cs="黑体"/>
          <w:color w:val="auto"/>
          <w:sz w:val="84"/>
          <w:szCs w:val="84"/>
          <w:highlight w:val="none"/>
        </w:rPr>
      </w:pPr>
      <w:r>
        <w:rPr>
          <w:rFonts w:hint="eastAsia" w:ascii="黑体" w:hAnsi="黑体" w:eastAsia="黑体" w:cs="黑体"/>
          <w:color w:val="auto"/>
          <w:sz w:val="84"/>
          <w:szCs w:val="84"/>
          <w:highlight w:val="none"/>
        </w:rPr>
        <w:t>202</w:t>
      </w:r>
      <w:r>
        <w:rPr>
          <w:rFonts w:hint="eastAsia" w:ascii="黑体" w:hAnsi="黑体" w:eastAsia="黑体" w:cs="黑体"/>
          <w:color w:val="auto"/>
          <w:sz w:val="84"/>
          <w:szCs w:val="84"/>
          <w:highlight w:val="none"/>
          <w:lang w:val="en-US" w:eastAsia="zh-CN"/>
        </w:rPr>
        <w:t>2</w:t>
      </w:r>
      <w:r>
        <w:rPr>
          <w:rFonts w:hint="eastAsia" w:ascii="黑体" w:hAnsi="黑体" w:eastAsia="黑体" w:cs="黑体"/>
          <w:color w:val="auto"/>
          <w:sz w:val="84"/>
          <w:szCs w:val="84"/>
          <w:highlight w:val="none"/>
        </w:rPr>
        <w:t>年度</w:t>
      </w:r>
    </w:p>
    <w:p>
      <w:pPr>
        <w:pStyle w:val="16"/>
        <w:jc w:val="center"/>
        <w:rPr>
          <w:rFonts w:hint="eastAsia" w:ascii="黑体" w:hAnsi="黑体" w:eastAsia="黑体" w:cs="黑体"/>
          <w:color w:val="auto"/>
          <w:sz w:val="84"/>
          <w:szCs w:val="84"/>
          <w:highlight w:val="none"/>
          <w:lang w:eastAsia="zh-CN"/>
        </w:rPr>
      </w:pPr>
      <w:r>
        <w:rPr>
          <w:rFonts w:hint="eastAsia" w:ascii="黑体" w:hAnsi="黑体" w:eastAsia="黑体" w:cs="黑体"/>
          <w:color w:val="auto"/>
          <w:sz w:val="84"/>
          <w:szCs w:val="84"/>
          <w:highlight w:val="none"/>
          <w:lang w:eastAsia="zh-CN"/>
        </w:rPr>
        <w:t>中共会同县委宣传部</w:t>
      </w:r>
    </w:p>
    <w:p>
      <w:pPr>
        <w:pStyle w:val="16"/>
        <w:jc w:val="center"/>
        <w:rPr>
          <w:rFonts w:hint="eastAsia" w:ascii="黑体" w:hAnsi="黑体" w:eastAsia="黑体" w:cs="黑体"/>
          <w:color w:val="auto"/>
          <w:sz w:val="84"/>
          <w:szCs w:val="84"/>
          <w:highlight w:val="none"/>
        </w:rPr>
      </w:pPr>
      <w:r>
        <w:rPr>
          <w:rFonts w:hint="eastAsia" w:ascii="黑体" w:hAnsi="黑体" w:eastAsia="黑体" w:cs="黑体"/>
          <w:color w:val="auto"/>
          <w:sz w:val="84"/>
          <w:szCs w:val="84"/>
          <w:highlight w:val="none"/>
        </w:rPr>
        <w:t>部门决算</w:t>
      </w:r>
    </w:p>
    <w:p>
      <w:pPr>
        <w:pStyle w:val="16"/>
        <w:jc w:val="center"/>
        <w:rPr>
          <w:rFonts w:hint="eastAsia" w:ascii="方正小标宋_GBK" w:hAnsi="方正小标宋_GBK" w:eastAsia="方正小标宋_GBK" w:cs="方正小标宋_GBK"/>
          <w:color w:val="auto"/>
          <w:sz w:val="56"/>
          <w:szCs w:val="56"/>
          <w:highlight w:val="none"/>
        </w:rPr>
      </w:pPr>
    </w:p>
    <w:p>
      <w:pPr>
        <w:pStyle w:val="16"/>
        <w:jc w:val="center"/>
        <w:rPr>
          <w:color w:val="auto"/>
          <w:sz w:val="56"/>
          <w:szCs w:val="56"/>
          <w:highlight w:val="none"/>
        </w:rPr>
      </w:pPr>
    </w:p>
    <w:p>
      <w:pPr>
        <w:pStyle w:val="16"/>
        <w:jc w:val="center"/>
        <w:rPr>
          <w:color w:val="auto"/>
          <w:sz w:val="56"/>
          <w:szCs w:val="56"/>
          <w:highlight w:val="none"/>
        </w:rPr>
      </w:pPr>
    </w:p>
    <w:p>
      <w:pPr>
        <w:pStyle w:val="16"/>
        <w:jc w:val="center"/>
        <w:rPr>
          <w:color w:val="auto"/>
          <w:sz w:val="56"/>
          <w:szCs w:val="56"/>
          <w:highlight w:val="none"/>
        </w:rPr>
      </w:pPr>
    </w:p>
    <w:p>
      <w:pPr>
        <w:pStyle w:val="16"/>
        <w:jc w:val="center"/>
        <w:rPr>
          <w:color w:val="auto"/>
          <w:sz w:val="32"/>
          <w:szCs w:val="32"/>
          <w:highlight w:val="none"/>
        </w:rPr>
      </w:pPr>
    </w:p>
    <w:p>
      <w:pPr>
        <w:pStyle w:val="16"/>
        <w:jc w:val="center"/>
        <w:rPr>
          <w:color w:val="auto"/>
          <w:sz w:val="32"/>
          <w:szCs w:val="32"/>
          <w:highlight w:val="none"/>
        </w:rPr>
      </w:pPr>
    </w:p>
    <w:p>
      <w:pPr>
        <w:pStyle w:val="16"/>
        <w:jc w:val="center"/>
        <w:rPr>
          <w:color w:val="auto"/>
          <w:sz w:val="32"/>
          <w:szCs w:val="32"/>
          <w:highlight w:val="none"/>
        </w:rPr>
      </w:pPr>
    </w:p>
    <w:p>
      <w:pPr>
        <w:pStyle w:val="16"/>
        <w:spacing w:line="500" w:lineRule="exact"/>
        <w:jc w:val="both"/>
        <w:rPr>
          <w:b/>
          <w:color w:val="auto"/>
          <w:sz w:val="36"/>
          <w:szCs w:val="28"/>
          <w:highlight w:val="none"/>
        </w:rPr>
      </w:pPr>
    </w:p>
    <w:p>
      <w:pPr>
        <w:pStyle w:val="16"/>
        <w:keepNext w:val="0"/>
        <w:keepLines w:val="0"/>
        <w:pageBreakBefore w:val="0"/>
        <w:widowControl w:val="0"/>
        <w:kinsoku/>
        <w:wordWrap/>
        <w:overflowPunct/>
        <w:topLinePunct w:val="0"/>
        <w:bidi w:val="0"/>
        <w:snapToGrid/>
        <w:spacing w:line="490" w:lineRule="exact"/>
        <w:jc w:val="center"/>
        <w:textAlignment w:val="auto"/>
        <w:rPr>
          <w:b/>
          <w:color w:val="auto"/>
          <w:sz w:val="36"/>
          <w:szCs w:val="28"/>
          <w:highlight w:val="none"/>
        </w:rPr>
      </w:pPr>
      <w:r>
        <w:rPr>
          <w:rFonts w:hint="eastAsia"/>
          <w:b/>
          <w:color w:val="auto"/>
          <w:sz w:val="36"/>
          <w:szCs w:val="28"/>
          <w:highlight w:val="none"/>
        </w:rPr>
        <w:t>目录</w:t>
      </w:r>
    </w:p>
    <w:p>
      <w:pPr>
        <w:pStyle w:val="16"/>
        <w:keepNext w:val="0"/>
        <w:keepLines w:val="0"/>
        <w:pageBreakBefore w:val="0"/>
        <w:widowControl w:val="0"/>
        <w:kinsoku/>
        <w:wordWrap/>
        <w:overflowPunct/>
        <w:topLinePunct w:val="0"/>
        <w:bidi w:val="0"/>
        <w:snapToGrid/>
        <w:spacing w:line="490" w:lineRule="exact"/>
        <w:textAlignment w:val="auto"/>
        <w:rPr>
          <w:rFonts w:hint="eastAsia" w:ascii="黑体" w:hAnsi="黑体" w:eastAsia="黑体" w:cs="黑体"/>
          <w:b/>
          <w:bCs w:val="0"/>
          <w:color w:val="auto"/>
          <w:sz w:val="28"/>
          <w:szCs w:val="28"/>
          <w:highlight w:val="none"/>
        </w:rPr>
      </w:pPr>
      <w:r>
        <w:rPr>
          <w:rFonts w:hint="eastAsia" w:ascii="黑体" w:hAnsi="黑体" w:eastAsia="黑体" w:cs="黑体"/>
          <w:b/>
          <w:bCs w:val="0"/>
          <w:color w:val="auto"/>
          <w:sz w:val="28"/>
          <w:szCs w:val="28"/>
          <w:highlight w:val="none"/>
        </w:rPr>
        <w:t>第一部分</w:t>
      </w:r>
      <w:r>
        <w:rPr>
          <w:rFonts w:hint="eastAsia" w:ascii="黑体" w:hAnsi="黑体" w:eastAsia="黑体" w:cs="黑体"/>
          <w:b/>
          <w:bCs w:val="0"/>
          <w:color w:val="auto"/>
          <w:sz w:val="28"/>
          <w:szCs w:val="28"/>
          <w:highlight w:val="none"/>
          <w:lang w:val="en-US" w:eastAsia="zh-CN"/>
        </w:rPr>
        <w:t xml:space="preserve"> </w:t>
      </w:r>
      <w:r>
        <w:rPr>
          <w:rFonts w:hint="eastAsia" w:hAnsi="黑体" w:cs="黑体"/>
          <w:b/>
          <w:bCs w:val="0"/>
          <w:color w:val="auto"/>
          <w:sz w:val="28"/>
          <w:szCs w:val="28"/>
          <w:highlight w:val="none"/>
          <w:lang w:eastAsia="zh-CN"/>
        </w:rPr>
        <w:t>单位</w:t>
      </w:r>
      <w:r>
        <w:rPr>
          <w:rFonts w:hint="eastAsia" w:ascii="黑体" w:hAnsi="黑体" w:eastAsia="黑体" w:cs="黑体"/>
          <w:b/>
          <w:bCs w:val="0"/>
          <w:color w:val="auto"/>
          <w:sz w:val="28"/>
          <w:szCs w:val="28"/>
          <w:highlight w:val="none"/>
        </w:rPr>
        <w:t>概况</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一、部门职责</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二、机构设置</w:t>
      </w:r>
    </w:p>
    <w:p>
      <w:pPr>
        <w:pStyle w:val="16"/>
        <w:keepNext w:val="0"/>
        <w:keepLines w:val="0"/>
        <w:pageBreakBefore w:val="0"/>
        <w:widowControl w:val="0"/>
        <w:kinsoku/>
        <w:wordWrap/>
        <w:overflowPunct/>
        <w:topLinePunct w:val="0"/>
        <w:bidi w:val="0"/>
        <w:snapToGrid/>
        <w:spacing w:line="490" w:lineRule="exact"/>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第二部分</w:t>
      </w:r>
      <w:r>
        <w:rPr>
          <w:rFonts w:hint="eastAsia" w:ascii="黑体" w:hAnsi="黑体" w:eastAsia="黑体" w:cs="黑体"/>
          <w:b/>
          <w:bCs/>
          <w:color w:val="auto"/>
          <w:sz w:val="28"/>
          <w:szCs w:val="28"/>
          <w:highlight w:val="none"/>
          <w:lang w:val="en-US" w:eastAsia="zh-CN"/>
        </w:rPr>
        <w:t xml:space="preserve"> </w:t>
      </w:r>
      <w:r>
        <w:rPr>
          <w:rFonts w:hint="eastAsia" w:hAnsi="黑体" w:cs="黑体"/>
          <w:b/>
          <w:bCs/>
          <w:color w:val="auto"/>
          <w:sz w:val="28"/>
          <w:szCs w:val="28"/>
          <w:highlight w:val="none"/>
          <w:lang w:val="en-US" w:eastAsia="zh-CN"/>
        </w:rPr>
        <w:t>2022年度</w:t>
      </w:r>
      <w:r>
        <w:rPr>
          <w:rFonts w:hint="eastAsia" w:ascii="黑体" w:hAnsi="黑体" w:eastAsia="黑体" w:cs="黑体"/>
          <w:b/>
          <w:bCs/>
          <w:color w:val="auto"/>
          <w:sz w:val="28"/>
          <w:szCs w:val="28"/>
          <w:highlight w:val="none"/>
        </w:rPr>
        <w:t>部门决算表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一、部门收支决算总表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部门</w:t>
      </w:r>
      <w:r>
        <w:rPr>
          <w:rFonts w:hint="eastAsia" w:ascii="宋体" w:hAnsi="宋体" w:eastAsia="宋体" w:cs="宋体"/>
          <w:color w:val="auto"/>
          <w:sz w:val="28"/>
          <w:szCs w:val="28"/>
          <w:highlight w:val="none"/>
        </w:rPr>
        <w:t>收入决算表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w:t>
      </w:r>
      <w:r>
        <w:rPr>
          <w:rFonts w:hint="eastAsia" w:ascii="宋体" w:hAnsi="宋体" w:eastAsia="宋体" w:cs="宋体"/>
          <w:color w:val="auto"/>
          <w:sz w:val="28"/>
          <w:szCs w:val="28"/>
          <w:highlight w:val="none"/>
          <w:lang w:val="en-US" w:eastAsia="zh-CN"/>
        </w:rPr>
        <w:t>部门</w:t>
      </w:r>
      <w:r>
        <w:rPr>
          <w:rFonts w:hint="eastAsia" w:ascii="宋体" w:hAnsi="宋体" w:eastAsia="宋体" w:cs="宋体"/>
          <w:color w:val="auto"/>
          <w:sz w:val="28"/>
          <w:szCs w:val="28"/>
          <w:highlight w:val="none"/>
        </w:rPr>
        <w:t>支出决算表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四、财政拨款收支决算总表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五、一般公共预算财政拨款支出决算表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六、一般公共预算财政拨款基本支出决算表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、政府性基金预算财政拨款收入支出决算表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、国有资本经营预算财政拨款支出决算表</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财政拨款“三公”经费支出决算表</w:t>
      </w:r>
    </w:p>
    <w:p>
      <w:pPr>
        <w:pStyle w:val="16"/>
        <w:keepNext w:val="0"/>
        <w:keepLines w:val="0"/>
        <w:pageBreakBefore w:val="0"/>
        <w:widowControl w:val="0"/>
        <w:kinsoku/>
        <w:wordWrap/>
        <w:overflowPunct/>
        <w:topLinePunct w:val="0"/>
        <w:bidi w:val="0"/>
        <w:snapToGrid/>
        <w:spacing w:line="490" w:lineRule="exact"/>
        <w:textAlignment w:val="auto"/>
        <w:rPr>
          <w:rFonts w:hint="eastAsia" w:hAnsi="黑体" w:cs="黑体"/>
          <w:b/>
          <w:bCs/>
          <w:color w:val="auto"/>
          <w:sz w:val="28"/>
          <w:szCs w:val="28"/>
          <w:highlight w:val="none"/>
          <w:lang w:val="en-US" w:eastAsia="zh-CN"/>
        </w:rPr>
      </w:pPr>
      <w:r>
        <w:rPr>
          <w:rFonts w:hint="eastAsia" w:hAnsi="黑体" w:cs="黑体"/>
          <w:b/>
          <w:bCs/>
          <w:color w:val="auto"/>
          <w:sz w:val="28"/>
          <w:szCs w:val="28"/>
          <w:highlight w:val="none"/>
          <w:lang w:val="en-US" w:eastAsia="zh-CN"/>
        </w:rPr>
        <w:t>第三部分 2022年度部门决算情况说明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一、收入支出决算总体情况说明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二、收入决算情况说明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三、支出决算情况说明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四、财政拨款收入支出决算总体情况说明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五、一般公共预算财政拨款支出决算情况说明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六、一般公共预算财政拨款基本支出决算情况说明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七、财政拨款三公经费支出决算情况说明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八、政府性基金预算收入支出决算情况</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九、机关运行经费支出说明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十、一般性支出情况说明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十一、政府采购支出说明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十二、国有资产占用情况说明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十三、</w:t>
      </w:r>
      <w:r>
        <w:rPr>
          <w:rFonts w:hint="eastAsia" w:ascii="宋体" w:hAnsi="宋体" w:eastAsia="宋体" w:cs="宋体"/>
          <w:color w:val="auto"/>
          <w:sz w:val="28"/>
          <w:szCs w:val="28"/>
          <w:highlight w:val="none"/>
          <w:lang w:val="en-US" w:eastAsia="zh-CN"/>
        </w:rPr>
        <w:t>2022年度</w:t>
      </w:r>
      <w:r>
        <w:rPr>
          <w:rFonts w:hint="eastAsia" w:ascii="宋体" w:hAnsi="宋体" w:eastAsia="宋体" w:cs="宋体"/>
          <w:color w:val="auto"/>
          <w:sz w:val="28"/>
          <w:szCs w:val="28"/>
          <w:highlight w:val="none"/>
        </w:rPr>
        <w:t>预算绩效情况说明</w:t>
      </w:r>
    </w:p>
    <w:p>
      <w:pPr>
        <w:pStyle w:val="16"/>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十四、国有资本经营预算财政拨款支出决算情况</w:t>
      </w:r>
    </w:p>
    <w:p>
      <w:pPr>
        <w:keepNext w:val="0"/>
        <w:keepLines w:val="0"/>
        <w:pageBreakBefore w:val="0"/>
        <w:widowControl w:val="0"/>
        <w:shd w:val="clear"/>
        <w:kinsoku/>
        <w:wordWrap/>
        <w:overflowPunct/>
        <w:topLinePunct w:val="0"/>
        <w:autoSpaceDE w:val="0"/>
        <w:autoSpaceDN w:val="0"/>
        <w:bidi w:val="0"/>
        <w:adjustRightInd w:val="0"/>
        <w:snapToGrid/>
        <w:spacing w:line="490" w:lineRule="exact"/>
        <w:jc w:val="left"/>
        <w:textAlignment w:val="auto"/>
        <w:rPr>
          <w:rFonts w:hint="eastAsia"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第四部分</w:t>
      </w:r>
      <w:r>
        <w:rPr>
          <w:rFonts w:hint="eastAsia" w:ascii="黑体" w:hAnsi="黑体" w:eastAsia="黑体" w:cs="黑体"/>
          <w:b/>
          <w:color w:val="auto"/>
          <w:kern w:val="0"/>
          <w:sz w:val="28"/>
          <w:szCs w:val="28"/>
          <w:highlight w:val="none"/>
          <w:lang w:val="en-US" w:eastAsia="zh-CN"/>
        </w:rPr>
        <w:t xml:space="preserve"> </w:t>
      </w:r>
      <w:r>
        <w:rPr>
          <w:rFonts w:hint="eastAsia" w:ascii="黑体" w:hAnsi="黑体" w:eastAsia="黑体" w:cs="黑体"/>
          <w:b/>
          <w:color w:val="auto"/>
          <w:kern w:val="0"/>
          <w:sz w:val="28"/>
          <w:szCs w:val="28"/>
          <w:highlight w:val="none"/>
        </w:rPr>
        <w:t>名词解释</w:t>
      </w:r>
    </w:p>
    <w:p>
      <w:pPr>
        <w:keepNext w:val="0"/>
        <w:keepLines w:val="0"/>
        <w:pageBreakBefore w:val="0"/>
        <w:widowControl w:val="0"/>
        <w:shd w:val="clear"/>
        <w:kinsoku/>
        <w:wordWrap/>
        <w:overflowPunct/>
        <w:topLinePunct w:val="0"/>
        <w:autoSpaceDE w:val="0"/>
        <w:autoSpaceDN w:val="0"/>
        <w:bidi w:val="0"/>
        <w:adjustRightInd w:val="0"/>
        <w:snapToGrid/>
        <w:spacing w:line="490" w:lineRule="exact"/>
        <w:jc w:val="left"/>
        <w:textAlignment w:val="auto"/>
        <w:rPr>
          <w:rFonts w:hint="eastAsia" w:ascii="黑体" w:hAnsi="黑体" w:eastAsia="黑体" w:cs="黑体"/>
          <w:b/>
          <w:color w:val="auto"/>
          <w:kern w:val="0"/>
          <w:sz w:val="28"/>
          <w:szCs w:val="28"/>
          <w:highlight w:val="none"/>
          <w:lang w:eastAsia="zh-CN"/>
        </w:rPr>
      </w:pPr>
      <w:r>
        <w:rPr>
          <w:rFonts w:hint="eastAsia" w:ascii="黑体" w:hAnsi="黑体" w:eastAsia="黑体" w:cs="黑体"/>
          <w:b/>
          <w:color w:val="auto"/>
          <w:kern w:val="0"/>
          <w:sz w:val="28"/>
          <w:szCs w:val="28"/>
          <w:highlight w:val="none"/>
          <w:lang w:eastAsia="zh-CN"/>
        </w:rPr>
        <w:t>第五部分</w:t>
      </w:r>
      <w:r>
        <w:rPr>
          <w:rFonts w:hint="eastAsia" w:ascii="黑体" w:hAnsi="黑体" w:eastAsia="黑体" w:cs="黑体"/>
          <w:b/>
          <w:color w:val="auto"/>
          <w:kern w:val="0"/>
          <w:sz w:val="28"/>
          <w:szCs w:val="28"/>
          <w:highlight w:val="none"/>
          <w:lang w:val="en-US" w:eastAsia="zh-CN"/>
        </w:rPr>
        <w:t xml:space="preserve"> </w:t>
      </w:r>
      <w:r>
        <w:rPr>
          <w:rFonts w:hint="eastAsia" w:ascii="黑体" w:hAnsi="黑体" w:eastAsia="黑体" w:cs="黑体"/>
          <w:b/>
          <w:color w:val="auto"/>
          <w:kern w:val="0"/>
          <w:sz w:val="28"/>
          <w:szCs w:val="28"/>
          <w:highlight w:val="none"/>
          <w:lang w:eastAsia="zh-CN"/>
        </w:rPr>
        <w:t>附件</w:t>
      </w:r>
    </w:p>
    <w:p>
      <w:pPr>
        <w:keepNext w:val="0"/>
        <w:keepLines w:val="0"/>
        <w:pageBreakBefore w:val="0"/>
        <w:widowControl w:val="0"/>
        <w:kinsoku/>
        <w:wordWrap/>
        <w:overflowPunct/>
        <w:topLinePunct w:val="0"/>
        <w:bidi w:val="0"/>
        <w:snapToGrid/>
        <w:spacing w:line="490" w:lineRule="exact"/>
        <w:jc w:val="center"/>
        <w:textAlignment w:val="auto"/>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rPr>
          <w:rFonts w:hint="eastAsia" w:ascii="方正小标宋_GBK" w:hAnsi="方正小标宋_GBK" w:eastAsia="方正小标宋_GBK" w:cs="方正小标宋_GBK"/>
          <w:color w:val="auto"/>
          <w:sz w:val="72"/>
          <w:szCs w:val="72"/>
          <w:highlight w:val="none"/>
        </w:rPr>
      </w:pPr>
    </w:p>
    <w:p>
      <w:pPr>
        <w:pStyle w:val="2"/>
        <w:rPr>
          <w:rFonts w:hint="eastAsia" w:ascii="方正小标宋_GBK" w:hAnsi="方正小标宋_GBK" w:eastAsia="方正小标宋_GBK" w:cs="方正小标宋_GBK"/>
          <w:color w:val="auto"/>
          <w:sz w:val="72"/>
          <w:szCs w:val="72"/>
          <w:highlight w:val="none"/>
        </w:rPr>
      </w:pPr>
    </w:p>
    <w:p>
      <w:pPr>
        <w:pStyle w:val="3"/>
        <w:rPr>
          <w:rFonts w:hint="eastAsia"/>
          <w:color w:val="auto"/>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rPr>
        <w:t xml:space="preserve">第一部分 </w:t>
      </w: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lang w:eastAsia="zh-CN"/>
        </w:rPr>
        <w:t>单位</w:t>
      </w:r>
      <w:r>
        <w:rPr>
          <w:rFonts w:hint="eastAsia"/>
          <w:color w:val="auto"/>
          <w:sz w:val="72"/>
          <w:szCs w:val="72"/>
          <w:highlight w:val="none"/>
        </w:rPr>
        <w:t>概况</w:t>
      </w:r>
    </w:p>
    <w:p>
      <w:pPr>
        <w:jc w:val="center"/>
        <w:rPr>
          <w:rFonts w:hint="eastAsia" w:ascii="方正小标宋_GBK" w:hAnsi="方正小标宋_GBK" w:eastAsia="方正小标宋_GBK" w:cs="方正小标宋_GBK"/>
          <w:color w:val="auto"/>
          <w:sz w:val="72"/>
          <w:szCs w:val="72"/>
          <w:highlight w:val="none"/>
        </w:rPr>
      </w:pPr>
    </w:p>
    <w:p>
      <w:pPr>
        <w:jc w:val="both"/>
        <w:rPr>
          <w:color w:val="auto"/>
          <w:sz w:val="72"/>
          <w:szCs w:val="72"/>
          <w:highlight w:val="none"/>
        </w:rPr>
      </w:pPr>
    </w:p>
    <w:p>
      <w:pPr>
        <w:jc w:val="both"/>
        <w:rPr>
          <w:color w:val="auto"/>
          <w:sz w:val="72"/>
          <w:szCs w:val="72"/>
          <w:highlight w:val="none"/>
        </w:rPr>
      </w:pPr>
    </w:p>
    <w:p>
      <w:pPr>
        <w:pStyle w:val="11"/>
        <w:rPr>
          <w:color w:val="auto"/>
          <w:sz w:val="72"/>
          <w:szCs w:val="72"/>
          <w:highlight w:val="none"/>
        </w:rPr>
      </w:pPr>
    </w:p>
    <w:p>
      <w:pPr>
        <w:rPr>
          <w:color w:val="auto"/>
          <w:sz w:val="72"/>
          <w:szCs w:val="72"/>
          <w:highlight w:val="none"/>
        </w:rPr>
      </w:pPr>
    </w:p>
    <w:p>
      <w:pPr>
        <w:pStyle w:val="11"/>
        <w:rPr>
          <w:color w:val="auto"/>
          <w:highlight w:val="none"/>
        </w:rPr>
      </w:pPr>
    </w:p>
    <w:p>
      <w:pPr>
        <w:pStyle w:val="17"/>
        <w:numPr>
          <w:ilvl w:val="0"/>
          <w:numId w:val="0"/>
        </w:numPr>
        <w:jc w:val="left"/>
        <w:rPr>
          <w:rFonts w:hint="eastAsia" w:ascii="黑体" w:hAnsi="黑体" w:eastAsia="黑体" w:cs="黑体"/>
          <w:b w:val="0"/>
          <w:bCs w:val="0"/>
          <w:color w:val="auto"/>
          <w:sz w:val="32"/>
          <w:szCs w:val="32"/>
          <w:highlight w:val="none"/>
          <w:lang w:eastAsia="zh-CN"/>
        </w:rPr>
      </w:pPr>
    </w:p>
    <w:p>
      <w:pPr>
        <w:pStyle w:val="17"/>
        <w:numPr>
          <w:ilvl w:val="0"/>
          <w:numId w:val="0"/>
        </w:numPr>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部门职责</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拟定全县宣传思想工作要点；</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统筹协调全县党的意识形态工作；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统筹指导协调全县理论学习、理论宣传、理论研究工作，组织推动理论武装工作；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负责规划组织全局性思想政治工作；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统筹分析研判和引导社会舆论；</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拟定全县新闻出版业的管理政策并督促落实；</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从宏观上统筹指导协调全县互联网宣传和信息内容管理工作；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统筹指导协调全县精神文化产品的创作、生产；</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负责管理全县电影行政事务；</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统筹协调全县对外宣传工作，指导协调对外文化交流工作；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统筹协调组织开展全县新闻发布工作，承担县委新闻发布有关组织协调工作；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负责落实中央、省、市、县精神文明建设指导委员会工作部署，拟定全县精神文明建设工作规划并组织实施；</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负责组织开展全县宣传思想系统干部教育培训和人才工作；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color w:val="auto"/>
          <w:kern w:val="0"/>
          <w:sz w:val="32"/>
          <w:szCs w:val="32"/>
          <w:highlight w:val="none"/>
        </w:rPr>
      </w:pPr>
      <w:r>
        <w:rPr>
          <w:rFonts w:hint="eastAsia" w:ascii="宋体" w:hAnsi="宋体" w:eastAsia="宋体" w:cs="宋体"/>
          <w:snapToGrid/>
          <w:color w:val="auto"/>
          <w:kern w:val="2"/>
          <w:sz w:val="32"/>
          <w:szCs w:val="32"/>
          <w:highlight w:val="none"/>
          <w:lang w:val="en-US" w:eastAsia="zh-CN" w:bidi="ar-SA"/>
        </w:rPr>
        <w:t>（十四）完成县委交办的其他任务。</w:t>
      </w:r>
    </w:p>
    <w:p>
      <w:pPr>
        <w:widowControl/>
        <w:spacing w:line="600" w:lineRule="exact"/>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二、机构设置及决算单位构成</w:t>
      </w:r>
    </w:p>
    <w:p>
      <w:pPr>
        <w:keepNext w:val="0"/>
        <w:keepLines w:val="0"/>
        <w:widowControl/>
        <w:suppressLineNumbers w:val="0"/>
        <w:ind w:firstLine="640" w:firstLineChars="200"/>
        <w:jc w:val="left"/>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（一）内设机构设置。</w:t>
      </w:r>
    </w:p>
    <w:p>
      <w:pPr>
        <w:keepNext w:val="0"/>
        <w:keepLines w:val="0"/>
        <w:widowControl/>
        <w:suppressLineNumbers w:val="0"/>
        <w:ind w:firstLine="640" w:firstLineChars="200"/>
        <w:jc w:val="left"/>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snapToGrid/>
          <w:color w:val="auto"/>
          <w:kern w:val="2"/>
          <w:sz w:val="32"/>
          <w:szCs w:val="32"/>
          <w:highlight w:val="none"/>
          <w:lang w:val="en-US" w:eastAsia="zh-CN" w:bidi="ar-SA"/>
        </w:rPr>
        <w:t>2022年本单位由宣传部本级机关与县社科联合署办公组成。单位内设机构 7 个：办公室、理论政策研究室、新闻室（加挂县突发公共事件应急新闻中心牌子）、出版管理室、文化艺术宣教室、意识形态工作指导室、文明创建指导室。县委宣传部所属股级公益一类事业单位1个：县新时代文明实践指导中心。</w:t>
      </w:r>
    </w:p>
    <w:p>
      <w:pPr>
        <w:keepNext w:val="0"/>
        <w:keepLines w:val="0"/>
        <w:widowControl/>
        <w:suppressLineNumbers w:val="0"/>
        <w:ind w:firstLine="640" w:firstLineChars="200"/>
        <w:jc w:val="left"/>
        <w:rPr>
          <w:rFonts w:hint="eastAsia" w:ascii="宋体" w:hAnsi="宋体" w:eastAsia="宋体" w:cs="宋体"/>
          <w:snapToGrid/>
          <w:color w:val="auto"/>
          <w:kern w:val="2"/>
          <w:sz w:val="32"/>
          <w:szCs w:val="32"/>
          <w:highlight w:val="none"/>
          <w:lang w:val="en-US" w:eastAsia="zh-CN" w:bidi="ar-SA"/>
        </w:rPr>
      </w:pPr>
      <w:r>
        <w:rPr>
          <w:rFonts w:hint="eastAsia" w:ascii="宋体" w:hAnsi="宋体" w:eastAsia="宋体" w:cs="宋体"/>
          <w:bCs/>
          <w:color w:val="auto"/>
          <w:kern w:val="0"/>
          <w:sz w:val="32"/>
          <w:szCs w:val="32"/>
          <w:highlight w:val="none"/>
        </w:rPr>
        <w:t>（二）决算单位构成</w:t>
      </w:r>
      <w:r>
        <w:rPr>
          <w:rFonts w:hint="eastAsia" w:ascii="宋体" w:hAnsi="宋体" w:eastAsia="宋体" w:cs="宋体"/>
          <w:snapToGrid/>
          <w:color w:val="auto"/>
          <w:kern w:val="2"/>
          <w:sz w:val="32"/>
          <w:szCs w:val="32"/>
          <w:highlight w:val="none"/>
          <w:lang w:val="en-US" w:eastAsia="zh-CN" w:bidi="ar-SA"/>
        </w:rPr>
        <w:t>。2022年部门决算汇总公开单位构成包括：中共会同县委宣传部本级。</w:t>
      </w:r>
    </w:p>
    <w:p>
      <w:pPr>
        <w:widowControl/>
        <w:spacing w:line="600" w:lineRule="exact"/>
        <w:ind w:firstLine="640" w:firstLineChars="200"/>
        <w:rPr>
          <w:rFonts w:hint="eastAsia" w:ascii="Times New Roman" w:hAnsi="Times New Roman" w:eastAsia="仿宋_GB2312" w:cs="仿宋_GB2312"/>
          <w:bCs/>
          <w:color w:val="auto"/>
          <w:kern w:val="0"/>
          <w:sz w:val="32"/>
          <w:szCs w:val="32"/>
          <w:highlight w:val="none"/>
        </w:rPr>
      </w:pPr>
    </w:p>
    <w:p>
      <w:pPr>
        <w:jc w:val="left"/>
        <w:rPr>
          <w:rFonts w:ascii="仿宋_GB2312" w:eastAsia="仿宋_GB2312" w:hAnsiTheme="minorEastAsia"/>
          <w:color w:val="auto"/>
          <w:sz w:val="28"/>
          <w:szCs w:val="32"/>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pStyle w:val="2"/>
        <w:rPr>
          <w:color w:val="auto"/>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rPr>
        <w:t>第二部分</w:t>
      </w: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rPr>
        <w:t>部门决算表</w:t>
      </w: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left"/>
        <w:rPr>
          <w:rFonts w:asciiTheme="minorEastAsia" w:hAnsiTheme="minorEastAsia"/>
          <w:color w:val="auto"/>
          <w:sz w:val="32"/>
          <w:szCs w:val="32"/>
          <w:highlight w:val="none"/>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69"/>
        <w:gridCol w:w="583"/>
        <w:gridCol w:w="3435"/>
        <w:gridCol w:w="1980"/>
        <w:gridCol w:w="1965"/>
        <w:gridCol w:w="1575"/>
        <w:gridCol w:w="1305"/>
        <w:gridCol w:w="1455"/>
        <w:gridCol w:w="1455"/>
        <w:gridCol w:w="140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4974"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7"/>
              <w:gridCol w:w="569"/>
              <w:gridCol w:w="2463"/>
              <w:gridCol w:w="3435"/>
              <w:gridCol w:w="1639"/>
              <w:gridCol w:w="624"/>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6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auto"/>
                      <w:sz w:val="24"/>
                      <w:szCs w:val="24"/>
                      <w:highlight w:val="none"/>
                      <w:u w:val="none"/>
                    </w:rPr>
                  </w:pPr>
                </w:p>
              </w:tc>
              <w:tc>
                <w:tcPr>
                  <w:tcW w:w="56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246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343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226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2177"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497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56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46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343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26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17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部门：中共会同县委宣传部</w:t>
                  </w:r>
                </w:p>
              </w:tc>
              <w:tc>
                <w:tcPr>
                  <w:tcW w:w="56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46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343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26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17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0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收入</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    目</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行次</w:t>
                  </w:r>
                </w:p>
              </w:tc>
              <w:tc>
                <w:tcPr>
                  <w:tcW w:w="2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决算数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    目</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行次</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    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4"/>
                      <w:szCs w:val="24"/>
                      <w:highlight w:val="none"/>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    次</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4"/>
                      <w:szCs w:val="24"/>
                      <w:highlight w:val="none"/>
                      <w:u w:val="none"/>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929.91</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一、一般公共服务支出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611.36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二、政府性基金预算财政拨款收入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二、教育支出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三、国有资本经营预算财政拨款收入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三、文化旅游体育与传媒支出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60.77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四、上级补助收入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四、社会保障和就业支出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五、事业收入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五、卫生健康支出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六、经营收入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六、城乡社区支出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七、附属单位上缴收入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七、农林水支出</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八、其他收入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12.81</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22"/>
                      <w:szCs w:val="22"/>
                      <w:highlight w:val="none"/>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highlight w:val="none"/>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942.72</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本年支出合计</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942.72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使用非财政拨款结余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结余分配</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年初结转和结余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年末结转和结余</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942.72</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942.72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97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2.本套报表金额单位转换时可能存在尾数误差。</w:t>
                  </w:r>
                </w:p>
              </w:tc>
            </w:tr>
          </w:tbl>
          <w:p>
            <w:pPr>
              <w:jc w:val="center"/>
              <w:rPr>
                <w:rFonts w:ascii="华文中宋" w:hAnsi="华文中宋" w:eastAsia="华文中宋" w:cs="宋体"/>
                <w:color w:val="auto"/>
                <w:sz w:val="32"/>
                <w:szCs w:val="32"/>
                <w:highlight w:val="none"/>
              </w:rPr>
            </w:pPr>
            <w:r>
              <w:rPr>
                <w:rFonts w:hint="eastAsia" w:ascii="华文中宋" w:hAnsi="华文中宋" w:eastAsia="华文中宋"/>
                <w:color w:val="auto"/>
                <w:sz w:val="32"/>
                <w:szCs w:val="32"/>
                <w:highlight w:val="none"/>
              </w:rPr>
              <w:t>收入决算表</w:t>
            </w:r>
          </w:p>
        </w:tc>
      </w:tr>
      <w:tr>
        <w:tblPrEx>
          <w:tblCellMar>
            <w:top w:w="0" w:type="dxa"/>
            <w:left w:w="0" w:type="dxa"/>
            <w:bottom w:w="0" w:type="dxa"/>
            <w:right w:w="0" w:type="dxa"/>
          </w:tblCellMar>
        </w:tblPrEx>
        <w:trPr>
          <w:trHeight w:val="285" w:hRule="atLeast"/>
        </w:trPr>
        <w:tc>
          <w:tcPr>
            <w:tcW w:w="2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5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34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9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9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4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highlight w:val="none"/>
              </w:rPr>
            </w:pPr>
            <w:r>
              <w:rPr>
                <w:rFonts w:hint="eastAsia"/>
                <w:color w:val="auto"/>
                <w:sz w:val="20"/>
                <w:szCs w:val="20"/>
                <w:highlight w:val="none"/>
              </w:rPr>
              <w:t>公开02表</w:t>
            </w:r>
          </w:p>
        </w:tc>
      </w:tr>
      <w:tr>
        <w:tblPrEx>
          <w:tblCellMar>
            <w:top w:w="0" w:type="dxa"/>
            <w:left w:w="0" w:type="dxa"/>
            <w:bottom w:w="0" w:type="dxa"/>
            <w:right w:w="0" w:type="dxa"/>
          </w:tblCellMar>
        </w:tblPrEx>
        <w:trPr>
          <w:trHeight w:val="90" w:hRule="atLeast"/>
        </w:trPr>
        <w:tc>
          <w:tcPr>
            <w:tcW w:w="8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auto"/>
                <w:sz w:val="20"/>
                <w:szCs w:val="20"/>
                <w:highlight w:val="none"/>
              </w:rPr>
            </w:pPr>
            <w:r>
              <w:rPr>
                <w:rFonts w:hint="eastAsia"/>
                <w:color w:val="auto"/>
                <w:sz w:val="20"/>
                <w:szCs w:val="20"/>
                <w:highlight w:val="none"/>
              </w:rPr>
              <w:t>部门：</w:t>
            </w:r>
          </w:p>
        </w:tc>
        <w:tc>
          <w:tcPr>
            <w:tcW w:w="3435"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color w:val="auto"/>
                <w:sz w:val="24"/>
                <w:szCs w:val="24"/>
                <w:highlight w:val="none"/>
              </w:rPr>
            </w:pPr>
            <w:r>
              <w:rPr>
                <w:rFonts w:hint="eastAsia"/>
                <w:color w:val="auto"/>
                <w:highlight w:val="none"/>
                <w:lang w:eastAsia="zh-CN"/>
              </w:rPr>
              <w:t>中共会同县委宣传部</w:t>
            </w:r>
            <w:r>
              <w:rPr>
                <w:rFonts w:hint="eastAsia"/>
                <w:color w:val="auto"/>
                <w:highlight w:val="none"/>
              </w:rPr>
              <w:t>　</w:t>
            </w:r>
          </w:p>
        </w:tc>
        <w:tc>
          <w:tcPr>
            <w:tcW w:w="19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9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highlight w:val="none"/>
              </w:rPr>
            </w:pPr>
            <w:r>
              <w:rPr>
                <w:rFonts w:hint="eastAsia"/>
                <w:color w:val="auto"/>
                <w:sz w:val="20"/>
                <w:szCs w:val="20"/>
                <w:highlight w:val="none"/>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4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highlight w:val="none"/>
              </w:rPr>
            </w:pPr>
            <w:r>
              <w:rPr>
                <w:rFonts w:hint="eastAsia"/>
                <w:color w:val="auto"/>
                <w:sz w:val="20"/>
                <w:szCs w:val="20"/>
                <w:highlight w:val="none"/>
              </w:rPr>
              <w:t>单位：万元</w:t>
            </w:r>
          </w:p>
        </w:tc>
      </w:tr>
      <w:tr>
        <w:tblPrEx>
          <w:tblCellMar>
            <w:top w:w="0" w:type="dxa"/>
            <w:left w:w="0" w:type="dxa"/>
            <w:bottom w:w="0" w:type="dxa"/>
            <w:right w:w="0" w:type="dxa"/>
          </w:tblCellMar>
        </w:tblPrEx>
        <w:trPr>
          <w:trHeight w:val="450" w:hRule="atLeast"/>
        </w:trPr>
        <w:tc>
          <w:tcPr>
            <w:tcW w:w="42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项    目</w:t>
            </w:r>
          </w:p>
        </w:tc>
        <w:tc>
          <w:tcPr>
            <w:tcW w:w="19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本年收入合计</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财政拨款收入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上级补助收入</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事业收入</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经营收入</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附属单位上缴收入</w:t>
            </w:r>
          </w:p>
        </w:tc>
        <w:tc>
          <w:tcPr>
            <w:tcW w:w="14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其他收入</w:t>
            </w:r>
          </w:p>
        </w:tc>
      </w:tr>
      <w:tr>
        <w:tblPrEx>
          <w:tblCellMar>
            <w:top w:w="0" w:type="dxa"/>
            <w:left w:w="0" w:type="dxa"/>
            <w:bottom w:w="0" w:type="dxa"/>
            <w:right w:w="0" w:type="dxa"/>
          </w:tblCellMar>
        </w:tblPrEx>
        <w:trPr>
          <w:trHeight w:val="450" w:hRule="atLeast"/>
        </w:trPr>
        <w:tc>
          <w:tcPr>
            <w:tcW w:w="85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功能分类科目编码</w:t>
            </w:r>
          </w:p>
        </w:tc>
        <w:tc>
          <w:tcPr>
            <w:tcW w:w="34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科目名称</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8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343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42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栏次</w:t>
            </w:r>
          </w:p>
        </w:tc>
        <w:tc>
          <w:tcPr>
            <w:tcW w:w="19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1</w:t>
            </w:r>
          </w:p>
        </w:tc>
        <w:tc>
          <w:tcPr>
            <w:tcW w:w="19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2</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3</w:t>
            </w:r>
          </w:p>
        </w:tc>
        <w:tc>
          <w:tcPr>
            <w:tcW w:w="13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4</w:t>
            </w:r>
          </w:p>
        </w:tc>
        <w:tc>
          <w:tcPr>
            <w:tcW w:w="14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5</w:t>
            </w:r>
          </w:p>
        </w:tc>
        <w:tc>
          <w:tcPr>
            <w:tcW w:w="14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6</w:t>
            </w:r>
          </w:p>
        </w:tc>
        <w:tc>
          <w:tcPr>
            <w:tcW w:w="14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7</w:t>
            </w:r>
          </w:p>
        </w:tc>
      </w:tr>
      <w:tr>
        <w:tblPrEx>
          <w:tblCellMar>
            <w:top w:w="0" w:type="dxa"/>
            <w:left w:w="0" w:type="dxa"/>
            <w:bottom w:w="0" w:type="dxa"/>
            <w:right w:w="0" w:type="dxa"/>
          </w:tblCellMar>
        </w:tblPrEx>
        <w:trPr>
          <w:trHeight w:val="450" w:hRule="atLeast"/>
        </w:trPr>
        <w:tc>
          <w:tcPr>
            <w:tcW w:w="42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合计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942.72</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cs="ËÎÌå"/>
                <w:b/>
                <w:bCs/>
                <w:i w:val="0"/>
                <w:iCs w:val="0"/>
                <w:color w:val="auto"/>
                <w:kern w:val="0"/>
                <w:sz w:val="22"/>
                <w:szCs w:val="22"/>
                <w:highlight w:val="none"/>
                <w:u w:val="none"/>
                <w:lang w:val="en-US" w:eastAsia="zh-CN" w:bidi="ar"/>
              </w:rPr>
              <w:t>929.91</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b/>
                <w:color w:val="auto"/>
                <w:kern w:val="2"/>
                <w:sz w:val="22"/>
                <w:szCs w:val="24"/>
                <w:highlight w:val="none"/>
                <w:lang w:val="en-US" w:eastAsia="zh-CN" w:bidi="ar-SA"/>
              </w:rPr>
            </w:pPr>
            <w:r>
              <w:rPr>
                <w:rFonts w:hint="eastAsia" w:ascii="ËÎÌå" w:hAnsi="ËÎÌå" w:eastAsia="宋体"/>
                <w:b/>
                <w:color w:val="auto"/>
                <w:sz w:val="22"/>
                <w:szCs w:val="24"/>
                <w:highlight w:val="none"/>
                <w:lang w:val="en-US" w:eastAsia="zh-CN"/>
              </w:rPr>
              <w:t>12.81</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一般公共服务支出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611.3</w:t>
            </w:r>
            <w:r>
              <w:rPr>
                <w:rFonts w:hint="eastAsia" w:ascii="ËÎÌå" w:hAnsi="ËÎÌå" w:eastAsia="宋体"/>
                <w:color w:val="auto"/>
                <w:sz w:val="22"/>
                <w:szCs w:val="24"/>
                <w:highlight w:val="none"/>
                <w:lang w:val="en-US" w:eastAsia="zh-CN"/>
              </w:rPr>
              <w:t>6</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598.5</w:t>
            </w:r>
            <w:r>
              <w:rPr>
                <w:rFonts w:hint="eastAsia" w:ascii="ËÎÌå" w:hAnsi="ËÎÌå" w:eastAsia="ËÎÌå" w:cs="ËÎÌå"/>
                <w:i w:val="0"/>
                <w:iCs w:val="0"/>
                <w:color w:val="auto"/>
                <w:kern w:val="0"/>
                <w:sz w:val="22"/>
                <w:szCs w:val="22"/>
                <w:highlight w:val="none"/>
                <w:u w:val="none"/>
                <w:lang w:val="en-US" w:eastAsia="zh-CN" w:bidi="ar"/>
              </w:rPr>
              <w:t>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auto"/>
                <w:kern w:val="2"/>
                <w:sz w:val="22"/>
                <w:szCs w:val="24"/>
                <w:highlight w:val="none"/>
                <w:lang w:val="en-US" w:eastAsia="zh-CN" w:bidi="ar-SA"/>
              </w:rPr>
            </w:pPr>
            <w:r>
              <w:rPr>
                <w:rFonts w:hint="eastAsia" w:ascii="ËÎÌå" w:hAnsi="ËÎÌå" w:eastAsia="宋体"/>
                <w:color w:val="auto"/>
                <w:sz w:val="22"/>
                <w:szCs w:val="24"/>
                <w:highlight w:val="none"/>
                <w:lang w:val="en-US" w:eastAsia="zh-CN"/>
              </w:rPr>
              <w:t>12.81</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20103</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政府办公厅（室）及相关机构事务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172.48</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172.48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2010301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172.48</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172.48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20113</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商贸事务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2011308</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招商引资</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宣传事务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431.8</w:t>
            </w:r>
            <w:r>
              <w:rPr>
                <w:rFonts w:hint="eastAsia" w:ascii="ËÎÌå" w:hAnsi="ËÎÌå" w:eastAsia="宋体"/>
                <w:color w:val="auto"/>
                <w:sz w:val="22"/>
                <w:szCs w:val="24"/>
                <w:highlight w:val="none"/>
                <w:lang w:val="en-US" w:eastAsia="zh-CN"/>
              </w:rPr>
              <w:t>8</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419.0</w:t>
            </w:r>
            <w:r>
              <w:rPr>
                <w:rFonts w:hint="eastAsia" w:ascii="ËÎÌå" w:hAnsi="ËÎÌå" w:eastAsia="ËÎÌå" w:cs="ËÎÌå"/>
                <w:i w:val="0"/>
                <w:iCs w:val="0"/>
                <w:color w:val="auto"/>
                <w:kern w:val="0"/>
                <w:sz w:val="22"/>
                <w:szCs w:val="22"/>
                <w:highlight w:val="none"/>
                <w:u w:val="none"/>
                <w:lang w:val="en-US" w:eastAsia="zh-CN" w:bidi="ar"/>
              </w:rPr>
              <w:t>7</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auto"/>
                <w:kern w:val="2"/>
                <w:sz w:val="22"/>
                <w:szCs w:val="24"/>
                <w:highlight w:val="none"/>
                <w:lang w:val="en-US" w:eastAsia="zh-CN" w:bidi="ar-SA"/>
              </w:rPr>
            </w:pPr>
            <w:r>
              <w:rPr>
                <w:rFonts w:hint="eastAsia" w:ascii="ËÎÌå" w:hAnsi="ËÎÌå" w:eastAsia="宋体"/>
                <w:color w:val="auto"/>
                <w:sz w:val="22"/>
                <w:szCs w:val="24"/>
                <w:highlight w:val="none"/>
                <w:lang w:val="en-US" w:eastAsia="zh-CN"/>
              </w:rPr>
              <w:t>12.81</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151.88</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151.88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2013302</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一般行政管理事务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132.76</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132.76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2013304</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宣传管理</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default" w:ascii="ËÎÌå" w:hAnsi="ËÎÌå" w:eastAsia="ËÎÌå" w:cstheme="minorBidi"/>
                <w:color w:val="auto"/>
                <w:kern w:val="2"/>
                <w:sz w:val="22"/>
                <w:szCs w:val="24"/>
                <w:highlight w:val="none"/>
                <w:lang w:val="en-US" w:eastAsia="zh-CN" w:bidi="ar-SA"/>
              </w:rPr>
            </w:pPr>
            <w:r>
              <w:rPr>
                <w:rFonts w:hint="eastAsia" w:ascii="ËÎÌå" w:hAnsi="ËÎÌå" w:eastAsia="ËÎÌå" w:cstheme="minorBidi"/>
                <w:color w:val="auto"/>
                <w:kern w:val="2"/>
                <w:sz w:val="22"/>
                <w:szCs w:val="24"/>
                <w:highlight w:val="none"/>
                <w:lang w:val="en-US" w:eastAsia="zh-CN" w:bidi="ar-SA"/>
              </w:rPr>
              <w:t>3.00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2013350</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事业运行</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12.81</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0</w:t>
            </w:r>
            <w:r>
              <w:rPr>
                <w:rFonts w:hint="eastAsia" w:ascii="ËÎÌå" w:hAnsi="ËÎÌå" w:eastAsia="ËÎÌå" w:cs="ËÎÌå"/>
                <w:i w:val="0"/>
                <w:iCs w:val="0"/>
                <w:color w:val="auto"/>
                <w:kern w:val="0"/>
                <w:sz w:val="22"/>
                <w:szCs w:val="22"/>
                <w:highlight w:val="none"/>
                <w:u w:val="none"/>
                <w:lang w:val="en-US" w:eastAsia="zh-CN" w:bidi="ar"/>
              </w:rPr>
              <w:t>.00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auto"/>
                <w:kern w:val="2"/>
                <w:sz w:val="22"/>
                <w:szCs w:val="24"/>
                <w:highlight w:val="none"/>
                <w:lang w:val="en-US" w:eastAsia="zh-CN" w:bidi="ar-SA"/>
              </w:rPr>
            </w:pPr>
            <w:r>
              <w:rPr>
                <w:rFonts w:hint="eastAsia" w:ascii="ËÎÌå" w:hAnsi="ËÎÌå" w:eastAsia="宋体"/>
                <w:color w:val="auto"/>
                <w:sz w:val="22"/>
                <w:szCs w:val="24"/>
                <w:highlight w:val="none"/>
                <w:lang w:val="en-US" w:eastAsia="zh-CN"/>
              </w:rPr>
              <w:t>12.81</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其他宣传事务支出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131.43</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widowControl/>
              <w:suppressLineNumbers w:val="0"/>
              <w:jc w:val="right"/>
              <w:textAlignment w:val="top"/>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s="ËÎÌå"/>
                <w:i w:val="0"/>
                <w:iCs w:val="0"/>
                <w:color w:val="auto"/>
                <w:kern w:val="0"/>
                <w:sz w:val="22"/>
                <w:szCs w:val="22"/>
                <w:highlight w:val="none"/>
                <w:u w:val="none"/>
                <w:lang w:val="en-US" w:eastAsia="zh-CN" w:bidi="ar"/>
              </w:rPr>
              <w:t>131.43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其他一般公共服务支出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2019999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其他一般公共服务支出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教育支出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20502</w:t>
            </w:r>
          </w:p>
        </w:tc>
        <w:tc>
          <w:tcPr>
            <w:tcW w:w="3435"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普通教育</w:t>
            </w:r>
          </w:p>
        </w:tc>
        <w:tc>
          <w:tcPr>
            <w:tcW w:w="19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9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5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2050299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其他普通教育支出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文化旅游体育与传媒支出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20702</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文物</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2070205</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博物馆</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其他文化旅游体育与传媒支出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2079999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其他文化旅游体育与传媒支出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社会保障和就业支出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人力资源和社会保障管理事务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2080101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行政事业单位养老支出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16.38</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16.38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2080505</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机关事业单位基本养老保险缴费支出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13.73</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其他行政事业单位养老支出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2.65</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20808</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抚恤</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2080801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死亡抚恤</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20827</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财政对其他社会保险基金的补助</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2082701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财政对失业保险基金的补助</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卫生健康支出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w:t>
            </w:r>
            <w:r>
              <w:rPr>
                <w:rFonts w:hint="eastAsia" w:ascii="ËÎÌå" w:hAnsi="ËÎÌå" w:eastAsia="宋体"/>
                <w:color w:val="auto"/>
                <w:sz w:val="22"/>
                <w:szCs w:val="24"/>
                <w:highlight w:val="none"/>
                <w:lang w:val="en-US" w:eastAsia="zh-CN"/>
              </w:rPr>
              <w:t>5</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w:t>
            </w:r>
            <w:r>
              <w:rPr>
                <w:rFonts w:hint="eastAsia" w:ascii="ËÎÌå" w:hAnsi="ËÎÌå" w:eastAsia="宋体"/>
                <w:color w:val="auto"/>
                <w:sz w:val="22"/>
                <w:szCs w:val="24"/>
                <w:highlight w:val="none"/>
                <w:lang w:val="en-US" w:eastAsia="zh-CN"/>
              </w:rPr>
              <w:t>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21004</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公共卫生</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2100499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其他公共卫生支出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21012</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财政对基本医疗保险基金的补助</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2101201</w:t>
            </w:r>
          </w:p>
        </w:tc>
        <w:tc>
          <w:tcPr>
            <w:tcW w:w="3435"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财政对职工基本医疗保险基金的补助</w:t>
            </w:r>
          </w:p>
        </w:tc>
        <w:tc>
          <w:tcPr>
            <w:tcW w:w="19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9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5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城乡社区支出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城乡社区管理事务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2120199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其他城乡社区管理事务支出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农林水支出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巩固脱贫衔接乡村振兴</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2130502</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一般行政管理事务</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1.17</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1.17</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0" w:type="dxa"/>
            <w:bottom w:w="0" w:type="dxa"/>
            <w:right w:w="0" w:type="dxa"/>
          </w:tblCellMar>
        </w:tblPrEx>
        <w:trPr>
          <w:trHeight w:val="450" w:hRule="atLeast"/>
        </w:trPr>
        <w:tc>
          <w:tcPr>
            <w:tcW w:w="8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其他巩固脱贫衔接乡村振兴支出</w:t>
            </w:r>
          </w:p>
        </w:tc>
        <w:tc>
          <w:tcPr>
            <w:tcW w:w="19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2.16</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bl>
    <w:p>
      <w:pPr>
        <w:widowControl/>
        <w:jc w:val="left"/>
        <w:rPr>
          <w:rFonts w:ascii="Times New Roman" w:hAnsi="Times New Roman" w:eastAsia="方正小标宋_GBK" w:cs="Times New Roman"/>
          <w:color w:val="auto"/>
          <w:kern w:val="0"/>
          <w:sz w:val="36"/>
          <w:szCs w:val="36"/>
          <w:highlight w:val="none"/>
        </w:rPr>
      </w:pPr>
      <w:r>
        <w:rPr>
          <w:rFonts w:ascii="Times New Roman" w:hAnsi="Times New Roman" w:eastAsia="黑体" w:cs="Times New Roman"/>
          <w:bCs/>
          <w:color w:val="auto"/>
          <w:kern w:val="0"/>
          <w:sz w:val="32"/>
          <w:szCs w:val="32"/>
          <w:highlight w:val="none"/>
        </w:rPr>
        <w:t xml:space="preserve"> </w:t>
      </w:r>
      <w:r>
        <w:rPr>
          <w:rFonts w:hint="eastAsia"/>
          <w:color w:val="auto"/>
          <w:highlight w:val="none"/>
        </w:rPr>
        <w:t>注：本表反映部门本年度取得的各项收入情况。</w:t>
      </w:r>
      <w:r>
        <w:rPr>
          <w:rFonts w:ascii="Times New Roman" w:hAnsi="Times New Roman" w:eastAsia="黑体" w:cs="Times New Roman"/>
          <w:bCs/>
          <w:color w:val="auto"/>
          <w:kern w:val="0"/>
          <w:sz w:val="32"/>
          <w:szCs w:val="32"/>
          <w:highlight w:val="none"/>
        </w:rPr>
        <w:br w:type="page"/>
      </w:r>
    </w:p>
    <w:tbl>
      <w:tblPr>
        <w:tblStyle w:val="12"/>
        <w:tblW w:w="15238" w:type="dxa"/>
        <w:tblInd w:w="91" w:type="dxa"/>
        <w:tblLayout w:type="fixed"/>
        <w:tblCellMar>
          <w:top w:w="0" w:type="dxa"/>
          <w:left w:w="108" w:type="dxa"/>
          <w:bottom w:w="0" w:type="dxa"/>
          <w:right w:w="108" w:type="dxa"/>
        </w:tblCellMar>
      </w:tblPr>
      <w:tblGrid>
        <w:gridCol w:w="1236"/>
        <w:gridCol w:w="263"/>
        <w:gridCol w:w="3449"/>
        <w:gridCol w:w="1980"/>
        <w:gridCol w:w="1995"/>
        <w:gridCol w:w="1935"/>
        <w:gridCol w:w="1440"/>
        <w:gridCol w:w="1245"/>
        <w:gridCol w:w="1695"/>
      </w:tblGrid>
      <w:tr>
        <w:tblPrEx>
          <w:tblCellMar>
            <w:top w:w="0" w:type="dxa"/>
            <w:left w:w="108" w:type="dxa"/>
            <w:bottom w:w="0" w:type="dxa"/>
            <w:right w:w="108" w:type="dxa"/>
          </w:tblCellMar>
        </w:tblPrEx>
        <w:trPr>
          <w:trHeight w:val="807" w:hRule="atLeast"/>
        </w:trPr>
        <w:tc>
          <w:tcPr>
            <w:tcW w:w="1523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highlight w:val="none"/>
              </w:rPr>
            </w:pPr>
            <w:r>
              <w:rPr>
                <w:rFonts w:hint="eastAsia" w:ascii="华文中宋" w:hAnsi="华文中宋" w:eastAsia="华文中宋" w:cs="宋体"/>
                <w:color w:val="auto"/>
                <w:kern w:val="0"/>
                <w:sz w:val="32"/>
                <w:szCs w:val="32"/>
                <w:highlight w:val="none"/>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44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98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9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9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4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449" w:type="dxa"/>
            <w:tcBorders>
              <w:top w:val="nil"/>
              <w:left w:val="nil"/>
              <w:bottom w:val="nil"/>
              <w:right w:val="nil"/>
            </w:tcBorders>
            <w:shd w:val="clear" w:color="000000" w:fill="FFFFFF"/>
            <w:noWrap/>
            <w:vAlign w:val="center"/>
          </w:tcPr>
          <w:p>
            <w:pPr>
              <w:widowControl/>
              <w:jc w:val="both"/>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中共会同县委宣传部</w:t>
            </w:r>
            <w:r>
              <w:rPr>
                <w:rFonts w:hint="eastAsia" w:ascii="宋体" w:hAnsi="宋体" w:eastAsia="宋体" w:cs="宋体"/>
                <w:color w:val="auto"/>
                <w:kern w:val="0"/>
                <w:sz w:val="24"/>
                <w:szCs w:val="24"/>
                <w:highlight w:val="none"/>
              </w:rPr>
              <w:t>　</w:t>
            </w:r>
          </w:p>
        </w:tc>
        <w:tc>
          <w:tcPr>
            <w:tcW w:w="198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9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935"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44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单位：万元</w:t>
            </w:r>
          </w:p>
        </w:tc>
      </w:tr>
      <w:tr>
        <w:tblPrEx>
          <w:tblCellMar>
            <w:top w:w="0" w:type="dxa"/>
            <w:left w:w="108" w:type="dxa"/>
            <w:bottom w:w="0" w:type="dxa"/>
            <w:right w:w="108" w:type="dxa"/>
          </w:tblCellMar>
        </w:tblPrEx>
        <w:trPr>
          <w:trHeight w:val="595" w:hRule="atLeast"/>
        </w:trPr>
        <w:tc>
          <w:tcPr>
            <w:tcW w:w="494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9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本年支出合计</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基本支出</w:t>
            </w:r>
          </w:p>
        </w:tc>
        <w:tc>
          <w:tcPr>
            <w:tcW w:w="19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项目支出</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上缴上级支出</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经营支出</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功能分类科目编码</w:t>
            </w:r>
          </w:p>
        </w:tc>
        <w:tc>
          <w:tcPr>
            <w:tcW w:w="34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科目名称</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4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49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栏次</w:t>
            </w:r>
          </w:p>
        </w:tc>
        <w:tc>
          <w:tcPr>
            <w:tcW w:w="1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9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6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r>
      <w:tr>
        <w:tblPrEx>
          <w:tblCellMar>
            <w:top w:w="0" w:type="dxa"/>
            <w:left w:w="108" w:type="dxa"/>
            <w:bottom w:w="0" w:type="dxa"/>
            <w:right w:w="108" w:type="dxa"/>
          </w:tblCellMar>
        </w:tblPrEx>
        <w:trPr>
          <w:trHeight w:val="567" w:hRule="exact"/>
        </w:trPr>
        <w:tc>
          <w:tcPr>
            <w:tcW w:w="49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942.72</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377.86</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564.86</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一般公共服务支出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611.3</w:t>
            </w:r>
            <w:r>
              <w:rPr>
                <w:rFonts w:hint="eastAsia" w:ascii="ËÎÌå" w:hAnsi="ËÎÌå" w:eastAsia="宋体"/>
                <w:color w:val="auto"/>
                <w:sz w:val="22"/>
                <w:szCs w:val="24"/>
                <w:highlight w:val="none"/>
                <w:lang w:val="en-US" w:eastAsia="zh-CN"/>
              </w:rPr>
              <w:t>6</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341.55</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269.81</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20103</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政府办公厅（室）及相关机构事务</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172.48</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138.03</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34.45</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2010301</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172.48</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138.03</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34.45</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20113</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商贸事务</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2011308</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招商引资</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宣传事务</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431.8</w:t>
            </w:r>
            <w:r>
              <w:rPr>
                <w:rFonts w:hint="eastAsia" w:ascii="ËÎÌå" w:hAnsi="ËÎÌå" w:eastAsia="宋体"/>
                <w:color w:val="auto"/>
                <w:sz w:val="22"/>
                <w:szCs w:val="24"/>
                <w:highlight w:val="none"/>
                <w:lang w:val="en-US" w:eastAsia="zh-CN"/>
              </w:rPr>
              <w:t>8</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197.52</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234.36</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2013301</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151.88</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151.88</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2013302</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一般行政管理事务</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132.76</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132.76</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2013304</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宣传管理</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2013350</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事业运行</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12.81</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12.81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2013399</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其他宣传事务支出</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131.43</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32.83</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98.60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20199</w:t>
            </w:r>
          </w:p>
        </w:tc>
        <w:tc>
          <w:tcPr>
            <w:tcW w:w="3449" w:type="dxa"/>
            <w:tcBorders>
              <w:top w:val="single" w:color="auto" w:sz="4" w:space="0"/>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其他一般公共服务支出</w:t>
            </w:r>
          </w:p>
        </w:tc>
        <w:tc>
          <w:tcPr>
            <w:tcW w:w="1980"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99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440"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2019999</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其他一般公共服务支出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教育支出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20502</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普通教育</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2050299</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其他普通教育支出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文化旅游体育与传媒支出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20702</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文物</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2070205</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博物馆</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20799</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其他文化旅游体育与传媒支出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2079999</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其他文化旅游体育与传媒支出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社会保障和就业支出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20801</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人力资源和社会保障管理事务</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2080101</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行政事业单位养老支出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16.38</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16.38</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2080505</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机关事业单位基本养老保险缴费支出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13.73</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13.73</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2080599</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其他行政事业单位养老支出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2.65</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2.65</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20808</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抚恤</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2080801</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死亡抚恤</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20827</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财政对其他社会保险基金的补助</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2082701</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财政对失业保险基金的补助</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卫生健康支出</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w:t>
            </w:r>
            <w:r>
              <w:rPr>
                <w:rFonts w:hint="eastAsia" w:ascii="ËÎÌå" w:hAnsi="ËÎÌå" w:eastAsia="宋体"/>
                <w:color w:val="auto"/>
                <w:sz w:val="22"/>
                <w:szCs w:val="24"/>
                <w:highlight w:val="none"/>
                <w:lang w:val="en-US" w:eastAsia="zh-CN"/>
              </w:rPr>
              <w:t>5</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21004</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公共卫生</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2100499</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其他公共卫生支出</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21012</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财政对基本医疗保险基金的补助</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2101201</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财政对职工基本医疗保险基金的补助</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城乡社区支出</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21201</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城乡社区管理事务</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2120199</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其他城乡社区管理事务支出</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w:t>
            </w:r>
          </w:p>
        </w:tc>
        <w:tc>
          <w:tcPr>
            <w:tcW w:w="3449" w:type="dxa"/>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农林水支出</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w:t>
            </w:r>
          </w:p>
        </w:tc>
        <w:tc>
          <w:tcPr>
            <w:tcW w:w="3449" w:type="dxa"/>
            <w:tcBorders>
              <w:top w:val="single" w:color="auto" w:sz="4" w:space="0"/>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巩固脱贫衔接乡村振兴</w:t>
            </w:r>
          </w:p>
        </w:tc>
        <w:tc>
          <w:tcPr>
            <w:tcW w:w="1980"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99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93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2130502</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一般行政管理事务</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1.17</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1.17</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67" w:hRule="exac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2130599</w:t>
            </w:r>
          </w:p>
        </w:tc>
        <w:tc>
          <w:tcPr>
            <w:tcW w:w="3449"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其他巩固脱贫衔接乡村振兴支出</w:t>
            </w:r>
          </w:p>
        </w:tc>
        <w:tc>
          <w:tcPr>
            <w:tcW w:w="198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2.16</w:t>
            </w:r>
          </w:p>
        </w:tc>
        <w:tc>
          <w:tcPr>
            <w:tcW w:w="19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2.16</w:t>
            </w:r>
          </w:p>
        </w:tc>
        <w:tc>
          <w:tcPr>
            <w:tcW w:w="193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440"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4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69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bl>
    <w:p>
      <w:pPr>
        <w:widowControl/>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注：本表反映部门本年度各项支出情况。</w:t>
      </w:r>
    </w:p>
    <w:p>
      <w:pPr>
        <w:widowControl/>
        <w:jc w:val="both"/>
        <w:rPr>
          <w:rFonts w:hint="eastAsia" w:ascii="宋体" w:hAnsi="宋体" w:eastAsia="宋体" w:cs="宋体"/>
          <w:color w:val="auto"/>
          <w:kern w:val="0"/>
          <w:sz w:val="24"/>
          <w:szCs w:val="24"/>
          <w:highlight w:val="none"/>
        </w:rPr>
      </w:pPr>
    </w:p>
    <w:tbl>
      <w:tblPr>
        <w:tblStyle w:val="12"/>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color w:val="auto"/>
                <w:kern w:val="0"/>
                <w:sz w:val="24"/>
                <w:szCs w:val="24"/>
                <w:highlight w:val="none"/>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auto"/>
                <w:kern w:val="0"/>
                <w:sz w:val="32"/>
                <w:szCs w:val="32"/>
                <w:highlight w:val="none"/>
              </w:rPr>
            </w:pPr>
          </w:p>
          <w:p>
            <w:pPr>
              <w:widowControl/>
              <w:jc w:val="center"/>
              <w:rPr>
                <w:rFonts w:ascii="华文中宋" w:hAnsi="华文中宋" w:eastAsia="华文中宋" w:cs="宋体"/>
                <w:color w:val="auto"/>
                <w:kern w:val="0"/>
                <w:sz w:val="32"/>
                <w:szCs w:val="32"/>
                <w:highlight w:val="none"/>
              </w:rPr>
            </w:pPr>
            <w:r>
              <w:rPr>
                <w:rFonts w:hint="eastAsia" w:ascii="华文中宋" w:hAnsi="华文中宋" w:eastAsia="华文中宋" w:cs="宋体"/>
                <w:color w:val="auto"/>
                <w:kern w:val="0"/>
                <w:sz w:val="32"/>
                <w:szCs w:val="32"/>
                <w:highlight w:val="none"/>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部门：</w:t>
            </w:r>
            <w:r>
              <w:rPr>
                <w:rFonts w:hint="eastAsia" w:ascii="宋体" w:hAnsi="宋体" w:eastAsia="宋体" w:cs="宋体"/>
                <w:color w:val="auto"/>
                <w:kern w:val="0"/>
                <w:sz w:val="20"/>
                <w:szCs w:val="20"/>
                <w:highlight w:val="none"/>
                <w:lang w:eastAsia="zh-CN"/>
              </w:rPr>
              <w:t>中共会同县委宣传部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929.91</w:t>
            </w: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598.5</w:t>
            </w:r>
            <w:r>
              <w:rPr>
                <w:rFonts w:hint="eastAsia" w:ascii="ËÎÌå" w:hAnsi="ËÎÌå" w:eastAsia="宋体"/>
                <w:color w:val="auto"/>
                <w:sz w:val="22"/>
                <w:szCs w:val="24"/>
                <w:highlight w:val="none"/>
                <w:lang w:val="en-US" w:eastAsia="zh-CN"/>
              </w:rPr>
              <w:t>5</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598.5</w:t>
            </w:r>
            <w:r>
              <w:rPr>
                <w:rFonts w:hint="eastAsia" w:ascii="ËÎÌå" w:hAnsi="ËÎÌå" w:eastAsia="宋体"/>
                <w:color w:val="auto"/>
                <w:sz w:val="22"/>
                <w:szCs w:val="24"/>
                <w:highlight w:val="none"/>
                <w:lang w:val="en-US" w:eastAsia="zh-CN"/>
              </w:rPr>
              <w:t>5</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二、外交支出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34</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三、国防支出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35</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四、公共安全支出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36</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五、教育支出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37</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六、科学技术支出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38</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41</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w:t>
            </w:r>
            <w:r>
              <w:rPr>
                <w:rFonts w:hint="eastAsia" w:ascii="ËÎÌå" w:hAnsi="ËÎÌå" w:eastAsia="宋体"/>
                <w:color w:val="auto"/>
                <w:sz w:val="22"/>
                <w:szCs w:val="24"/>
                <w:highlight w:val="none"/>
                <w:lang w:val="en-US" w:eastAsia="zh-CN"/>
              </w:rPr>
              <w:t>5</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w:t>
            </w:r>
            <w:r>
              <w:rPr>
                <w:rFonts w:hint="eastAsia" w:ascii="ËÎÌå" w:hAnsi="ËÎÌå" w:eastAsia="宋体"/>
                <w:color w:val="auto"/>
                <w:sz w:val="22"/>
                <w:szCs w:val="24"/>
                <w:highlight w:val="none"/>
                <w:lang w:val="en-US" w:eastAsia="zh-CN"/>
              </w:rPr>
              <w:t>5</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十、节能环保支出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42</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43</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十二、农林水支出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44</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45</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46</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47</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十六、金融支出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48</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49</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十九、住房保障支出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51</w:t>
            </w:r>
          </w:p>
        </w:tc>
        <w:tc>
          <w:tcPr>
            <w:tcW w:w="1573"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52</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53</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54</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二十三、其他支出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55</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56</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57</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58</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本年收入合计</w:t>
            </w: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929.91</w:t>
            </w: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本年支出合计</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59</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929.91</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929.91</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年初财政拨款结转和结余</w:t>
            </w: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61</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62</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63</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总计</w:t>
            </w:r>
          </w:p>
        </w:tc>
        <w:tc>
          <w:tcPr>
            <w:tcW w:w="436" w:type="dxa"/>
            <w:tcBorders>
              <w:top w:val="nil"/>
              <w:left w:val="nil"/>
              <w:bottom w:val="single" w:color="auto" w:sz="4" w:space="0"/>
              <w:right w:val="single" w:color="auto" w:sz="4" w:space="0"/>
            </w:tcBorders>
            <w:shd w:val="clear" w:color="000000" w:fill="FFFFFF"/>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929.91</w:t>
            </w: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总计</w:t>
            </w:r>
          </w:p>
        </w:tc>
        <w:tc>
          <w:tcPr>
            <w:tcW w:w="1067" w:type="dxa"/>
            <w:gridSpan w:val="2"/>
            <w:tcBorders>
              <w:top w:val="nil"/>
              <w:left w:val="nil"/>
              <w:bottom w:val="single" w:color="auto" w:sz="4" w:space="0"/>
              <w:right w:val="single" w:color="auto" w:sz="4" w:space="0"/>
            </w:tcBorders>
            <w:shd w:val="clear" w:color="000000" w:fill="FFFFFF"/>
            <w:noWrap/>
            <w:vAlign w:val="top"/>
          </w:tcPr>
          <w:p>
            <w:pPr>
              <w:spacing w:beforeLines="0" w:afterLines="0"/>
              <w:jc w:val="center"/>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64</w:t>
            </w:r>
          </w:p>
        </w:tc>
        <w:tc>
          <w:tcPr>
            <w:tcW w:w="1573" w:type="dxa"/>
            <w:tcBorders>
              <w:top w:val="nil"/>
              <w:left w:val="nil"/>
              <w:bottom w:val="single" w:color="auto" w:sz="4" w:space="0"/>
              <w:right w:val="single" w:color="auto" w:sz="4" w:space="0"/>
            </w:tcBorders>
            <w:shd w:val="clear" w:color="000000" w:fill="FFFFFF"/>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929.91</w:t>
            </w:r>
          </w:p>
        </w:tc>
        <w:tc>
          <w:tcPr>
            <w:tcW w:w="1394" w:type="dxa"/>
            <w:tcBorders>
              <w:top w:val="nil"/>
              <w:left w:val="nil"/>
              <w:bottom w:val="single" w:color="auto" w:sz="4" w:space="0"/>
              <w:right w:val="single" w:color="auto" w:sz="4" w:space="0"/>
            </w:tcBorders>
            <w:shd w:val="clear" w:color="000000" w:fill="FFFFFF"/>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929.91</w:t>
            </w:r>
          </w:p>
        </w:tc>
        <w:tc>
          <w:tcPr>
            <w:tcW w:w="1394"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573"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highlight w:val="none"/>
        </w:rPr>
      </w:pPr>
    </w:p>
    <w:p>
      <w:pPr>
        <w:widowControl/>
        <w:jc w:val="center"/>
        <w:rPr>
          <w:rFonts w:ascii="Times New Roman" w:hAnsi="Times New Roman" w:eastAsia="方正小标宋_GBK" w:cs="Times New Roman"/>
          <w:color w:val="auto"/>
          <w:kern w:val="0"/>
          <w:sz w:val="36"/>
          <w:szCs w:val="36"/>
          <w:highlight w:val="none"/>
        </w:rPr>
      </w:pPr>
    </w:p>
    <w:p>
      <w:pPr>
        <w:widowControl/>
        <w:jc w:val="center"/>
        <w:rPr>
          <w:rFonts w:ascii="Times New Roman" w:hAnsi="Times New Roman" w:eastAsia="方正小标宋_GBK" w:cs="Times New Roman"/>
          <w:color w:val="auto"/>
          <w:kern w:val="0"/>
          <w:sz w:val="36"/>
          <w:szCs w:val="36"/>
          <w:highlight w:val="none"/>
        </w:rPr>
      </w:pPr>
    </w:p>
    <w:p>
      <w:pPr>
        <w:widowControl/>
        <w:jc w:val="center"/>
        <w:rPr>
          <w:rFonts w:ascii="Times New Roman" w:hAnsi="Times New Roman" w:eastAsia="方正小标宋_GBK" w:cs="Times New Roman"/>
          <w:color w:val="auto"/>
          <w:kern w:val="0"/>
          <w:sz w:val="36"/>
          <w:szCs w:val="36"/>
          <w:highlight w:val="none"/>
        </w:rPr>
      </w:pPr>
    </w:p>
    <w:p>
      <w:pPr>
        <w:widowControl/>
        <w:jc w:val="center"/>
        <w:rPr>
          <w:rFonts w:ascii="Times New Roman" w:hAnsi="Times New Roman" w:eastAsia="方正小标宋_GBK" w:cs="Times New Roman"/>
          <w:color w:val="auto"/>
          <w:kern w:val="0"/>
          <w:sz w:val="36"/>
          <w:szCs w:val="36"/>
          <w:highlight w:val="none"/>
        </w:rPr>
      </w:pPr>
    </w:p>
    <w:p>
      <w:pPr>
        <w:widowControl/>
        <w:jc w:val="center"/>
        <w:rPr>
          <w:rFonts w:ascii="Times New Roman" w:hAnsi="Times New Roman" w:eastAsia="方正小标宋_GBK" w:cs="Times New Roman"/>
          <w:color w:val="auto"/>
          <w:kern w:val="0"/>
          <w:sz w:val="36"/>
          <w:szCs w:val="36"/>
          <w:highlight w:val="none"/>
        </w:rPr>
      </w:pPr>
    </w:p>
    <w:p>
      <w:pPr>
        <w:widowControl/>
        <w:jc w:val="center"/>
        <w:rPr>
          <w:rFonts w:ascii="Times New Roman" w:hAnsi="Times New Roman" w:eastAsia="方正小标宋_GBK" w:cs="Times New Roman"/>
          <w:color w:val="auto"/>
          <w:kern w:val="0"/>
          <w:sz w:val="36"/>
          <w:szCs w:val="36"/>
          <w:highlight w:val="none"/>
        </w:rPr>
      </w:pPr>
      <w:r>
        <w:rPr>
          <w:rFonts w:ascii="Times New Roman" w:hAnsi="Times New Roman" w:eastAsia="方正小标宋_GBK" w:cs="Times New Roman"/>
          <w:color w:val="auto"/>
          <w:kern w:val="0"/>
          <w:sz w:val="36"/>
          <w:szCs w:val="36"/>
          <w:highlight w:val="none"/>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部门：</w:t>
      </w:r>
      <w:r>
        <w:rPr>
          <w:rFonts w:hint="eastAsia" w:ascii="Times New Roman" w:hAnsi="Times New Roman" w:eastAsia="仿宋_GB2312" w:cs="Times New Roman"/>
          <w:color w:val="auto"/>
          <w:kern w:val="0"/>
          <w:szCs w:val="21"/>
          <w:highlight w:val="none"/>
          <w:lang w:eastAsia="zh-CN"/>
        </w:rPr>
        <w:t>中共会同县委宣传部</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lang w:val="en-US" w:eastAsia="zh-CN"/>
        </w:rPr>
        <w:t xml:space="preserve"> </w:t>
      </w:r>
      <w:r>
        <w:rPr>
          <w:rFonts w:ascii="Times New Roman" w:hAnsi="Times New Roman" w:eastAsia="仿宋_GB2312" w:cs="Times New Roman"/>
          <w:color w:val="auto"/>
          <w:kern w:val="0"/>
          <w:szCs w:val="21"/>
          <w:highlight w:val="none"/>
        </w:rPr>
        <w:t>公开05表</w:t>
      </w:r>
    </w:p>
    <w:p>
      <w:pPr>
        <w:widowControl/>
        <w:jc w:val="left"/>
        <w:rPr>
          <w:rFonts w:ascii="Times New Roman" w:hAnsi="Times New Roman" w:eastAsia="宋体" w:cs="Times New Roman"/>
          <w:color w:val="auto"/>
          <w:kern w:val="0"/>
          <w:sz w:val="20"/>
          <w:szCs w:val="20"/>
          <w:highlight w:val="none"/>
        </w:rPr>
      </w:pP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合计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929.91</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365.05</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b/>
                <w:color w:val="auto"/>
                <w:kern w:val="2"/>
                <w:sz w:val="22"/>
                <w:szCs w:val="24"/>
                <w:highlight w:val="none"/>
                <w:lang w:val="en-US" w:eastAsia="zh-CN" w:bidi="ar-SA"/>
              </w:rPr>
            </w:pPr>
            <w:r>
              <w:rPr>
                <w:rFonts w:hint="default" w:ascii="ËÎÌå" w:hAnsi="ËÎÌå" w:eastAsia="ËÎÌå"/>
                <w:b/>
                <w:color w:val="auto"/>
                <w:sz w:val="22"/>
                <w:szCs w:val="24"/>
                <w:highlight w:val="none"/>
              </w:rPr>
              <w:t>564.86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一般公共服务支出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598.5</w:t>
            </w:r>
            <w:r>
              <w:rPr>
                <w:rFonts w:hint="eastAsia" w:ascii="ËÎÌå" w:hAnsi="ËÎÌå" w:eastAsia="宋体"/>
                <w:color w:val="auto"/>
                <w:sz w:val="22"/>
                <w:szCs w:val="24"/>
                <w:highlight w:val="none"/>
                <w:lang w:val="en-US" w:eastAsia="zh-CN"/>
              </w:rPr>
              <w:t>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328.74</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269.81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20103</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政府办公厅（室）及相关机构事务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172.48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138.03</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34.45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2010301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172.48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138.03</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34.45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20113</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商贸事务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2011308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招商引资</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宣传事务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419.0</w:t>
            </w:r>
            <w:r>
              <w:rPr>
                <w:rFonts w:hint="eastAsia" w:ascii="ËÎÌå" w:hAnsi="ËÎÌå" w:eastAsia="宋体"/>
                <w:color w:val="auto"/>
                <w:sz w:val="22"/>
                <w:szCs w:val="24"/>
                <w:highlight w:val="none"/>
                <w:lang w:val="en-US" w:eastAsia="zh-CN"/>
              </w:rPr>
              <w:t>7</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184.71</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234.36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151.88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151.88</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一般行政管理事务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132.76</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132.76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2013304</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宣传管理</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2013399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其他宣传事务支出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131.43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32.83</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98.60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其他一般公共服务支出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2019999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教育支出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20502</w:t>
            </w:r>
          </w:p>
        </w:tc>
        <w:tc>
          <w:tcPr>
            <w:tcW w:w="3527"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普通教育</w:t>
            </w:r>
          </w:p>
        </w:tc>
        <w:tc>
          <w:tcPr>
            <w:tcW w:w="3000"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3492"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single" w:color="auto" w:sz="4" w:space="0"/>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2050299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其他普通教育支出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文化旅游体育与传媒支出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60.77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20702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文物</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2070205</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博物馆</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其他文化旅游体育与传媒支出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2079999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其他文化旅游体育与传媒支出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50.77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24.28</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人力资源和社会保障管理事务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2080101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行政运行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行政事业单位养老支出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16.38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16.38</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2080505</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13.73</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2080599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2.65</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抚恤</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2080801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死亡抚恤</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0.35</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20827</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财政对其他社会保险基金的补助</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2082701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财政对失业保险基金的补助</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0.06</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卫生健康支出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13.7</w:t>
            </w:r>
            <w:r>
              <w:rPr>
                <w:rFonts w:hint="eastAsia" w:ascii="ËÎÌå" w:hAnsi="ËÎÌå" w:eastAsia="宋体"/>
                <w:color w:val="auto"/>
                <w:sz w:val="22"/>
                <w:szCs w:val="24"/>
                <w:highlight w:val="none"/>
                <w:lang w:val="en-US" w:eastAsia="zh-CN"/>
              </w:rPr>
              <w:t>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21004</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公共卫生</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2100499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其他公共卫生支出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21012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财政对基本医疗保险基金的补助</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2101201</w:t>
            </w:r>
          </w:p>
        </w:tc>
        <w:tc>
          <w:tcPr>
            <w:tcW w:w="3527"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财政对职工基本医疗保险基金的补助</w:t>
            </w:r>
          </w:p>
        </w:tc>
        <w:tc>
          <w:tcPr>
            <w:tcW w:w="3000"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3492" w:type="dxa"/>
            <w:tcBorders>
              <w:top w:val="single" w:color="auto" w:sz="4" w:space="0"/>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3000" w:type="dxa"/>
            <w:tcBorders>
              <w:top w:val="single" w:color="auto" w:sz="4" w:space="0"/>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城乡社区支出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城乡社区管理事务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2120199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其他城乡社区管理事务支出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农林水支出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巩固脱贫衔接乡村振兴</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3.33</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2130502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一般行政管理事务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1.17</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1.17</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2130599</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其他巩固脱贫衔接乡村振兴支出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2.16</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2.16</w:t>
            </w: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highlight w:val="none"/>
        </w:rPr>
      </w:pPr>
    </w:p>
    <w:p>
      <w:pPr>
        <w:widowControl/>
        <w:jc w:val="left"/>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br w:type="page"/>
      </w:r>
    </w:p>
    <w:tbl>
      <w:tblPr>
        <w:tblStyle w:val="12"/>
        <w:tblW w:w="15945" w:type="dxa"/>
        <w:tblInd w:w="-232" w:type="dxa"/>
        <w:tblLayout w:type="fixed"/>
        <w:tblCellMar>
          <w:top w:w="0" w:type="dxa"/>
          <w:left w:w="108" w:type="dxa"/>
          <w:bottom w:w="0" w:type="dxa"/>
          <w:right w:w="108" w:type="dxa"/>
        </w:tblCellMar>
      </w:tblPr>
      <w:tblGrid>
        <w:gridCol w:w="840"/>
        <w:gridCol w:w="3585"/>
        <w:gridCol w:w="915"/>
        <w:gridCol w:w="930"/>
        <w:gridCol w:w="2535"/>
        <w:gridCol w:w="975"/>
        <w:gridCol w:w="855"/>
        <w:gridCol w:w="4425"/>
        <w:gridCol w:w="885"/>
      </w:tblGrid>
      <w:tr>
        <w:tblPrEx>
          <w:tblCellMar>
            <w:top w:w="0" w:type="dxa"/>
            <w:left w:w="108" w:type="dxa"/>
            <w:bottom w:w="0" w:type="dxa"/>
            <w:right w:w="108" w:type="dxa"/>
          </w:tblCellMar>
        </w:tblPrEx>
        <w:trPr>
          <w:trHeight w:val="113" w:hRule="atLeast"/>
        </w:trPr>
        <w:tc>
          <w:tcPr>
            <w:tcW w:w="1594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Cs w:val="32"/>
                <w:highlight w:val="none"/>
              </w:rPr>
            </w:pPr>
            <w:bookmarkStart w:id="2" w:name="RANGE!A1:I34"/>
            <w:r>
              <w:rPr>
                <w:rFonts w:hint="eastAsia" w:ascii="华文中宋" w:hAnsi="华文中宋" w:eastAsia="华文中宋" w:cs="宋体"/>
                <w:color w:val="auto"/>
                <w:kern w:val="0"/>
                <w:szCs w:val="32"/>
                <w:highlight w:val="none"/>
              </w:rPr>
              <w:t>一般公共预算财政拨款基本支出决算明细表</w:t>
            </w:r>
            <w:bookmarkEnd w:id="2"/>
          </w:p>
          <w:p>
            <w:pPr>
              <w:widowControl/>
              <w:wordWrap w:val="0"/>
              <w:jc w:val="both"/>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部门：</w:t>
            </w:r>
            <w:r>
              <w:rPr>
                <w:rFonts w:hint="eastAsia" w:ascii="Times New Roman" w:hAnsi="Times New Roman" w:eastAsia="仿宋_GB2312" w:cs="Times New Roman"/>
                <w:color w:val="auto"/>
                <w:kern w:val="0"/>
                <w:szCs w:val="21"/>
                <w:highlight w:val="none"/>
                <w:lang w:eastAsia="zh-CN"/>
              </w:rPr>
              <w:t>中共会同县委宣传部</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lang w:val="en-US" w:eastAsia="zh-CN"/>
              </w:rPr>
              <w:t xml:space="preserve">            </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公开06表</w:t>
            </w:r>
          </w:p>
          <w:p>
            <w:pPr>
              <w:widowControl/>
              <w:jc w:val="right"/>
              <w:rPr>
                <w:rFonts w:ascii="华文中宋" w:hAnsi="华文中宋" w:eastAsia="华文中宋" w:cs="宋体"/>
                <w:color w:val="auto"/>
                <w:kern w:val="0"/>
                <w:szCs w:val="32"/>
                <w:highlight w:val="none"/>
              </w:rPr>
            </w:pPr>
            <w:r>
              <w:rPr>
                <w:rFonts w:hint="eastAsia" w:ascii="Times New Roman" w:hAnsi="Times New Roman" w:eastAsia="仿宋_GB2312" w:cs="Times New Roman"/>
                <w:color w:val="auto"/>
                <w:kern w:val="0"/>
                <w:szCs w:val="21"/>
                <w:highlight w:val="none"/>
              </w:rPr>
              <w:t>单位：万元</w:t>
            </w:r>
          </w:p>
        </w:tc>
      </w:tr>
      <w:tr>
        <w:tblPrEx>
          <w:tblCellMar>
            <w:top w:w="0" w:type="dxa"/>
            <w:left w:w="108" w:type="dxa"/>
            <w:bottom w:w="0" w:type="dxa"/>
            <w:right w:w="108" w:type="dxa"/>
          </w:tblCellMar>
        </w:tblPrEx>
        <w:trPr>
          <w:trHeight w:val="113"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 w:val="20"/>
                <w:szCs w:val="20"/>
                <w:highlight w:val="none"/>
              </w:rPr>
              <w:t>经济分类科目编码</w:t>
            </w:r>
          </w:p>
        </w:tc>
        <w:tc>
          <w:tcPr>
            <w:tcW w:w="3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科目名称</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决算数</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经济分类科目编码</w:t>
            </w:r>
          </w:p>
        </w:tc>
        <w:tc>
          <w:tcPr>
            <w:tcW w:w="2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科目名称</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决算数</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经济分类科目编码</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科目名称</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决算数</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工资福利支出</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190.8</w:t>
            </w:r>
            <w:r>
              <w:rPr>
                <w:rFonts w:hint="eastAsia" w:ascii="ËÎÌå" w:hAnsi="ËÎÌå" w:eastAsia="宋体"/>
                <w:color w:val="auto"/>
                <w:sz w:val="22"/>
                <w:szCs w:val="24"/>
                <w:highlight w:val="none"/>
                <w:lang w:val="en-US" w:eastAsia="zh-CN"/>
              </w:rPr>
              <w:t>7</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商品和服务支出</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156.1</w:t>
            </w:r>
            <w:r>
              <w:rPr>
                <w:rFonts w:hint="eastAsia" w:ascii="ËÎÌå" w:hAnsi="ËÎÌå" w:eastAsia="宋体"/>
                <w:color w:val="auto"/>
                <w:sz w:val="22"/>
                <w:szCs w:val="24"/>
                <w:highlight w:val="none"/>
                <w:lang w:val="en-US" w:eastAsia="zh-CN"/>
              </w:rPr>
              <w:t>1</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307</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债务利息及费用支出</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30101</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基本工资</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91.45</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30201</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办公费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2.47</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30701</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国内债务付息</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30102</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津贴补贴</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38.91</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30202</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印刷费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23.01</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30702</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国外债务付息</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30103</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奖金</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27.51</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30203</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咨询费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资本性支出</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2.3</w:t>
            </w:r>
            <w:r>
              <w:rPr>
                <w:rFonts w:hint="eastAsia" w:ascii="ËÎÌå" w:hAnsi="ËÎÌå" w:eastAsia="宋体"/>
                <w:color w:val="auto"/>
                <w:sz w:val="22"/>
                <w:szCs w:val="24"/>
                <w:highlight w:val="none"/>
                <w:lang w:val="en-US" w:eastAsia="zh-CN"/>
              </w:rPr>
              <w:t>7</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30106</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伙食补助费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4.63</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30204</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手续费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31001</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房屋建筑物购建</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30107</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绩效工资</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0.36</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30205</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水费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31002</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办公设备购置</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2.3</w:t>
            </w:r>
            <w:r>
              <w:rPr>
                <w:rFonts w:hint="eastAsia" w:ascii="ËÎÌå" w:hAnsi="ËÎÌå" w:eastAsia="宋体"/>
                <w:color w:val="auto"/>
                <w:sz w:val="22"/>
                <w:szCs w:val="24"/>
                <w:highlight w:val="none"/>
                <w:lang w:val="en-US" w:eastAsia="zh-CN"/>
              </w:rPr>
              <w:t>7</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30108</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机关事业单位基本养老保险缴费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16.38</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30206</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电费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31003</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专用设备购置</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30109</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职业年金缴费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30207</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邮电费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31005</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基础设施建设</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30110</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职工基本医疗保险缴费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8.70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30208</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取暖费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31006</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大型修缮</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30111</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公务员医疗补助缴费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eastAsia" w:ascii="ËÎÌå" w:hAnsi="ËÎÌå" w:eastAsia="ËÎÌå" w:cstheme="minorBidi"/>
                <w:color w:val="auto"/>
                <w:kern w:val="2"/>
                <w:sz w:val="22"/>
                <w:szCs w:val="24"/>
                <w:highlight w:val="none"/>
                <w:lang w:val="en-US" w:eastAsia="zh-CN" w:bidi="ar-SA"/>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30209</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物业管理费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31007</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信息网络及软件购置更新</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30112</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其他社会保障缴费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0.37</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30211</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差旅费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7.70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31008</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物资储备</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30113</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住房公积金</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2.56</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30212</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因公出国（境）费用</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31009</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土地补偿</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30114</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医疗费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30213</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维修（护）费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31010</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安置补助</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30199</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其他工资福利支出</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30214</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租赁费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31011</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地上附着物和青苗补偿</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对个人和家庭的补助</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15.70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30215</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会议费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0.80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31012</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拆迁补偿</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30301</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离休费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30216</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培训费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0.37</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31013</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公务用车购置</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30302</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退休费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30217</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公务接待费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5.55</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31019</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其他交通工具购置</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30303</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退职（役）费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30218</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专用材料费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31021</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文物和陈列品购置</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30304</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抚恤金</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0.48</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30224</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被装购置费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31022</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无形资产购置</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30305</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生活补助</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11.16</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30225</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专用燃料费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31099</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其他资本性支出</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30306</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救济费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30226</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劳务费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17.43</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399</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其他支出</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30307</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医疗费补助</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30227</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委托业务费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39907</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国家赔偿费用支出</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30308</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助学金</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30228</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工会经费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18.17</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39908</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对民间非营利组织和群众性自治组织补贴</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30309</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奖励金</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0.11</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30229</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福利费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39909</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经常性赠与</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30310</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个人农业生产补贴</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30231</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公务用车运行维护费</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39910</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资本性赠与</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30311</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代缴社会保险费</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30239</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其他交通费用</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16.17</w:t>
            </w:r>
          </w:p>
        </w:tc>
        <w:tc>
          <w:tcPr>
            <w:tcW w:w="85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39999</w:t>
            </w:r>
          </w:p>
        </w:tc>
        <w:tc>
          <w:tcPr>
            <w:tcW w:w="442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其他支出</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30399</w:t>
            </w: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其他对个人和家庭的补助</w:t>
            </w: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3.95</w:t>
            </w: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30240</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税金及附加费用</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highlight w:val="none"/>
              </w:rPr>
            </w:pPr>
            <w:r>
              <w:rPr>
                <w:rFonts w:hint="eastAsia" w:ascii="宋体" w:hAnsi="宋体" w:eastAsia="宋体" w:cs="宋体"/>
                <w:color w:val="auto"/>
                <w:kern w:val="0"/>
                <w:szCs w:val="18"/>
                <w:highlight w:val="none"/>
              </w:rPr>
              <w:t>　</w:t>
            </w:r>
          </w:p>
        </w:tc>
        <w:tc>
          <w:tcPr>
            <w:tcW w:w="4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highlight w:val="none"/>
              </w:rPr>
            </w:pPr>
            <w:r>
              <w:rPr>
                <w:rFonts w:hint="eastAsia" w:ascii="宋体" w:hAnsi="宋体" w:eastAsia="宋体" w:cs="宋体"/>
                <w:color w:val="auto"/>
                <w:kern w:val="0"/>
                <w:szCs w:val="18"/>
                <w:highlight w:val="none"/>
              </w:rPr>
              <w:t>　</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olor w:val="auto"/>
                <w:sz w:val="22"/>
                <w:szCs w:val="24"/>
                <w:highlight w:val="none"/>
              </w:rPr>
            </w:pPr>
          </w:p>
        </w:tc>
        <w:tc>
          <w:tcPr>
            <w:tcW w:w="358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olor w:val="auto"/>
                <w:sz w:val="22"/>
                <w:szCs w:val="24"/>
                <w:highlight w:val="none"/>
              </w:rPr>
            </w:pPr>
          </w:p>
        </w:tc>
        <w:tc>
          <w:tcPr>
            <w:tcW w:w="91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olor w:val="auto"/>
                <w:sz w:val="22"/>
                <w:szCs w:val="24"/>
                <w:highlight w:val="none"/>
              </w:rPr>
            </w:pPr>
          </w:p>
        </w:tc>
        <w:tc>
          <w:tcPr>
            <w:tcW w:w="930"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30299</w:t>
            </w:r>
          </w:p>
        </w:tc>
        <w:tc>
          <w:tcPr>
            <w:tcW w:w="253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 xml:space="preserve">  其他商品和服务支出</w:t>
            </w:r>
          </w:p>
        </w:tc>
        <w:tc>
          <w:tcPr>
            <w:tcW w:w="97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eastAsia" w:ascii="ËÎÌå" w:hAnsi="ËÎÌå" w:eastAsia="宋体"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64.4</w:t>
            </w:r>
            <w:r>
              <w:rPr>
                <w:rFonts w:hint="eastAsia" w:ascii="ËÎÌå" w:hAnsi="ËÎÌå" w:eastAsia="宋体"/>
                <w:color w:val="auto"/>
                <w:sz w:val="22"/>
                <w:szCs w:val="24"/>
                <w:highlight w:val="none"/>
                <w:lang w:val="en-US" w:eastAsia="zh-CN"/>
              </w:rPr>
              <w:t>4</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Cs w:val="18"/>
                <w:highlight w:val="none"/>
              </w:rPr>
              <w:t>　</w:t>
            </w:r>
            <w:r>
              <w:rPr>
                <w:rFonts w:hint="eastAsia" w:ascii="宋体" w:hAnsi="宋体" w:eastAsia="宋体" w:cs="宋体"/>
                <w:color w:val="auto"/>
                <w:kern w:val="0"/>
                <w:szCs w:val="18"/>
                <w:highlight w:val="none"/>
                <w:lang w:val="en-US" w:eastAsia="zh-CN"/>
              </w:rPr>
              <w:t>158.48</w:t>
            </w:r>
          </w:p>
        </w:tc>
        <w:tc>
          <w:tcPr>
            <w:tcW w:w="4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Cs w:val="18"/>
                <w:highlight w:val="none"/>
              </w:rPr>
            </w:pP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p>
        </w:tc>
      </w:tr>
      <w:tr>
        <w:tblPrEx>
          <w:tblCellMar>
            <w:top w:w="0" w:type="dxa"/>
            <w:left w:w="108" w:type="dxa"/>
            <w:bottom w:w="0" w:type="dxa"/>
            <w:right w:w="108" w:type="dxa"/>
          </w:tblCellMar>
        </w:tblPrEx>
        <w:trPr>
          <w:trHeight w:val="284" w:hRule="exact"/>
        </w:trPr>
        <w:tc>
          <w:tcPr>
            <w:tcW w:w="442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0"/>
                <w:szCs w:val="20"/>
                <w:highlight w:val="none"/>
              </w:rPr>
              <w:t>人员经费合计</w:t>
            </w:r>
          </w:p>
        </w:tc>
        <w:tc>
          <w:tcPr>
            <w:tcW w:w="9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ËÎÌå" w:hAnsi="ËÎÌå" w:eastAsia="ËÎÌå"/>
                <w:color w:val="auto"/>
                <w:sz w:val="22"/>
                <w:szCs w:val="24"/>
                <w:highlight w:val="none"/>
                <w:lang w:val="en-US" w:eastAsia="zh-CN"/>
              </w:rPr>
              <w:t>206.57</w:t>
            </w:r>
          </w:p>
        </w:tc>
        <w:tc>
          <w:tcPr>
            <w:tcW w:w="9720" w:type="dxa"/>
            <w:gridSpan w:val="5"/>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eastAsia="宋体" w:cs="宋体"/>
                <w:color w:val="auto"/>
                <w:kern w:val="0"/>
                <w:szCs w:val="18"/>
                <w:highlight w:val="none"/>
                <w:lang w:eastAsia="zh-CN"/>
              </w:rPr>
            </w:pPr>
            <w:r>
              <w:rPr>
                <w:rFonts w:hint="eastAsia" w:ascii="宋体" w:hAnsi="宋体" w:eastAsia="宋体" w:cs="宋体"/>
                <w:color w:val="auto"/>
                <w:kern w:val="0"/>
                <w:szCs w:val="18"/>
                <w:highlight w:val="none"/>
              </w:rPr>
              <w:t>　</w:t>
            </w:r>
            <w:r>
              <w:rPr>
                <w:rFonts w:hint="eastAsia" w:ascii="宋体" w:hAnsi="宋体" w:eastAsia="宋体" w:cs="宋体"/>
                <w:color w:val="auto"/>
                <w:kern w:val="0"/>
                <w:szCs w:val="18"/>
                <w:highlight w:val="none"/>
                <w:lang w:val="en-US" w:eastAsia="zh-CN"/>
              </w:rPr>
              <w:t xml:space="preserve">                                    </w:t>
            </w:r>
            <w:r>
              <w:rPr>
                <w:rFonts w:hint="eastAsia" w:ascii="宋体" w:hAnsi="宋体" w:eastAsia="宋体" w:cs="宋体"/>
                <w:color w:val="auto"/>
                <w:kern w:val="0"/>
                <w:szCs w:val="18"/>
                <w:highlight w:val="none"/>
                <w:lang w:eastAsia="zh-CN"/>
              </w:rPr>
              <w:t>公用经费合计</w:t>
            </w:r>
          </w:p>
        </w:tc>
        <w:tc>
          <w:tcPr>
            <w:tcW w:w="885"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auto"/>
                <w:kern w:val="2"/>
                <w:sz w:val="22"/>
                <w:szCs w:val="24"/>
                <w:highlight w:val="none"/>
                <w:lang w:val="en-US" w:eastAsia="zh-CN" w:bidi="ar-SA"/>
              </w:rPr>
            </w:pPr>
            <w:r>
              <w:rPr>
                <w:rFonts w:hint="eastAsia" w:ascii="ËÎÌå" w:hAnsi="ËÎÌå" w:eastAsia="ËÎÌå" w:cstheme="minorBidi"/>
                <w:color w:val="auto"/>
                <w:kern w:val="2"/>
                <w:sz w:val="22"/>
                <w:szCs w:val="24"/>
                <w:highlight w:val="none"/>
                <w:lang w:val="en-US" w:eastAsia="zh-CN" w:bidi="ar-SA"/>
              </w:rPr>
              <w:t>158.48</w:t>
            </w:r>
          </w:p>
        </w:tc>
      </w:tr>
      <w:tr>
        <w:tblPrEx>
          <w:tblCellMar>
            <w:top w:w="0" w:type="dxa"/>
            <w:left w:w="108" w:type="dxa"/>
            <w:bottom w:w="0" w:type="dxa"/>
            <w:right w:w="108" w:type="dxa"/>
          </w:tblCellMar>
        </w:tblPrEx>
        <w:trPr>
          <w:trHeight w:val="284" w:hRule="exact"/>
        </w:trPr>
        <w:tc>
          <w:tcPr>
            <w:tcW w:w="15945" w:type="dxa"/>
            <w:gridSpan w:val="9"/>
            <w:tcBorders>
              <w:top w:val="nil"/>
              <w:left w:val="nil"/>
              <w:bottom w:val="nil"/>
              <w:right w:val="nil"/>
            </w:tcBorders>
            <w:shd w:val="clear" w:color="auto" w:fill="auto"/>
            <w:noWrap/>
            <w:vAlign w:val="center"/>
          </w:tcPr>
          <w:p>
            <w:pPr>
              <w:rPr>
                <w:color w:val="auto"/>
                <w:highlight w:val="none"/>
              </w:rPr>
            </w:pPr>
            <w:r>
              <w:rPr>
                <w:rFonts w:hint="eastAsia"/>
                <w:color w:val="auto"/>
                <w:highlight w:val="none"/>
              </w:rPr>
              <w:t>注：本表反映部门本年度一般公共预算财政拨款基本支出明细情况。</w:t>
            </w:r>
          </w:p>
        </w:tc>
      </w:tr>
    </w:tbl>
    <w:p>
      <w:pPr>
        <w:pStyle w:val="2"/>
        <w:jc w:val="both"/>
        <w:rPr>
          <w:color w:val="auto"/>
          <w:highlight w:val="none"/>
        </w:rPr>
      </w:pPr>
    </w:p>
    <w:tbl>
      <w:tblPr>
        <w:tblStyle w:val="12"/>
        <w:tblW w:w="15945"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240"/>
        <w:gridCol w:w="1387"/>
        <w:gridCol w:w="2110"/>
        <w:gridCol w:w="2253"/>
        <w:gridCol w:w="2094"/>
        <w:gridCol w:w="2096"/>
        <w:gridCol w:w="2094"/>
        <w:gridCol w:w="2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5594"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25"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387"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110"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253"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4"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4"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22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w:t>
            </w:r>
          </w:p>
        </w:tc>
        <w:tc>
          <w:tcPr>
            <w:tcW w:w="3737"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r>
              <w:rPr>
                <w:rFonts w:hint="eastAsia" w:ascii="Times New Roman" w:hAnsi="Times New Roman" w:eastAsia="仿宋_GB2312" w:cs="Times New Roman"/>
                <w:color w:val="auto"/>
                <w:kern w:val="0"/>
                <w:szCs w:val="21"/>
                <w:highlight w:val="none"/>
                <w:lang w:eastAsia="zh-CN"/>
              </w:rPr>
              <w:t>中共会同县委宣传部</w:t>
            </w:r>
            <w:r>
              <w:rPr>
                <w:rFonts w:ascii="Times New Roman" w:hAnsi="Times New Roman" w:eastAsia="仿宋_GB2312" w:cs="Times New Roman"/>
                <w:color w:val="auto"/>
                <w:kern w:val="0"/>
                <w:szCs w:val="21"/>
                <w:highlight w:val="none"/>
              </w:rPr>
              <w:t xml:space="preserve">   </w:t>
            </w:r>
          </w:p>
        </w:tc>
        <w:tc>
          <w:tcPr>
            <w:tcW w:w="2253"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4"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4"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9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项 </w:t>
            </w:r>
            <w:r>
              <w:rPr>
                <w:rStyle w:val="19"/>
                <w:color w:val="auto"/>
                <w:highlight w:val="none"/>
                <w:lang w:val="en-US" w:eastAsia="zh-CN" w:bidi="ar"/>
              </w:rPr>
              <w:t xml:space="preserve">   </w:t>
            </w:r>
            <w:r>
              <w:rPr>
                <w:rStyle w:val="20"/>
                <w:color w:val="auto"/>
                <w:highlight w:val="none"/>
                <w:lang w:val="en-US" w:eastAsia="zh-CN" w:bidi="ar"/>
              </w:rPr>
              <w:t>目</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年初结转和结余</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本年收入</w:t>
            </w:r>
          </w:p>
        </w:tc>
        <w:tc>
          <w:tcPr>
            <w:tcW w:w="6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本年支出</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4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科目代码</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科目名称</w:t>
            </w: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小计</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基本支出  </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项目支出</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594"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说明：我单位没有政府性基金收入，也没有使用政府性基金安排的支出，故本表无数据。</w:t>
            </w:r>
          </w:p>
        </w:tc>
      </w:tr>
    </w:tbl>
    <w:p>
      <w:pPr>
        <w:widowControl/>
        <w:jc w:val="both"/>
        <w:rPr>
          <w:rFonts w:hint="eastAsia" w:ascii="Times New Roman" w:hAnsi="Times New Roman" w:eastAsia="方正小标宋_GBK" w:cs="Times New Roman"/>
          <w:color w:val="auto"/>
          <w:kern w:val="0"/>
          <w:sz w:val="36"/>
          <w:szCs w:val="36"/>
          <w:highlight w:val="none"/>
        </w:rPr>
      </w:pPr>
    </w:p>
    <w:p>
      <w:pPr>
        <w:pStyle w:val="2"/>
        <w:rPr>
          <w:rFonts w:hint="eastAsia"/>
          <w:color w:val="auto"/>
          <w:highlight w:val="none"/>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w:t>
            </w:r>
          </w:p>
        </w:tc>
        <w:tc>
          <w:tcPr>
            <w:tcW w:w="299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r>
              <w:rPr>
                <w:rFonts w:hint="eastAsia" w:ascii="Times New Roman" w:hAnsi="Times New Roman" w:eastAsia="仿宋_GB2312" w:cs="Times New Roman"/>
                <w:color w:val="auto"/>
                <w:kern w:val="0"/>
                <w:szCs w:val="21"/>
                <w:highlight w:val="none"/>
                <w:lang w:eastAsia="zh-CN"/>
              </w:rPr>
              <w:t>中共会同县委宣传部</w:t>
            </w:r>
            <w:r>
              <w:rPr>
                <w:rFonts w:ascii="Times New Roman" w:hAnsi="Times New Roman" w:eastAsia="仿宋_GB2312" w:cs="Times New Roman"/>
                <w:color w:val="auto"/>
                <w:kern w:val="0"/>
                <w:szCs w:val="21"/>
                <w:highlight w:val="none"/>
              </w:rPr>
              <w:t xml:space="preserve">   </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项 </w:t>
            </w:r>
            <w:r>
              <w:rPr>
                <w:rFonts w:hint="eastAsia" w:ascii="宋体" w:hAnsi="宋体" w:eastAsia="宋体" w:cs="宋体"/>
                <w:i w:val="0"/>
                <w:color w:val="auto"/>
                <w:kern w:val="0"/>
                <w:sz w:val="22"/>
                <w:szCs w:val="22"/>
                <w:highlight w:val="none"/>
                <w:u w:val="none"/>
                <w:lang w:val="en-US" w:eastAsia="zh-CN" w:bidi="ar"/>
              </w:rPr>
              <w:t xml:space="preserve">   </w:t>
            </w:r>
            <w:r>
              <w:rPr>
                <w:rStyle w:val="21"/>
                <w:color w:val="auto"/>
                <w:highlight w:val="none"/>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说明：我单位没有使用国有资本经营预算安排的支出，故本表无数据。</w:t>
            </w:r>
          </w:p>
        </w:tc>
      </w:tr>
    </w:tbl>
    <w:p>
      <w:pPr>
        <w:widowControl/>
        <w:jc w:val="both"/>
        <w:rPr>
          <w:color w:val="auto"/>
          <w:sz w:val="72"/>
          <w:szCs w:val="72"/>
          <w:highlight w:val="none"/>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w:t>
            </w:r>
          </w:p>
        </w:tc>
        <w:tc>
          <w:tcPr>
            <w:tcW w:w="2522"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r>
              <w:rPr>
                <w:rFonts w:hint="eastAsia" w:ascii="Times New Roman" w:hAnsi="Times New Roman" w:eastAsia="仿宋_GB2312" w:cs="Times New Roman"/>
                <w:color w:val="auto"/>
                <w:kern w:val="0"/>
                <w:szCs w:val="21"/>
                <w:highlight w:val="none"/>
                <w:lang w:eastAsia="zh-CN"/>
              </w:rPr>
              <w:t>中共会同县委宣传部</w:t>
            </w:r>
            <w:r>
              <w:rPr>
                <w:rFonts w:ascii="Times New Roman" w:hAnsi="Times New Roman" w:eastAsia="仿宋_GB2312" w:cs="Times New Roman"/>
                <w:color w:val="auto"/>
                <w:kern w:val="0"/>
                <w:szCs w:val="21"/>
                <w:highlight w:val="none"/>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9.00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ËÎÌå" w:hAnsi="ËÎÌå" w:eastAsia="ËÎÌå" w:cstheme="minorBidi"/>
                <w:color w:val="auto"/>
                <w:kern w:val="2"/>
                <w:sz w:val="22"/>
                <w:szCs w:val="24"/>
                <w:highlight w:val="none"/>
                <w:lang w:val="en-US" w:eastAsia="zh-CN" w:bidi="ar-SA"/>
              </w:rPr>
            </w:pPr>
            <w:r>
              <w:rPr>
                <w:rFonts w:hint="default" w:ascii="ËÎÌå" w:hAnsi="ËÎÌå" w:eastAsia="ËÎÌå"/>
                <w:color w:val="auto"/>
                <w:sz w:val="22"/>
                <w:szCs w:val="24"/>
                <w:highlight w:val="none"/>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rPr>
          <w:color w:val="auto"/>
          <w:highlight w:val="none"/>
        </w:rPr>
        <w:sectPr>
          <w:pgSz w:w="16838" w:h="11906" w:orient="landscape"/>
          <w:pgMar w:top="720" w:right="720" w:bottom="720" w:left="720" w:header="851" w:footer="992" w:gutter="0"/>
          <w:cols w:space="425" w:num="1"/>
          <w:docGrid w:type="lines" w:linePitch="312" w:charSpace="0"/>
        </w:sectPr>
      </w:pPr>
    </w:p>
    <w:p>
      <w:pPr>
        <w:pStyle w:val="16"/>
        <w:rPr>
          <w:color w:val="auto"/>
          <w:sz w:val="72"/>
          <w:szCs w:val="72"/>
          <w:highlight w:val="none"/>
        </w:rPr>
      </w:pPr>
    </w:p>
    <w:p>
      <w:pPr>
        <w:pStyle w:val="16"/>
        <w:rPr>
          <w:color w:val="auto"/>
          <w:sz w:val="72"/>
          <w:szCs w:val="72"/>
          <w:highlight w:val="none"/>
        </w:rPr>
      </w:pPr>
    </w:p>
    <w:p>
      <w:pPr>
        <w:pStyle w:val="16"/>
        <w:rPr>
          <w:color w:val="auto"/>
          <w:sz w:val="72"/>
          <w:szCs w:val="72"/>
          <w:highlight w:val="none"/>
        </w:rPr>
      </w:pPr>
    </w:p>
    <w:p>
      <w:pPr>
        <w:pStyle w:val="16"/>
        <w:rPr>
          <w:color w:val="auto"/>
          <w:sz w:val="72"/>
          <w:szCs w:val="72"/>
          <w:highlight w:val="none"/>
        </w:rPr>
      </w:pPr>
    </w:p>
    <w:p>
      <w:pPr>
        <w:pStyle w:val="16"/>
        <w:jc w:val="center"/>
        <w:rPr>
          <w:color w:val="auto"/>
          <w:sz w:val="72"/>
          <w:szCs w:val="72"/>
          <w:highlight w:val="none"/>
        </w:rPr>
      </w:pPr>
    </w:p>
    <w:p>
      <w:pPr>
        <w:pStyle w:val="16"/>
        <w:jc w:val="center"/>
        <w:rPr>
          <w:rFonts w:hint="eastAsia" w:ascii="方正小标宋_GBK" w:hAnsi="方正小标宋_GBK" w:eastAsia="方正小标宋_GBK" w:cs="方正小标宋_GBK"/>
          <w:color w:val="auto"/>
          <w:sz w:val="72"/>
          <w:szCs w:val="72"/>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rPr>
        <w:t>第三部分</w:t>
      </w: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rPr>
        <w:t>202</w:t>
      </w:r>
      <w:r>
        <w:rPr>
          <w:rFonts w:hint="eastAsia"/>
          <w:color w:val="auto"/>
          <w:sz w:val="72"/>
          <w:szCs w:val="72"/>
          <w:highlight w:val="none"/>
          <w:lang w:val="en-US" w:eastAsia="zh-CN"/>
        </w:rPr>
        <w:t>2</w:t>
      </w:r>
      <w:r>
        <w:rPr>
          <w:rFonts w:hint="eastAsia"/>
          <w:color w:val="auto"/>
          <w:sz w:val="72"/>
          <w:szCs w:val="72"/>
          <w:highlight w:val="none"/>
        </w:rPr>
        <w:t>年度部门决算情况说明</w:t>
      </w:r>
    </w:p>
    <w:p>
      <w:pPr>
        <w:widowControl/>
        <w:jc w:val="left"/>
        <w:rPr>
          <w:rFonts w:asciiTheme="minorEastAsia" w:hAnsiTheme="minorEastAsia" w:eastAsiaTheme="minorEastAsia"/>
          <w:color w:val="auto"/>
          <w:sz w:val="32"/>
          <w:szCs w:val="32"/>
          <w:highlight w:val="none"/>
        </w:rPr>
      </w:pPr>
      <w:r>
        <w:rPr>
          <w:rFonts w:hint="eastAsia" w:ascii="方正小标宋_GBK" w:hAnsi="方正小标宋_GBK" w:eastAsia="方正小标宋_GBK" w:cs="方正小标宋_GBK"/>
          <w:color w:val="auto"/>
          <w:sz w:val="70"/>
          <w:szCs w:val="70"/>
          <w:highlight w:val="none"/>
        </w:rPr>
        <w:br w:type="page"/>
      </w:r>
    </w:p>
    <w:p>
      <w:pPr>
        <w:pStyle w:val="16"/>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2022年度收、支总计942.72万元（含年初结转和结余资金0万元）。与上年相比，增加443.25万元，增长88.74%，主要是因为一是在职人员增多，津贴补贴增多；二是日常公用经费增多；三是用于开展文化活动经费增多。</w:t>
      </w:r>
    </w:p>
    <w:p>
      <w:pPr>
        <w:pStyle w:val="16"/>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2022年度收入合计942.72万元，其中：财政拨款收入929.91万元，占98.64%；上级补助收入0万元，占0%；事业收入0万元，占0%；经营收入0万元，占0%；附属单位上缴收入0万元，占0%；其他收入12.81万元，占1.36%。</w:t>
      </w:r>
    </w:p>
    <w:p>
      <w:pPr>
        <w:pStyle w:val="16"/>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2022年度支出合计942.72万元，其中：基本支出377.86万元，占40.08%；项目支出564.86万元，占59.92%；上缴上级支出0万元，占0%；经营支出0万元，占0%；对附属单位补助支出0万元，占0%。</w:t>
      </w:r>
    </w:p>
    <w:p>
      <w:pPr>
        <w:pStyle w:val="16"/>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四、财政拨款收入支出决算总体情况说明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财政拨款收、支总计929.91万元（含年初财政拨款结转和结余资金）。与上年相比，增加564.23万元，增加154.30%，主要是因为一是在职人员增多，津贴补贴增多；二是日常公用经费增多；三是用于开展文化活动经费增多。</w:t>
      </w:r>
    </w:p>
    <w:p>
      <w:pPr>
        <w:pStyle w:val="16"/>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color w:val="auto"/>
          <w:sz w:val="32"/>
          <w:szCs w:val="32"/>
          <w:highlight w:val="none"/>
        </w:rPr>
      </w:pPr>
      <w:r>
        <w:rPr>
          <w:rFonts w:hint="eastAsia" w:ascii="黑体" w:hAnsi="黑体" w:eastAsia="黑体" w:cs="黑体"/>
          <w:b/>
          <w:bCs w:val="0"/>
          <w:color w:val="auto"/>
          <w:sz w:val="32"/>
          <w:szCs w:val="32"/>
          <w:highlight w:val="none"/>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（一）财政拨款支出决算总体情况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财政拨款支出929.91万元，占本年支出合计的98.64%，与上年相比，财政拨款支出增加433.24万元，增长87.23%，主要是因为一是在职人员增多，津贴补贴增多；二是日常公用经费增多；三是用于开展文化活动经费增多。</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（二）财政拨款支出决算结构情况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财政拨款支出929.91万元，主要用于以下方面：一般公共服务（类）支出598.55万元，占64.37%；教育（类）支出210万元，占22.58%;文化旅游体育与传媒（类）支出60.77万元，占6.54%;社会保障和就业（类）支出24.28万元，占2.61%;卫生健康（类）支出13.75万元，占1.48%;城乡社区（类）支出19.23万元，占2.06%;农林水（类）支出3.33万元，占0.36%。</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（三）财政拨款支出决算具体情况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2022年度财政拨款支出年初预算数为225.82万元，支出决算数为929.91万元，完成年初预算的411.79%，其中：</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1、一般公共服务支出（类）政府办公厅（室）及相关机构事务（款）行政运行（项）。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年初预算为187.93万元，支出决算为172.48万元，完成年初预算的91.78%，决算数小于年初预算数的主要原因是：人员工资、各项社保缴费增加以及功能科目变动。</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2、一般公共服务（类）商贸事务（款）招商引资（项）。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年初预算为0万元，支出决算为6万元，年初预算为0，无法计算百分比，决算数大于年初预算数的主要原因是：本年度增加此项支出。</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3、一般公共服务（类）宣传事务（款）行政运行（项）。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年初预算为0万元，支出决算为151.88万元，年初预算为0，无法计算百分比，决算数大于年初预算数的主要原因是：本年度增加此项支出。</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4、一般公共服务（类）宣传事务（款）一般行政管理事务（项）。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年初预算为0万元，支出决算为132.76万元，年初预算为0，无法计算百分比，决算数大于年初预算数的主要原因是：本年度增加此项支出。</w:t>
      </w:r>
    </w:p>
    <w:p>
      <w:pPr>
        <w:pStyle w:val="16"/>
        <w:numPr>
          <w:ilvl w:val="0"/>
          <w:numId w:val="2"/>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一般公共服务（类）宣传事务（款）宣传管理（项）。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年初预算为0万元，支出决算为3万元，年初预算为0，无法计算百分比，决算数大于年初预算数的主要原因是：本年度增加此项支出。</w:t>
      </w:r>
    </w:p>
    <w:p>
      <w:pPr>
        <w:pStyle w:val="16"/>
        <w:numPr>
          <w:ilvl w:val="0"/>
          <w:numId w:val="2"/>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一般公共服务（类）宣传事务（款）其他宣传事务支出（项）。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年初预算为0万元，支出决算为131.43万元，年初预算为0，无法计算百分比，决算数大于年初预算数的主要原因是：本年度增加此项支出。</w:t>
      </w:r>
    </w:p>
    <w:p>
      <w:pPr>
        <w:pStyle w:val="16"/>
        <w:numPr>
          <w:ilvl w:val="0"/>
          <w:numId w:val="2"/>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一般公共服务（类）其他一般公共服务支出（款）其他一般公共服务支出（项）。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年初预算为0万元，支出决算为1万元，年初预算为0，无法计算百分比，决算数大于年初预算数的主要原因是：本年度增加此项支出。</w:t>
      </w:r>
    </w:p>
    <w:p>
      <w:pPr>
        <w:pStyle w:val="16"/>
        <w:numPr>
          <w:ilvl w:val="0"/>
          <w:numId w:val="2"/>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教育支出（类）普通教育（款）其他普通教育支出（项）。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年初预算为0万元，支出决算为210万元，年初预算为0，无法计算百分比，决算数大于年初预算数的主要原因是：本年度增加此项支出。</w:t>
      </w:r>
    </w:p>
    <w:p>
      <w:pPr>
        <w:pStyle w:val="16"/>
        <w:numPr>
          <w:ilvl w:val="0"/>
          <w:numId w:val="2"/>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文化旅游体育与传媒支出（类）文物（款）博物馆（项）。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年初预算为0万元，支出决算为10万元，年初预算为0，无法计算百分比，决算数大于年初预算数的主要原因是：本年度增加此项支出。</w:t>
      </w:r>
    </w:p>
    <w:p>
      <w:pPr>
        <w:pStyle w:val="16"/>
        <w:numPr>
          <w:ilvl w:val="0"/>
          <w:numId w:val="2"/>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文化旅游体育与传媒支出（类）其他文化旅游体育与传媒支出（款）其他文化旅游体育与传媒支出（项）。</w:t>
      </w:r>
    </w:p>
    <w:p>
      <w:pPr>
        <w:pStyle w:val="16"/>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年初预算为0万元，支出决算为50.77万元，年初预算为0，无法计算百分比，决算数大于年初预算数的主要原因是：本年度增加此项支出。</w:t>
      </w:r>
    </w:p>
    <w:p>
      <w:pPr>
        <w:pStyle w:val="16"/>
        <w:numPr>
          <w:ilvl w:val="0"/>
          <w:numId w:val="2"/>
        </w:numPr>
        <w:shd w:val="clear"/>
        <w:spacing w:line="360" w:lineRule="auto"/>
        <w:ind w:left="0" w:leftChars="0"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社会保障和就业支出（类）人力资源和社会保障管理事务（款）行政运行（项）。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年初预算为0万元，支出决算为7.50万元，年初预算为0，无法计算百分比，决算数大于年初预算数的主要原因是：本年度增加此项支出。</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12、社会保障和就业支出（类）行政事业单位养老支出（款）机关事业单位基本养老保险缴费支出（项）。</w:t>
      </w:r>
    </w:p>
    <w:p>
      <w:p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年初预算为16.88万元，支出决算为13.73万元，完成年初预算的81.34%，决算数小于年初预算数的主要原因是：将一部分数据归集到其他行政事业单位基本养老支出。</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13、社会保障和就业支出（类）行政事业单位养老支出（款）其他行政事业单位基本养老支出（项）。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年初预算为0万元，支出决算为2.65万元，年初预算为0，无法计算百分比，决算数大于年初预算数的主要原因是：本年度增加此项支出。</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14、社会保障和就业支出（类）抚恤（款）死亡抚恤（项）。</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年初预算为0万元，支出决算为0.35万元，年初预算为0，无法计算百分比，决算数大于年初预算数的主要原因是：本年度增加此项支出。</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15、社会保障和就业支出（类）财政对其他社会保险基金的补助（款）财政对失业保险基金的补助（项）。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年初预算为0万元，支出决算为0.06万元，年初预算为0，无法计算百分比，决算数大于年初预算数的主要原因是：本年度增加此项支出。</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16、卫生健康支出（类）公共卫生（款）其他公共卫生支出（项）。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年初预算为0万元，支出决算为5.05万元，年初预算为0，无法计算百分比，决算数大于年初预算数的主要原因是：本年度增加此项支出。</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17、卫生健康支出（类）财政对基本医疗保险基金的补助（款）财政对职工基本医疗保险基金的补助（项）。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年初预算为8.97万元，支出决算为8.70万元，完成年初预算的96.99%，决算数小于年初预算数的主要原因是：厉行节俭，压减开支。</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18、城乡社区支出（类）城乡社区管理事务（款）其他城乡社区管理事务支出（项）。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年初预算为0万元，支出决算为19.23万元，年初预算为0，无法计算百分比，决算数大于年初预算数的主要原因是：本年度增加此项支出。</w:t>
      </w:r>
    </w:p>
    <w:p>
      <w:pPr>
        <w:pStyle w:val="16"/>
        <w:numPr>
          <w:ilvl w:val="0"/>
          <w:numId w:val="0"/>
        </w:numPr>
        <w:shd w:val="clear"/>
        <w:spacing w:line="360" w:lineRule="auto"/>
        <w:ind w:left="0" w:leftChars="0"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19、农林水支出（类）巩固脱贫衔接乡村振兴（款）一般行政管理事务（项）。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年初预算为0万元，支出决算为1.17万元，年初预算为0，无法计算百分比，决算数大于年初预算数的主要原因是：本年度增加此项支出。</w:t>
      </w:r>
    </w:p>
    <w:p>
      <w:pPr>
        <w:pStyle w:val="16"/>
        <w:numPr>
          <w:ilvl w:val="0"/>
          <w:numId w:val="0"/>
        </w:numPr>
        <w:shd w:val="clear"/>
        <w:spacing w:line="360" w:lineRule="auto"/>
        <w:ind w:left="0" w:leftChars="0"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20、农林水支出（类）巩固脱贫衔接乡村振兴（款）其他巩固脱贫衔接乡村振兴支出（项）。</w:t>
      </w:r>
    </w:p>
    <w:p>
      <w:pPr>
        <w:pStyle w:val="16"/>
        <w:numPr>
          <w:ilvl w:val="0"/>
          <w:numId w:val="0"/>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年初预算为0万元，支出决算为2.16万元，年初预算为0，无法计算百分比，决算数大于年初预算数的主要原因是：本年度增加此项支出。</w:t>
      </w:r>
    </w:p>
    <w:p>
      <w:pPr>
        <w:pStyle w:val="16"/>
        <w:numPr>
          <w:ilvl w:val="0"/>
          <w:numId w:val="3"/>
        </w:numPr>
        <w:shd w:val="clear"/>
        <w:spacing w:line="360" w:lineRule="auto"/>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住房保障支出（类）住房改革支出（款）住房公积金（项）</w:t>
      </w:r>
    </w:p>
    <w:p>
      <w:pPr>
        <w:pStyle w:val="16"/>
        <w:numPr>
          <w:ilvl w:val="0"/>
          <w:numId w:val="0"/>
        </w:numPr>
        <w:shd w:val="clear"/>
        <w:spacing w:line="360" w:lineRule="auto"/>
        <w:ind w:firstLine="640" w:firstLineChars="200"/>
        <w:rPr>
          <w:rFonts w:hint="default" w:ascii="宋体" w:hAnsi="宋体" w:eastAsia="宋体" w:cs="宋体"/>
          <w:color w:val="auto"/>
          <w:kern w:val="0"/>
          <w:sz w:val="32"/>
          <w:szCs w:val="32"/>
          <w:highlight w:val="none"/>
          <w:lang w:val="en-US" w:eastAsia="zh-CN" w:bidi="ar-SA"/>
        </w:rPr>
      </w:pPr>
      <w:r>
        <w:rPr>
          <w:rFonts w:hint="default" w:ascii="宋体" w:hAnsi="宋体" w:eastAsia="宋体" w:cs="宋体"/>
          <w:color w:val="auto"/>
          <w:kern w:val="0"/>
          <w:sz w:val="32"/>
          <w:szCs w:val="32"/>
          <w:highlight w:val="none"/>
          <w:lang w:val="en-US" w:eastAsia="zh-CN" w:bidi="ar-SA"/>
        </w:rPr>
        <w:t>年初预算为</w:t>
      </w:r>
      <w:r>
        <w:rPr>
          <w:rFonts w:hint="eastAsia" w:ascii="宋体" w:hAnsi="宋体" w:eastAsia="宋体" w:cs="宋体"/>
          <w:color w:val="auto"/>
          <w:kern w:val="0"/>
          <w:sz w:val="32"/>
          <w:szCs w:val="32"/>
          <w:highlight w:val="none"/>
          <w:lang w:val="en-US" w:eastAsia="zh-CN" w:bidi="ar-SA"/>
        </w:rPr>
        <w:t>12.04</w:t>
      </w:r>
      <w:r>
        <w:rPr>
          <w:rFonts w:hint="default" w:ascii="宋体" w:hAnsi="宋体" w:eastAsia="宋体" w:cs="宋体"/>
          <w:color w:val="auto"/>
          <w:kern w:val="0"/>
          <w:sz w:val="32"/>
          <w:szCs w:val="32"/>
          <w:highlight w:val="none"/>
          <w:lang w:val="en-US" w:eastAsia="zh-CN" w:bidi="ar-SA"/>
        </w:rPr>
        <w:t>万元，支出决算为</w:t>
      </w:r>
      <w:r>
        <w:rPr>
          <w:rFonts w:hint="eastAsia" w:ascii="宋体" w:hAnsi="宋体" w:eastAsia="宋体" w:cs="宋体"/>
          <w:color w:val="auto"/>
          <w:kern w:val="0"/>
          <w:sz w:val="32"/>
          <w:szCs w:val="32"/>
          <w:highlight w:val="none"/>
          <w:lang w:val="en-US" w:eastAsia="zh-CN" w:bidi="ar-SA"/>
        </w:rPr>
        <w:t>0</w:t>
      </w:r>
      <w:r>
        <w:rPr>
          <w:rFonts w:hint="default" w:ascii="宋体" w:hAnsi="宋体" w:eastAsia="宋体" w:cs="宋体"/>
          <w:color w:val="auto"/>
          <w:kern w:val="0"/>
          <w:sz w:val="32"/>
          <w:szCs w:val="32"/>
          <w:highlight w:val="none"/>
          <w:lang w:val="en-US" w:eastAsia="zh-CN" w:bidi="ar-SA"/>
        </w:rPr>
        <w:t>万元</w:t>
      </w:r>
      <w:r>
        <w:rPr>
          <w:rFonts w:hint="eastAsia" w:ascii="宋体" w:hAnsi="宋体" w:eastAsia="宋体" w:cs="宋体"/>
          <w:color w:val="auto"/>
          <w:kern w:val="0"/>
          <w:sz w:val="32"/>
          <w:szCs w:val="32"/>
          <w:highlight w:val="none"/>
          <w:lang w:val="en-US" w:eastAsia="zh-CN" w:bidi="ar-SA"/>
        </w:rPr>
        <w:t>，完成年初预算的0%，决算数小于年初预算数的主要原因是：公积金单位部分由财政直接付到公积金中心的，未通过本单位。</w:t>
      </w:r>
    </w:p>
    <w:p>
      <w:pPr>
        <w:pStyle w:val="16"/>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2022年度财政拨款基本支出365.05万元，其中：</w:t>
      </w:r>
    </w:p>
    <w:p>
      <w:pPr>
        <w:widowControl/>
        <w:shd w:val="clear"/>
        <w:spacing w:line="360" w:lineRule="auto"/>
        <w:ind w:firstLine="640" w:firstLineChars="200"/>
        <w:jc w:val="left"/>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人员经费206.57万元</w:t>
      </w:r>
      <w:r>
        <w:rPr>
          <w:rFonts w:hint="eastAsia" w:ascii="宋体" w:hAnsi="宋体" w:eastAsia="宋体" w:cs="宋体"/>
          <w:color w:val="auto"/>
          <w:kern w:val="0"/>
          <w:sz w:val="32"/>
          <w:szCs w:val="32"/>
          <w:highlight w:val="none"/>
          <w:lang w:val="en-US" w:eastAsia="zh-CN" w:bidi="ar-SA"/>
        </w:rPr>
        <w:t>，占基本支出的56.59%,主要包括基本工资、津贴补贴、奖金、伙食补助费、绩效工资、机关事业单位基本养老保险缴费、职业年金、职工基本医疗保险缴费、其他社会保险缴费、住房公积金、抚恤金、生活补助、奖励金、其他对个人和家庭的补助。</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p>
    <w:p>
      <w:pPr>
        <w:widowControl/>
        <w:shd w:val="clear"/>
        <w:spacing w:line="360" w:lineRule="auto"/>
        <w:ind w:firstLine="640" w:firstLineChars="200"/>
        <w:jc w:val="left"/>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公用经费158.48万元</w:t>
      </w:r>
      <w:r>
        <w:rPr>
          <w:rFonts w:hint="eastAsia" w:ascii="宋体" w:hAnsi="宋体" w:eastAsia="宋体" w:cs="宋体"/>
          <w:color w:val="auto"/>
          <w:kern w:val="0"/>
          <w:sz w:val="32"/>
          <w:szCs w:val="32"/>
          <w:highlight w:val="none"/>
          <w:lang w:val="en-US" w:eastAsia="zh-CN" w:bidi="ar-SA"/>
        </w:rPr>
        <w:t>，占基本支出的43.41%，主要包括办公费、印刷费、差旅费、会议费、培训费、公务接待费、劳务费、工会经费、其他交通费用、其他商品服务支出、办公设备购置。</w:t>
      </w:r>
    </w:p>
    <w:p>
      <w:pPr>
        <w:pStyle w:val="16"/>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bCs w:val="0"/>
          <w:color w:val="auto"/>
          <w:sz w:val="32"/>
          <w:szCs w:val="32"/>
          <w:highlight w:val="none"/>
        </w:rPr>
      </w:pPr>
      <w:r>
        <w:rPr>
          <w:rFonts w:hint="eastAsia" w:hAnsi="黑体" w:cs="黑体"/>
          <w:b/>
          <w:bCs w:val="0"/>
          <w:color w:val="auto"/>
          <w:sz w:val="32"/>
          <w:szCs w:val="32"/>
          <w:highlight w:val="none"/>
          <w:lang w:eastAsia="zh-CN"/>
        </w:rPr>
        <w:t>七、</w:t>
      </w:r>
      <w:r>
        <w:rPr>
          <w:rFonts w:hint="eastAsia" w:ascii="黑体" w:hAnsi="黑体" w:eastAsia="黑体" w:cs="黑体"/>
          <w:b/>
          <w:bCs w:val="0"/>
          <w:color w:val="auto"/>
          <w:sz w:val="32"/>
          <w:szCs w:val="32"/>
          <w:highlight w:val="none"/>
        </w:rPr>
        <w:t>财政拨款三公经费支出决算情况说明</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b/>
          <w:bCs w:val="0"/>
          <w:color w:val="auto"/>
          <w:sz w:val="32"/>
          <w:szCs w:val="32"/>
          <w:highlight w:val="none"/>
        </w:rPr>
      </w:pPr>
      <w:r>
        <w:rPr>
          <w:rFonts w:hint="eastAsia" w:asciiTheme="minorEastAsia" w:hAnsiTheme="minorEastAsia" w:eastAsiaTheme="minorEastAsia" w:cstheme="minorEastAsia"/>
          <w:b/>
          <w:bCs w:val="0"/>
          <w:color w:val="auto"/>
          <w:sz w:val="32"/>
          <w:szCs w:val="32"/>
          <w:highlight w:val="none"/>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“三公”经费财政拨款支出预算为9万元，支出决算为7.54万元，完成预算的83.78%，其中：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因公出国（境）费支出预算为0万元，支出决算为0万元，决算数与预算数一致，无增减变动，决算数等于年初预算数的主要原因是本单位无因公出国（境）费支出，与上年一致，无增减变动，原因是没有因公出国（境）费用类支出。  </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务接待费支出预算为9万元，支出决算为7.54万元，完成预算的83.78%，决算数小于预算数的主要原因是厉行节约，压减支出，与上年相比增加2.17万元，增长40.41%,增长的主要原因是举办活动次数增加，接待上级媒体增多。</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务用车购置费支出预算为0万元，支出决算为0万元，决算数与预算数一致，无增减变动，决算数等于年初预算数的主要原因是本单位无公务用车购置费支出，与上年相比一致，无增减变动，主要原因是无车辆购置。</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务用车运行维护费支出预算为0万元，支出决算为0万元，决算数与预算数一致，无增减变动，决算数等于年初预算数的主要原因是本单位无公务用车运行维护费支出，与上年相比一致,无增减变动，主要原因是无公务用车运行维护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ajorEastAsia" w:hAnsiTheme="majorEastAsia" w:eastAsiaTheme="majorEastAsia" w:cstheme="majorEastAsia"/>
          <w:b/>
          <w:bCs w:val="0"/>
          <w:color w:val="auto"/>
          <w:sz w:val="32"/>
          <w:szCs w:val="32"/>
          <w:highlight w:val="none"/>
        </w:rPr>
      </w:pPr>
      <w:r>
        <w:rPr>
          <w:rFonts w:hint="eastAsia" w:asciiTheme="majorEastAsia" w:hAnsiTheme="majorEastAsia" w:eastAsiaTheme="majorEastAsia" w:cstheme="majorEastAsia"/>
          <w:b/>
          <w:bCs w:val="0"/>
          <w:color w:val="auto"/>
          <w:sz w:val="32"/>
          <w:szCs w:val="32"/>
          <w:highlight w:val="none"/>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2022年度“三公”经费财政拨款支出决算中，公务接待费支出决算7.54万元，占100%,因公出国（境）费支出决算0万元，占0%,公务用车购置费及运行维护费支出决算0万元，占0%。其中：</w:t>
      </w:r>
    </w:p>
    <w:p>
      <w:pPr>
        <w:pStyle w:val="16"/>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因公出国（境）费支出决算为0万元，全年安排因公出国（境）团组0个，累计0人次,无开支内容。</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2、公务接待费支出决算为7.54万元，全年共接待来访团组59个、来宾605人次，主要是接待上级媒体、其他县市宣传部业务工作交流发生的接待支出。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3、公务用车购置费及运行维护费支出决算为0万元，其中：公务用车购置费0万元，更新公务用车0辆。公务用车运行维护费0万元，截止2022年12月31日，我单位开支财政拨款的公务用车保有量为0辆。</w:t>
      </w:r>
    </w:p>
    <w:p>
      <w:pPr>
        <w:pStyle w:val="16"/>
        <w:keepNext w:val="0"/>
        <w:keepLines w:val="0"/>
        <w:pageBreakBefore w:val="0"/>
        <w:widowControl w:val="0"/>
        <w:kinsoku/>
        <w:wordWrap/>
        <w:overflowPunct/>
        <w:topLinePunct w:val="0"/>
        <w:bidi w:val="0"/>
        <w:snapToGrid/>
        <w:spacing w:line="600" w:lineRule="exact"/>
        <w:textAlignment w:val="auto"/>
        <w:rPr>
          <w:rFonts w:hint="eastAsia" w:hAnsi="黑体" w:cs="黑体"/>
          <w:b/>
          <w:bCs w:val="0"/>
          <w:color w:val="auto"/>
          <w:sz w:val="32"/>
          <w:szCs w:val="32"/>
          <w:highlight w:val="none"/>
          <w:lang w:eastAsia="zh-CN"/>
        </w:rPr>
      </w:pPr>
      <w:r>
        <w:rPr>
          <w:rFonts w:hint="eastAsia" w:hAnsi="黑体" w:cs="黑体"/>
          <w:b/>
          <w:bCs w:val="0"/>
          <w:color w:val="auto"/>
          <w:sz w:val="32"/>
          <w:szCs w:val="32"/>
          <w:highlight w:val="none"/>
          <w:lang w:eastAsia="zh-CN"/>
        </w:rPr>
        <w:t>八、政府性基金预算收入支出决算情况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2022年度政府性基金预算财政拨款收入0万元；年初结转和结余0万元；支出0万元，其中基本支出0万元，项目支出0万元；年末结转和结余0万元。本单位无政府基金性收支。</w:t>
      </w:r>
    </w:p>
    <w:p>
      <w:pPr>
        <w:pStyle w:val="16"/>
        <w:keepNext w:val="0"/>
        <w:keepLines w:val="0"/>
        <w:pageBreakBefore w:val="0"/>
        <w:widowControl w:val="0"/>
        <w:kinsoku/>
        <w:wordWrap/>
        <w:overflowPunct/>
        <w:topLinePunct w:val="0"/>
        <w:bidi w:val="0"/>
        <w:snapToGrid/>
        <w:spacing w:line="600" w:lineRule="exact"/>
        <w:textAlignment w:val="auto"/>
        <w:rPr>
          <w:rFonts w:hint="eastAsia" w:hAnsi="黑体" w:cs="黑体"/>
          <w:b/>
          <w:bCs w:val="0"/>
          <w:color w:val="auto"/>
          <w:sz w:val="32"/>
          <w:szCs w:val="32"/>
          <w:highlight w:val="none"/>
          <w:lang w:eastAsia="zh-CN"/>
        </w:rPr>
      </w:pPr>
      <w:r>
        <w:rPr>
          <w:rFonts w:hint="eastAsia" w:hAnsi="黑体" w:cs="黑体"/>
          <w:b/>
          <w:bCs w:val="0"/>
          <w:color w:val="auto"/>
          <w:sz w:val="32"/>
          <w:szCs w:val="32"/>
          <w:highlight w:val="none"/>
          <w:lang w:eastAsia="zh-CN"/>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本部门2022年度机关运行经费支出158.48万元，比年初预算数增加125.97万元，增长387.48%。主要原因是：人员增加及印刷费、公务接待费、劳务费、其他交通费用、其他商品和服务支出增加。</w:t>
      </w:r>
    </w:p>
    <w:p>
      <w:pPr>
        <w:pStyle w:val="16"/>
        <w:keepNext w:val="0"/>
        <w:keepLines w:val="0"/>
        <w:pageBreakBefore w:val="0"/>
        <w:widowControl w:val="0"/>
        <w:kinsoku/>
        <w:wordWrap/>
        <w:overflowPunct/>
        <w:topLinePunct w:val="0"/>
        <w:bidi w:val="0"/>
        <w:snapToGrid/>
        <w:spacing w:line="600" w:lineRule="exact"/>
        <w:textAlignment w:val="auto"/>
        <w:rPr>
          <w:rFonts w:hint="eastAsia" w:hAnsi="黑体" w:cs="黑体"/>
          <w:b/>
          <w:bCs w:val="0"/>
          <w:color w:val="auto"/>
          <w:sz w:val="32"/>
          <w:szCs w:val="32"/>
          <w:highlight w:val="none"/>
          <w:lang w:eastAsia="zh-CN"/>
        </w:rPr>
      </w:pPr>
      <w:r>
        <w:rPr>
          <w:rFonts w:hint="eastAsia" w:hAnsi="黑体" w:cs="黑体"/>
          <w:b/>
          <w:bCs w:val="0"/>
          <w:color w:val="auto"/>
          <w:sz w:val="32"/>
          <w:szCs w:val="32"/>
          <w:highlight w:val="none"/>
          <w:lang w:eastAsia="zh-CN"/>
        </w:rPr>
        <w:t>十、一般性支出情况说明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宋体" w:hAnsi="宋体" w:eastAsia="宋体" w:cs="宋体"/>
          <w:color w:val="auto"/>
          <w:sz w:val="32"/>
          <w:szCs w:val="32"/>
          <w:highlight w:val="none"/>
          <w:lang w:val="en-US" w:eastAsia="zh-CN"/>
        </w:rPr>
        <w:t>2022年本部门开支</w:t>
      </w:r>
      <w:r>
        <w:rPr>
          <w:rFonts w:hint="eastAsia" w:ascii="宋体" w:hAnsi="宋体" w:eastAsia="宋体" w:cs="宋体"/>
          <w:b/>
          <w:bCs/>
          <w:color w:val="auto"/>
          <w:sz w:val="32"/>
          <w:szCs w:val="32"/>
          <w:highlight w:val="none"/>
          <w:lang w:val="en-US" w:eastAsia="zh-CN"/>
        </w:rPr>
        <w:t>会议费0.8万元</w:t>
      </w:r>
      <w:r>
        <w:rPr>
          <w:rFonts w:hint="eastAsia" w:ascii="宋体" w:hAnsi="宋体" w:eastAsia="宋体" w:cs="宋体"/>
          <w:color w:val="auto"/>
          <w:sz w:val="32"/>
          <w:szCs w:val="32"/>
          <w:highlight w:val="none"/>
          <w:lang w:val="en-US" w:eastAsia="zh-CN"/>
        </w:rPr>
        <w:t>，用于召开2022年全县“扫黄打非”工作会议、2022年全县意识形态工作联席会议暨分析研判会议和全县学习贯彻党的二十大精神工作部署会等会议，人数总计356人，内容为进行全县“扫黄打非”工作部署、全县意识形态工作联席会议暨分析研判和学习贯彻党的二十大精神工作等；开支</w:t>
      </w:r>
      <w:r>
        <w:rPr>
          <w:rFonts w:hint="eastAsia" w:ascii="宋体" w:hAnsi="宋体" w:eastAsia="宋体" w:cs="宋体"/>
          <w:b/>
          <w:bCs/>
          <w:color w:val="auto"/>
          <w:sz w:val="32"/>
          <w:szCs w:val="32"/>
          <w:highlight w:val="none"/>
          <w:lang w:val="en-US" w:eastAsia="zh-CN"/>
        </w:rPr>
        <w:t>培训费0.37万元</w:t>
      </w:r>
      <w:r>
        <w:rPr>
          <w:rFonts w:hint="eastAsia" w:ascii="宋体" w:hAnsi="宋体" w:eastAsia="宋体" w:cs="宋体"/>
          <w:color w:val="auto"/>
          <w:sz w:val="32"/>
          <w:szCs w:val="32"/>
          <w:highlight w:val="none"/>
          <w:lang w:val="en-US" w:eastAsia="zh-CN"/>
        </w:rPr>
        <w:t>，用于开展宣传思想暨意识形态工作业务培训，人数192人，内容为宣传思想文化业务工作培训；举办“粟裕故里邀明月·侗家月饼话团圆”首届会同堡子月饼文化节活动，开支30万元，主要是通过开展活动，积极推进文旅融合。</w:t>
      </w:r>
    </w:p>
    <w:p>
      <w:pPr>
        <w:pStyle w:val="16"/>
        <w:keepNext w:val="0"/>
        <w:keepLines w:val="0"/>
        <w:pageBreakBefore w:val="0"/>
        <w:widowControl w:val="0"/>
        <w:kinsoku/>
        <w:wordWrap/>
        <w:overflowPunct/>
        <w:topLinePunct w:val="0"/>
        <w:bidi w:val="0"/>
        <w:snapToGrid/>
        <w:spacing w:line="600" w:lineRule="exact"/>
        <w:textAlignment w:val="auto"/>
        <w:rPr>
          <w:rFonts w:hint="eastAsia" w:hAnsi="黑体" w:cs="黑体"/>
          <w:b/>
          <w:bCs w:val="0"/>
          <w:color w:val="auto"/>
          <w:sz w:val="32"/>
          <w:szCs w:val="32"/>
          <w:highlight w:val="none"/>
          <w:lang w:eastAsia="zh-CN"/>
        </w:rPr>
      </w:pPr>
      <w:r>
        <w:rPr>
          <w:rFonts w:hint="eastAsia" w:hAnsi="黑体" w:cs="黑体"/>
          <w:b/>
          <w:bCs w:val="0"/>
          <w:color w:val="auto"/>
          <w:sz w:val="32"/>
          <w:szCs w:val="32"/>
          <w:highlight w:val="none"/>
          <w:lang w:eastAsia="zh-CN"/>
        </w:rPr>
        <w:t>十一、政府采购支出说明</w:t>
      </w:r>
    </w:p>
    <w:p>
      <w:pPr>
        <w:pStyle w:val="16"/>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本部门2022年度政府采购支出总额  0 万元，其中：政府采购货物支出 0万元、政府采购工程支出  0 万元、政府采购服务支出0   万元。授予中小企业合同金额 0  万元，分母为0无法计算占比，其中：授予小微企业合同金额 0  万元，分母为0无法计算占比。</w:t>
      </w:r>
    </w:p>
    <w:p>
      <w:pPr>
        <w:pStyle w:val="16"/>
        <w:keepNext w:val="0"/>
        <w:keepLines w:val="0"/>
        <w:pageBreakBefore w:val="0"/>
        <w:widowControl w:val="0"/>
        <w:kinsoku/>
        <w:wordWrap/>
        <w:overflowPunct/>
        <w:topLinePunct w:val="0"/>
        <w:bidi w:val="0"/>
        <w:snapToGrid/>
        <w:spacing w:line="600" w:lineRule="exact"/>
        <w:textAlignment w:val="auto"/>
        <w:rPr>
          <w:rFonts w:hint="eastAsia" w:hAnsi="黑体" w:cs="黑体"/>
          <w:b/>
          <w:bCs w:val="0"/>
          <w:color w:val="auto"/>
          <w:sz w:val="32"/>
          <w:szCs w:val="32"/>
          <w:highlight w:val="none"/>
          <w:lang w:eastAsia="zh-CN"/>
        </w:rPr>
      </w:pPr>
      <w:bookmarkStart w:id="3" w:name="_GoBack"/>
      <w:bookmarkEnd w:id="3"/>
      <w:r>
        <w:rPr>
          <w:rFonts w:hint="eastAsia" w:hAnsi="黑体" w:cs="黑体"/>
          <w:b/>
          <w:bCs w:val="0"/>
          <w:color w:val="auto"/>
          <w:sz w:val="32"/>
          <w:szCs w:val="32"/>
          <w:highlight w:val="none"/>
          <w:lang w:eastAsia="zh-CN"/>
        </w:rPr>
        <w:t>十二、国有资产占用情况说明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截至2022年12月31日，本单位共有车辆0辆，其中，主要领导干部用车0辆，机要通信用车0辆、应急保障用车0辆、执法执勤用车0辆、特种专业技术用车0辆、其他用车0辆，无其他用车；单位价值50万元以上通用设备0台；单位价值100万元以上专用设备0台。</w:t>
      </w:r>
    </w:p>
    <w:p>
      <w:pPr>
        <w:pStyle w:val="16"/>
        <w:keepNext w:val="0"/>
        <w:keepLines w:val="0"/>
        <w:pageBreakBefore w:val="0"/>
        <w:widowControl w:val="0"/>
        <w:kinsoku/>
        <w:wordWrap/>
        <w:overflowPunct/>
        <w:topLinePunct w:val="0"/>
        <w:bidi w:val="0"/>
        <w:snapToGrid/>
        <w:spacing w:line="600" w:lineRule="exact"/>
        <w:textAlignment w:val="auto"/>
        <w:rPr>
          <w:rFonts w:hint="eastAsia" w:hAnsi="黑体" w:cs="黑体"/>
          <w:b/>
          <w:bCs w:val="0"/>
          <w:color w:val="auto"/>
          <w:sz w:val="32"/>
          <w:szCs w:val="32"/>
          <w:highlight w:val="none"/>
          <w:lang w:eastAsia="zh-CN"/>
        </w:rPr>
      </w:pPr>
      <w:r>
        <w:rPr>
          <w:rFonts w:hint="eastAsia" w:hAnsi="黑体" w:cs="黑体"/>
          <w:b/>
          <w:bCs w:val="0"/>
          <w:color w:val="auto"/>
          <w:sz w:val="32"/>
          <w:szCs w:val="32"/>
          <w:highlight w:val="none"/>
          <w:lang w:eastAsia="zh-CN"/>
        </w:rPr>
        <w:t>十三、202</w:t>
      </w:r>
      <w:r>
        <w:rPr>
          <w:rFonts w:hint="eastAsia" w:hAnsi="黑体" w:cs="黑体"/>
          <w:b/>
          <w:bCs w:val="0"/>
          <w:color w:val="auto"/>
          <w:sz w:val="32"/>
          <w:szCs w:val="32"/>
          <w:highlight w:val="none"/>
          <w:lang w:val="en-US" w:eastAsia="zh-CN"/>
        </w:rPr>
        <w:t>2</w:t>
      </w:r>
      <w:r>
        <w:rPr>
          <w:rFonts w:hint="eastAsia" w:hAnsi="黑体" w:cs="黑体"/>
          <w:b/>
          <w:bCs w:val="0"/>
          <w:color w:val="auto"/>
          <w:sz w:val="32"/>
          <w:szCs w:val="32"/>
          <w:highlight w:val="none"/>
          <w:lang w:eastAsia="zh-CN"/>
        </w:rPr>
        <w:t>年度预算绩效情况的说明</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（一）绩效管理评价工作开展情况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本部门202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年整体支出</w:t>
      </w:r>
      <w:r>
        <w:rPr>
          <w:rFonts w:hint="eastAsia" w:ascii="宋体" w:hAnsi="宋体" w:eastAsia="宋体" w:cs="宋体"/>
          <w:color w:val="auto"/>
          <w:sz w:val="32"/>
          <w:szCs w:val="32"/>
          <w:highlight w:val="none"/>
          <w:lang w:val="en-US" w:eastAsia="zh-CN"/>
        </w:rPr>
        <w:t>942.72</w:t>
      </w:r>
      <w:r>
        <w:rPr>
          <w:rFonts w:hint="eastAsia" w:ascii="宋体" w:hAnsi="宋体" w:eastAsia="宋体" w:cs="宋体"/>
          <w:color w:val="auto"/>
          <w:sz w:val="32"/>
          <w:szCs w:val="32"/>
          <w:highlight w:val="none"/>
        </w:rPr>
        <w:t>万元，其中</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基本支出377.86万元，</w:t>
      </w:r>
      <w:r>
        <w:rPr>
          <w:rFonts w:hint="eastAsia" w:ascii="宋体" w:hAnsi="宋体" w:eastAsia="宋体" w:cs="宋体"/>
          <w:color w:val="auto"/>
          <w:sz w:val="32"/>
          <w:szCs w:val="32"/>
          <w:highlight w:val="none"/>
        </w:rPr>
        <w:t>项目支出</w:t>
      </w:r>
      <w:r>
        <w:rPr>
          <w:rFonts w:hint="eastAsia" w:ascii="宋体" w:hAnsi="宋体" w:eastAsia="宋体" w:cs="宋体"/>
          <w:color w:val="auto"/>
          <w:sz w:val="32"/>
          <w:szCs w:val="32"/>
          <w:highlight w:val="none"/>
          <w:lang w:val="en-US" w:eastAsia="zh-CN"/>
        </w:rPr>
        <w:t>564.86</w:t>
      </w:r>
      <w:r>
        <w:rPr>
          <w:rFonts w:hint="eastAsia" w:ascii="宋体" w:hAnsi="宋体" w:eastAsia="宋体" w:cs="宋体"/>
          <w:color w:val="auto"/>
          <w:sz w:val="32"/>
          <w:szCs w:val="32"/>
          <w:highlight w:val="none"/>
        </w:rPr>
        <w:t>万元，本年度无重点项目支出。根据绩效管理要求，我部门组织对202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年度一般公共项目支出全面开展绩效自评，其中，一级项目0个，二级项</w:t>
      </w:r>
      <w:r>
        <w:rPr>
          <w:rFonts w:hint="eastAsia" w:ascii="宋体" w:hAnsi="宋体" w:eastAsia="宋体" w:cs="宋体"/>
          <w:color w:val="auto"/>
          <w:sz w:val="32"/>
          <w:szCs w:val="32"/>
          <w:highlight w:val="none"/>
          <w:lang w:eastAsia="zh-CN"/>
        </w:rPr>
        <w:t>目</w:t>
      </w:r>
      <w:r>
        <w:rPr>
          <w:rFonts w:hint="eastAsia" w:ascii="宋体" w:hAnsi="宋体" w:eastAsia="宋体" w:cs="宋体"/>
          <w:color w:val="auto"/>
          <w:sz w:val="32"/>
          <w:szCs w:val="32"/>
          <w:highlight w:val="none"/>
          <w:lang w:val="en-US" w:eastAsia="zh-CN"/>
        </w:rPr>
        <w:t>20</w:t>
      </w:r>
      <w:r>
        <w:rPr>
          <w:rFonts w:hint="eastAsia" w:ascii="宋体" w:hAnsi="宋体" w:eastAsia="宋体" w:cs="宋体"/>
          <w:color w:val="auto"/>
          <w:sz w:val="32"/>
          <w:szCs w:val="32"/>
          <w:highlight w:val="none"/>
        </w:rPr>
        <w:t>个，共涉及资金</w:t>
      </w:r>
      <w:r>
        <w:rPr>
          <w:rFonts w:hint="eastAsia" w:ascii="宋体" w:hAnsi="宋体" w:eastAsia="宋体" w:cs="宋体"/>
          <w:color w:val="auto"/>
          <w:sz w:val="32"/>
          <w:szCs w:val="32"/>
          <w:highlight w:val="none"/>
          <w:lang w:val="en-US" w:eastAsia="zh-CN"/>
        </w:rPr>
        <w:t>564.86</w:t>
      </w:r>
      <w:r>
        <w:rPr>
          <w:rFonts w:hint="eastAsia" w:ascii="宋体" w:hAnsi="宋体" w:eastAsia="宋体" w:cs="宋体"/>
          <w:color w:val="auto"/>
          <w:sz w:val="32"/>
          <w:szCs w:val="32"/>
          <w:highlight w:val="none"/>
        </w:rPr>
        <w:t>万元，占一般公共预算项目支出总额的100%。202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w:t>
      </w:r>
      <w:r>
        <w:rPr>
          <w:rFonts w:hint="eastAsia" w:ascii="宋体" w:hAnsi="宋体" w:eastAsia="宋体" w:cs="宋体"/>
          <w:color w:val="auto"/>
          <w:sz w:val="32"/>
          <w:szCs w:val="32"/>
          <w:highlight w:val="none"/>
          <w:lang w:eastAsia="zh-CN"/>
        </w:rPr>
        <w:t>本</w:t>
      </w:r>
      <w:r>
        <w:rPr>
          <w:rFonts w:hint="eastAsia" w:ascii="宋体" w:hAnsi="宋体" w:eastAsia="宋体" w:cs="宋体"/>
          <w:color w:val="auto"/>
          <w:sz w:val="32"/>
          <w:szCs w:val="32"/>
          <w:highlight w:val="none"/>
        </w:rPr>
        <w:t>单位未安排政府性基金预算项目和国有资本经营预算项目支出。</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eastAsia="zh-CN"/>
        </w:rPr>
        <w:t>（二）</w:t>
      </w:r>
      <w:r>
        <w:rPr>
          <w:rFonts w:hint="eastAsia" w:ascii="宋体" w:hAnsi="宋体" w:cs="宋体"/>
          <w:b/>
          <w:color w:val="auto"/>
          <w:kern w:val="0"/>
          <w:sz w:val="32"/>
          <w:szCs w:val="32"/>
          <w:highlight w:val="none"/>
          <w:lang w:val="en-US" w:eastAsia="zh-CN"/>
        </w:rPr>
        <w:t>部门决算中项目绩效自评结果</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2022年度项目绩效自评综述：根据年初设定的绩效目标，项目绩效自评得分为94分。项目全年预算数为38万元，执行数为564.86万元，完成预算的1486.47%。项目绩效目标全部完成。发现的主要问题及原因：一是预算执行率偏高；二是绩效指标值设置的不够科学。下一步改进措施：结合绩效目标和年度工作计划，进一步完善年度指标值设定，加强资金统筹。</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80" w:lineRule="exact"/>
        <w:ind w:firstLine="320" w:firstLineChars="100"/>
        <w:jc w:val="left"/>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部门评价项目绩效评价结果</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color w:val="auto"/>
          <w:sz w:val="32"/>
          <w:szCs w:val="32"/>
          <w:highlight w:val="none"/>
          <w:lang w:val="en-US" w:eastAsia="zh-CN"/>
        </w:rPr>
        <w:t>2022年度项目绩效评价综合得分94分，绩效评价结果为“优”，绩效评价报告详见附件。</w:t>
      </w:r>
    </w:p>
    <w:p>
      <w:pPr>
        <w:pStyle w:val="2"/>
        <w:keepNext w:val="0"/>
        <w:keepLines w:val="0"/>
        <w:pageBreakBefore w:val="0"/>
        <w:numPr>
          <w:ilvl w:val="0"/>
          <w:numId w:val="0"/>
        </w:numPr>
        <w:kinsoku/>
        <w:wordWrap/>
        <w:overflowPunct/>
        <w:topLinePunct w:val="0"/>
        <w:bidi w:val="0"/>
        <w:snapToGrid/>
        <w:spacing w:line="580" w:lineRule="exact"/>
        <w:textAlignment w:val="auto"/>
        <w:rPr>
          <w:rFonts w:hint="eastAsia" w:ascii="黑体" w:hAnsi="黑体" w:eastAsia="黑体" w:cs="黑体"/>
          <w:b/>
          <w:color w:val="auto"/>
          <w:sz w:val="32"/>
          <w:szCs w:val="32"/>
          <w:highlight w:val="none"/>
          <w:lang w:val="en-US" w:eastAsia="zh-CN" w:bidi="ar-SA"/>
        </w:rPr>
      </w:pPr>
      <w:r>
        <w:rPr>
          <w:rFonts w:hint="eastAsia" w:ascii="黑体" w:hAnsi="黑体" w:eastAsia="黑体" w:cs="黑体"/>
          <w:b/>
          <w:color w:val="auto"/>
          <w:sz w:val="32"/>
          <w:szCs w:val="32"/>
          <w:highlight w:val="none"/>
          <w:lang w:val="en-US" w:eastAsia="zh-CN" w:bidi="ar-SA"/>
        </w:rPr>
        <w:t>十四、国有资本经营预算财政拨款支出决算情况</w:t>
      </w:r>
    </w:p>
    <w:p>
      <w:pPr>
        <w:pStyle w:val="2"/>
        <w:keepNext w:val="0"/>
        <w:keepLines w:val="0"/>
        <w:pageBreakBefore w:val="0"/>
        <w:numPr>
          <w:ilvl w:val="0"/>
          <w:numId w:val="0"/>
        </w:numPr>
        <w:kinsoku/>
        <w:wordWrap/>
        <w:overflowPunct/>
        <w:topLinePunct w:val="0"/>
        <w:bidi w:val="0"/>
        <w:snapToGrid/>
        <w:spacing w:line="580" w:lineRule="exact"/>
        <w:textAlignment w:val="auto"/>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 xml:space="preserve">    2022年度国有资本经营预算财政拨款支出0万元，其中基本支出0万元，项目支出0万。本年无国有资本经营预算。</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p>
    <w:p>
      <w:pPr>
        <w:pStyle w:val="16"/>
        <w:jc w:val="center"/>
        <w:rPr>
          <w:color w:val="auto"/>
          <w:sz w:val="72"/>
          <w:szCs w:val="72"/>
          <w:highlight w:val="none"/>
        </w:rPr>
      </w:pPr>
    </w:p>
    <w:p>
      <w:pPr>
        <w:pStyle w:val="16"/>
        <w:jc w:val="center"/>
        <w:rPr>
          <w:color w:val="auto"/>
          <w:sz w:val="72"/>
          <w:szCs w:val="72"/>
          <w:highlight w:val="none"/>
        </w:rPr>
      </w:pPr>
    </w:p>
    <w:p>
      <w:pPr>
        <w:pStyle w:val="16"/>
        <w:jc w:val="both"/>
        <w:rPr>
          <w:rFonts w:hint="eastAsia" w:ascii="方正小标宋_GBK" w:hAnsi="方正小标宋_GBK" w:eastAsia="方正小标宋_GBK" w:cs="方正小标宋_GBK"/>
          <w:color w:val="auto"/>
          <w:sz w:val="72"/>
          <w:szCs w:val="72"/>
          <w:highlight w:val="none"/>
        </w:rPr>
      </w:pPr>
    </w:p>
    <w:p>
      <w:pPr>
        <w:pStyle w:val="16"/>
        <w:jc w:val="center"/>
        <w:rPr>
          <w:rFonts w:hint="eastAsia" w:ascii="方正小标宋_GBK" w:hAnsi="方正小标宋_GBK" w:eastAsia="方正小标宋_GBK" w:cs="方正小标宋_GBK"/>
          <w:color w:val="auto"/>
          <w:sz w:val="72"/>
          <w:szCs w:val="72"/>
          <w:highlight w:val="none"/>
        </w:rPr>
      </w:pPr>
    </w:p>
    <w:p>
      <w:pPr>
        <w:pStyle w:val="16"/>
        <w:jc w:val="both"/>
        <w:rPr>
          <w:rFonts w:hint="eastAsia" w:ascii="方正小标宋_GBK" w:hAnsi="方正小标宋_GBK" w:eastAsia="方正小标宋_GBK" w:cs="方正小标宋_GBK"/>
          <w:color w:val="auto"/>
          <w:sz w:val="72"/>
          <w:szCs w:val="72"/>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rPr>
        <w:t>第四部分</w:t>
      </w: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r>
        <w:rPr>
          <w:rFonts w:hint="eastAsia"/>
          <w:color w:val="auto"/>
          <w:sz w:val="72"/>
          <w:szCs w:val="72"/>
          <w:highlight w:val="none"/>
        </w:rPr>
        <w:t>名词解释</w:t>
      </w:r>
    </w:p>
    <w:p>
      <w:pPr>
        <w:widowControl/>
        <w:jc w:val="left"/>
        <w:rPr>
          <w:rFonts w:cs="黑体" w:asciiTheme="minorEastAsia" w:hAnsiTheme="minorEastAsia"/>
          <w:color w:val="auto"/>
          <w:kern w:val="0"/>
          <w:sz w:val="32"/>
          <w:szCs w:val="32"/>
          <w:highlight w:val="none"/>
        </w:rPr>
      </w:pPr>
      <w:r>
        <w:rPr>
          <w:rFonts w:hint="eastAsia" w:ascii="方正小标宋_GBK" w:hAnsi="方正小标宋_GBK" w:eastAsia="方正小标宋_GBK" w:cs="方正小标宋_GBK"/>
          <w:color w:val="auto"/>
          <w:kern w:val="0"/>
          <w:sz w:val="70"/>
          <w:szCs w:val="70"/>
          <w:highlight w:val="none"/>
        </w:rPr>
        <w:br w:type="page"/>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1.财政拨款收入：指市级财政当年拨付的资金。</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2.上级补助收入：指单位从主管部门和上级单位取得的非财政性补助收入。</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3.事业收入：指事业单位开展专业业务活动及辅助活动所取得的收入。</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4.经营收入：指事业单位在专业业务活动及辅助活动之外开展非独立核算经营活动取得的收入。</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5.附属单位上缴收入：指单位附属的独立核算单位按照上缴的收入。</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6.其他收入：指除上述“财政拨款收入”、“上级补助收入”、“事业收入”、“经营收入”、“附属单位上缴收入”等以外的收入。</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7.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8.上年结转和结余：指以前年度尚未完成、结转到本年按有关规定继续使用的资金。</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9.结余分配：指事业单位按规定对非财政补助结余资金提取的职工福利基金、事业基金和缴纳的所得税，以及减少单位按规定应缴回的基本建设竣工项目结余资金。</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10.年末结转和结余资金：指本年度或以前年度预算安排、因客观条件发生变化无法按原计划实施，需要延迟到以后年度按有关规定继续使用的资金。</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11.基本支出：指保障机构正常运转、完成支日常工作任务而发生的人员支出和公用支出。</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12.项目支出：指在基本支出之外为完成特定行政任务和事业发展目标所发生的支出。</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13.经营支出：指事业单位在专业业务活动及其辅助活动之外开展非独立核算经营活动发生的支出。</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14、上缴上级支出：指事业单位按照财政部门和主管部门的规定上缴上级单位的支出。（可结合部门实际支出情况举例说明）</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15、对附属单位补助支出：指事业单位用财政补助收入之外的收入对附属单位补助发生的支出</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16.“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17.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auto"/>
          <w:sz w:val="32"/>
          <w:szCs w:val="32"/>
          <w:highlight w:val="none"/>
        </w:rPr>
      </w:pPr>
      <w:r>
        <w:rPr>
          <w:rFonts w:hint="eastAsia" w:ascii="宋体" w:hAnsi="宋体" w:eastAsia="宋体" w:cs="宋体"/>
          <w:color w:val="auto"/>
          <w:sz w:val="32"/>
          <w:szCs w:val="32"/>
          <w:highlight w:val="none"/>
        </w:rPr>
        <w:t>18.政府采购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auto"/>
          <w:sz w:val="32"/>
          <w:szCs w:val="32"/>
          <w:highlight w:val="none"/>
        </w:rPr>
      </w:pP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auto"/>
          <w:sz w:val="32"/>
          <w:szCs w:val="32"/>
          <w:highlight w:val="none"/>
        </w:rPr>
      </w:pP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rFonts w:hint="eastAsia"/>
          <w:color w:val="auto"/>
          <w:sz w:val="72"/>
          <w:szCs w:val="72"/>
          <w:highlight w:val="none"/>
        </w:rPr>
      </w:pPr>
    </w:p>
    <w:p>
      <w:pPr>
        <w:pStyle w:val="16"/>
        <w:shd w:val="clear"/>
        <w:spacing w:line="360" w:lineRule="auto"/>
        <w:jc w:val="center"/>
        <w:rPr>
          <w:color w:val="auto"/>
          <w:sz w:val="72"/>
          <w:szCs w:val="72"/>
          <w:highlight w:val="none"/>
        </w:rPr>
      </w:pPr>
      <w:r>
        <w:rPr>
          <w:rFonts w:hint="eastAsia"/>
          <w:color w:val="auto"/>
          <w:sz w:val="72"/>
          <w:szCs w:val="72"/>
          <w:highlight w:val="none"/>
        </w:rPr>
        <w:t>第五部分</w:t>
      </w:r>
    </w:p>
    <w:p>
      <w:pPr>
        <w:shd w:val="clear"/>
        <w:spacing w:line="360" w:lineRule="auto"/>
        <w:jc w:val="center"/>
        <w:rPr>
          <w:rFonts w:ascii="黑体" w:eastAsia="黑体" w:cs="黑体"/>
          <w:color w:val="auto"/>
          <w:kern w:val="0"/>
          <w:sz w:val="70"/>
          <w:szCs w:val="70"/>
          <w:highlight w:val="none"/>
        </w:rPr>
      </w:pPr>
    </w:p>
    <w:p>
      <w:pPr>
        <w:shd w:val="clear"/>
        <w:spacing w:line="360" w:lineRule="auto"/>
        <w:jc w:val="center"/>
        <w:rPr>
          <w:rFonts w:ascii="黑体" w:eastAsia="黑体" w:cs="黑体"/>
          <w:color w:val="auto"/>
          <w:kern w:val="0"/>
          <w:sz w:val="70"/>
          <w:szCs w:val="70"/>
          <w:highlight w:val="none"/>
        </w:rPr>
      </w:pPr>
      <w:r>
        <w:rPr>
          <w:rFonts w:hint="eastAsia" w:ascii="黑体" w:eastAsia="黑体" w:cs="黑体"/>
          <w:color w:val="auto"/>
          <w:kern w:val="0"/>
          <w:sz w:val="70"/>
          <w:szCs w:val="70"/>
          <w:highlight w:val="none"/>
        </w:rPr>
        <w:t>附件</w:t>
      </w:r>
    </w:p>
    <w:p>
      <w:pPr>
        <w:pStyle w:val="16"/>
        <w:jc w:val="center"/>
        <w:rPr>
          <w:color w:val="auto"/>
          <w:sz w:val="72"/>
          <w:szCs w:val="72"/>
          <w:highlight w:val="none"/>
        </w:rPr>
      </w:pPr>
    </w:p>
    <w:p>
      <w:pPr>
        <w:pStyle w:val="16"/>
        <w:jc w:val="center"/>
        <w:rPr>
          <w:color w:val="auto"/>
          <w:sz w:val="72"/>
          <w:szCs w:val="72"/>
          <w:highlight w:val="none"/>
        </w:rPr>
      </w:pPr>
    </w:p>
    <w:p>
      <w:pPr>
        <w:pStyle w:val="16"/>
        <w:jc w:val="center"/>
        <w:rPr>
          <w:color w:val="auto"/>
          <w:sz w:val="72"/>
          <w:szCs w:val="72"/>
          <w:highlight w:val="none"/>
        </w:rPr>
      </w:pPr>
    </w:p>
    <w:p>
      <w:pPr>
        <w:pStyle w:val="16"/>
        <w:jc w:val="center"/>
        <w:rPr>
          <w:color w:val="auto"/>
          <w:sz w:val="72"/>
          <w:szCs w:val="72"/>
          <w:highlight w:val="none"/>
        </w:rPr>
      </w:pPr>
    </w:p>
    <w:p>
      <w:pPr>
        <w:pStyle w:val="16"/>
        <w:jc w:val="center"/>
        <w:rPr>
          <w:color w:val="auto"/>
          <w:sz w:val="72"/>
          <w:szCs w:val="72"/>
          <w:highlight w:val="none"/>
        </w:rPr>
      </w:pPr>
    </w:p>
    <w:p>
      <w:pPr>
        <w:pStyle w:val="16"/>
        <w:jc w:val="center"/>
        <w:rPr>
          <w:color w:val="auto"/>
          <w:sz w:val="72"/>
          <w:szCs w:val="72"/>
          <w:highlight w:val="none"/>
        </w:rPr>
      </w:pPr>
    </w:p>
    <w:p>
      <w:pPr>
        <w:pStyle w:val="3"/>
        <w:ind w:left="0" w:leftChars="0" w:firstLine="0" w:firstLineChars="0"/>
        <w:rPr>
          <w:color w:val="auto"/>
          <w:highlight w:val="none"/>
        </w:rPr>
      </w:pPr>
    </w:p>
    <w:p>
      <w:pPr>
        <w:shd w:val="clear"/>
        <w:spacing w:line="580" w:lineRule="exact"/>
        <w:jc w:val="center"/>
        <w:rPr>
          <w:rFonts w:ascii="宋体" w:hAnsi="宋体" w:cs="黑体"/>
          <w:b/>
          <w:color w:val="auto"/>
          <w:kern w:val="0"/>
          <w:sz w:val="44"/>
          <w:szCs w:val="44"/>
          <w:highlight w:val="none"/>
        </w:rPr>
      </w:pPr>
    </w:p>
    <w:p>
      <w:pPr>
        <w:keepNext w:val="0"/>
        <w:keepLines w:val="0"/>
        <w:pageBreakBefore w:val="0"/>
        <w:shd w:val="clear"/>
        <w:kinsoku/>
        <w:wordWrap/>
        <w:overflowPunct/>
        <w:topLinePunct w:val="0"/>
        <w:bidi w:val="0"/>
        <w:snapToGrid/>
        <w:spacing w:line="580" w:lineRule="exact"/>
        <w:jc w:val="center"/>
        <w:rPr>
          <w:rFonts w:hint="eastAsia" w:ascii="宋体" w:hAnsi="宋体" w:cs="黑体"/>
          <w:b/>
          <w:color w:val="auto"/>
          <w:kern w:val="0"/>
          <w:sz w:val="44"/>
          <w:szCs w:val="44"/>
          <w:highlight w:val="none"/>
        </w:rPr>
      </w:pPr>
      <w:r>
        <w:rPr>
          <w:rFonts w:ascii="宋体" w:hAnsi="宋体" w:cs="黑体"/>
          <w:b/>
          <w:color w:val="auto"/>
          <w:kern w:val="0"/>
          <w:sz w:val="44"/>
          <w:szCs w:val="44"/>
          <w:highlight w:val="none"/>
        </w:rPr>
        <w:t>202</w:t>
      </w:r>
      <w:r>
        <w:rPr>
          <w:rFonts w:hint="eastAsia" w:ascii="宋体" w:hAnsi="宋体" w:cs="黑体"/>
          <w:b/>
          <w:color w:val="auto"/>
          <w:kern w:val="0"/>
          <w:sz w:val="44"/>
          <w:szCs w:val="44"/>
          <w:highlight w:val="none"/>
          <w:lang w:val="en-US" w:eastAsia="zh-CN"/>
        </w:rPr>
        <w:t>2</w:t>
      </w:r>
      <w:r>
        <w:rPr>
          <w:rFonts w:hint="eastAsia" w:ascii="宋体" w:hAnsi="宋体" w:cs="黑体"/>
          <w:b/>
          <w:color w:val="auto"/>
          <w:kern w:val="0"/>
          <w:sz w:val="44"/>
          <w:szCs w:val="44"/>
          <w:highlight w:val="none"/>
        </w:rPr>
        <w:t>年度部门整体支出绩效评价报告</w:t>
      </w:r>
    </w:p>
    <w:p>
      <w:pPr>
        <w:keepNext w:val="0"/>
        <w:keepLines w:val="0"/>
        <w:pageBreakBefore w:val="0"/>
        <w:kinsoku/>
        <w:wordWrap/>
        <w:overflowPunct/>
        <w:topLinePunct w:val="0"/>
        <w:bidi w:val="0"/>
        <w:snapToGrid/>
        <w:spacing w:line="580" w:lineRule="exact"/>
        <w:ind w:firstLine="600" w:firstLineChars="200"/>
        <w:rPr>
          <w:rFonts w:hint="eastAsia" w:ascii="仿宋" w:hAnsi="仿宋" w:eastAsia="仿宋" w:cs="仿宋"/>
          <w:color w:val="auto"/>
          <w:sz w:val="30"/>
          <w:szCs w:val="30"/>
          <w:highlight w:val="none"/>
        </w:rPr>
      </w:pP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2022</w:t>
      </w:r>
      <w:r>
        <w:rPr>
          <w:rFonts w:hint="eastAsia" w:ascii="Times New Roman" w:hAnsi="Times New Roman" w:eastAsia="仿宋_GB2312"/>
          <w:color w:val="auto"/>
          <w:sz w:val="32"/>
          <w:szCs w:val="32"/>
          <w:highlight w:val="none"/>
        </w:rPr>
        <w:t>年度，</w:t>
      </w:r>
      <w:r>
        <w:rPr>
          <w:rFonts w:hint="eastAsia" w:ascii="Times New Roman" w:hAnsi="Times New Roman" w:eastAsia="仿宋_GB2312"/>
          <w:color w:val="auto"/>
          <w:sz w:val="32"/>
          <w:szCs w:val="32"/>
          <w:highlight w:val="none"/>
          <w:lang w:eastAsia="zh-CN"/>
        </w:rPr>
        <w:t>中共会同县委宣传部</w:t>
      </w:r>
      <w:r>
        <w:rPr>
          <w:rFonts w:hint="eastAsia" w:ascii="Times New Roman" w:hAnsi="Times New Roman" w:eastAsia="仿宋_GB2312"/>
          <w:color w:val="auto"/>
          <w:sz w:val="32"/>
          <w:szCs w:val="32"/>
          <w:highlight w:val="none"/>
        </w:rPr>
        <w:t>坚持以执行预算为中心，以节约费用为重点，抓好单位财务管理工作，现就</w:t>
      </w:r>
      <w:r>
        <w:rPr>
          <w:rFonts w:hint="eastAsia" w:ascii="Times New Roman" w:hAnsi="Times New Roman" w:eastAsia="仿宋_GB2312"/>
          <w:color w:val="auto"/>
          <w:sz w:val="32"/>
          <w:szCs w:val="32"/>
          <w:highlight w:val="none"/>
          <w:lang w:val="en-US" w:eastAsia="zh-CN"/>
        </w:rPr>
        <w:t>2022</w:t>
      </w:r>
      <w:r>
        <w:rPr>
          <w:rFonts w:hint="eastAsia" w:ascii="Times New Roman" w:hAnsi="Times New Roman" w:eastAsia="仿宋_GB2312"/>
          <w:color w:val="auto"/>
          <w:sz w:val="32"/>
          <w:szCs w:val="32"/>
          <w:highlight w:val="none"/>
        </w:rPr>
        <w:t>年整体支出绩效自评如下：</w:t>
      </w:r>
    </w:p>
    <w:p>
      <w:pPr>
        <w:keepNext w:val="0"/>
        <w:keepLines w:val="0"/>
        <w:pageBreakBefore w:val="0"/>
        <w:kinsoku/>
        <w:wordWrap/>
        <w:overflowPunct/>
        <w:topLinePunct w:val="0"/>
        <w:autoSpaceDN w:val="0"/>
        <w:bidi w:val="0"/>
        <w:snapToGrid/>
        <w:spacing w:line="580" w:lineRule="exact"/>
        <w:ind w:firstLine="643"/>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一、单位的主要职责、工作任务及目标</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（一）拟定全县宣传思想工作要点；</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（二）统筹协调全县党的意识形态工作；</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（三）统筹指导协调全县理论学习、理论宣传、理论研究工作，组织推动理论武装工作；</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（四）负责规划组织全局性思想政治工作；</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（五）统筹分析研判和引导社会舆论；</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（六）拟定全县新闻出版业的管理政策并督促落实；</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（七）从宏观上统筹指导协调全县互联网宣传和信息内容管理工作；</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（八）统筹指导协调全县精神文化产品的创作、生产；</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（九）负责管理全县电影行政事务；</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（十）统筹协调全县对外宣传工作，指导协调对外文化交流工作；</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（十一）统筹协调组织开展全县新闻发布工作，承担县委新闻发布有关组织协调工作；</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（十二）负责落实中央、省、市、县精神文明建设指导委员会工作部署，拟定全县精神文明建设工作规划并组织实施；</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（十三）负责组织开展全县宣传思想系统干部教育培训和人才工作；</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（十四）完成县委交办的其他任务。</w:t>
      </w:r>
    </w:p>
    <w:p>
      <w:pPr>
        <w:keepNext w:val="0"/>
        <w:keepLines w:val="0"/>
        <w:pageBreakBefore w:val="0"/>
        <w:kinsoku/>
        <w:wordWrap/>
        <w:overflowPunct/>
        <w:topLinePunct w:val="0"/>
        <w:autoSpaceDN w:val="0"/>
        <w:bidi w:val="0"/>
        <w:snapToGrid/>
        <w:spacing w:line="58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二、基本情况</w:t>
      </w:r>
    </w:p>
    <w:p>
      <w:pPr>
        <w:pStyle w:val="2"/>
        <w:keepNext w:val="0"/>
        <w:keepLines w:val="0"/>
        <w:pageBreakBefore w:val="0"/>
        <w:kinsoku/>
        <w:wordWrap/>
        <w:overflowPunct/>
        <w:topLinePunct w:val="0"/>
        <w:bidi w:val="0"/>
        <w:snapToGrid/>
        <w:spacing w:line="580" w:lineRule="exact"/>
        <w:ind w:firstLine="640" w:firstLineChars="200"/>
        <w:rPr>
          <w:rFonts w:hint="eastAsia"/>
          <w:color w:val="auto"/>
          <w:highlight w:val="none"/>
        </w:rPr>
      </w:pPr>
      <w:r>
        <w:rPr>
          <w:rFonts w:hint="eastAsia" w:ascii="Times New Roman" w:hAnsi="Times New Roman" w:eastAsia="仿宋_GB2312" w:cs="黑体"/>
          <w:color w:val="auto"/>
          <w:kern w:val="0"/>
          <w:sz w:val="32"/>
          <w:szCs w:val="32"/>
          <w:highlight w:val="none"/>
          <w:lang w:val="en-US" w:eastAsia="zh-CN" w:bidi="ar-SA"/>
        </w:rPr>
        <w:t>截至2022年12月31日，本单位由宣传部本级机关一个，县社科联合署办公一个组成，有行政编制人员8人，全额拨款事业编制8人，实有在职人数16人，离、退休人员2人。实有在职人数与编制数相符。</w:t>
      </w:r>
    </w:p>
    <w:p>
      <w:pPr>
        <w:keepNext w:val="0"/>
        <w:keepLines w:val="0"/>
        <w:pageBreakBefore w:val="0"/>
        <w:kinsoku/>
        <w:wordWrap/>
        <w:overflowPunct/>
        <w:topLinePunct w:val="0"/>
        <w:autoSpaceDN w:val="0"/>
        <w:bidi w:val="0"/>
        <w:snapToGrid/>
        <w:spacing w:line="58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三、年初预算安排情况</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20</w:t>
      </w:r>
      <w:r>
        <w:rPr>
          <w:rFonts w:hint="eastAsia" w:ascii="Times New Roman" w:hAnsi="Times New Roman" w:eastAsia="仿宋_GB2312"/>
          <w:color w:val="auto"/>
          <w:sz w:val="32"/>
          <w:szCs w:val="32"/>
          <w:highlight w:val="none"/>
          <w:lang w:val="en-US" w:eastAsia="zh-CN"/>
        </w:rPr>
        <w:t>22</w:t>
      </w:r>
      <w:r>
        <w:rPr>
          <w:rFonts w:hint="eastAsia" w:ascii="Times New Roman" w:hAnsi="Times New Roman" w:eastAsia="仿宋_GB2312"/>
          <w:color w:val="auto"/>
          <w:sz w:val="32"/>
          <w:szCs w:val="32"/>
          <w:highlight w:val="none"/>
          <w:lang w:eastAsia="zh-CN"/>
        </w:rPr>
        <w:t>年度县本级安排</w:t>
      </w:r>
      <w:r>
        <w:rPr>
          <w:rFonts w:hint="eastAsia" w:ascii="Times New Roman" w:hAnsi="Times New Roman" w:eastAsia="仿宋_GB2312"/>
          <w:color w:val="auto"/>
          <w:sz w:val="32"/>
          <w:szCs w:val="32"/>
          <w:highlight w:val="none"/>
          <w:lang w:val="en-US" w:eastAsia="zh-CN"/>
        </w:rPr>
        <w:t>县委宣传部</w:t>
      </w:r>
      <w:r>
        <w:rPr>
          <w:rFonts w:hint="eastAsia" w:ascii="Times New Roman" w:hAnsi="Times New Roman" w:eastAsia="仿宋_GB2312"/>
          <w:color w:val="auto"/>
          <w:sz w:val="32"/>
          <w:szCs w:val="32"/>
          <w:highlight w:val="none"/>
          <w:lang w:eastAsia="zh-CN"/>
        </w:rPr>
        <w:t>预算收入</w:t>
      </w:r>
      <w:r>
        <w:rPr>
          <w:rFonts w:hint="eastAsia" w:ascii="Times New Roman" w:hAnsi="Times New Roman" w:eastAsia="仿宋_GB2312"/>
          <w:color w:val="auto"/>
          <w:sz w:val="32"/>
          <w:szCs w:val="32"/>
          <w:highlight w:val="none"/>
          <w:lang w:val="en-US" w:eastAsia="zh-CN"/>
        </w:rPr>
        <w:t>225.82万</w:t>
      </w:r>
      <w:r>
        <w:rPr>
          <w:rFonts w:hint="eastAsia" w:ascii="Times New Roman" w:hAnsi="Times New Roman" w:eastAsia="仿宋_GB2312"/>
          <w:color w:val="auto"/>
          <w:sz w:val="32"/>
          <w:szCs w:val="32"/>
          <w:highlight w:val="none"/>
          <w:lang w:eastAsia="zh-CN"/>
        </w:rPr>
        <w:t>元，其中工资性支出</w:t>
      </w:r>
      <w:r>
        <w:rPr>
          <w:rFonts w:hint="eastAsia" w:ascii="Times New Roman" w:hAnsi="Times New Roman" w:eastAsia="仿宋_GB2312"/>
          <w:color w:val="auto"/>
          <w:sz w:val="32"/>
          <w:szCs w:val="32"/>
          <w:highlight w:val="none"/>
          <w:lang w:val="en-US" w:eastAsia="zh-CN"/>
        </w:rPr>
        <w:t>155.32万</w:t>
      </w:r>
      <w:r>
        <w:rPr>
          <w:rFonts w:hint="eastAsia" w:ascii="Times New Roman" w:hAnsi="Times New Roman" w:eastAsia="仿宋_GB2312"/>
          <w:color w:val="auto"/>
          <w:sz w:val="32"/>
          <w:szCs w:val="32"/>
          <w:highlight w:val="none"/>
          <w:lang w:eastAsia="zh-CN"/>
        </w:rPr>
        <w:t>元，公用经费</w:t>
      </w:r>
      <w:r>
        <w:rPr>
          <w:rFonts w:hint="eastAsia" w:ascii="Times New Roman" w:hAnsi="Times New Roman" w:eastAsia="仿宋_GB2312"/>
          <w:color w:val="auto"/>
          <w:sz w:val="32"/>
          <w:szCs w:val="32"/>
          <w:highlight w:val="none"/>
          <w:lang w:val="en-US" w:eastAsia="zh-CN"/>
        </w:rPr>
        <w:t>32.5万</w:t>
      </w:r>
      <w:r>
        <w:rPr>
          <w:rFonts w:hint="eastAsia" w:ascii="Times New Roman" w:hAnsi="Times New Roman" w:eastAsia="仿宋_GB2312"/>
          <w:color w:val="auto"/>
          <w:sz w:val="32"/>
          <w:szCs w:val="32"/>
          <w:highlight w:val="none"/>
          <w:lang w:eastAsia="zh-CN"/>
        </w:rPr>
        <w:t>元，基本支出占预算总额比例为</w:t>
      </w:r>
      <w:r>
        <w:rPr>
          <w:rFonts w:hint="eastAsia" w:ascii="Times New Roman" w:hAnsi="Times New Roman" w:eastAsia="仿宋_GB2312"/>
          <w:color w:val="auto"/>
          <w:sz w:val="32"/>
          <w:szCs w:val="32"/>
          <w:highlight w:val="none"/>
          <w:lang w:val="en-US" w:eastAsia="zh-CN"/>
        </w:rPr>
        <w:t>83.17</w:t>
      </w:r>
      <w:r>
        <w:rPr>
          <w:rFonts w:hint="eastAsia" w:ascii="Times New Roman" w:hAnsi="Times New Roman" w:eastAsia="仿宋_GB2312"/>
          <w:color w:val="auto"/>
          <w:sz w:val="32"/>
          <w:szCs w:val="32"/>
          <w:highlight w:val="none"/>
          <w:lang w:eastAsia="zh-CN"/>
        </w:rPr>
        <w:t>%，项目支出</w:t>
      </w:r>
      <w:r>
        <w:rPr>
          <w:rFonts w:hint="eastAsia" w:ascii="Times New Roman" w:hAnsi="Times New Roman" w:eastAsia="仿宋_GB2312"/>
          <w:color w:val="auto"/>
          <w:sz w:val="32"/>
          <w:szCs w:val="32"/>
          <w:highlight w:val="none"/>
          <w:lang w:val="en-US" w:eastAsia="zh-CN"/>
        </w:rPr>
        <w:t>38万</w:t>
      </w:r>
      <w:r>
        <w:rPr>
          <w:rFonts w:hint="eastAsia" w:ascii="Times New Roman" w:hAnsi="Times New Roman" w:eastAsia="仿宋_GB2312"/>
          <w:color w:val="auto"/>
          <w:sz w:val="32"/>
          <w:szCs w:val="32"/>
          <w:highlight w:val="none"/>
          <w:lang w:eastAsia="zh-CN"/>
        </w:rPr>
        <w:t>元（其中</w:t>
      </w:r>
      <w:r>
        <w:rPr>
          <w:rFonts w:hint="eastAsia" w:ascii="Times New Roman" w:hAnsi="Times New Roman" w:eastAsia="仿宋_GB2312"/>
          <w:color w:val="auto"/>
          <w:sz w:val="32"/>
          <w:szCs w:val="32"/>
          <w:highlight w:val="none"/>
          <w:lang w:val="en-US" w:eastAsia="zh-CN"/>
        </w:rPr>
        <w:t>意识形态工作经费7.2万元，县委理论中心组学习经费6.4万元，精神文明创建（含扫黄打非</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7.2万元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社科联工作经费4万元，上级新闻媒体对接经费7.2万元，志愿者服务管理经费6万元），</w:t>
      </w:r>
      <w:r>
        <w:rPr>
          <w:rFonts w:hint="eastAsia" w:ascii="Times New Roman" w:hAnsi="Times New Roman" w:eastAsia="仿宋_GB2312"/>
          <w:color w:val="auto"/>
          <w:sz w:val="32"/>
          <w:szCs w:val="32"/>
          <w:highlight w:val="none"/>
          <w:lang w:eastAsia="zh-CN"/>
        </w:rPr>
        <w:t>项目支出占预算总额比例为</w:t>
      </w:r>
      <w:r>
        <w:rPr>
          <w:rFonts w:hint="eastAsia" w:ascii="Times New Roman" w:hAnsi="Times New Roman" w:eastAsia="仿宋_GB2312"/>
          <w:color w:val="auto"/>
          <w:sz w:val="32"/>
          <w:szCs w:val="32"/>
          <w:highlight w:val="none"/>
          <w:lang w:val="en-US" w:eastAsia="zh-CN"/>
        </w:rPr>
        <w:t>16.83</w:t>
      </w:r>
      <w:r>
        <w:rPr>
          <w:rFonts w:hint="eastAsia" w:ascii="Times New Roman" w:hAnsi="Times New Roman" w:eastAsia="仿宋_GB2312"/>
          <w:color w:val="auto"/>
          <w:sz w:val="32"/>
          <w:szCs w:val="32"/>
          <w:highlight w:val="none"/>
          <w:lang w:eastAsia="zh-CN"/>
        </w:rPr>
        <w:t>%，主要围绕</w:t>
      </w:r>
      <w:r>
        <w:rPr>
          <w:rFonts w:hint="eastAsia" w:ascii="Times New Roman" w:hAnsi="Times New Roman" w:eastAsia="仿宋_GB2312"/>
          <w:color w:val="auto"/>
          <w:sz w:val="32"/>
          <w:szCs w:val="32"/>
          <w:highlight w:val="none"/>
          <w:lang w:val="en-US" w:eastAsia="zh-CN"/>
        </w:rPr>
        <w:t>主要围绕精神文明创建、上级新闻媒体对接、社科联工作、志愿者服务管理、县委中心组学习和意识形态工作安排经费，基本能够保障县委宣传部所履行的主要工作职责。</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2022年度“三公经费”预算9万元，其中公务接待费9万元。</w:t>
      </w:r>
    </w:p>
    <w:p>
      <w:pPr>
        <w:keepNext w:val="0"/>
        <w:keepLines w:val="0"/>
        <w:pageBreakBefore w:val="0"/>
        <w:kinsoku/>
        <w:wordWrap/>
        <w:overflowPunct/>
        <w:topLinePunct w:val="0"/>
        <w:autoSpaceDN w:val="0"/>
        <w:bidi w:val="0"/>
        <w:snapToGrid/>
        <w:spacing w:line="58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四、本年预算执行情况</w:t>
      </w:r>
    </w:p>
    <w:p>
      <w:pPr>
        <w:keepNext w:val="0"/>
        <w:keepLines w:val="0"/>
        <w:pageBreakBefore w:val="0"/>
        <w:shd w:val="clear"/>
        <w:kinsoku/>
        <w:wordWrap/>
        <w:overflowPunct/>
        <w:topLinePunct w:val="0"/>
        <w:bidi w:val="0"/>
        <w:snapToGrid/>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年本年收入为</w:t>
      </w:r>
      <w:r>
        <w:rPr>
          <w:rFonts w:hint="eastAsia" w:ascii="仿宋" w:hAnsi="仿宋" w:eastAsia="仿宋" w:cs="仿宋"/>
          <w:color w:val="auto"/>
          <w:sz w:val="32"/>
          <w:szCs w:val="32"/>
          <w:highlight w:val="none"/>
          <w:lang w:val="en-US" w:eastAsia="zh-CN"/>
        </w:rPr>
        <w:t>942.72</w:t>
      </w:r>
      <w:r>
        <w:rPr>
          <w:rFonts w:hint="eastAsia" w:ascii="仿宋" w:hAnsi="仿宋" w:eastAsia="仿宋" w:cs="仿宋"/>
          <w:color w:val="auto"/>
          <w:sz w:val="32"/>
          <w:szCs w:val="32"/>
          <w:highlight w:val="none"/>
        </w:rPr>
        <w:t>万元，其中：年初预算数</w:t>
      </w:r>
      <w:r>
        <w:rPr>
          <w:rFonts w:hint="eastAsia" w:ascii="仿宋" w:hAnsi="仿宋" w:eastAsia="仿宋" w:cs="仿宋"/>
          <w:color w:val="auto"/>
          <w:sz w:val="32"/>
          <w:szCs w:val="32"/>
          <w:highlight w:val="none"/>
          <w:lang w:val="en-US" w:eastAsia="zh-CN"/>
        </w:rPr>
        <w:t>225.82</w:t>
      </w:r>
      <w:r>
        <w:rPr>
          <w:rFonts w:hint="eastAsia" w:ascii="仿宋" w:hAnsi="仿宋" w:eastAsia="仿宋" w:cs="仿宋"/>
          <w:color w:val="auto"/>
          <w:sz w:val="32"/>
          <w:szCs w:val="32"/>
          <w:highlight w:val="none"/>
        </w:rPr>
        <w:t>万元，预算调整数</w:t>
      </w:r>
      <w:r>
        <w:rPr>
          <w:rFonts w:hint="eastAsia" w:ascii="仿宋" w:hAnsi="仿宋" w:eastAsia="仿宋" w:cs="仿宋"/>
          <w:color w:val="auto"/>
          <w:sz w:val="32"/>
          <w:szCs w:val="32"/>
          <w:highlight w:val="none"/>
          <w:lang w:val="en-US" w:eastAsia="zh-CN"/>
        </w:rPr>
        <w:t>716.9</w:t>
      </w:r>
      <w:r>
        <w:rPr>
          <w:rFonts w:hint="eastAsia" w:ascii="仿宋" w:hAnsi="仿宋" w:eastAsia="仿宋" w:cs="仿宋"/>
          <w:color w:val="auto"/>
          <w:sz w:val="32"/>
          <w:szCs w:val="32"/>
          <w:highlight w:val="none"/>
        </w:rPr>
        <w:t>万元；本年支出</w:t>
      </w:r>
      <w:r>
        <w:rPr>
          <w:rFonts w:hint="eastAsia" w:ascii="仿宋" w:hAnsi="仿宋" w:eastAsia="仿宋" w:cs="仿宋"/>
          <w:color w:val="auto"/>
          <w:sz w:val="32"/>
          <w:szCs w:val="32"/>
          <w:highlight w:val="none"/>
          <w:lang w:val="en-US" w:eastAsia="zh-CN"/>
        </w:rPr>
        <w:t>942.72</w:t>
      </w:r>
      <w:r>
        <w:rPr>
          <w:rFonts w:hint="eastAsia" w:ascii="仿宋" w:hAnsi="仿宋" w:eastAsia="仿宋" w:cs="仿宋"/>
          <w:color w:val="auto"/>
          <w:sz w:val="32"/>
          <w:szCs w:val="32"/>
          <w:highlight w:val="none"/>
        </w:rPr>
        <w:t>万元。</w:t>
      </w:r>
    </w:p>
    <w:p>
      <w:pPr>
        <w:keepNext w:val="0"/>
        <w:keepLines w:val="0"/>
        <w:pageBreakBefore w:val="0"/>
        <w:shd w:val="clear"/>
        <w:kinsoku/>
        <w:wordWrap/>
        <w:overflowPunct/>
        <w:topLinePunct w:val="0"/>
        <w:bidi w:val="0"/>
        <w:snapToGrid/>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收入方面</w:t>
      </w:r>
      <w:r>
        <w:rPr>
          <w:rFonts w:hint="eastAsia" w:ascii="仿宋" w:hAnsi="仿宋" w:eastAsia="仿宋" w:cs="仿宋"/>
          <w:color w:val="auto"/>
          <w:sz w:val="32"/>
          <w:szCs w:val="32"/>
          <w:highlight w:val="none"/>
        </w:rPr>
        <w:t>：我单位本年收入为</w:t>
      </w:r>
      <w:r>
        <w:rPr>
          <w:rFonts w:hint="eastAsia" w:ascii="仿宋" w:hAnsi="仿宋" w:eastAsia="仿宋" w:cs="仿宋"/>
          <w:color w:val="auto"/>
          <w:sz w:val="32"/>
          <w:szCs w:val="32"/>
          <w:highlight w:val="none"/>
          <w:lang w:val="en-US" w:eastAsia="zh-CN"/>
        </w:rPr>
        <w:t>942.72</w:t>
      </w:r>
      <w:r>
        <w:rPr>
          <w:rFonts w:hint="eastAsia" w:ascii="仿宋" w:hAnsi="仿宋" w:eastAsia="仿宋" w:cs="仿宋"/>
          <w:color w:val="auto"/>
          <w:sz w:val="32"/>
          <w:szCs w:val="32"/>
          <w:highlight w:val="none"/>
        </w:rPr>
        <w:t>万元，其中：一般公共预算财政拨款收入</w:t>
      </w:r>
      <w:r>
        <w:rPr>
          <w:rFonts w:hint="eastAsia" w:ascii="仿宋" w:hAnsi="仿宋" w:eastAsia="仿宋" w:cs="仿宋"/>
          <w:color w:val="auto"/>
          <w:sz w:val="32"/>
          <w:szCs w:val="32"/>
          <w:highlight w:val="none"/>
          <w:lang w:val="en-US" w:eastAsia="zh-CN"/>
        </w:rPr>
        <w:t>929.91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，其他收入</w:t>
      </w:r>
      <w:r>
        <w:rPr>
          <w:rFonts w:hint="eastAsia" w:ascii="仿宋" w:hAnsi="仿宋" w:eastAsia="仿宋" w:cs="仿宋"/>
          <w:color w:val="auto"/>
          <w:sz w:val="32"/>
          <w:szCs w:val="32"/>
          <w:highlight w:val="none"/>
          <w:lang w:val="en-US" w:eastAsia="zh-CN"/>
        </w:rPr>
        <w:t>12.81万元</w:t>
      </w:r>
      <w:r>
        <w:rPr>
          <w:rFonts w:hint="eastAsia" w:ascii="仿宋" w:hAnsi="仿宋" w:eastAsia="仿宋" w:cs="仿宋"/>
          <w:color w:val="auto"/>
          <w:sz w:val="32"/>
          <w:szCs w:val="32"/>
          <w:highlight w:val="none"/>
        </w:rPr>
        <w:t>。</w:t>
      </w:r>
    </w:p>
    <w:p>
      <w:pPr>
        <w:keepNext w:val="0"/>
        <w:keepLines w:val="0"/>
        <w:pageBreakBefore w:val="0"/>
        <w:shd w:val="clear"/>
        <w:kinsoku/>
        <w:wordWrap/>
        <w:overflowPunct/>
        <w:topLinePunct w:val="0"/>
        <w:bidi w:val="0"/>
        <w:snapToGrid/>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支出方面</w:t>
      </w:r>
      <w:r>
        <w:rPr>
          <w:rFonts w:hint="eastAsia" w:ascii="仿宋" w:hAnsi="仿宋" w:eastAsia="仿宋" w:cs="仿宋"/>
          <w:color w:val="auto"/>
          <w:sz w:val="32"/>
          <w:szCs w:val="32"/>
          <w:highlight w:val="none"/>
        </w:rPr>
        <w:t>：本年实际财政拔款支出为</w:t>
      </w:r>
      <w:r>
        <w:rPr>
          <w:rFonts w:hint="eastAsia" w:ascii="仿宋" w:hAnsi="仿宋" w:eastAsia="仿宋" w:cs="仿宋"/>
          <w:color w:val="auto"/>
          <w:sz w:val="32"/>
          <w:szCs w:val="32"/>
          <w:highlight w:val="none"/>
          <w:lang w:val="en-US" w:eastAsia="zh-CN"/>
        </w:rPr>
        <w:t>942.72</w:t>
      </w:r>
      <w:r>
        <w:rPr>
          <w:rFonts w:hint="eastAsia" w:ascii="仿宋" w:hAnsi="仿宋" w:eastAsia="仿宋" w:cs="仿宋"/>
          <w:color w:val="auto"/>
          <w:sz w:val="32"/>
          <w:szCs w:val="32"/>
          <w:highlight w:val="none"/>
        </w:rPr>
        <w:t>万元，为全年收入的100%。其中：基本支出</w:t>
      </w:r>
      <w:r>
        <w:rPr>
          <w:rFonts w:hint="eastAsia" w:ascii="仿宋" w:hAnsi="仿宋" w:eastAsia="仿宋" w:cs="仿宋"/>
          <w:color w:val="auto"/>
          <w:sz w:val="32"/>
          <w:szCs w:val="32"/>
          <w:highlight w:val="none"/>
          <w:lang w:val="en-US" w:eastAsia="zh-CN"/>
        </w:rPr>
        <w:t>377.86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为全年收入的</w:t>
      </w:r>
      <w:r>
        <w:rPr>
          <w:rFonts w:hint="eastAsia" w:ascii="仿宋" w:hAnsi="仿宋" w:eastAsia="仿宋" w:cs="仿宋"/>
          <w:color w:val="auto"/>
          <w:sz w:val="32"/>
          <w:szCs w:val="32"/>
          <w:highlight w:val="none"/>
          <w:lang w:val="en-US" w:eastAsia="zh-CN"/>
        </w:rPr>
        <w:t>40.08</w:t>
      </w:r>
      <w:r>
        <w:rPr>
          <w:rFonts w:hint="eastAsia" w:ascii="仿宋" w:hAnsi="仿宋" w:eastAsia="仿宋" w:cs="仿宋"/>
          <w:color w:val="auto"/>
          <w:sz w:val="32"/>
          <w:szCs w:val="32"/>
          <w:highlight w:val="none"/>
        </w:rPr>
        <w:t>%；项目支出</w:t>
      </w:r>
      <w:r>
        <w:rPr>
          <w:rFonts w:hint="eastAsia" w:ascii="仿宋" w:hAnsi="仿宋" w:eastAsia="仿宋" w:cs="仿宋"/>
          <w:color w:val="auto"/>
          <w:sz w:val="32"/>
          <w:szCs w:val="32"/>
          <w:highlight w:val="none"/>
          <w:lang w:val="en-US" w:eastAsia="zh-CN"/>
        </w:rPr>
        <w:t>564.86</w:t>
      </w:r>
      <w:r>
        <w:rPr>
          <w:rFonts w:hint="eastAsia" w:ascii="仿宋" w:hAnsi="仿宋" w:eastAsia="仿宋" w:cs="仿宋"/>
          <w:color w:val="auto"/>
          <w:sz w:val="32"/>
          <w:szCs w:val="32"/>
          <w:highlight w:val="none"/>
        </w:rPr>
        <w:t>万元，为全年收入的</w:t>
      </w:r>
      <w:r>
        <w:rPr>
          <w:rFonts w:hint="eastAsia" w:ascii="仿宋" w:hAnsi="仿宋" w:eastAsia="仿宋" w:cs="仿宋"/>
          <w:color w:val="auto"/>
          <w:sz w:val="32"/>
          <w:szCs w:val="32"/>
          <w:highlight w:val="none"/>
          <w:lang w:val="en-US" w:eastAsia="zh-CN"/>
        </w:rPr>
        <w:t>59.92</w:t>
      </w:r>
      <w:r>
        <w:rPr>
          <w:rFonts w:hint="eastAsia" w:ascii="仿宋" w:hAnsi="仿宋" w:eastAsia="仿宋" w:cs="仿宋"/>
          <w:color w:val="auto"/>
          <w:sz w:val="32"/>
          <w:szCs w:val="32"/>
          <w:highlight w:val="none"/>
        </w:rPr>
        <w:t>%。</w:t>
      </w:r>
    </w:p>
    <w:p>
      <w:pPr>
        <w:pStyle w:val="17"/>
        <w:keepNext w:val="0"/>
        <w:keepLines w:val="0"/>
        <w:pageBreakBefore w:val="0"/>
        <w:shd w:val="clear"/>
        <w:kinsoku/>
        <w:wordWrap/>
        <w:overflowPunct/>
        <w:topLinePunct w:val="0"/>
        <w:bidi w:val="0"/>
        <w:snapToGrid/>
        <w:spacing w:line="580" w:lineRule="exact"/>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（一）基本支出</w:t>
      </w:r>
      <w:r>
        <w:rPr>
          <w:rFonts w:hint="eastAsia" w:ascii="仿宋" w:hAnsi="仿宋" w:eastAsia="仿宋" w:cs="仿宋"/>
          <w:color w:val="auto"/>
          <w:sz w:val="32"/>
          <w:szCs w:val="32"/>
          <w:highlight w:val="none"/>
          <w:lang w:val="en-US" w:eastAsia="zh-CN"/>
        </w:rPr>
        <w:t>377.86</w:t>
      </w:r>
      <w:r>
        <w:rPr>
          <w:rFonts w:hint="eastAsia" w:ascii="仿宋" w:hAnsi="仿宋" w:eastAsia="仿宋" w:cs="仿宋"/>
          <w:color w:val="auto"/>
          <w:sz w:val="32"/>
          <w:szCs w:val="32"/>
          <w:highlight w:val="none"/>
        </w:rPr>
        <w:t>万元，为全年收入的</w:t>
      </w:r>
      <w:r>
        <w:rPr>
          <w:rFonts w:hint="eastAsia" w:ascii="仿宋" w:hAnsi="仿宋" w:eastAsia="仿宋" w:cs="仿宋"/>
          <w:color w:val="auto"/>
          <w:sz w:val="32"/>
          <w:szCs w:val="32"/>
          <w:highlight w:val="none"/>
          <w:lang w:val="en-US" w:eastAsia="zh-CN"/>
        </w:rPr>
        <w:t>40.08</w:t>
      </w:r>
      <w:r>
        <w:rPr>
          <w:rFonts w:hint="eastAsia" w:ascii="仿宋" w:hAnsi="仿宋" w:eastAsia="仿宋" w:cs="仿宋"/>
          <w:color w:val="auto"/>
          <w:sz w:val="32"/>
          <w:szCs w:val="32"/>
          <w:highlight w:val="none"/>
        </w:rPr>
        <w:t>%：</w:t>
      </w:r>
    </w:p>
    <w:p>
      <w:pPr>
        <w:keepNext w:val="0"/>
        <w:keepLines w:val="0"/>
        <w:pageBreakBefore w:val="0"/>
        <w:shd w:val="clear"/>
        <w:kinsoku/>
        <w:wordWrap/>
        <w:overflowPunct/>
        <w:topLinePunct w:val="0"/>
        <w:bidi w:val="0"/>
        <w:snapToGrid/>
        <w:spacing w:line="580" w:lineRule="exact"/>
        <w:ind w:firstLine="800" w:firstLineChars="25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1.工资福利支出</w:t>
      </w:r>
      <w:r>
        <w:rPr>
          <w:rFonts w:hint="eastAsia" w:ascii="仿宋" w:hAnsi="仿宋" w:eastAsia="仿宋" w:cs="仿宋"/>
          <w:color w:val="auto"/>
          <w:sz w:val="32"/>
          <w:szCs w:val="32"/>
          <w:highlight w:val="none"/>
          <w:lang w:val="en-US" w:eastAsia="zh-CN"/>
        </w:rPr>
        <w:t>190.87</w:t>
      </w:r>
      <w:r>
        <w:rPr>
          <w:rFonts w:hint="eastAsia" w:ascii="仿宋" w:hAnsi="仿宋" w:eastAsia="仿宋" w:cs="仿宋"/>
          <w:color w:val="auto"/>
          <w:sz w:val="32"/>
          <w:szCs w:val="32"/>
          <w:highlight w:val="none"/>
        </w:rPr>
        <w:t>万元，其中：基本工资</w:t>
      </w:r>
      <w:r>
        <w:rPr>
          <w:rFonts w:hint="eastAsia" w:ascii="仿宋" w:hAnsi="仿宋" w:eastAsia="仿宋" w:cs="仿宋"/>
          <w:color w:val="auto"/>
          <w:sz w:val="32"/>
          <w:szCs w:val="32"/>
          <w:highlight w:val="none"/>
          <w:lang w:val="en-US" w:eastAsia="zh-CN"/>
        </w:rPr>
        <w:t>91.45</w:t>
      </w:r>
      <w:r>
        <w:rPr>
          <w:rFonts w:hint="eastAsia" w:ascii="仿宋" w:hAnsi="仿宋" w:eastAsia="仿宋" w:cs="仿宋"/>
          <w:color w:val="auto"/>
          <w:sz w:val="32"/>
          <w:szCs w:val="32"/>
          <w:highlight w:val="none"/>
        </w:rPr>
        <w:t>万元，津贴补贴</w:t>
      </w:r>
      <w:r>
        <w:rPr>
          <w:rFonts w:hint="eastAsia" w:ascii="仿宋" w:hAnsi="仿宋" w:eastAsia="仿宋" w:cs="仿宋"/>
          <w:color w:val="auto"/>
          <w:sz w:val="32"/>
          <w:szCs w:val="32"/>
          <w:highlight w:val="none"/>
          <w:lang w:val="en-US" w:eastAsia="zh-CN"/>
        </w:rPr>
        <w:t>38.91</w:t>
      </w:r>
      <w:r>
        <w:rPr>
          <w:rFonts w:hint="eastAsia" w:ascii="仿宋" w:hAnsi="仿宋" w:eastAsia="仿宋" w:cs="仿宋"/>
          <w:color w:val="auto"/>
          <w:sz w:val="32"/>
          <w:szCs w:val="32"/>
          <w:highlight w:val="none"/>
        </w:rPr>
        <w:t>万元，奖金</w:t>
      </w:r>
      <w:r>
        <w:rPr>
          <w:rFonts w:hint="eastAsia" w:ascii="仿宋" w:hAnsi="仿宋" w:eastAsia="仿宋" w:cs="仿宋"/>
          <w:color w:val="auto"/>
          <w:sz w:val="32"/>
          <w:szCs w:val="32"/>
          <w:highlight w:val="none"/>
          <w:lang w:val="en-US" w:eastAsia="zh-CN"/>
        </w:rPr>
        <w:t>27.51</w:t>
      </w:r>
      <w:r>
        <w:rPr>
          <w:rFonts w:hint="eastAsia" w:ascii="仿宋" w:hAnsi="仿宋" w:eastAsia="仿宋" w:cs="仿宋"/>
          <w:color w:val="auto"/>
          <w:sz w:val="32"/>
          <w:szCs w:val="32"/>
          <w:highlight w:val="none"/>
        </w:rPr>
        <w:t>万元，伙食补助费</w:t>
      </w:r>
      <w:r>
        <w:rPr>
          <w:rFonts w:hint="eastAsia" w:ascii="仿宋" w:hAnsi="仿宋" w:eastAsia="仿宋" w:cs="仿宋"/>
          <w:color w:val="auto"/>
          <w:sz w:val="32"/>
          <w:szCs w:val="32"/>
          <w:highlight w:val="none"/>
          <w:lang w:val="en-US" w:eastAsia="zh-CN"/>
        </w:rPr>
        <w:t>4.63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绩效工资</w:t>
      </w:r>
      <w:r>
        <w:rPr>
          <w:rFonts w:hint="eastAsia" w:ascii="仿宋" w:hAnsi="仿宋" w:eastAsia="仿宋" w:cs="仿宋"/>
          <w:color w:val="auto"/>
          <w:sz w:val="32"/>
          <w:szCs w:val="32"/>
          <w:highlight w:val="none"/>
          <w:lang w:val="en-US" w:eastAsia="zh-CN"/>
        </w:rPr>
        <w:t>0.36万元，</w:t>
      </w:r>
      <w:r>
        <w:rPr>
          <w:rFonts w:hint="eastAsia" w:ascii="仿宋" w:hAnsi="仿宋" w:eastAsia="仿宋" w:cs="仿宋"/>
          <w:color w:val="auto"/>
          <w:sz w:val="32"/>
          <w:szCs w:val="32"/>
          <w:highlight w:val="none"/>
        </w:rPr>
        <w:t>机关事业单位基本养老保险缴费</w:t>
      </w:r>
      <w:r>
        <w:rPr>
          <w:rFonts w:hint="eastAsia" w:ascii="仿宋" w:hAnsi="仿宋" w:eastAsia="仿宋" w:cs="仿宋"/>
          <w:color w:val="auto"/>
          <w:sz w:val="32"/>
          <w:szCs w:val="32"/>
          <w:highlight w:val="none"/>
          <w:lang w:val="en-US" w:eastAsia="zh-CN"/>
        </w:rPr>
        <w:t>16.38</w:t>
      </w:r>
      <w:r>
        <w:rPr>
          <w:rFonts w:hint="eastAsia" w:ascii="仿宋" w:hAnsi="仿宋" w:eastAsia="仿宋" w:cs="仿宋"/>
          <w:color w:val="auto"/>
          <w:sz w:val="32"/>
          <w:szCs w:val="32"/>
          <w:highlight w:val="none"/>
        </w:rPr>
        <w:t>万元，职工基本医疗保险缴费</w:t>
      </w:r>
      <w:r>
        <w:rPr>
          <w:rFonts w:hint="eastAsia" w:ascii="仿宋" w:hAnsi="仿宋" w:eastAsia="仿宋" w:cs="仿宋"/>
          <w:color w:val="auto"/>
          <w:sz w:val="32"/>
          <w:szCs w:val="32"/>
          <w:highlight w:val="none"/>
          <w:lang w:val="en-US" w:eastAsia="zh-CN"/>
        </w:rPr>
        <w:t>8.70</w:t>
      </w:r>
      <w:r>
        <w:rPr>
          <w:rFonts w:hint="eastAsia" w:ascii="仿宋" w:hAnsi="仿宋" w:eastAsia="仿宋" w:cs="仿宋"/>
          <w:color w:val="auto"/>
          <w:sz w:val="32"/>
          <w:szCs w:val="32"/>
          <w:highlight w:val="none"/>
        </w:rPr>
        <w:t>万元，其他社会保障缴费</w:t>
      </w:r>
      <w:r>
        <w:rPr>
          <w:rFonts w:hint="eastAsia" w:ascii="仿宋" w:hAnsi="仿宋" w:eastAsia="仿宋" w:cs="仿宋"/>
          <w:color w:val="auto"/>
          <w:sz w:val="32"/>
          <w:szCs w:val="32"/>
          <w:highlight w:val="none"/>
          <w:lang w:val="en-US" w:eastAsia="zh-CN"/>
        </w:rPr>
        <w:t>0.37</w:t>
      </w:r>
      <w:r>
        <w:rPr>
          <w:rFonts w:hint="eastAsia" w:ascii="仿宋" w:hAnsi="仿宋" w:eastAsia="仿宋" w:cs="仿宋"/>
          <w:color w:val="auto"/>
          <w:sz w:val="32"/>
          <w:szCs w:val="32"/>
          <w:highlight w:val="none"/>
        </w:rPr>
        <w:t>万元，住房公积金</w:t>
      </w:r>
      <w:r>
        <w:rPr>
          <w:rFonts w:hint="eastAsia" w:ascii="仿宋" w:hAnsi="仿宋" w:eastAsia="仿宋" w:cs="仿宋"/>
          <w:color w:val="auto"/>
          <w:sz w:val="32"/>
          <w:szCs w:val="32"/>
          <w:highlight w:val="none"/>
          <w:lang w:val="en-US" w:eastAsia="zh-CN"/>
        </w:rPr>
        <w:t>2.56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pPr>
        <w:keepNext w:val="0"/>
        <w:keepLines w:val="0"/>
        <w:pageBreakBefore w:val="0"/>
        <w:shd w:val="clear"/>
        <w:kinsoku/>
        <w:wordWrap/>
        <w:overflowPunct/>
        <w:topLinePunct w:val="0"/>
        <w:bidi w:val="0"/>
        <w:snapToGrid/>
        <w:spacing w:line="580" w:lineRule="exact"/>
        <w:ind w:firstLine="800" w:firstLineChars="2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2.商品和服务支出</w:t>
      </w:r>
      <w:r>
        <w:rPr>
          <w:rFonts w:hint="eastAsia" w:ascii="仿宋" w:hAnsi="仿宋" w:eastAsia="仿宋" w:cs="仿宋"/>
          <w:color w:val="auto"/>
          <w:sz w:val="32"/>
          <w:szCs w:val="32"/>
          <w:highlight w:val="none"/>
          <w:lang w:val="en-US" w:eastAsia="zh-CN"/>
        </w:rPr>
        <w:t>156.10</w:t>
      </w:r>
      <w:r>
        <w:rPr>
          <w:rFonts w:hint="eastAsia" w:ascii="仿宋" w:hAnsi="仿宋" w:eastAsia="仿宋" w:cs="仿宋"/>
          <w:color w:val="auto"/>
          <w:sz w:val="32"/>
          <w:szCs w:val="32"/>
          <w:highlight w:val="none"/>
        </w:rPr>
        <w:t>万元，其中：办公费</w:t>
      </w:r>
      <w:r>
        <w:rPr>
          <w:rFonts w:hint="eastAsia" w:ascii="仿宋" w:hAnsi="仿宋" w:eastAsia="仿宋" w:cs="仿宋"/>
          <w:color w:val="auto"/>
          <w:sz w:val="32"/>
          <w:szCs w:val="32"/>
          <w:highlight w:val="none"/>
          <w:lang w:val="en-US" w:eastAsia="zh-CN"/>
        </w:rPr>
        <w:t>2.47</w:t>
      </w:r>
      <w:r>
        <w:rPr>
          <w:rFonts w:hint="eastAsia" w:ascii="仿宋" w:hAnsi="仿宋" w:eastAsia="仿宋" w:cs="仿宋"/>
          <w:color w:val="auto"/>
          <w:sz w:val="32"/>
          <w:szCs w:val="32"/>
          <w:highlight w:val="none"/>
        </w:rPr>
        <w:t>万元，印刷费</w:t>
      </w:r>
      <w:r>
        <w:rPr>
          <w:rFonts w:hint="eastAsia" w:ascii="仿宋" w:hAnsi="仿宋" w:eastAsia="仿宋" w:cs="仿宋"/>
          <w:color w:val="auto"/>
          <w:sz w:val="32"/>
          <w:szCs w:val="32"/>
          <w:highlight w:val="none"/>
          <w:lang w:val="en-US" w:eastAsia="zh-CN"/>
        </w:rPr>
        <w:t>23.01</w:t>
      </w:r>
      <w:r>
        <w:rPr>
          <w:rFonts w:hint="eastAsia" w:ascii="仿宋" w:hAnsi="仿宋" w:eastAsia="仿宋" w:cs="仿宋"/>
          <w:color w:val="auto"/>
          <w:sz w:val="32"/>
          <w:szCs w:val="32"/>
          <w:highlight w:val="none"/>
        </w:rPr>
        <w:t>万元，差旅费</w:t>
      </w:r>
      <w:r>
        <w:rPr>
          <w:rFonts w:hint="eastAsia" w:ascii="仿宋" w:hAnsi="仿宋" w:eastAsia="仿宋" w:cs="仿宋"/>
          <w:color w:val="auto"/>
          <w:sz w:val="32"/>
          <w:szCs w:val="32"/>
          <w:highlight w:val="none"/>
          <w:lang w:val="en-US" w:eastAsia="zh-CN"/>
        </w:rPr>
        <w:t>7.70</w:t>
      </w:r>
      <w:r>
        <w:rPr>
          <w:rFonts w:hint="eastAsia" w:ascii="仿宋" w:hAnsi="仿宋" w:eastAsia="仿宋" w:cs="仿宋"/>
          <w:color w:val="auto"/>
          <w:sz w:val="32"/>
          <w:szCs w:val="32"/>
          <w:highlight w:val="none"/>
        </w:rPr>
        <w:t>万元，会议费0.8万元，培训费0.</w:t>
      </w:r>
      <w:r>
        <w:rPr>
          <w:rFonts w:hint="eastAsia" w:ascii="仿宋" w:hAnsi="仿宋" w:eastAsia="仿宋" w:cs="仿宋"/>
          <w:color w:val="auto"/>
          <w:sz w:val="32"/>
          <w:szCs w:val="32"/>
          <w:highlight w:val="none"/>
          <w:lang w:val="en-US" w:eastAsia="zh-CN"/>
        </w:rPr>
        <w:t>37</w:t>
      </w:r>
      <w:r>
        <w:rPr>
          <w:rFonts w:hint="eastAsia" w:ascii="仿宋" w:hAnsi="仿宋" w:eastAsia="仿宋" w:cs="仿宋"/>
          <w:color w:val="auto"/>
          <w:sz w:val="32"/>
          <w:szCs w:val="32"/>
          <w:highlight w:val="none"/>
        </w:rPr>
        <w:t>万元，公务接待费</w:t>
      </w:r>
      <w:r>
        <w:rPr>
          <w:rFonts w:hint="eastAsia" w:ascii="仿宋" w:hAnsi="仿宋" w:eastAsia="仿宋" w:cs="仿宋"/>
          <w:color w:val="auto"/>
          <w:sz w:val="32"/>
          <w:szCs w:val="32"/>
          <w:highlight w:val="none"/>
          <w:lang w:val="en-US" w:eastAsia="zh-CN"/>
        </w:rPr>
        <w:t>5.56</w:t>
      </w:r>
      <w:r>
        <w:rPr>
          <w:rFonts w:hint="eastAsia" w:ascii="仿宋" w:hAnsi="仿宋" w:eastAsia="仿宋" w:cs="仿宋"/>
          <w:color w:val="auto"/>
          <w:sz w:val="32"/>
          <w:szCs w:val="32"/>
          <w:highlight w:val="none"/>
        </w:rPr>
        <w:t>万元，劳务费</w:t>
      </w:r>
      <w:r>
        <w:rPr>
          <w:rFonts w:hint="eastAsia" w:ascii="仿宋" w:hAnsi="仿宋" w:eastAsia="仿宋" w:cs="仿宋"/>
          <w:color w:val="auto"/>
          <w:sz w:val="32"/>
          <w:szCs w:val="32"/>
          <w:highlight w:val="none"/>
          <w:lang w:val="en-US" w:eastAsia="zh-CN"/>
        </w:rPr>
        <w:t>17.43</w:t>
      </w:r>
      <w:r>
        <w:rPr>
          <w:rFonts w:hint="eastAsia" w:ascii="仿宋" w:hAnsi="仿宋" w:eastAsia="仿宋" w:cs="仿宋"/>
          <w:color w:val="auto"/>
          <w:sz w:val="32"/>
          <w:szCs w:val="32"/>
          <w:highlight w:val="none"/>
        </w:rPr>
        <w:t>万元，工会经费</w:t>
      </w:r>
      <w:r>
        <w:rPr>
          <w:rFonts w:hint="eastAsia" w:ascii="仿宋" w:hAnsi="仿宋" w:eastAsia="仿宋" w:cs="仿宋"/>
          <w:color w:val="auto"/>
          <w:sz w:val="32"/>
          <w:szCs w:val="32"/>
          <w:highlight w:val="none"/>
          <w:lang w:val="en-US" w:eastAsia="zh-CN"/>
        </w:rPr>
        <w:t>18.17</w:t>
      </w:r>
      <w:r>
        <w:rPr>
          <w:rFonts w:hint="eastAsia" w:ascii="仿宋" w:hAnsi="仿宋" w:eastAsia="仿宋" w:cs="仿宋"/>
          <w:color w:val="auto"/>
          <w:sz w:val="32"/>
          <w:szCs w:val="32"/>
          <w:highlight w:val="none"/>
        </w:rPr>
        <w:t>万元，其他交通费</w:t>
      </w:r>
      <w:r>
        <w:rPr>
          <w:rFonts w:hint="eastAsia" w:ascii="仿宋" w:hAnsi="仿宋" w:eastAsia="仿宋" w:cs="仿宋"/>
          <w:color w:val="auto"/>
          <w:sz w:val="32"/>
          <w:szCs w:val="32"/>
          <w:highlight w:val="none"/>
          <w:lang w:val="en-US" w:eastAsia="zh-CN"/>
        </w:rPr>
        <w:t>16.17</w:t>
      </w:r>
      <w:r>
        <w:rPr>
          <w:rFonts w:hint="eastAsia" w:ascii="仿宋" w:hAnsi="仿宋" w:eastAsia="仿宋" w:cs="仿宋"/>
          <w:color w:val="auto"/>
          <w:sz w:val="32"/>
          <w:szCs w:val="32"/>
          <w:highlight w:val="none"/>
        </w:rPr>
        <w:t>万元，其他商品和服务支出</w:t>
      </w:r>
      <w:r>
        <w:rPr>
          <w:rFonts w:hint="eastAsia" w:ascii="仿宋" w:hAnsi="仿宋" w:eastAsia="仿宋" w:cs="仿宋"/>
          <w:color w:val="auto"/>
          <w:sz w:val="32"/>
          <w:szCs w:val="32"/>
          <w:highlight w:val="none"/>
          <w:lang w:val="en-US" w:eastAsia="zh-CN"/>
        </w:rPr>
        <w:t>64.42</w:t>
      </w:r>
      <w:r>
        <w:rPr>
          <w:rFonts w:hint="eastAsia" w:ascii="仿宋" w:hAnsi="仿宋" w:eastAsia="仿宋" w:cs="仿宋"/>
          <w:color w:val="auto"/>
          <w:sz w:val="32"/>
          <w:szCs w:val="32"/>
          <w:highlight w:val="none"/>
        </w:rPr>
        <w:t>万元。</w:t>
      </w:r>
    </w:p>
    <w:p>
      <w:pPr>
        <w:keepNext w:val="0"/>
        <w:keepLines w:val="0"/>
        <w:pageBreakBefore w:val="0"/>
        <w:shd w:val="clear"/>
        <w:kinsoku/>
        <w:wordWrap/>
        <w:overflowPunct/>
        <w:topLinePunct w:val="0"/>
        <w:bidi w:val="0"/>
        <w:snapToGrid/>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3、对个人和家庭的补助</w:t>
      </w:r>
      <w:r>
        <w:rPr>
          <w:rFonts w:hint="eastAsia" w:ascii="仿宋" w:hAnsi="仿宋" w:eastAsia="仿宋" w:cs="仿宋"/>
          <w:color w:val="auto"/>
          <w:sz w:val="32"/>
          <w:szCs w:val="32"/>
          <w:highlight w:val="none"/>
          <w:lang w:val="en-US" w:eastAsia="zh-CN"/>
        </w:rPr>
        <w:t>15.70</w:t>
      </w:r>
      <w:r>
        <w:rPr>
          <w:rFonts w:hint="eastAsia" w:ascii="仿宋" w:hAnsi="仿宋" w:eastAsia="仿宋" w:cs="仿宋"/>
          <w:color w:val="auto"/>
          <w:sz w:val="32"/>
          <w:szCs w:val="32"/>
          <w:highlight w:val="none"/>
        </w:rPr>
        <w:t>万元，其中：</w:t>
      </w:r>
      <w:r>
        <w:rPr>
          <w:rFonts w:hint="eastAsia" w:ascii="仿宋" w:hAnsi="仿宋" w:eastAsia="仿宋" w:cs="仿宋"/>
          <w:color w:val="auto"/>
          <w:sz w:val="32"/>
          <w:szCs w:val="32"/>
          <w:highlight w:val="none"/>
          <w:lang w:eastAsia="zh-CN"/>
        </w:rPr>
        <w:t>抚恤金</w:t>
      </w:r>
      <w:r>
        <w:rPr>
          <w:rFonts w:hint="eastAsia" w:ascii="仿宋" w:hAnsi="仿宋" w:eastAsia="仿宋" w:cs="仿宋"/>
          <w:color w:val="auto"/>
          <w:sz w:val="32"/>
          <w:szCs w:val="32"/>
          <w:highlight w:val="none"/>
          <w:lang w:val="en-US" w:eastAsia="zh-CN"/>
        </w:rPr>
        <w:t>0.48万元，</w:t>
      </w:r>
      <w:r>
        <w:rPr>
          <w:rFonts w:hint="eastAsia" w:ascii="仿宋" w:hAnsi="仿宋" w:eastAsia="仿宋" w:cs="仿宋"/>
          <w:color w:val="auto"/>
          <w:sz w:val="32"/>
          <w:szCs w:val="32"/>
          <w:highlight w:val="none"/>
        </w:rPr>
        <w:t>生活补助</w:t>
      </w:r>
      <w:r>
        <w:rPr>
          <w:rFonts w:hint="eastAsia" w:ascii="仿宋" w:hAnsi="仿宋" w:eastAsia="仿宋" w:cs="仿宋"/>
          <w:color w:val="auto"/>
          <w:sz w:val="32"/>
          <w:szCs w:val="32"/>
          <w:highlight w:val="none"/>
          <w:lang w:val="en-US" w:eastAsia="zh-CN"/>
        </w:rPr>
        <w:t>11.16</w:t>
      </w:r>
      <w:r>
        <w:rPr>
          <w:rFonts w:hint="eastAsia" w:ascii="仿宋" w:hAnsi="仿宋" w:eastAsia="仿宋" w:cs="仿宋"/>
          <w:color w:val="auto"/>
          <w:sz w:val="32"/>
          <w:szCs w:val="32"/>
          <w:highlight w:val="none"/>
        </w:rPr>
        <w:t>万元，奖励金</w:t>
      </w:r>
      <w:r>
        <w:rPr>
          <w:rFonts w:hint="eastAsia" w:ascii="仿宋" w:hAnsi="仿宋" w:eastAsia="仿宋" w:cs="仿宋"/>
          <w:color w:val="auto"/>
          <w:sz w:val="32"/>
          <w:szCs w:val="32"/>
          <w:highlight w:val="none"/>
          <w:lang w:val="en-US" w:eastAsia="zh-CN"/>
        </w:rPr>
        <w:t>0.11</w:t>
      </w:r>
      <w:r>
        <w:rPr>
          <w:rFonts w:hint="eastAsia" w:ascii="仿宋" w:hAnsi="仿宋" w:eastAsia="仿宋" w:cs="仿宋"/>
          <w:color w:val="auto"/>
          <w:sz w:val="32"/>
          <w:szCs w:val="32"/>
          <w:highlight w:val="none"/>
        </w:rPr>
        <w:t>万元，其他对个人和家庭的补助</w:t>
      </w:r>
      <w:r>
        <w:rPr>
          <w:rFonts w:hint="eastAsia" w:ascii="仿宋" w:hAnsi="仿宋" w:eastAsia="仿宋" w:cs="仿宋"/>
          <w:color w:val="auto"/>
          <w:sz w:val="32"/>
          <w:szCs w:val="32"/>
          <w:highlight w:val="none"/>
          <w:lang w:val="en-US" w:eastAsia="zh-CN"/>
        </w:rPr>
        <w:t>3.95</w:t>
      </w:r>
      <w:r>
        <w:rPr>
          <w:rFonts w:hint="eastAsia" w:ascii="仿宋" w:hAnsi="仿宋" w:eastAsia="仿宋" w:cs="仿宋"/>
          <w:color w:val="auto"/>
          <w:sz w:val="32"/>
          <w:szCs w:val="32"/>
          <w:highlight w:val="none"/>
        </w:rPr>
        <w:t>万元。</w:t>
      </w:r>
    </w:p>
    <w:p>
      <w:pPr>
        <w:keepNext w:val="0"/>
        <w:keepLines w:val="0"/>
        <w:pageBreakBefore w:val="0"/>
        <w:shd w:val="clear"/>
        <w:kinsoku/>
        <w:wordWrap/>
        <w:overflowPunct/>
        <w:topLinePunct w:val="0"/>
        <w:bidi w:val="0"/>
        <w:snapToGrid/>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4、资本性支出</w:t>
      </w:r>
      <w:r>
        <w:rPr>
          <w:rFonts w:hint="eastAsia" w:ascii="仿宋" w:hAnsi="仿宋" w:eastAsia="仿宋" w:cs="仿宋"/>
          <w:color w:val="auto"/>
          <w:sz w:val="32"/>
          <w:szCs w:val="32"/>
          <w:highlight w:val="none"/>
          <w:lang w:val="en-US" w:eastAsia="zh-CN"/>
        </w:rPr>
        <w:t>2.38</w:t>
      </w:r>
      <w:r>
        <w:rPr>
          <w:rFonts w:hint="eastAsia" w:ascii="仿宋" w:hAnsi="仿宋" w:eastAsia="仿宋" w:cs="仿宋"/>
          <w:color w:val="auto"/>
          <w:sz w:val="32"/>
          <w:szCs w:val="32"/>
          <w:highlight w:val="none"/>
        </w:rPr>
        <w:t>万元，其中：办公设备购置</w:t>
      </w:r>
      <w:r>
        <w:rPr>
          <w:rFonts w:hint="eastAsia" w:ascii="仿宋" w:hAnsi="仿宋" w:eastAsia="仿宋" w:cs="仿宋"/>
          <w:color w:val="auto"/>
          <w:sz w:val="32"/>
          <w:szCs w:val="32"/>
          <w:highlight w:val="none"/>
          <w:lang w:val="en-US" w:eastAsia="zh-CN"/>
        </w:rPr>
        <w:t>2.38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pPr>
        <w:pStyle w:val="2"/>
        <w:keepNext w:val="0"/>
        <w:keepLines w:val="0"/>
        <w:pageBreakBefore w:val="0"/>
        <w:kinsoku/>
        <w:wordWrap/>
        <w:overflowPunct/>
        <w:topLinePunct w:val="0"/>
        <w:bidi w:val="0"/>
        <w:snapToGrid/>
        <w:spacing w:line="580" w:lineRule="exact"/>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5、其他支出（其他收入）12.81万元，用于办公经费支出。</w:t>
      </w:r>
    </w:p>
    <w:p>
      <w:pPr>
        <w:keepNext w:val="0"/>
        <w:keepLines w:val="0"/>
        <w:pageBreakBefore w:val="0"/>
        <w:shd w:val="clear"/>
        <w:kinsoku/>
        <w:wordWrap/>
        <w:overflowPunct/>
        <w:topLinePunct w:val="0"/>
        <w:bidi w:val="0"/>
        <w:snapToGrid/>
        <w:spacing w:line="580" w:lineRule="exact"/>
        <w:ind w:firstLine="320" w:firstLineChars="1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（二）项目支出</w:t>
      </w:r>
      <w:r>
        <w:rPr>
          <w:rFonts w:hint="eastAsia" w:ascii="仿宋" w:hAnsi="仿宋" w:eastAsia="仿宋" w:cs="仿宋"/>
          <w:color w:val="auto"/>
          <w:sz w:val="32"/>
          <w:szCs w:val="32"/>
          <w:highlight w:val="none"/>
          <w:lang w:val="en-US" w:eastAsia="zh-CN"/>
        </w:rPr>
        <w:t>564.86</w:t>
      </w:r>
      <w:r>
        <w:rPr>
          <w:rFonts w:hint="eastAsia" w:ascii="仿宋" w:hAnsi="仿宋" w:eastAsia="仿宋" w:cs="仿宋"/>
          <w:color w:val="auto"/>
          <w:sz w:val="32"/>
          <w:szCs w:val="32"/>
          <w:highlight w:val="none"/>
        </w:rPr>
        <w:t>万元，为全年收入的</w:t>
      </w:r>
      <w:r>
        <w:rPr>
          <w:rFonts w:hint="eastAsia" w:ascii="仿宋" w:hAnsi="仿宋" w:eastAsia="仿宋" w:cs="仿宋"/>
          <w:color w:val="auto"/>
          <w:sz w:val="32"/>
          <w:szCs w:val="32"/>
          <w:highlight w:val="none"/>
          <w:lang w:val="en-US" w:eastAsia="zh-CN"/>
        </w:rPr>
        <w:t>59.92</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1.意识形态工作经费</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用于开展意识形态工作。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2.县委中心组学习经费</w:t>
      </w:r>
      <w:r>
        <w:rPr>
          <w:rFonts w:hint="eastAsia" w:ascii="仿宋_GB2312" w:hAnsi="仿宋_GB2312" w:eastAsia="仿宋_GB2312" w:cs="仿宋_GB2312"/>
          <w:color w:val="auto"/>
          <w:sz w:val="32"/>
          <w:szCs w:val="32"/>
          <w:highlight w:val="none"/>
          <w:lang w:val="en-US" w:eastAsia="zh-CN"/>
        </w:rPr>
        <w:t>6.4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，用于开支县委理论中心组学习产生的印刷费和其他商品服务支出费用。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3.精神文明</w:t>
      </w:r>
      <w:r>
        <w:rPr>
          <w:rFonts w:hint="eastAsia" w:ascii="仿宋_GB2312" w:hAnsi="仿宋_GB2312" w:eastAsia="仿宋_GB2312" w:cs="仿宋_GB2312"/>
          <w:color w:val="auto"/>
          <w:sz w:val="32"/>
          <w:szCs w:val="32"/>
          <w:highlight w:val="none"/>
          <w:lang w:val="en-US" w:eastAsia="zh-CN"/>
        </w:rPr>
        <w:t>创建（含扫黄打非）</w:t>
      </w:r>
      <w:r>
        <w:rPr>
          <w:rFonts w:hint="eastAsia" w:ascii="仿宋_GB2312" w:hAnsi="仿宋_GB2312" w:eastAsia="仿宋_GB2312" w:cs="仿宋_GB2312"/>
          <w:color w:val="auto"/>
          <w:sz w:val="32"/>
          <w:szCs w:val="32"/>
          <w:highlight w:val="none"/>
        </w:rPr>
        <w:t>经费</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，用于精神文明创建、扫黄扫非、文明村镇建设等工作开支。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4.社科联工作经费</w:t>
      </w:r>
      <w:r>
        <w:rPr>
          <w:rFonts w:hint="eastAsia" w:ascii="仿宋_GB2312" w:hAnsi="仿宋_GB2312" w:eastAsia="仿宋_GB2312" w:cs="仿宋_GB2312"/>
          <w:color w:val="auto"/>
          <w:sz w:val="32"/>
          <w:szCs w:val="32"/>
          <w:highlight w:val="none"/>
          <w:lang w:val="en-US" w:eastAsia="zh-CN"/>
        </w:rPr>
        <w:t>0.46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，用于开展社科调研工作。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5.上级新闻媒体对接经费</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用于对接上级新闻媒体工作的开展。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6.志愿者服务管理经费5.99万元。用于购买志愿者服务。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7.其他专项费用530.41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其中：伙食补助费0.75万元，其他社会保障经费0.08万元，办公费4.83万元，印刷费295.88万元，差旅费1.38万元，工会经费4.39万元，劳务费10.33万元，其他交通费用0.25万元，其他商品和服务支出206.6万元，办公设备购置5.92万元。主要为</w:t>
      </w:r>
      <w:r>
        <w:rPr>
          <w:rFonts w:hint="eastAsia" w:ascii="仿宋_GB2312" w:hAnsi="仿宋_GB2312" w:eastAsia="仿宋_GB2312" w:cs="仿宋_GB2312"/>
          <w:color w:val="auto"/>
          <w:sz w:val="32"/>
          <w:szCs w:val="32"/>
          <w:highlight w:val="none"/>
        </w:rPr>
        <w:t>《天南地北怀化人》周刊经费</w:t>
      </w:r>
      <w:r>
        <w:rPr>
          <w:rFonts w:hint="eastAsia" w:ascii="仿宋_GB2312" w:hAnsi="仿宋_GB2312" w:eastAsia="仿宋_GB2312" w:cs="仿宋_GB2312"/>
          <w:color w:val="auto"/>
          <w:sz w:val="32"/>
          <w:szCs w:val="32"/>
          <w:highlight w:val="none"/>
          <w:lang w:eastAsia="zh-CN"/>
        </w:rPr>
        <w:t>、宣传贯彻习近平总书记“七一”重要讲话精神、党史学习教育、《习近平谈治国理政》第四卷等四部图书征订经费、粟裕纪念馆免费开放资金、新时代精神文明实践建设、堡子月饼文化旅游节活动</w:t>
      </w:r>
      <w:r>
        <w:rPr>
          <w:rFonts w:hint="eastAsia" w:ascii="仿宋_GB2312" w:hAnsi="仿宋_GB2312" w:eastAsia="仿宋_GB2312" w:cs="仿宋_GB2312"/>
          <w:color w:val="auto"/>
          <w:sz w:val="32"/>
          <w:szCs w:val="32"/>
          <w:highlight w:val="none"/>
          <w:lang w:val="en-US" w:eastAsia="zh-CN"/>
        </w:rPr>
        <w:t>等经费开支。</w:t>
      </w:r>
    </w:p>
    <w:p>
      <w:pPr>
        <w:keepNext w:val="0"/>
        <w:keepLines w:val="0"/>
        <w:pageBreakBefore w:val="0"/>
        <w:widowControl w:val="0"/>
        <w:kinsoku/>
        <w:wordWrap/>
        <w:overflowPunct/>
        <w:topLinePunct w:val="0"/>
        <w:autoSpaceDE/>
        <w:bidi w:val="0"/>
        <w:adjustRightInd/>
        <w:snapToGrid/>
        <w:spacing w:beforeLines="0" w:afterLines="0" w:line="580" w:lineRule="exact"/>
        <w:ind w:firstLine="640" w:firstLineChars="200"/>
        <w:textAlignment w:val="auto"/>
        <w:rPr>
          <w:rFonts w:hint="eastAsia" w:ascii="仿宋_GB2312" w:hAnsi="仿宋_GB2312" w:eastAsia="仿宋_GB2312" w:cs="仿宋_GB2312"/>
          <w:snapToGrid/>
          <w:color w:val="auto"/>
          <w:kern w:val="2"/>
          <w:sz w:val="32"/>
          <w:szCs w:val="24"/>
          <w:highlight w:val="none"/>
          <w:lang w:val="en-US" w:eastAsia="zh-CN" w:bidi="zh-CN"/>
        </w:rPr>
      </w:pPr>
      <w:r>
        <w:rPr>
          <w:rFonts w:hint="eastAsia" w:ascii="楷体_GB2312" w:hAnsi="楷体" w:eastAsia="楷体_GB2312" w:cs="Times New Roman"/>
          <w:b/>
          <w:bCs w:val="0"/>
          <w:color w:val="auto"/>
          <w:spacing w:val="0"/>
          <w:sz w:val="32"/>
          <w:szCs w:val="32"/>
          <w:highlight w:val="none"/>
          <w:lang w:val="en-US" w:eastAsia="zh-CN"/>
        </w:rPr>
        <w:t>“三公”经费控制情况：</w:t>
      </w:r>
      <w:r>
        <w:rPr>
          <w:rFonts w:hint="eastAsia" w:ascii="Times New Roman" w:hAnsi="Times New Roman" w:eastAsia="仿宋_GB2312" w:cs="黑体"/>
          <w:color w:val="auto"/>
          <w:kern w:val="0"/>
          <w:sz w:val="32"/>
          <w:szCs w:val="32"/>
          <w:highlight w:val="none"/>
          <w:lang w:val="en-US" w:eastAsia="zh-CN" w:bidi="ar-SA"/>
        </w:rPr>
        <w:t>没有因公出国（境）人员，公务接待费占年初预算安排数83.78 %，支出7.54万元，公务用车购置及运行维护费占年初预算安排数0%，支出0万元，有效的控制了“三公经费”的支出。</w:t>
      </w:r>
    </w:p>
    <w:p>
      <w:pPr>
        <w:keepNext w:val="0"/>
        <w:keepLines w:val="0"/>
        <w:pageBreakBefore w:val="0"/>
        <w:widowControl w:val="0"/>
        <w:kinsoku/>
        <w:wordWrap/>
        <w:overflowPunct/>
        <w:topLinePunct w:val="0"/>
        <w:autoSpaceDE/>
        <w:bidi w:val="0"/>
        <w:adjustRightInd/>
        <w:snapToGrid/>
        <w:spacing w:beforeLines="0" w:afterLines="0" w:line="580" w:lineRule="exact"/>
        <w:ind w:firstLine="640" w:firstLineChars="200"/>
        <w:textAlignment w:val="auto"/>
        <w:rPr>
          <w:rFonts w:hint="eastAsia" w:ascii="仿宋_GB2312" w:hAnsi="仿宋_GB2312" w:eastAsia="仿宋_GB2312" w:cs="仿宋_GB2312"/>
          <w:snapToGrid/>
          <w:color w:val="auto"/>
          <w:kern w:val="2"/>
          <w:sz w:val="32"/>
          <w:szCs w:val="24"/>
          <w:highlight w:val="none"/>
          <w:lang w:val="en-US" w:eastAsia="zh-CN" w:bidi="zh-CN"/>
        </w:rPr>
      </w:pPr>
      <w:r>
        <w:rPr>
          <w:rFonts w:hint="eastAsia" w:ascii="楷体_GB2312" w:hAnsi="楷体" w:eastAsia="楷体_GB2312" w:cs="Times New Roman"/>
          <w:b/>
          <w:bCs w:val="0"/>
          <w:color w:val="auto"/>
          <w:spacing w:val="0"/>
          <w:sz w:val="32"/>
          <w:szCs w:val="32"/>
          <w:highlight w:val="none"/>
          <w:lang w:val="en-US" w:eastAsia="zh-CN"/>
        </w:rPr>
        <w:t>政府采购方面：</w:t>
      </w:r>
      <w:r>
        <w:rPr>
          <w:rFonts w:hint="eastAsia" w:ascii="Times New Roman" w:hAnsi="Times New Roman" w:eastAsia="仿宋_GB2312" w:cs="黑体"/>
          <w:color w:val="auto"/>
          <w:kern w:val="0"/>
          <w:sz w:val="32"/>
          <w:szCs w:val="32"/>
          <w:highlight w:val="none"/>
          <w:lang w:val="en-US" w:eastAsia="zh-CN" w:bidi="ar-SA"/>
        </w:rPr>
        <w:t>全年通过政府采购支出0元。</w:t>
      </w:r>
    </w:p>
    <w:p>
      <w:pPr>
        <w:keepNext w:val="0"/>
        <w:keepLines w:val="0"/>
        <w:pageBreakBefore w:val="0"/>
        <w:shd w:val="clear"/>
        <w:kinsoku/>
        <w:wordWrap/>
        <w:overflowPunct/>
        <w:topLinePunct w:val="0"/>
        <w:bidi w:val="0"/>
        <w:snapToGrid/>
        <w:spacing w:line="58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楷体_GB2312" w:hAnsi="楷体" w:eastAsia="楷体_GB2312" w:cs="Times New Roman"/>
          <w:b/>
          <w:bCs w:val="0"/>
          <w:color w:val="auto"/>
          <w:spacing w:val="0"/>
          <w:sz w:val="32"/>
          <w:szCs w:val="32"/>
          <w:highlight w:val="none"/>
          <w:lang w:val="en-US" w:eastAsia="zh-CN"/>
        </w:rPr>
        <w:t>财务管理方面：</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中共</w:t>
      </w:r>
      <w:r>
        <w:rPr>
          <w:rFonts w:hint="eastAsia" w:ascii="仿宋" w:hAnsi="仿宋" w:eastAsia="仿宋" w:cs="仿宋"/>
          <w:color w:val="auto"/>
          <w:sz w:val="32"/>
          <w:szCs w:val="32"/>
          <w:highlight w:val="none"/>
        </w:rPr>
        <w:t>认真履行年初方案确定的职责。没有存在截留、挤占、挪用、虚列支出等情况；基础数据信息和会计信息资料真实、完整、准确。</w:t>
      </w:r>
    </w:p>
    <w:p>
      <w:pPr>
        <w:keepNext w:val="0"/>
        <w:keepLines w:val="0"/>
        <w:pageBreakBefore w:val="0"/>
        <w:kinsoku/>
        <w:wordWrap/>
        <w:overflowPunct/>
        <w:topLinePunct w:val="0"/>
        <w:bidi w:val="0"/>
        <w:snapToGrid/>
        <w:spacing w:line="580" w:lineRule="exact"/>
        <w:ind w:firstLine="640" w:firstLineChars="20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sz w:val="32"/>
          <w:szCs w:val="32"/>
          <w:highlight w:val="none"/>
        </w:rPr>
        <w:t>五、</w:t>
      </w:r>
      <w:r>
        <w:rPr>
          <w:rFonts w:hint="eastAsia" w:ascii="黑体" w:hAnsi="黑体" w:eastAsia="黑体" w:cs="黑体"/>
          <w:b w:val="0"/>
          <w:bCs w:val="0"/>
          <w:color w:val="auto"/>
          <w:sz w:val="32"/>
          <w:szCs w:val="32"/>
          <w:highlight w:val="none"/>
          <w:lang w:eastAsia="zh-CN"/>
        </w:rPr>
        <w:t>本</w:t>
      </w:r>
      <w:r>
        <w:rPr>
          <w:rFonts w:hint="eastAsia" w:ascii="黑体" w:hAnsi="黑体" w:eastAsia="黑体" w:cs="黑体"/>
          <w:b w:val="0"/>
          <w:bCs w:val="0"/>
          <w:color w:val="auto"/>
          <w:kern w:val="0"/>
          <w:sz w:val="32"/>
          <w:szCs w:val="32"/>
          <w:highlight w:val="none"/>
        </w:rPr>
        <w:t>单位工作目标履职情况</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由于年初预算安排及有目的进行了预算调整，有效的保障了各项业务工作顺利开展，反映良好，主要表现在：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0" w:firstLineChars="194"/>
        <w:jc w:val="both"/>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仿宋" w:hAnsi="仿宋" w:eastAsia="仿宋" w:cs="仿宋"/>
          <w:b/>
          <w:bCs/>
          <w:color w:val="auto"/>
          <w:sz w:val="32"/>
          <w:szCs w:val="32"/>
          <w:highlight w:val="none"/>
        </w:rPr>
        <w:t>（一）</w:t>
      </w:r>
      <w:r>
        <w:rPr>
          <w:rFonts w:hint="eastAsia" w:ascii="楷体_GB2312" w:hAnsi="楷体" w:eastAsia="楷体_GB2312"/>
          <w:b/>
          <w:bCs w:val="0"/>
          <w:color w:val="auto"/>
          <w:spacing w:val="0"/>
          <w:sz w:val="32"/>
          <w:szCs w:val="32"/>
          <w:highlight w:val="none"/>
          <w:lang w:val="en-US" w:eastAsia="zh-CN"/>
        </w:rPr>
        <w:t>着力加强重大专题宣传，精心讲好讲靓“会同故事</w:t>
      </w:r>
      <w:r>
        <w:rPr>
          <w:rFonts w:hint="eastAsia" w:ascii="楷体_GB2312" w:hAnsi="楷体" w:eastAsia="楷体_GB2312"/>
          <w:b/>
          <w:bCs w:val="0"/>
          <w:color w:val="auto"/>
          <w:spacing w:val="0"/>
          <w:sz w:val="32"/>
          <w:szCs w:val="32"/>
          <w:highlight w:val="none"/>
          <w:lang w:eastAsia="zh-CN"/>
        </w:rPr>
        <w:t>”。</w:t>
      </w:r>
      <w:r>
        <w:rPr>
          <w:rFonts w:hint="eastAsia" w:ascii="Times New Roman" w:hAnsi="Times New Roman" w:eastAsia="仿宋_GB2312" w:cs="黑体"/>
          <w:color w:val="auto"/>
          <w:kern w:val="0"/>
          <w:sz w:val="32"/>
          <w:szCs w:val="32"/>
          <w:highlight w:val="none"/>
          <w:lang w:val="en-US" w:eastAsia="zh-CN" w:bidi="ar-SA"/>
        </w:rPr>
        <w:t xml:space="preserve">组织开设“喜迎二十大，奋进新征程”“在二十大精神鼓舞下，奋起二次创业”等重大专题专栏31个。围绕“党的二十大”这一工作主线，我县学习贯彻党的二十大精神宣传报道排名全市前列。中秋节会同柴火月饼报道七上央视，网络浏览量近亿次。李柏霖“田野诗班”登上“中国文学盛典·鲁迅文学奖之夜”颁奖舞台，李柏霖“田野诗班”的事迹引发社会广泛关注，并成为热点新闻和正面典型，李柏霖成为怀化市继洪战辉之后新推出的全国性新闻人物和重大先进典型，相关事迹得到新华社、人民日报、央视、光明日报、中国国防报、湖南日报、湖南卫视等主流媒体多次报道，省委宣传部已支持将李柏霖加入湘西十八洞村的脱贫攻坚主题人物展览展示，李柏霖老师当选省人大代表，获评湖南省乡村阅读榜样、2022年度湖南十大教育新闻人物。我县2022年累计在《人民日报》、央视、新华社、《光明日报》、人民网等中央媒体上稿90余条；在“学习强国”平台上稿10余篇；在《湖南日报》、湖南卫视、红网等省级媒体上稿230余篇；在《怀化日报》、怀化新闻联播等市级媒体上稿780余篇。在2021年度怀化新闻奖作品奖评选中，《“‘兜底收储’打通林农银企借贷最后一步 会同林权贷实现了不砍树也能致富》被评为2021年度怀化新闻奖一等奖，我县荣获二等奖1个，三等奖2个；在2022“相约国际陆港·嗨购幸福怀化”优秀作品评选中，我县荣获一等奖2个，二等奖1个。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0" w:firstLineChars="194"/>
        <w:jc w:val="both"/>
        <w:textAlignment w:val="auto"/>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仿宋" w:hAnsi="仿宋" w:eastAsia="仿宋" w:cs="仿宋"/>
          <w:b/>
          <w:color w:val="auto"/>
          <w:sz w:val="32"/>
          <w:szCs w:val="32"/>
          <w:highlight w:val="none"/>
        </w:rPr>
        <w:t>（二）</w:t>
      </w:r>
      <w:r>
        <w:rPr>
          <w:rFonts w:hint="eastAsia" w:ascii="楷体_GB2312" w:hAnsi="楷体" w:eastAsia="楷体_GB2312"/>
          <w:b/>
          <w:bCs w:val="0"/>
          <w:color w:val="auto"/>
          <w:spacing w:val="0"/>
          <w:sz w:val="32"/>
          <w:szCs w:val="32"/>
          <w:highlight w:val="none"/>
          <w:lang w:val="en-US" w:eastAsia="zh-CN"/>
        </w:rPr>
        <w:t>着力推进文化文艺文产繁荣发展，努力营造团结奋进干事创业浓厚氛围。</w:t>
      </w:r>
      <w:r>
        <w:rPr>
          <w:rFonts w:hint="eastAsia" w:ascii="Times New Roman" w:hAnsi="Times New Roman" w:eastAsia="仿宋_GB2312" w:cs="黑体"/>
          <w:color w:val="auto"/>
          <w:kern w:val="0"/>
          <w:sz w:val="32"/>
          <w:szCs w:val="32"/>
          <w:highlight w:val="none"/>
          <w:lang w:val="en-US" w:eastAsia="zh-CN" w:bidi="ar-SA"/>
        </w:rPr>
        <w:t>组织举办“欢度国庆节·喜迎二十大”“民族团结一家亲·孝老爱亲促团结”文艺演出、“喜庆二十大·非凡这十年”会同成就图片展等文艺文化活动，持续开展“送戏曲进万村·送春联进万家”和“三下乡”等惠民文艺演出活动。县委宣传部获“光影湘村”怀化市微电影大赛组织工作奖。着力实施粟裕故里红色文化旅游提质增效、五环时代全民健身中心等重点项目建设，粟裕故里景区获评湖南省文明旅游示范单位、湖南省党员教育培训现场教学点。原创小品《战神少年梦》纳入2022年湖南省文化和旅游项目资金支持项目。首创的大型舞台情景剧《战神粟裕》得到省、市高度肯定。“粟裕故里邀明月 侗家月饼话团圆——首届会同·堡子月饼文化旅游节”、高椅黑饭节、墓脚“端午非遗文化传承活动”、漠滨杨梅节等活动反响热烈。</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Times New Roman" w:hAnsi="Times New Roman" w:eastAsia="仿宋_GB2312" w:cs="黑体"/>
          <w:color w:val="auto"/>
          <w:kern w:val="0"/>
          <w:sz w:val="32"/>
          <w:szCs w:val="32"/>
          <w:highlight w:val="none"/>
          <w:lang w:val="en-US" w:eastAsia="zh-CN" w:bidi="ar-SA"/>
        </w:rPr>
      </w:pPr>
      <w:r>
        <w:rPr>
          <w:rFonts w:hint="eastAsia" w:ascii="仿宋" w:hAnsi="仿宋" w:eastAsia="仿宋" w:cs="仿宋"/>
          <w:b/>
          <w:color w:val="auto"/>
          <w:sz w:val="32"/>
          <w:szCs w:val="32"/>
          <w:highlight w:val="none"/>
        </w:rPr>
        <w:t>（三）</w:t>
      </w:r>
      <w:r>
        <w:rPr>
          <w:rFonts w:hint="eastAsia" w:ascii="楷体_GB2312" w:hAnsi="楷体" w:eastAsia="楷体_GB2312"/>
          <w:b/>
          <w:bCs w:val="0"/>
          <w:color w:val="auto"/>
          <w:spacing w:val="0"/>
          <w:sz w:val="32"/>
          <w:szCs w:val="32"/>
          <w:highlight w:val="none"/>
          <w:lang w:eastAsia="zh-CN"/>
        </w:rPr>
        <w:t>着力拓展新时代文明实践中心建设，坚持培育和践行社会主义核心价值观</w:t>
      </w:r>
      <w:r>
        <w:rPr>
          <w:rFonts w:hint="eastAsia" w:ascii="楷体_GB2312" w:hAnsi="楷体" w:eastAsia="楷体_GB2312"/>
          <w:b/>
          <w:bCs w:val="0"/>
          <w:color w:val="auto"/>
          <w:spacing w:val="0"/>
          <w:sz w:val="32"/>
          <w:szCs w:val="32"/>
          <w:highlight w:val="none"/>
        </w:rPr>
        <w:t>。</w:t>
      </w:r>
      <w:r>
        <w:rPr>
          <w:rFonts w:hint="eastAsia" w:ascii="Times New Roman" w:hAnsi="Times New Roman" w:eastAsia="仿宋_GB2312" w:cs="黑体"/>
          <w:color w:val="auto"/>
          <w:kern w:val="0"/>
          <w:sz w:val="32"/>
          <w:szCs w:val="32"/>
          <w:highlight w:val="none"/>
          <w:lang w:val="en-US" w:eastAsia="zh-CN" w:bidi="ar-SA"/>
        </w:rPr>
        <w:t>深入贯彻落实《新时代爱国主义教育实施纲要》《新时代公民道德建设实施纲要》，组织开展“强国复兴有我”等主题宣传教育活动。全域推进文明城市创建，在2022年全省城市文明程度指数实地测评中，测评成绩排名全市第二、全省前列，我县再次获评全省文明城市。广泛开展道德模范、身边好人、文明家庭等评选推荐活动，李柏霖、唐自田入选“湖南好人”候选人，唐自田入列20名全省“湖南好人”之一。深化文明村镇创建，总结推广堡子镇“五村联创”模式，联合打造“文明村镇示范带”。新时代文明实践中心、所、站建设实现100%全覆盖。志愿者注册数、服务时长排名全市前三。设立“会同文明实践”微信公众号和视频号，率先在全省推行乡村“智”理平台，实现新时代文明实践“线下线上一体化”，这一做法被湖南日报予以推介乡村移风易俗持续推进，我县入列全省婚俗改革试点县。</w:t>
      </w:r>
    </w:p>
    <w:p>
      <w:pPr>
        <w:keepNext w:val="0"/>
        <w:keepLines w:val="0"/>
        <w:pageBreakBefore w:val="0"/>
        <w:widowControl/>
        <w:kinsoku/>
        <w:wordWrap/>
        <w:overflowPunct/>
        <w:topLinePunct w:val="0"/>
        <w:bidi w:val="0"/>
        <w:snapToGrid/>
        <w:spacing w:line="580" w:lineRule="exact"/>
        <w:ind w:firstLine="473" w:firstLineChars="148"/>
        <w:jc w:val="left"/>
        <w:rPr>
          <w:rFonts w:hint="eastAsia" w:ascii="Times New Roman" w:hAnsi="Times New Roman" w:eastAsia="仿宋_GB2312" w:cs="黑体"/>
          <w:color w:val="auto"/>
          <w:kern w:val="0"/>
          <w:sz w:val="32"/>
          <w:szCs w:val="32"/>
          <w:highlight w:val="none"/>
          <w:lang w:val="en-US" w:eastAsia="zh-CN" w:bidi="ar-SA"/>
        </w:rPr>
      </w:pPr>
      <w:r>
        <w:rPr>
          <w:rFonts w:hint="eastAsia" w:ascii="楷体_GB2312" w:hAnsi="楷体" w:eastAsia="楷体_GB2312" w:cs="Times New Roman"/>
          <w:b/>
          <w:bCs w:val="0"/>
          <w:color w:val="auto"/>
          <w:spacing w:val="0"/>
          <w:sz w:val="32"/>
          <w:szCs w:val="32"/>
          <w:highlight w:val="none"/>
          <w:lang w:eastAsia="zh-CN"/>
        </w:rPr>
        <w:t>（四）</w:t>
      </w:r>
      <w:r>
        <w:rPr>
          <w:rFonts w:hint="eastAsia" w:ascii="楷体_GB2312" w:hAnsi="楷体" w:eastAsia="楷体_GB2312" w:cs="Times New Roman"/>
          <w:b/>
          <w:bCs w:val="0"/>
          <w:color w:val="auto"/>
          <w:spacing w:val="0"/>
          <w:sz w:val="32"/>
          <w:szCs w:val="32"/>
          <w:highlight w:val="none"/>
          <w:lang w:val="en-US" w:eastAsia="zh-CN"/>
        </w:rPr>
        <w:t>大力发扬斗争精神，紧密围绕县委、县政府的中心工作，抢抓历史机遇、奋起二次创业，推动高水平开放高质量发展。</w:t>
      </w:r>
      <w:r>
        <w:rPr>
          <w:rFonts w:hint="eastAsia" w:ascii="Times New Roman" w:hAnsi="Times New Roman" w:eastAsia="仿宋_GB2312" w:cs="黑体"/>
          <w:color w:val="auto"/>
          <w:kern w:val="0"/>
          <w:sz w:val="32"/>
          <w:szCs w:val="32"/>
          <w:highlight w:val="none"/>
          <w:lang w:val="en-US" w:eastAsia="zh-CN" w:bidi="ar-SA"/>
        </w:rPr>
        <w:t>积极参与疫情防控、防范化解重大风险、乡村振兴、污染防治、防汛救灾等县委、政府中心工作；不断提高安全生产、法治建设、保密工作管理水平；大力加强宣传教育正面引导，着力提高斗争精神思想意识。2022年，县委宣传部相继荣获“光影湘村”怀化市微电影大赛组织工作奖、怀化市2022年度“扫黄打非”优秀集体、2022年全县平安建设先进单位、2022年全县安全生产和消防工作优秀单位、2022年度健康会同行动工作优秀单位、2022年会同县招商引资工作优秀单位等殊荣。</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黑体"/>
          <w:color w:val="auto"/>
          <w:kern w:val="0"/>
          <w:sz w:val="32"/>
          <w:szCs w:val="32"/>
          <w:highlight w:val="none"/>
          <w:lang w:val="en-US" w:eastAsia="zh-CN" w:bidi="ar-SA"/>
        </w:rPr>
      </w:pPr>
      <w:r>
        <w:rPr>
          <w:rFonts w:hint="eastAsia" w:ascii="楷体_GB2312" w:hAnsi="楷体" w:eastAsia="楷体_GB2312" w:cs="Times New Roman"/>
          <w:b/>
          <w:bCs w:val="0"/>
          <w:color w:val="auto"/>
          <w:spacing w:val="0"/>
          <w:sz w:val="32"/>
          <w:szCs w:val="32"/>
          <w:highlight w:val="none"/>
          <w:lang w:val="en-US" w:eastAsia="zh-CN"/>
        </w:rPr>
        <w:t>（五）树立正确政绩观，为全面建设社会主义现代化新会同讲担当、重担当，服务大局有成效。</w:t>
      </w:r>
      <w:r>
        <w:rPr>
          <w:rFonts w:hint="eastAsia" w:ascii="Times New Roman" w:hAnsi="Times New Roman" w:eastAsia="仿宋_GB2312" w:cs="黑体"/>
          <w:color w:val="auto"/>
          <w:kern w:val="0"/>
          <w:sz w:val="32"/>
          <w:szCs w:val="32"/>
          <w:highlight w:val="none"/>
          <w:lang w:val="en-US" w:eastAsia="zh-CN" w:bidi="ar-SA"/>
        </w:rPr>
        <w:t>积极向各级媒体推介报道我县各项重点特色工作，助力全县争取2022年省政府真抓实干督查激励5项（含省政府大督查经验1项）；并助力全县获2022年度省级以上表彰奖励10项。</w:t>
      </w:r>
    </w:p>
    <w:p>
      <w:pPr>
        <w:keepNext w:val="0"/>
        <w:keepLines w:val="0"/>
        <w:pageBreakBefore w:val="0"/>
        <w:kinsoku/>
        <w:wordWrap/>
        <w:overflowPunct/>
        <w:topLinePunct w:val="0"/>
        <w:bidi w:val="0"/>
        <w:snapToGrid/>
        <w:spacing w:line="580" w:lineRule="exact"/>
        <w:ind w:firstLine="640" w:firstLineChars="20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六、单位履职效益</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（一）社会效益方面：提升理论研究水平，提高干部群众运用科学理论解决实际问题能力，增强广大干部群众理论自信、道路自信、制度自信，巩固全县人民团结奋斗共同思想基础。</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（二）可持续影响方面：为经济社会发展提供有力的思想保证、精神动力、舆论支持</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（三）公众满意度方面：提升社会群众满意度，提升服务质量及干部职工素质，满意度95%。</w:t>
      </w:r>
    </w:p>
    <w:p>
      <w:pPr>
        <w:keepNext w:val="0"/>
        <w:keepLines w:val="0"/>
        <w:pageBreakBefore w:val="0"/>
        <w:kinsoku/>
        <w:wordWrap/>
        <w:overflowPunct/>
        <w:topLinePunct w:val="0"/>
        <w:bidi w:val="0"/>
        <w:snapToGrid/>
        <w:spacing w:line="580" w:lineRule="exact"/>
        <w:ind w:firstLine="640" w:firstLineChars="20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七、绩效自评结论</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rPr>
      </w:pPr>
      <w:r>
        <w:rPr>
          <w:rFonts w:hint="eastAsia" w:ascii="仿宋" w:hAnsi="仿宋" w:eastAsia="仿宋" w:cs="仿宋"/>
          <w:color w:val="auto"/>
          <w:sz w:val="32"/>
          <w:szCs w:val="32"/>
          <w:highlight w:val="none"/>
        </w:rPr>
        <w:t>经自评，202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年度我</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部门整体支出绩效评价结论为“优”，自评分9</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ab/>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 xml:space="preserve">                </w:t>
      </w:r>
    </w:p>
    <w:p>
      <w:pPr>
        <w:pStyle w:val="16"/>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D081F"/>
    <w:multiLevelType w:val="singleLevel"/>
    <w:tmpl w:val="B9AD081F"/>
    <w:lvl w:ilvl="0" w:tentative="0">
      <w:start w:val="1"/>
      <w:numFmt w:val="chineseCounting"/>
      <w:suff w:val="nothing"/>
      <w:lvlText w:val="（%1）"/>
      <w:lvlJc w:val="left"/>
      <w:rPr>
        <w:rFonts w:hint="eastAsia"/>
      </w:rPr>
    </w:lvl>
  </w:abstractNum>
  <w:abstractNum w:abstractNumId="1">
    <w:nsid w:val="05CDA26D"/>
    <w:multiLevelType w:val="singleLevel"/>
    <w:tmpl w:val="05CDA26D"/>
    <w:lvl w:ilvl="0" w:tentative="0">
      <w:start w:val="1"/>
      <w:numFmt w:val="decimal"/>
      <w:suff w:val="nothing"/>
      <w:lvlText w:val="%1、"/>
      <w:lvlJc w:val="left"/>
    </w:lvl>
  </w:abstractNum>
  <w:abstractNum w:abstractNumId="2">
    <w:nsid w:val="3E9358CB"/>
    <w:multiLevelType w:val="singleLevel"/>
    <w:tmpl w:val="3E9358CB"/>
    <w:lvl w:ilvl="0" w:tentative="0">
      <w:start w:val="21"/>
      <w:numFmt w:val="decimal"/>
      <w:suff w:val="nothing"/>
      <w:lvlText w:val="%1、"/>
      <w:lvlJc w:val="left"/>
    </w:lvl>
  </w:abstractNum>
  <w:abstractNum w:abstractNumId="3">
    <w:nsid w:val="41886C84"/>
    <w:multiLevelType w:val="singleLevel"/>
    <w:tmpl w:val="41886C84"/>
    <w:lvl w:ilvl="0" w:tentative="0">
      <w:start w:val="5"/>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EzYTg2YzUzOGZmNGQyNWE0ZjA3YTRhY2JhMWEifQ=="/>
  </w:docVars>
  <w:rsids>
    <w:rsidRoot w:val="00172A27"/>
    <w:rsid w:val="0002229B"/>
    <w:rsid w:val="000273BD"/>
    <w:rsid w:val="00040CBC"/>
    <w:rsid w:val="000415B7"/>
    <w:rsid w:val="00041E3F"/>
    <w:rsid w:val="00055DAA"/>
    <w:rsid w:val="00061F7B"/>
    <w:rsid w:val="000658A3"/>
    <w:rsid w:val="00074155"/>
    <w:rsid w:val="000A3F69"/>
    <w:rsid w:val="000F2852"/>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2E1F6F"/>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16BE5"/>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E79D7"/>
    <w:rsid w:val="01CC7C92"/>
    <w:rsid w:val="029F7154"/>
    <w:rsid w:val="02B96468"/>
    <w:rsid w:val="03694EBA"/>
    <w:rsid w:val="038A570F"/>
    <w:rsid w:val="03AA4003"/>
    <w:rsid w:val="03B46C2F"/>
    <w:rsid w:val="042C16E6"/>
    <w:rsid w:val="046C750A"/>
    <w:rsid w:val="048D28BC"/>
    <w:rsid w:val="04E2310F"/>
    <w:rsid w:val="052120A3"/>
    <w:rsid w:val="055554C5"/>
    <w:rsid w:val="059357D2"/>
    <w:rsid w:val="07702E6D"/>
    <w:rsid w:val="094A47B9"/>
    <w:rsid w:val="09856576"/>
    <w:rsid w:val="0A864F1B"/>
    <w:rsid w:val="0AE24D98"/>
    <w:rsid w:val="0B6A742C"/>
    <w:rsid w:val="0B8E420A"/>
    <w:rsid w:val="0C152235"/>
    <w:rsid w:val="0C6F5DE9"/>
    <w:rsid w:val="0D344206"/>
    <w:rsid w:val="0E372937"/>
    <w:rsid w:val="0E5E1C72"/>
    <w:rsid w:val="0EF62503"/>
    <w:rsid w:val="0F212D60"/>
    <w:rsid w:val="1026427A"/>
    <w:rsid w:val="11357601"/>
    <w:rsid w:val="119D51A7"/>
    <w:rsid w:val="128E279F"/>
    <w:rsid w:val="13165211"/>
    <w:rsid w:val="132536A6"/>
    <w:rsid w:val="13A01AF0"/>
    <w:rsid w:val="14A10028"/>
    <w:rsid w:val="14FC3F92"/>
    <w:rsid w:val="16383BEC"/>
    <w:rsid w:val="16946B78"/>
    <w:rsid w:val="172852AE"/>
    <w:rsid w:val="17740CBA"/>
    <w:rsid w:val="17C3523B"/>
    <w:rsid w:val="183F48C2"/>
    <w:rsid w:val="193006AE"/>
    <w:rsid w:val="1AA600EC"/>
    <w:rsid w:val="1AA80B18"/>
    <w:rsid w:val="1AAC38DB"/>
    <w:rsid w:val="1BEF4851"/>
    <w:rsid w:val="1DC640CC"/>
    <w:rsid w:val="20CE196F"/>
    <w:rsid w:val="210C1A01"/>
    <w:rsid w:val="216655B5"/>
    <w:rsid w:val="223631D9"/>
    <w:rsid w:val="22543660"/>
    <w:rsid w:val="22C9634B"/>
    <w:rsid w:val="236958F7"/>
    <w:rsid w:val="242A28CA"/>
    <w:rsid w:val="2566235C"/>
    <w:rsid w:val="268B33C8"/>
    <w:rsid w:val="27DA7D0E"/>
    <w:rsid w:val="2809259F"/>
    <w:rsid w:val="280B47C0"/>
    <w:rsid w:val="28616AD6"/>
    <w:rsid w:val="291B38CC"/>
    <w:rsid w:val="2947420E"/>
    <w:rsid w:val="29E057D9"/>
    <w:rsid w:val="2A2658E2"/>
    <w:rsid w:val="2B286A61"/>
    <w:rsid w:val="2BF41601"/>
    <w:rsid w:val="2D7E5A35"/>
    <w:rsid w:val="2E422F06"/>
    <w:rsid w:val="2ED31DB0"/>
    <w:rsid w:val="2F42612A"/>
    <w:rsid w:val="2F917CA1"/>
    <w:rsid w:val="303845C1"/>
    <w:rsid w:val="31813D45"/>
    <w:rsid w:val="31FB2749"/>
    <w:rsid w:val="320F30FF"/>
    <w:rsid w:val="32625925"/>
    <w:rsid w:val="332826CA"/>
    <w:rsid w:val="339C5485"/>
    <w:rsid w:val="33C551F0"/>
    <w:rsid w:val="33D44B6A"/>
    <w:rsid w:val="346310A9"/>
    <w:rsid w:val="347D435A"/>
    <w:rsid w:val="348D028B"/>
    <w:rsid w:val="355C0961"/>
    <w:rsid w:val="35962DE0"/>
    <w:rsid w:val="36585416"/>
    <w:rsid w:val="367E6AA5"/>
    <w:rsid w:val="36D16BD5"/>
    <w:rsid w:val="38265F9A"/>
    <w:rsid w:val="38A722FF"/>
    <w:rsid w:val="38BF029F"/>
    <w:rsid w:val="38D94467"/>
    <w:rsid w:val="390A4620"/>
    <w:rsid w:val="39814475"/>
    <w:rsid w:val="3984436E"/>
    <w:rsid w:val="39D126B8"/>
    <w:rsid w:val="3A150057"/>
    <w:rsid w:val="3A5244D1"/>
    <w:rsid w:val="3B194FEF"/>
    <w:rsid w:val="3B84690C"/>
    <w:rsid w:val="3B8F3E5C"/>
    <w:rsid w:val="3C0C3633"/>
    <w:rsid w:val="3C224096"/>
    <w:rsid w:val="3CB529D8"/>
    <w:rsid w:val="3D141F11"/>
    <w:rsid w:val="3D7A6218"/>
    <w:rsid w:val="3DBA03C3"/>
    <w:rsid w:val="3DEA7A55"/>
    <w:rsid w:val="3E016E7C"/>
    <w:rsid w:val="3ED374A2"/>
    <w:rsid w:val="3EF913BF"/>
    <w:rsid w:val="3F0A537A"/>
    <w:rsid w:val="429B0143"/>
    <w:rsid w:val="43256CCA"/>
    <w:rsid w:val="43362BE2"/>
    <w:rsid w:val="43566DE0"/>
    <w:rsid w:val="440525B4"/>
    <w:rsid w:val="44816A53"/>
    <w:rsid w:val="45823144"/>
    <w:rsid w:val="45EE3CC6"/>
    <w:rsid w:val="46A95479"/>
    <w:rsid w:val="46CA5783"/>
    <w:rsid w:val="48677399"/>
    <w:rsid w:val="48F055E1"/>
    <w:rsid w:val="490D6193"/>
    <w:rsid w:val="492139EC"/>
    <w:rsid w:val="49957F36"/>
    <w:rsid w:val="49CA5E32"/>
    <w:rsid w:val="4A4D3AE7"/>
    <w:rsid w:val="4A8359F2"/>
    <w:rsid w:val="4B897627"/>
    <w:rsid w:val="4C336E9B"/>
    <w:rsid w:val="4C5145E8"/>
    <w:rsid w:val="4D0E6C05"/>
    <w:rsid w:val="4D4E5582"/>
    <w:rsid w:val="4E2F2707"/>
    <w:rsid w:val="4E722ADF"/>
    <w:rsid w:val="4F3834BA"/>
    <w:rsid w:val="4F50502B"/>
    <w:rsid w:val="51586419"/>
    <w:rsid w:val="522630D1"/>
    <w:rsid w:val="526D377F"/>
    <w:rsid w:val="53193F05"/>
    <w:rsid w:val="53870D4D"/>
    <w:rsid w:val="549D2262"/>
    <w:rsid w:val="54C06F06"/>
    <w:rsid w:val="55124B31"/>
    <w:rsid w:val="55945546"/>
    <w:rsid w:val="55CC1183"/>
    <w:rsid w:val="55DA564E"/>
    <w:rsid w:val="55F37EEC"/>
    <w:rsid w:val="56E803B6"/>
    <w:rsid w:val="574676E9"/>
    <w:rsid w:val="57631674"/>
    <w:rsid w:val="5777D4F5"/>
    <w:rsid w:val="578721FB"/>
    <w:rsid w:val="57B41ECF"/>
    <w:rsid w:val="57E83927"/>
    <w:rsid w:val="57EE3633"/>
    <w:rsid w:val="58346A24"/>
    <w:rsid w:val="58FD3DB6"/>
    <w:rsid w:val="595345F1"/>
    <w:rsid w:val="5AFF3B98"/>
    <w:rsid w:val="5CE13766"/>
    <w:rsid w:val="5D8440F2"/>
    <w:rsid w:val="5DA803F3"/>
    <w:rsid w:val="5E142895"/>
    <w:rsid w:val="5E744208"/>
    <w:rsid w:val="5E8C325E"/>
    <w:rsid w:val="5E912C90"/>
    <w:rsid w:val="5ECE6D5A"/>
    <w:rsid w:val="5F012F10"/>
    <w:rsid w:val="5FC6BB1E"/>
    <w:rsid w:val="5FCA6734"/>
    <w:rsid w:val="5FF27A39"/>
    <w:rsid w:val="5FF720F1"/>
    <w:rsid w:val="60593614"/>
    <w:rsid w:val="60A709E9"/>
    <w:rsid w:val="60F935FA"/>
    <w:rsid w:val="61A31477"/>
    <w:rsid w:val="61C7115A"/>
    <w:rsid w:val="61CD42B9"/>
    <w:rsid w:val="62314848"/>
    <w:rsid w:val="623A1909"/>
    <w:rsid w:val="62467BC8"/>
    <w:rsid w:val="62B00D22"/>
    <w:rsid w:val="62BE1E54"/>
    <w:rsid w:val="63102CFF"/>
    <w:rsid w:val="633C21FE"/>
    <w:rsid w:val="63885BA6"/>
    <w:rsid w:val="64831E4A"/>
    <w:rsid w:val="64837EE6"/>
    <w:rsid w:val="64942E6C"/>
    <w:rsid w:val="64C23E7D"/>
    <w:rsid w:val="64FD6C64"/>
    <w:rsid w:val="650810FC"/>
    <w:rsid w:val="65522556"/>
    <w:rsid w:val="67851192"/>
    <w:rsid w:val="6815227A"/>
    <w:rsid w:val="685E3EBD"/>
    <w:rsid w:val="687F5BE1"/>
    <w:rsid w:val="692769A5"/>
    <w:rsid w:val="69717C20"/>
    <w:rsid w:val="699102C2"/>
    <w:rsid w:val="69FF59F0"/>
    <w:rsid w:val="6AC10733"/>
    <w:rsid w:val="6AC3318B"/>
    <w:rsid w:val="6B940807"/>
    <w:rsid w:val="6C2178A7"/>
    <w:rsid w:val="6CB71DEE"/>
    <w:rsid w:val="6D5F1174"/>
    <w:rsid w:val="6DC9002B"/>
    <w:rsid w:val="6E8C2E06"/>
    <w:rsid w:val="6EA17160"/>
    <w:rsid w:val="6EF2515B"/>
    <w:rsid w:val="6FE00B4C"/>
    <w:rsid w:val="70123A24"/>
    <w:rsid w:val="70D72F0D"/>
    <w:rsid w:val="71B83015"/>
    <w:rsid w:val="71C437CA"/>
    <w:rsid w:val="730833A3"/>
    <w:rsid w:val="731F693F"/>
    <w:rsid w:val="737D59BA"/>
    <w:rsid w:val="738F6078"/>
    <w:rsid w:val="73C1313E"/>
    <w:rsid w:val="741C5E0B"/>
    <w:rsid w:val="758B206A"/>
    <w:rsid w:val="76B11077"/>
    <w:rsid w:val="76D812DE"/>
    <w:rsid w:val="76E36322"/>
    <w:rsid w:val="77274E70"/>
    <w:rsid w:val="77770AF7"/>
    <w:rsid w:val="77C37683"/>
    <w:rsid w:val="784838D5"/>
    <w:rsid w:val="788C4C0D"/>
    <w:rsid w:val="79254583"/>
    <w:rsid w:val="79273E57"/>
    <w:rsid w:val="799C2A97"/>
    <w:rsid w:val="79F8620F"/>
    <w:rsid w:val="79FF515B"/>
    <w:rsid w:val="7A0E5017"/>
    <w:rsid w:val="7A72359E"/>
    <w:rsid w:val="7A911ED0"/>
    <w:rsid w:val="7B784071"/>
    <w:rsid w:val="7BF726AE"/>
    <w:rsid w:val="7CC83BA3"/>
    <w:rsid w:val="7D225061"/>
    <w:rsid w:val="7D2A2168"/>
    <w:rsid w:val="7DF6453D"/>
    <w:rsid w:val="7E9F11B4"/>
    <w:rsid w:val="7EB663A9"/>
    <w:rsid w:val="7F23772F"/>
    <w:rsid w:val="7FA6047C"/>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rPr>
      <w:rFonts w:ascii="Times New Roman" w:hAnsi="Times New Roman"/>
    </w:rPr>
  </w:style>
  <w:style w:type="paragraph" w:styleId="4">
    <w:name w:val="annotation text"/>
    <w:basedOn w:val="1"/>
    <w:semiHidden/>
    <w:unhideWhenUsed/>
    <w:qFormat/>
    <w:uiPriority w:val="99"/>
    <w:pPr>
      <w:jc w:val="left"/>
    </w:pPr>
  </w:style>
  <w:style w:type="paragraph" w:styleId="5">
    <w:name w:val="Body Text Indent"/>
    <w:basedOn w:val="1"/>
    <w:unhideWhenUsed/>
    <w:qFormat/>
    <w:uiPriority w:val="0"/>
    <w:pPr>
      <w:spacing w:beforeLines="0" w:afterLines="0" w:line="660" w:lineRule="exact"/>
      <w:ind w:firstLine="627" w:firstLineChars="196"/>
    </w:pPr>
    <w:rPr>
      <w:rFonts w:hint="eastAsia" w:ascii="仿宋_GB2312" w:eastAsia="仿宋_GB2312"/>
      <w:sz w:val="32"/>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qFormat/>
    <w:uiPriority w:val="0"/>
    <w:pPr>
      <w:snapToGrid w:val="0"/>
      <w:jc w:val="left"/>
    </w:pPr>
    <w:rPr>
      <w:sz w:val="18"/>
      <w:szCs w:val="18"/>
    </w:rPr>
  </w:style>
  <w:style w:type="paragraph" w:styleId="10">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1">
    <w:name w:val="Body Text First Indent 2"/>
    <w:basedOn w:val="5"/>
    <w:next w:val="1"/>
    <w:unhideWhenUsed/>
    <w:qFormat/>
    <w:uiPriority w:val="0"/>
    <w:pPr>
      <w:spacing w:beforeLines="0" w:afterLines="0"/>
      <w:ind w:firstLine="200" w:firstLineChars="200"/>
    </w:pPr>
    <w:rPr>
      <w:rFonts w:hint="eastAsia" w:ascii="Calibri" w:hAnsi="Calibri"/>
      <w:sz w:val="36"/>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15661</Words>
  <Characters>20674</Characters>
  <Lines>63</Lines>
  <Paragraphs>18</Paragraphs>
  <TotalTime>22</TotalTime>
  <ScaleCrop>false</ScaleCrop>
  <LinksUpToDate>false</LinksUpToDate>
  <CharactersWithSpaces>21595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刘媛</cp:lastModifiedBy>
  <cp:lastPrinted>2023-08-16T08:05:00Z</cp:lastPrinted>
  <dcterms:modified xsi:type="dcterms:W3CDTF">2024-11-01T09:40:37Z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91F02B0F2D9746D2B3F86D5FB4D76AA8_13</vt:lpwstr>
  </property>
</Properties>
</file>