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jc w:val="center"/>
        <w:rPr>
          <w:sz w:val="56"/>
          <w:szCs w:val="56"/>
        </w:rPr>
      </w:pPr>
    </w:p>
    <w:p>
      <w:pPr>
        <w:pStyle w:val="16"/>
        <w:shd w:val="clear"/>
        <w:jc w:val="center"/>
        <w:rPr>
          <w:sz w:val="56"/>
          <w:szCs w:val="56"/>
        </w:rPr>
      </w:pPr>
    </w:p>
    <w:p>
      <w:pPr>
        <w:pStyle w:val="16"/>
        <w:shd w:val="clear"/>
        <w:jc w:val="center"/>
        <w:rPr>
          <w:sz w:val="56"/>
          <w:szCs w:val="56"/>
        </w:rPr>
      </w:pPr>
    </w:p>
    <w:p>
      <w:pPr>
        <w:pStyle w:val="16"/>
        <w:shd w:val="clear"/>
        <w:jc w:val="center"/>
        <w:rPr>
          <w:sz w:val="84"/>
          <w:szCs w:val="84"/>
        </w:rPr>
      </w:pPr>
    </w:p>
    <w:p>
      <w:pPr>
        <w:pStyle w:val="16"/>
        <w:shd w:val="clear"/>
        <w:jc w:val="center"/>
        <w:rPr>
          <w:sz w:val="84"/>
          <w:szCs w:val="84"/>
          <w:highlight w:val="none"/>
        </w:rPr>
      </w:pPr>
    </w:p>
    <w:p>
      <w:pPr>
        <w:pStyle w:val="16"/>
        <w:shd w:val="clear"/>
        <w:spacing w:line="360" w:lineRule="auto"/>
        <w:jc w:val="center"/>
        <w:rPr>
          <w:sz w:val="84"/>
          <w:szCs w:val="84"/>
          <w:highlight w:val="none"/>
        </w:rPr>
      </w:pPr>
      <w:r>
        <w:rPr>
          <w:sz w:val="84"/>
          <w:szCs w:val="84"/>
          <w:highlight w:val="none"/>
        </w:rPr>
        <w:t>202</w:t>
      </w:r>
      <w:r>
        <w:rPr>
          <w:rFonts w:hint="eastAsia"/>
          <w:sz w:val="84"/>
          <w:szCs w:val="84"/>
          <w:highlight w:val="none"/>
          <w:lang w:val="en-US" w:eastAsia="zh-CN"/>
        </w:rPr>
        <w:t>2</w:t>
      </w:r>
      <w:r>
        <w:rPr>
          <w:rFonts w:hint="eastAsia"/>
          <w:sz w:val="84"/>
          <w:szCs w:val="84"/>
          <w:highlight w:val="none"/>
        </w:rPr>
        <w:t>年度</w:t>
      </w:r>
    </w:p>
    <w:p>
      <w:pPr>
        <w:pStyle w:val="16"/>
        <w:jc w:val="center"/>
        <w:rPr>
          <w:rFonts w:hint="eastAsia"/>
          <w:sz w:val="84"/>
          <w:szCs w:val="84"/>
          <w:highlight w:val="none"/>
          <w:lang w:eastAsia="zh-CN"/>
        </w:rPr>
      </w:pPr>
      <w:r>
        <w:rPr>
          <w:rFonts w:hint="eastAsia"/>
          <w:sz w:val="84"/>
          <w:szCs w:val="84"/>
          <w:highlight w:val="none"/>
          <w:lang w:eastAsia="zh-CN"/>
        </w:rPr>
        <w:t>会同县炎帝文化研究所</w:t>
      </w:r>
    </w:p>
    <w:p>
      <w:pPr>
        <w:pStyle w:val="16"/>
        <w:jc w:val="center"/>
        <w:rPr>
          <w:sz w:val="84"/>
          <w:szCs w:val="84"/>
          <w:highlight w:val="none"/>
        </w:rPr>
      </w:pPr>
      <w:r>
        <w:rPr>
          <w:rFonts w:hint="eastAsia"/>
          <w:sz w:val="84"/>
          <w:szCs w:val="84"/>
          <w:highlight w:val="none"/>
        </w:rPr>
        <w:t>部门决算</w:t>
      </w:r>
    </w:p>
    <w:p>
      <w:pPr>
        <w:pStyle w:val="16"/>
        <w:shd w:val="clear"/>
        <w:spacing w:line="360" w:lineRule="auto"/>
        <w:jc w:val="center"/>
        <w:rPr>
          <w:sz w:val="56"/>
          <w:szCs w:val="56"/>
          <w:highlight w:val="none"/>
        </w:rPr>
      </w:pPr>
    </w:p>
    <w:p>
      <w:pPr>
        <w:pStyle w:val="16"/>
        <w:shd w:val="clear"/>
        <w:spacing w:line="360" w:lineRule="auto"/>
        <w:jc w:val="center"/>
        <w:rPr>
          <w:sz w:val="56"/>
          <w:szCs w:val="56"/>
          <w:highlight w:val="none"/>
        </w:rPr>
      </w:pPr>
    </w:p>
    <w:p>
      <w:pPr>
        <w:pStyle w:val="16"/>
        <w:shd w:val="clear"/>
        <w:spacing w:line="360" w:lineRule="auto"/>
        <w:jc w:val="center"/>
        <w:rPr>
          <w:sz w:val="56"/>
          <w:szCs w:val="56"/>
          <w:highlight w:val="none"/>
        </w:rPr>
      </w:pPr>
    </w:p>
    <w:p>
      <w:pPr>
        <w:pStyle w:val="16"/>
        <w:shd w:val="clear"/>
        <w:spacing w:line="360" w:lineRule="auto"/>
        <w:jc w:val="center"/>
        <w:rPr>
          <w:sz w:val="56"/>
          <w:szCs w:val="56"/>
          <w:highlight w:val="none"/>
        </w:rPr>
      </w:pPr>
    </w:p>
    <w:p>
      <w:pPr>
        <w:pStyle w:val="16"/>
        <w:shd w:val="clear"/>
        <w:spacing w:line="360" w:lineRule="auto"/>
        <w:jc w:val="center"/>
        <w:rPr>
          <w:sz w:val="32"/>
          <w:szCs w:val="32"/>
          <w:highlight w:val="none"/>
        </w:rPr>
      </w:pPr>
    </w:p>
    <w:p>
      <w:pPr>
        <w:pStyle w:val="16"/>
        <w:shd w:val="clear"/>
        <w:spacing w:line="360" w:lineRule="auto"/>
        <w:jc w:val="center"/>
        <w:rPr>
          <w:sz w:val="32"/>
          <w:szCs w:val="32"/>
          <w:highlight w:val="none"/>
        </w:rPr>
      </w:pPr>
    </w:p>
    <w:p>
      <w:pPr>
        <w:pStyle w:val="16"/>
        <w:shd w:val="clear"/>
        <w:spacing w:line="360" w:lineRule="auto"/>
        <w:jc w:val="center"/>
        <w:rPr>
          <w:sz w:val="32"/>
          <w:szCs w:val="32"/>
          <w:highlight w:val="none"/>
        </w:rPr>
      </w:pPr>
    </w:p>
    <w:p>
      <w:pPr>
        <w:pStyle w:val="16"/>
        <w:shd w:val="clear"/>
        <w:spacing w:line="360" w:lineRule="auto"/>
        <w:jc w:val="both"/>
        <w:rPr>
          <w:b/>
          <w:sz w:val="36"/>
          <w:szCs w:val="28"/>
          <w:highlight w:val="none"/>
        </w:rPr>
      </w:pPr>
    </w:p>
    <w:p>
      <w:pPr>
        <w:pStyle w:val="16"/>
        <w:keepNext w:val="0"/>
        <w:keepLines w:val="0"/>
        <w:pageBreakBefore w:val="0"/>
        <w:widowControl w:val="0"/>
        <w:shd w:val="clear"/>
        <w:kinsoku/>
        <w:wordWrap/>
        <w:overflowPunct/>
        <w:topLinePunct w:val="0"/>
        <w:bidi w:val="0"/>
        <w:snapToGrid/>
        <w:spacing w:line="480" w:lineRule="exact"/>
        <w:jc w:val="center"/>
        <w:textAlignment w:val="auto"/>
        <w:rPr>
          <w:rFonts w:hAnsi="黑体"/>
          <w:b/>
          <w:sz w:val="28"/>
          <w:szCs w:val="28"/>
          <w:highlight w:val="none"/>
        </w:rPr>
      </w:pPr>
      <w:r>
        <w:rPr>
          <w:rFonts w:hint="eastAsia" w:hAnsi="黑体"/>
          <w:b/>
          <w:sz w:val="36"/>
          <w:szCs w:val="36"/>
          <w:highlight w:val="none"/>
        </w:rPr>
        <w:t>目录</w:t>
      </w:r>
    </w:p>
    <w:p>
      <w:pPr>
        <w:pStyle w:val="16"/>
        <w:keepNext w:val="0"/>
        <w:keepLines w:val="0"/>
        <w:pageBreakBefore w:val="0"/>
        <w:widowControl w:val="0"/>
        <w:shd w:val="clear"/>
        <w:kinsoku/>
        <w:wordWrap/>
        <w:overflowPunct/>
        <w:topLinePunct w:val="0"/>
        <w:bidi w:val="0"/>
        <w:snapToGrid/>
        <w:spacing w:line="480" w:lineRule="exact"/>
        <w:textAlignment w:val="auto"/>
        <w:rPr>
          <w:rFonts w:ascii="宋体" w:hAnsi="宋体" w:eastAsia="宋体" w:cs="宋体"/>
          <w:b/>
          <w:sz w:val="28"/>
          <w:szCs w:val="28"/>
          <w:highlight w:val="none"/>
        </w:rPr>
      </w:pPr>
      <w:r>
        <w:rPr>
          <w:rFonts w:hint="eastAsia" w:hAnsi="黑体"/>
          <w:b/>
          <w:sz w:val="28"/>
          <w:szCs w:val="28"/>
          <w:highlight w:val="none"/>
        </w:rPr>
        <w:t>第一部分单位概况</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一、部门职责</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二、机构设置</w:t>
      </w:r>
      <w:r>
        <w:rPr>
          <w:rFonts w:hint="eastAsia" w:ascii="宋体" w:hAnsi="宋体" w:eastAsia="宋体" w:cs="宋体"/>
          <w:sz w:val="28"/>
          <w:szCs w:val="28"/>
          <w:highlight w:val="none"/>
          <w:lang w:val="en-US" w:eastAsia="zh-CN"/>
        </w:rPr>
        <w:t>及决算单位构成</w:t>
      </w:r>
    </w:p>
    <w:p>
      <w:pPr>
        <w:pStyle w:val="16"/>
        <w:keepNext w:val="0"/>
        <w:keepLines w:val="0"/>
        <w:pageBreakBefore w:val="0"/>
        <w:widowControl w:val="0"/>
        <w:shd w:val="clear"/>
        <w:kinsoku/>
        <w:wordWrap/>
        <w:overflowPunct/>
        <w:topLinePunct w:val="0"/>
        <w:bidi w:val="0"/>
        <w:snapToGrid/>
        <w:spacing w:line="480" w:lineRule="exact"/>
        <w:textAlignment w:val="auto"/>
        <w:rPr>
          <w:rFonts w:ascii="宋体" w:hAnsi="宋体" w:eastAsia="宋体" w:cs="宋体"/>
          <w:b/>
          <w:sz w:val="28"/>
          <w:szCs w:val="28"/>
          <w:highlight w:val="none"/>
        </w:rPr>
      </w:pPr>
      <w:r>
        <w:rPr>
          <w:rFonts w:hint="eastAsia" w:hAnsi="黑体"/>
          <w:b/>
          <w:sz w:val="28"/>
          <w:szCs w:val="28"/>
          <w:highlight w:val="none"/>
        </w:rPr>
        <w:t>第二部分202</w:t>
      </w:r>
      <w:r>
        <w:rPr>
          <w:rFonts w:hint="eastAsia" w:hAnsi="黑体"/>
          <w:b/>
          <w:sz w:val="28"/>
          <w:szCs w:val="28"/>
          <w:highlight w:val="none"/>
          <w:lang w:val="en-US" w:eastAsia="zh-CN"/>
        </w:rPr>
        <w:t>2</w:t>
      </w:r>
      <w:r>
        <w:rPr>
          <w:rFonts w:hint="eastAsia" w:hAnsi="黑体"/>
          <w:b/>
          <w:sz w:val="28"/>
          <w:szCs w:val="28"/>
          <w:highlight w:val="none"/>
        </w:rPr>
        <w:t>年度部门决算表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一、收入支出决算总表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二、收入决算表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三、支出决算表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四、财政拨款收入支出决算总表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五、一般公共预算财政拨款支出决算表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六、一般公共预算财政拨款基本支出决算明细表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七、财政拨款“三公”经费支出决算表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八、政府性基金预算财政拨款收入支出决算表</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九、国有资本经营预算财政拨款支出决算表</w:t>
      </w:r>
    </w:p>
    <w:p>
      <w:pPr>
        <w:pStyle w:val="16"/>
        <w:keepNext w:val="0"/>
        <w:keepLines w:val="0"/>
        <w:pageBreakBefore w:val="0"/>
        <w:widowControl w:val="0"/>
        <w:shd w:val="clear"/>
        <w:kinsoku/>
        <w:wordWrap/>
        <w:overflowPunct/>
        <w:topLinePunct w:val="0"/>
        <w:bidi w:val="0"/>
        <w:snapToGrid/>
        <w:spacing w:line="480" w:lineRule="exact"/>
        <w:textAlignment w:val="auto"/>
        <w:rPr>
          <w:rFonts w:ascii="宋体" w:hAnsi="宋体" w:eastAsia="宋体" w:cs="宋体"/>
          <w:b/>
          <w:sz w:val="28"/>
          <w:szCs w:val="28"/>
          <w:highlight w:val="none"/>
        </w:rPr>
      </w:pPr>
      <w:r>
        <w:rPr>
          <w:rFonts w:hint="eastAsia" w:hAnsi="黑体"/>
          <w:b/>
          <w:sz w:val="28"/>
          <w:szCs w:val="28"/>
          <w:highlight w:val="none"/>
        </w:rPr>
        <w:t>第三部分202</w:t>
      </w:r>
      <w:r>
        <w:rPr>
          <w:rFonts w:hint="eastAsia" w:hAnsi="黑体"/>
          <w:b/>
          <w:sz w:val="28"/>
          <w:szCs w:val="28"/>
          <w:highlight w:val="none"/>
          <w:lang w:val="en-US" w:eastAsia="zh-CN"/>
        </w:rPr>
        <w:t>2</w:t>
      </w:r>
      <w:r>
        <w:rPr>
          <w:rFonts w:hint="eastAsia" w:hAnsi="黑体"/>
          <w:b/>
          <w:sz w:val="28"/>
          <w:szCs w:val="28"/>
          <w:highlight w:val="none"/>
        </w:rPr>
        <w:t>年度部门决算情况说明</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一、收入支出决算总体情况说明</w:t>
      </w:r>
    </w:p>
    <w:p>
      <w:pPr>
        <w:keepNext w:val="0"/>
        <w:keepLines w:val="0"/>
        <w:pageBreakBefore w:val="0"/>
        <w:widowControl w:val="0"/>
        <w:shd w:val="clear"/>
        <w:kinsoku/>
        <w:wordWrap/>
        <w:overflowPunct/>
        <w:topLinePunct w:val="0"/>
        <w:bidi w:val="0"/>
        <w:snapToGrid/>
        <w:spacing w:line="480" w:lineRule="exact"/>
        <w:ind w:firstLine="700" w:firstLineChars="250"/>
        <w:jc w:val="left"/>
        <w:textAlignment w:val="auto"/>
        <w:rPr>
          <w:rFonts w:ascii="宋体" w:hAnsi="宋体" w:cs="宋体"/>
          <w:sz w:val="28"/>
          <w:szCs w:val="28"/>
          <w:highlight w:val="none"/>
        </w:rPr>
      </w:pPr>
      <w:r>
        <w:rPr>
          <w:rFonts w:hint="eastAsia" w:ascii="宋体" w:hAnsi="宋体" w:cs="宋体"/>
          <w:sz w:val="28"/>
          <w:szCs w:val="28"/>
          <w:highlight w:val="none"/>
        </w:rPr>
        <w:t>二、收入决算情况说明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三、支出决算情况说明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四、财政拨款收入支出决算总体情况说明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五、一般公共预算财政拨款支出决算情况说明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六、一般公共预算财政拨款基本支出决算情况说明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七、财政拨款“三公”经费支出决算情况说明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八、政府性基金预算收入支出决算情况</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九、机关运行经费支出说明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十、一般性支出情况说明</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left"/>
        <w:textAlignment w:val="auto"/>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十一、政府采购支出说明</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ascii="宋体" w:hAnsi="宋体" w:eastAsia="宋体" w:cs="宋体"/>
          <w:sz w:val="28"/>
          <w:szCs w:val="28"/>
          <w:highlight w:val="none"/>
        </w:rPr>
      </w:pPr>
      <w:r>
        <w:rPr>
          <w:rFonts w:hint="eastAsia" w:ascii="宋体" w:hAnsi="宋体" w:eastAsia="宋体" w:cs="宋体"/>
          <w:sz w:val="28"/>
          <w:szCs w:val="28"/>
          <w:highlight w:val="none"/>
        </w:rPr>
        <w:t>十二、国有资产占用情况说明</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十三、202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年度预算绩效情况说明</w:t>
      </w:r>
    </w:p>
    <w:p>
      <w:pPr>
        <w:pStyle w:val="16"/>
        <w:keepNext w:val="0"/>
        <w:keepLines w:val="0"/>
        <w:pageBreakBefore w:val="0"/>
        <w:widowControl w:val="0"/>
        <w:shd w:val="clear"/>
        <w:kinsoku/>
        <w:wordWrap/>
        <w:overflowPunct/>
        <w:topLinePunct w:val="0"/>
        <w:bidi w:val="0"/>
        <w:snapToGrid/>
        <w:spacing w:line="480" w:lineRule="exact"/>
        <w:ind w:firstLine="700" w:firstLineChars="25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十四、国有资本经营预算财政拨款支出决算情况</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highlight w:val="none"/>
        </w:rPr>
      </w:pPr>
      <w:r>
        <w:rPr>
          <w:rFonts w:hint="eastAsia" w:ascii="黑体" w:hAnsi="黑体" w:eastAsia="黑体" w:cs="黑体"/>
          <w:b/>
          <w:color w:val="000000"/>
          <w:kern w:val="0"/>
          <w:sz w:val="28"/>
          <w:szCs w:val="28"/>
          <w:highlight w:val="none"/>
        </w:rPr>
        <w:t>第四部分名词解释</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highlight w:val="none"/>
        </w:rPr>
      </w:pPr>
      <w:r>
        <w:rPr>
          <w:rFonts w:hint="eastAsia" w:ascii="黑体" w:hAnsi="黑体" w:eastAsia="黑体" w:cs="黑体"/>
          <w:b/>
          <w:color w:val="000000"/>
          <w:kern w:val="0"/>
          <w:sz w:val="28"/>
          <w:szCs w:val="28"/>
          <w:highlight w:val="none"/>
        </w:rPr>
        <w:t>第五部分附件</w:t>
      </w:r>
    </w:p>
    <w:p>
      <w:pPr>
        <w:pStyle w:val="3"/>
        <w:shd w:val="clear"/>
        <w:rPr>
          <w:sz w:val="72"/>
          <w:szCs w:val="72"/>
          <w:highlight w:val="none"/>
        </w:rPr>
      </w:pPr>
    </w:p>
    <w:p>
      <w:pPr>
        <w:pStyle w:val="3"/>
        <w:shd w:val="clear"/>
        <w:rPr>
          <w:sz w:val="72"/>
          <w:szCs w:val="72"/>
          <w:highlight w:val="none"/>
        </w:rPr>
      </w:pPr>
    </w:p>
    <w:p>
      <w:pPr>
        <w:pStyle w:val="3"/>
        <w:shd w:val="clear"/>
        <w:rPr>
          <w:sz w:val="72"/>
          <w:szCs w:val="72"/>
          <w:highlight w:val="none"/>
        </w:rPr>
      </w:pPr>
    </w:p>
    <w:p>
      <w:pPr>
        <w:pStyle w:val="3"/>
        <w:shd w:val="clear"/>
        <w:rPr>
          <w:sz w:val="72"/>
          <w:szCs w:val="72"/>
          <w:highlight w:val="none"/>
        </w:rPr>
      </w:pPr>
    </w:p>
    <w:p>
      <w:pPr>
        <w:pStyle w:val="16"/>
        <w:shd w:val="clear"/>
        <w:spacing w:line="360" w:lineRule="auto"/>
        <w:ind w:firstLine="3520" w:firstLineChars="800"/>
        <w:jc w:val="both"/>
        <w:rPr>
          <w:sz w:val="44"/>
          <w:szCs w:val="44"/>
          <w:highlight w:val="none"/>
        </w:rPr>
      </w:pPr>
    </w:p>
    <w:p>
      <w:pPr>
        <w:pStyle w:val="16"/>
        <w:shd w:val="clear"/>
        <w:spacing w:line="360" w:lineRule="auto"/>
        <w:ind w:firstLine="3520" w:firstLineChars="800"/>
        <w:jc w:val="both"/>
        <w:rPr>
          <w:sz w:val="44"/>
          <w:szCs w:val="44"/>
          <w:highlight w:val="none"/>
        </w:rPr>
      </w:pPr>
    </w:p>
    <w:p>
      <w:pPr>
        <w:pStyle w:val="16"/>
        <w:shd w:val="clear"/>
        <w:spacing w:line="360" w:lineRule="auto"/>
        <w:jc w:val="center"/>
        <w:rPr>
          <w:rFonts w:hAnsi="黑体"/>
          <w:sz w:val="72"/>
          <w:szCs w:val="72"/>
          <w:highlight w:val="none"/>
        </w:rPr>
      </w:pPr>
      <w:r>
        <w:rPr>
          <w:rFonts w:hint="eastAsia" w:hAnsi="黑体"/>
          <w:sz w:val="72"/>
          <w:szCs w:val="72"/>
          <w:highlight w:val="none"/>
        </w:rPr>
        <w:t>第一部分</w:t>
      </w:r>
    </w:p>
    <w:p>
      <w:pPr>
        <w:pStyle w:val="16"/>
        <w:shd w:val="clear"/>
        <w:spacing w:line="360" w:lineRule="auto"/>
        <w:ind w:firstLine="5040" w:firstLineChars="700"/>
        <w:jc w:val="center"/>
        <w:rPr>
          <w:rFonts w:hAnsi="黑体"/>
          <w:sz w:val="72"/>
          <w:szCs w:val="72"/>
          <w:highlight w:val="none"/>
        </w:rPr>
      </w:pPr>
    </w:p>
    <w:p>
      <w:pPr>
        <w:pStyle w:val="16"/>
        <w:shd w:val="clear"/>
        <w:spacing w:line="360" w:lineRule="auto"/>
        <w:jc w:val="center"/>
        <w:rPr>
          <w:rFonts w:hAnsi="黑体"/>
          <w:sz w:val="72"/>
          <w:szCs w:val="72"/>
          <w:highlight w:val="none"/>
        </w:rPr>
      </w:pPr>
      <w:r>
        <w:rPr>
          <w:rFonts w:hint="eastAsia" w:hAnsi="黑体"/>
          <w:sz w:val="72"/>
          <w:szCs w:val="72"/>
          <w:highlight w:val="none"/>
        </w:rPr>
        <w:t>单位概况</w:t>
      </w:r>
    </w:p>
    <w:p>
      <w:pPr>
        <w:shd w:val="clear"/>
        <w:spacing w:line="360" w:lineRule="auto"/>
        <w:rPr>
          <w:sz w:val="72"/>
          <w:szCs w:val="72"/>
          <w:highlight w:val="none"/>
        </w:rPr>
      </w:pPr>
    </w:p>
    <w:p>
      <w:pPr>
        <w:shd w:val="clear"/>
        <w:spacing w:line="360" w:lineRule="auto"/>
        <w:jc w:val="center"/>
        <w:rPr>
          <w:sz w:val="72"/>
          <w:szCs w:val="72"/>
          <w:highlight w:val="none"/>
        </w:rPr>
      </w:pPr>
    </w:p>
    <w:p>
      <w:pPr>
        <w:shd w:val="clear"/>
        <w:spacing w:line="360" w:lineRule="auto"/>
        <w:jc w:val="center"/>
        <w:rPr>
          <w:sz w:val="72"/>
          <w:szCs w:val="72"/>
          <w:highlight w:val="none"/>
        </w:rPr>
      </w:pPr>
    </w:p>
    <w:p>
      <w:pPr>
        <w:shd w:val="clear"/>
        <w:spacing w:line="360" w:lineRule="auto"/>
        <w:jc w:val="center"/>
        <w:rPr>
          <w:sz w:val="72"/>
          <w:szCs w:val="72"/>
          <w:highlight w:val="none"/>
        </w:rPr>
      </w:pPr>
    </w:p>
    <w:p>
      <w:pPr>
        <w:shd w:val="clear"/>
        <w:spacing w:line="360" w:lineRule="auto"/>
        <w:jc w:val="center"/>
        <w:rPr>
          <w:sz w:val="72"/>
          <w:szCs w:val="72"/>
          <w:highlight w:val="none"/>
        </w:rPr>
      </w:pPr>
    </w:p>
    <w:p>
      <w:pPr>
        <w:pStyle w:val="17"/>
        <w:shd w:val="clear"/>
        <w:spacing w:line="360" w:lineRule="auto"/>
        <w:ind w:left="720" w:firstLine="0" w:firstLineChars="0"/>
        <w:jc w:val="left"/>
        <w:rPr>
          <w:rFonts w:ascii="黑体" w:hAnsi="黑体" w:eastAsia="黑体"/>
          <w:sz w:val="32"/>
          <w:szCs w:val="32"/>
          <w:highlight w:val="none"/>
        </w:rPr>
      </w:pPr>
    </w:p>
    <w:p>
      <w:pPr>
        <w:pStyle w:val="17"/>
        <w:shd w:val="clear"/>
        <w:spacing w:line="360" w:lineRule="auto"/>
        <w:ind w:left="720" w:firstLine="0" w:firstLineChars="0"/>
        <w:jc w:val="left"/>
        <w:rPr>
          <w:rFonts w:ascii="黑体" w:hAnsi="黑体" w:eastAsia="黑体"/>
          <w:sz w:val="32"/>
          <w:szCs w:val="32"/>
          <w:highlight w:val="none"/>
        </w:rPr>
      </w:pPr>
    </w:p>
    <w:p>
      <w:pPr>
        <w:pStyle w:val="17"/>
        <w:shd w:val="clear"/>
        <w:spacing w:line="360" w:lineRule="auto"/>
        <w:ind w:firstLine="0" w:firstLineChars="0"/>
        <w:jc w:val="left"/>
        <w:rPr>
          <w:rFonts w:ascii="黑体" w:hAnsi="黑体" w:eastAsia="黑体"/>
          <w:sz w:val="32"/>
          <w:szCs w:val="32"/>
          <w:highlight w:val="none"/>
        </w:rPr>
      </w:pPr>
    </w:p>
    <w:p>
      <w:pPr>
        <w:pStyle w:val="17"/>
        <w:shd w:val="clear"/>
        <w:spacing w:line="360" w:lineRule="auto"/>
        <w:ind w:firstLine="0" w:firstLineChars="0"/>
        <w:jc w:val="left"/>
        <w:rPr>
          <w:rFonts w:ascii="黑体" w:hAnsi="黑体" w:eastAsia="黑体"/>
          <w:sz w:val="32"/>
          <w:szCs w:val="32"/>
          <w:highlight w:val="none"/>
        </w:rPr>
      </w:pPr>
    </w:p>
    <w:p>
      <w:pPr>
        <w:pStyle w:val="17"/>
        <w:numPr>
          <w:ilvl w:val="0"/>
          <w:numId w:val="1"/>
        </w:numPr>
        <w:ind w:firstLineChars="0"/>
        <w:jc w:val="left"/>
        <w:rPr>
          <w:rFonts w:ascii="黑体" w:hAnsi="黑体" w:eastAsia="黑体"/>
          <w:sz w:val="32"/>
          <w:szCs w:val="32"/>
          <w:highlight w:val="none"/>
        </w:rPr>
      </w:pPr>
      <w:r>
        <w:rPr>
          <w:rFonts w:hint="eastAsia" w:ascii="黑体" w:hAnsi="黑体" w:eastAsia="黑体"/>
          <w:sz w:val="32"/>
          <w:szCs w:val="32"/>
          <w:highlight w:val="none"/>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highlight w:val="none"/>
          <w:lang w:val="en-US" w:eastAsia="zh-CN"/>
        </w:rPr>
      </w:pPr>
      <w:r>
        <w:rPr>
          <w:rFonts w:hint="eastAsia" w:ascii="新宋体" w:hAnsi="新宋体" w:eastAsia="新宋体" w:cs="新宋体"/>
          <w:i w:val="0"/>
          <w:iCs w:val="0"/>
          <w:caps w:val="0"/>
          <w:color w:val="000000"/>
          <w:spacing w:val="0"/>
          <w:sz w:val="32"/>
          <w:szCs w:val="32"/>
          <w:highlight w:val="none"/>
          <w:lang w:val="en-US" w:eastAsia="zh-CN"/>
        </w:rPr>
        <w:t>1、主要职责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highlight w:val="none"/>
        </w:rPr>
      </w:pPr>
      <w:r>
        <w:rPr>
          <w:rFonts w:hint="eastAsia" w:ascii="新宋体" w:hAnsi="新宋体" w:eastAsia="新宋体" w:cs="新宋体"/>
          <w:i w:val="0"/>
          <w:iCs w:val="0"/>
          <w:caps w:val="0"/>
          <w:color w:val="000000"/>
          <w:spacing w:val="0"/>
          <w:sz w:val="32"/>
          <w:szCs w:val="32"/>
          <w:highlight w:val="none"/>
        </w:rPr>
        <w:t>宣传、贯彻上级有关民间文化法律法规和政策，弘扬社会主义先进文化；拟定我县民间文化的抢救和发展规划，并组织实施；负责我县民间文化的挖掘、收集、整理、研究；配合相关部门做好民间文化的保护，并协助做好非物质文化遗产保护申报工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highlight w:val="none"/>
        </w:rPr>
      </w:pPr>
      <w:r>
        <w:rPr>
          <w:rFonts w:hint="eastAsia" w:ascii="新宋体" w:hAnsi="新宋体" w:eastAsia="新宋体" w:cs="新宋体"/>
          <w:i w:val="0"/>
          <w:iCs w:val="0"/>
          <w:caps w:val="0"/>
          <w:color w:val="000000"/>
          <w:spacing w:val="0"/>
          <w:sz w:val="32"/>
          <w:szCs w:val="32"/>
          <w:highlight w:val="none"/>
          <w:lang w:val="en-US" w:eastAsia="zh-CN"/>
        </w:rPr>
        <w:t>2、</w:t>
      </w:r>
      <w:r>
        <w:rPr>
          <w:rFonts w:hint="eastAsia" w:ascii="新宋体" w:hAnsi="新宋体" w:eastAsia="新宋体" w:cs="新宋体"/>
          <w:i w:val="0"/>
          <w:iCs w:val="0"/>
          <w:caps w:val="0"/>
          <w:color w:val="000000"/>
          <w:spacing w:val="0"/>
          <w:sz w:val="32"/>
          <w:szCs w:val="32"/>
          <w:highlight w:val="none"/>
        </w:rPr>
        <w:t>主要工作任务及目标是：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highlight w:val="none"/>
        </w:rPr>
      </w:pPr>
      <w:r>
        <w:rPr>
          <w:rFonts w:hint="eastAsia" w:ascii="新宋体" w:hAnsi="新宋体" w:eastAsia="新宋体" w:cs="新宋体"/>
          <w:i w:val="0"/>
          <w:iCs w:val="0"/>
          <w:caps w:val="0"/>
          <w:color w:val="000000"/>
          <w:spacing w:val="0"/>
          <w:sz w:val="32"/>
          <w:szCs w:val="32"/>
          <w:highlight w:val="none"/>
        </w:rPr>
        <w:t>扎实开展本土民俗文化研究、非物质文化遗产保护、传统文化村落建设等各方面的工作，为构建富裕文明和谐新会同作贡献。</w:t>
      </w:r>
    </w:p>
    <w:p>
      <w:pPr>
        <w:widowControl/>
        <w:spacing w:line="600" w:lineRule="exact"/>
        <w:rPr>
          <w:rFonts w:ascii="黑体" w:hAnsi="黑体" w:eastAsia="黑体"/>
          <w:bCs/>
          <w:kern w:val="0"/>
          <w:sz w:val="32"/>
          <w:szCs w:val="32"/>
          <w:highlight w:val="none"/>
        </w:rPr>
      </w:pPr>
      <w:r>
        <w:rPr>
          <w:rFonts w:hint="eastAsia" w:ascii="黑体" w:hAnsi="黑体" w:eastAsia="黑体"/>
          <w:bCs/>
          <w:kern w:val="0"/>
          <w:sz w:val="32"/>
          <w:szCs w:val="32"/>
          <w:highlight w:val="none"/>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bCs/>
          <w:kern w:val="0"/>
          <w:sz w:val="32"/>
          <w:szCs w:val="32"/>
          <w:highlight w:val="none"/>
        </w:rPr>
      </w:pPr>
      <w:r>
        <w:rPr>
          <w:rFonts w:hint="eastAsia" w:ascii="宋体" w:hAnsi="宋体"/>
          <w:bCs/>
          <w:kern w:val="0"/>
          <w:sz w:val="32"/>
          <w:szCs w:val="32"/>
          <w:highlight w:val="none"/>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bCs/>
          <w:kern w:val="0"/>
          <w:sz w:val="32"/>
          <w:szCs w:val="32"/>
          <w:highlight w:val="none"/>
        </w:rPr>
      </w:pPr>
      <w:r>
        <w:rPr>
          <w:rFonts w:hint="eastAsia" w:ascii="宋体" w:hAnsi="宋体"/>
          <w:bCs/>
          <w:kern w:val="0"/>
          <w:sz w:val="32"/>
          <w:szCs w:val="32"/>
          <w:highlight w:val="none"/>
        </w:rPr>
        <w:t>会同县炎帝文化研究所设有办公室，一个职能科室；人员情况：编办核定事业编制2人，实有在职2人，离、退休人员0人。实有在职人数与编制数相符，无车辆。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bCs/>
          <w:kern w:val="0"/>
          <w:sz w:val="32"/>
          <w:szCs w:val="32"/>
          <w:highlight w:val="none"/>
        </w:rPr>
      </w:pPr>
      <w:r>
        <w:rPr>
          <w:rFonts w:hint="eastAsia" w:ascii="宋体" w:hAnsi="宋体"/>
          <w:bCs/>
          <w:kern w:val="0"/>
          <w:sz w:val="32"/>
          <w:szCs w:val="32"/>
          <w:highlight w:val="none"/>
        </w:rPr>
        <w:t>（二）决算单位构成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28"/>
          <w:szCs w:val="32"/>
          <w:highlight w:val="none"/>
        </w:rPr>
      </w:pPr>
      <w:r>
        <w:rPr>
          <w:rFonts w:ascii="新宋体" w:hAnsi="新宋体" w:eastAsia="新宋体" w:cs="新宋体"/>
          <w:i w:val="0"/>
          <w:iCs w:val="0"/>
          <w:caps w:val="0"/>
          <w:color w:val="000000"/>
          <w:spacing w:val="0"/>
          <w:sz w:val="32"/>
          <w:szCs w:val="32"/>
          <w:highlight w:val="none"/>
          <w:shd w:val="clear" w:fill="FFFFFF"/>
        </w:rPr>
        <w:t>会同县</w:t>
      </w:r>
      <w:r>
        <w:rPr>
          <w:rFonts w:hint="eastAsia" w:ascii="新宋体" w:hAnsi="新宋体" w:eastAsia="新宋体" w:cs="新宋体"/>
          <w:b w:val="0"/>
          <w:bCs w:val="0"/>
          <w:i w:val="0"/>
          <w:iCs w:val="0"/>
          <w:caps w:val="0"/>
          <w:color w:val="000000"/>
          <w:spacing w:val="0"/>
          <w:sz w:val="32"/>
          <w:szCs w:val="32"/>
          <w:highlight w:val="none"/>
          <w:lang w:eastAsia="zh-CN"/>
        </w:rPr>
        <w:t>炎帝文化研究所</w:t>
      </w:r>
      <w:r>
        <w:rPr>
          <w:rFonts w:hint="eastAsia" w:ascii="新宋体" w:hAnsi="新宋体" w:eastAsia="新宋体" w:cs="新宋体"/>
          <w:i w:val="0"/>
          <w:iCs w:val="0"/>
          <w:caps w:val="0"/>
          <w:color w:val="000000"/>
          <w:spacing w:val="0"/>
          <w:sz w:val="32"/>
          <w:szCs w:val="32"/>
          <w:highlight w:val="none"/>
          <w:shd w:val="clear" w:fill="FFFFFF"/>
        </w:rPr>
        <w:t>部门只有本级，没有其他二级预算单位，因此，纳入202</w:t>
      </w:r>
      <w:r>
        <w:rPr>
          <w:rFonts w:hint="eastAsia" w:ascii="新宋体" w:hAnsi="新宋体" w:eastAsia="新宋体" w:cs="新宋体"/>
          <w:i w:val="0"/>
          <w:iCs w:val="0"/>
          <w:caps w:val="0"/>
          <w:color w:val="000000"/>
          <w:spacing w:val="0"/>
          <w:sz w:val="32"/>
          <w:szCs w:val="32"/>
          <w:highlight w:val="none"/>
          <w:shd w:val="clear" w:fill="FFFFFF"/>
          <w:lang w:val="en-US" w:eastAsia="zh-CN"/>
        </w:rPr>
        <w:t>2</w:t>
      </w:r>
      <w:r>
        <w:rPr>
          <w:rFonts w:hint="eastAsia" w:ascii="新宋体" w:hAnsi="新宋体" w:eastAsia="新宋体" w:cs="新宋体"/>
          <w:i w:val="0"/>
          <w:iCs w:val="0"/>
          <w:caps w:val="0"/>
          <w:color w:val="000000"/>
          <w:spacing w:val="0"/>
          <w:sz w:val="32"/>
          <w:szCs w:val="32"/>
          <w:highlight w:val="none"/>
          <w:shd w:val="clear" w:fill="FFFFFF"/>
        </w:rPr>
        <w:t>年部门</w:t>
      </w:r>
      <w:r>
        <w:rPr>
          <w:rFonts w:hint="eastAsia" w:ascii="新宋体" w:hAnsi="新宋体" w:eastAsia="新宋体" w:cs="新宋体"/>
          <w:i w:val="0"/>
          <w:iCs w:val="0"/>
          <w:caps w:val="0"/>
          <w:color w:val="000000"/>
          <w:spacing w:val="0"/>
          <w:sz w:val="32"/>
          <w:szCs w:val="32"/>
          <w:highlight w:val="none"/>
          <w:shd w:val="clear" w:fill="FFFFFF"/>
          <w:lang w:val="en-US" w:eastAsia="zh-CN"/>
        </w:rPr>
        <w:t>决算</w:t>
      </w:r>
      <w:r>
        <w:rPr>
          <w:rFonts w:hint="eastAsia" w:ascii="新宋体" w:hAnsi="新宋体" w:eastAsia="新宋体" w:cs="新宋体"/>
          <w:i w:val="0"/>
          <w:iCs w:val="0"/>
          <w:caps w:val="0"/>
          <w:color w:val="000000"/>
          <w:spacing w:val="0"/>
          <w:sz w:val="32"/>
          <w:szCs w:val="32"/>
          <w:highlight w:val="none"/>
          <w:shd w:val="clear" w:fill="FFFFFF"/>
        </w:rPr>
        <w:t>编制范围的只有</w:t>
      </w:r>
      <w:r>
        <w:rPr>
          <w:rFonts w:hint="eastAsia" w:ascii="新宋体" w:hAnsi="新宋体" w:eastAsia="新宋体" w:cs="新宋体"/>
          <w:b w:val="0"/>
          <w:bCs w:val="0"/>
          <w:i w:val="0"/>
          <w:iCs w:val="0"/>
          <w:caps w:val="0"/>
          <w:color w:val="000000"/>
          <w:spacing w:val="0"/>
          <w:sz w:val="32"/>
          <w:szCs w:val="32"/>
          <w:highlight w:val="none"/>
          <w:lang w:eastAsia="zh-CN"/>
        </w:rPr>
        <w:t>炎帝文化研究所</w:t>
      </w:r>
      <w:r>
        <w:rPr>
          <w:rFonts w:hint="eastAsia" w:ascii="新宋体" w:hAnsi="新宋体" w:eastAsia="新宋体" w:cs="新宋体"/>
          <w:i w:val="0"/>
          <w:iCs w:val="0"/>
          <w:caps w:val="0"/>
          <w:color w:val="000000"/>
          <w:spacing w:val="0"/>
          <w:sz w:val="32"/>
          <w:szCs w:val="32"/>
          <w:highlight w:val="none"/>
          <w:shd w:val="clear" w:fill="FFFFFF"/>
        </w:rPr>
        <w:t>部门本级</w:t>
      </w:r>
      <w:r>
        <w:rPr>
          <w:rFonts w:hint="eastAsia" w:ascii="新宋体" w:hAnsi="新宋体" w:eastAsia="新宋体" w:cs="新宋体"/>
          <w:color w:val="auto"/>
          <w:kern w:val="0"/>
          <w:sz w:val="30"/>
          <w:szCs w:val="30"/>
          <w:highlight w:val="none"/>
          <w:lang w:val="en-US" w:eastAsia="zh-CN"/>
        </w:rPr>
        <w:t>。</w:t>
      </w:r>
    </w:p>
    <w:p>
      <w:pP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rFonts w:ascii="黑体" w:hAnsi="黑体" w:eastAsia="黑体"/>
          <w:sz w:val="28"/>
          <w:szCs w:val="28"/>
          <w:highlight w:val="none"/>
        </w:rPr>
      </w:pPr>
    </w:p>
    <w:p>
      <w:pPr>
        <w:shd w:val="clear"/>
        <w:jc w:val="center"/>
        <w:rPr>
          <w:sz w:val="72"/>
          <w:szCs w:val="72"/>
          <w:highlight w:val="none"/>
        </w:rPr>
      </w:pPr>
    </w:p>
    <w:p>
      <w:pPr>
        <w:shd w:val="clear"/>
        <w:jc w:val="center"/>
        <w:rPr>
          <w:sz w:val="72"/>
          <w:szCs w:val="72"/>
          <w:highlight w:val="none"/>
        </w:rPr>
      </w:pPr>
    </w:p>
    <w:p>
      <w:pPr>
        <w:shd w:val="clear"/>
        <w:jc w:val="center"/>
        <w:rPr>
          <w:sz w:val="72"/>
          <w:szCs w:val="72"/>
          <w:highlight w:val="none"/>
        </w:rPr>
      </w:pPr>
    </w:p>
    <w:p>
      <w:pPr>
        <w:shd w:val="clear"/>
        <w:rPr>
          <w:sz w:val="72"/>
          <w:szCs w:val="72"/>
          <w:highlight w:val="none"/>
        </w:rPr>
      </w:pPr>
    </w:p>
    <w:p>
      <w:pPr>
        <w:shd w:val="clear"/>
        <w:jc w:val="center"/>
        <w:rPr>
          <w:sz w:val="72"/>
          <w:szCs w:val="72"/>
          <w:highlight w:val="none"/>
        </w:rPr>
      </w:pPr>
    </w:p>
    <w:p>
      <w:pPr>
        <w:shd w:val="clear"/>
        <w:jc w:val="center"/>
        <w:rPr>
          <w:rFonts w:ascii="黑体" w:hAnsi="黑体" w:eastAsia="黑体" w:cs="黑体"/>
          <w:sz w:val="72"/>
          <w:szCs w:val="72"/>
          <w:highlight w:val="none"/>
        </w:rPr>
      </w:pPr>
      <w:r>
        <w:rPr>
          <w:rFonts w:hint="eastAsia" w:ascii="黑体" w:hAnsi="黑体" w:eastAsia="黑体" w:cs="黑体"/>
          <w:sz w:val="72"/>
          <w:szCs w:val="72"/>
          <w:highlight w:val="none"/>
        </w:rPr>
        <w:t>第二部分</w:t>
      </w:r>
    </w:p>
    <w:p>
      <w:pPr>
        <w:shd w:val="clear"/>
        <w:jc w:val="center"/>
        <w:rPr>
          <w:rFonts w:ascii="黑体" w:hAnsi="黑体" w:eastAsia="黑体" w:cs="黑体"/>
          <w:sz w:val="72"/>
          <w:szCs w:val="72"/>
          <w:highlight w:val="none"/>
        </w:rPr>
      </w:pPr>
    </w:p>
    <w:p>
      <w:pPr>
        <w:shd w:val="clear"/>
        <w:jc w:val="center"/>
        <w:rPr>
          <w:rFonts w:ascii="黑体" w:hAnsi="黑体" w:eastAsia="黑体" w:cs="黑体"/>
          <w:sz w:val="72"/>
          <w:szCs w:val="72"/>
          <w:highlight w:val="none"/>
        </w:rPr>
      </w:pPr>
      <w:r>
        <w:rPr>
          <w:rFonts w:hint="eastAsia" w:ascii="黑体" w:hAnsi="黑体" w:eastAsia="黑体" w:cs="黑体"/>
          <w:sz w:val="72"/>
          <w:szCs w:val="72"/>
          <w:highlight w:val="none"/>
        </w:rPr>
        <w:t>部门决算表</w:t>
      </w:r>
    </w:p>
    <w:p>
      <w:pPr>
        <w:shd w:val="clear"/>
        <w:jc w:val="center"/>
        <w:rPr>
          <w:sz w:val="72"/>
          <w:szCs w:val="72"/>
          <w:highlight w:val="none"/>
        </w:rPr>
      </w:pPr>
    </w:p>
    <w:p>
      <w:pPr>
        <w:shd w:val="clear"/>
        <w:jc w:val="center"/>
        <w:rPr>
          <w:sz w:val="72"/>
          <w:szCs w:val="72"/>
          <w:highlight w:val="none"/>
        </w:rPr>
      </w:pPr>
    </w:p>
    <w:p>
      <w:pPr>
        <w:shd w:val="clear"/>
        <w:jc w:val="center"/>
        <w:rPr>
          <w:sz w:val="72"/>
          <w:szCs w:val="72"/>
          <w:highlight w:val="none"/>
        </w:rPr>
      </w:pPr>
    </w:p>
    <w:p>
      <w:pPr>
        <w:shd w:val="clear"/>
        <w:jc w:val="center"/>
        <w:rPr>
          <w:sz w:val="72"/>
          <w:szCs w:val="72"/>
          <w:highlight w:val="none"/>
        </w:rPr>
      </w:pPr>
    </w:p>
    <w:p>
      <w:pPr>
        <w:shd w:val="clear"/>
        <w:jc w:val="both"/>
        <w:rPr>
          <w:sz w:val="72"/>
          <w:szCs w:val="72"/>
          <w:highlight w:val="none"/>
        </w:rPr>
      </w:pPr>
    </w:p>
    <w:p>
      <w:pPr>
        <w:shd w:val="clear"/>
        <w:jc w:val="left"/>
        <w:rPr>
          <w:rFonts w:ascii="宋体"/>
          <w:sz w:val="32"/>
          <w:szCs w:val="32"/>
          <w:highlight w:val="none"/>
        </w:rPr>
        <w:sectPr>
          <w:pgSz w:w="11906" w:h="16838"/>
          <w:pgMar w:top="720" w:right="720" w:bottom="720" w:left="720" w:header="851" w:footer="992" w:gutter="0"/>
          <w:cols w:space="425" w:num="1"/>
          <w:docGrid w:type="lines" w:linePitch="312" w:charSpace="0"/>
        </w:sectPr>
      </w:pPr>
    </w:p>
    <w:tbl>
      <w:tblPr>
        <w:tblStyle w:val="10"/>
        <w:tblW w:w="13680" w:type="dxa"/>
        <w:tblInd w:w="93" w:type="dxa"/>
        <w:tblLayout w:type="autofit"/>
        <w:tblCellMar>
          <w:top w:w="0" w:type="dxa"/>
          <w:left w:w="108" w:type="dxa"/>
          <w:bottom w:w="0" w:type="dxa"/>
          <w:right w:w="108" w:type="dxa"/>
        </w:tblCellMar>
      </w:tblPr>
      <w:tblGrid>
        <w:gridCol w:w="4669"/>
        <w:gridCol w:w="820"/>
        <w:gridCol w:w="957"/>
        <w:gridCol w:w="4394"/>
        <w:gridCol w:w="820"/>
        <w:gridCol w:w="2020"/>
      </w:tblGrid>
      <w:tr>
        <w:tblPrEx>
          <w:tblCellMar>
            <w:top w:w="0" w:type="dxa"/>
            <w:left w:w="108" w:type="dxa"/>
            <w:bottom w:w="0" w:type="dxa"/>
            <w:right w:w="108" w:type="dxa"/>
          </w:tblCellMar>
        </w:tblPrEx>
        <w:trPr>
          <w:trHeight w:val="744" w:hRule="atLeast"/>
        </w:trPr>
        <w:tc>
          <w:tcPr>
            <w:tcW w:w="13680" w:type="dxa"/>
            <w:gridSpan w:val="6"/>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r>
              <w:rPr>
                <w:rFonts w:hint="eastAsia" w:ascii="宋体" w:hAnsi="宋体" w:cs="宋体"/>
                <w:color w:val="000000"/>
                <w:kern w:val="0"/>
                <w:sz w:val="30"/>
                <w:szCs w:val="30"/>
                <w:highlight w:val="none"/>
              </w:rPr>
              <w:t>收入支出决算总表</w:t>
            </w:r>
          </w:p>
        </w:tc>
      </w:tr>
      <w:tr>
        <w:tblPrEx>
          <w:tblCellMar>
            <w:top w:w="0" w:type="dxa"/>
            <w:left w:w="108" w:type="dxa"/>
            <w:bottom w:w="0" w:type="dxa"/>
            <w:right w:w="108" w:type="dxa"/>
          </w:tblCellMar>
        </w:tblPrEx>
        <w:trPr>
          <w:trHeight w:val="372" w:hRule="atLeast"/>
        </w:trPr>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公开01表</w:t>
            </w:r>
          </w:p>
        </w:tc>
      </w:tr>
      <w:tr>
        <w:tblPrEx>
          <w:tblCellMar>
            <w:top w:w="0" w:type="dxa"/>
            <w:left w:w="108" w:type="dxa"/>
            <w:bottom w:w="0" w:type="dxa"/>
            <w:right w:w="108" w:type="dxa"/>
          </w:tblCellMar>
        </w:tblPrEx>
        <w:trPr>
          <w:trHeight w:val="372" w:hRule="atLeast"/>
        </w:trPr>
        <w:tc>
          <w:tcPr>
            <w:tcW w:w="0" w:type="auto"/>
            <w:tcBorders>
              <w:top w:val="nil"/>
              <w:left w:val="nil"/>
              <w:bottom w:val="nil"/>
              <w:right w:val="nil"/>
            </w:tcBorders>
            <w:shd w:val="clear" w:color="auto" w:fill="auto"/>
            <w:noWrap/>
            <w:vAlign w:val="bottom"/>
          </w:tcPr>
          <w:p>
            <w:pPr>
              <w:widowControl/>
              <w:shd w:val="clear"/>
              <w:jc w:val="lef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40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支出</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行次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金额</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行次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金额</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25.02</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3.17</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11.94</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3.71</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1.38</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4.82</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center"/>
              <w:rPr>
                <w:rFonts w:ascii="宋体" w:hAnsi="宋体" w:cs="宋体"/>
                <w:b/>
                <w:bCs/>
                <w:color w:val="000000"/>
                <w:sz w:val="20"/>
                <w:szCs w:val="20"/>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0"/>
                <w:szCs w:val="20"/>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0"/>
                <w:szCs w:val="20"/>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0"/>
                <w:szCs w:val="20"/>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0"/>
                <w:szCs w:val="20"/>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0"/>
                <w:szCs w:val="20"/>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000000"/>
                <w:sz w:val="22"/>
                <w:highlight w:val="none"/>
              </w:rPr>
            </w:pPr>
            <w:r>
              <w:rPr>
                <w:rFonts w:hint="eastAsia" w:ascii="宋体" w:hAnsi="宋体" w:cs="宋体"/>
                <w:b/>
                <w:bCs/>
                <w:color w:val="000000"/>
                <w:kern w:val="0"/>
                <w:sz w:val="22"/>
                <w:highlight w:val="none"/>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25.02</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000000"/>
                <w:sz w:val="22"/>
                <w:highlight w:val="none"/>
              </w:rPr>
            </w:pPr>
            <w:r>
              <w:rPr>
                <w:rFonts w:hint="eastAsia" w:ascii="宋体" w:hAnsi="宋体" w:cs="宋体"/>
                <w:b/>
                <w:bCs/>
                <w:color w:val="000000"/>
                <w:kern w:val="0"/>
                <w:sz w:val="22"/>
                <w:highlight w:val="none"/>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58</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25.02</w:t>
            </w: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结余分配</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r>
      <w:tr>
        <w:tblPrEx>
          <w:tblCellMar>
            <w:top w:w="0" w:type="dxa"/>
            <w:left w:w="108" w:type="dxa"/>
            <w:bottom w:w="0" w:type="dxa"/>
            <w:right w:w="108" w:type="dxa"/>
          </w:tblCellMar>
        </w:tblPrEx>
        <w:trPr>
          <w:trHeight w:val="40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000000"/>
                <w:sz w:val="22"/>
                <w:highlight w:val="none"/>
              </w:rPr>
            </w:pPr>
            <w:r>
              <w:rPr>
                <w:rFonts w:hint="eastAsia" w:ascii="宋体" w:hAnsi="宋体" w:cs="宋体"/>
                <w:b/>
                <w:bCs/>
                <w:color w:val="000000"/>
                <w:kern w:val="0"/>
                <w:sz w:val="22"/>
                <w:highlight w:val="none"/>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25.02</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000000"/>
                <w:sz w:val="22"/>
                <w:highlight w:val="none"/>
              </w:rPr>
            </w:pPr>
            <w:r>
              <w:rPr>
                <w:rFonts w:hint="eastAsia" w:ascii="宋体" w:hAnsi="宋体" w:cs="宋体"/>
                <w:b/>
                <w:bCs/>
                <w:color w:val="000000"/>
                <w:kern w:val="0"/>
                <w:sz w:val="22"/>
                <w:highlight w:val="none"/>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62</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right"/>
              <w:textAlignment w:val="center"/>
              <w:rPr>
                <w:rFonts w:hint="default" w:ascii="宋体" w:hAnsi="宋体" w:eastAsia="宋体" w:cs="宋体"/>
                <w:color w:val="000000"/>
                <w:sz w:val="22"/>
                <w:highlight w:val="none"/>
                <w:lang w:val="en-US" w:eastAsia="zh-CN"/>
              </w:rPr>
            </w:pPr>
            <w:r>
              <w:rPr>
                <w:rFonts w:hint="eastAsia" w:ascii="宋体" w:hAnsi="宋体" w:cs="宋体"/>
                <w:color w:val="000000"/>
                <w:kern w:val="0"/>
                <w:sz w:val="22"/>
                <w:highlight w:val="none"/>
                <w:lang w:val="en-US" w:eastAsia="zh-CN"/>
              </w:rPr>
              <w:t>25.02</w:t>
            </w:r>
          </w:p>
        </w:tc>
      </w:tr>
      <w:tr>
        <w:tblPrEx>
          <w:tblCellMar>
            <w:top w:w="0" w:type="dxa"/>
            <w:left w:w="108" w:type="dxa"/>
            <w:bottom w:w="0" w:type="dxa"/>
            <w:right w:w="108" w:type="dxa"/>
          </w:tblCellMar>
        </w:tblPrEx>
        <w:trPr>
          <w:trHeight w:val="406" w:hRule="atLeast"/>
        </w:trPr>
        <w:tc>
          <w:tcPr>
            <w:tcW w:w="0" w:type="auto"/>
            <w:gridSpan w:val="6"/>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注：1.本表反映部门本年度的总收支和年末结转结余情况。</w:t>
            </w:r>
          </w:p>
        </w:tc>
      </w:tr>
      <w:tr>
        <w:tblPrEx>
          <w:tblCellMar>
            <w:top w:w="0" w:type="dxa"/>
            <w:left w:w="108" w:type="dxa"/>
            <w:bottom w:w="0" w:type="dxa"/>
            <w:right w:w="108" w:type="dxa"/>
          </w:tblCellMar>
        </w:tblPrEx>
        <w:trPr>
          <w:trHeight w:val="372" w:hRule="atLeast"/>
        </w:trPr>
        <w:tc>
          <w:tcPr>
            <w:tcW w:w="0" w:type="auto"/>
            <w:gridSpan w:val="6"/>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2.本套报表金额单位转换时可能存在尾数误差。</w:t>
            </w:r>
          </w:p>
        </w:tc>
      </w:tr>
    </w:tbl>
    <w:p>
      <w:pPr>
        <w:shd w:val="clear"/>
        <w:jc w:val="center"/>
        <w:rPr>
          <w:rFonts w:ascii="黑体" w:hAnsi="黑体" w:eastAsia="黑体"/>
          <w:sz w:val="28"/>
          <w:szCs w:val="28"/>
          <w:highlight w:val="none"/>
        </w:rPr>
        <w:sectPr>
          <w:pgSz w:w="16838" w:h="11906" w:orient="landscape"/>
          <w:pgMar w:top="1797" w:right="1440" w:bottom="1797" w:left="1440" w:header="851" w:footer="992" w:gutter="0"/>
          <w:cols w:space="425" w:num="1"/>
          <w:docGrid w:type="linesAndChars" w:linePitch="312" w:charSpace="0"/>
        </w:sectPr>
      </w:pPr>
    </w:p>
    <w:tbl>
      <w:tblPr>
        <w:tblStyle w:val="10"/>
        <w:tblW w:w="15521" w:type="dxa"/>
        <w:tblInd w:w="93" w:type="dxa"/>
        <w:tblLayout w:type="fixed"/>
        <w:tblCellMar>
          <w:top w:w="0" w:type="dxa"/>
          <w:left w:w="108" w:type="dxa"/>
          <w:bottom w:w="0" w:type="dxa"/>
          <w:right w:w="108" w:type="dxa"/>
        </w:tblCellMar>
      </w:tblPr>
      <w:tblGrid>
        <w:gridCol w:w="783"/>
        <w:gridCol w:w="783"/>
        <w:gridCol w:w="913"/>
        <w:gridCol w:w="3615"/>
        <w:gridCol w:w="1875"/>
        <w:gridCol w:w="1725"/>
        <w:gridCol w:w="1035"/>
        <w:gridCol w:w="855"/>
        <w:gridCol w:w="742"/>
        <w:gridCol w:w="1016"/>
        <w:gridCol w:w="2179"/>
      </w:tblGrid>
      <w:tr>
        <w:tblPrEx>
          <w:tblCellMar>
            <w:top w:w="0" w:type="dxa"/>
            <w:left w:w="108" w:type="dxa"/>
            <w:bottom w:w="0" w:type="dxa"/>
            <w:right w:w="108" w:type="dxa"/>
          </w:tblCellMar>
        </w:tblPrEx>
        <w:trPr>
          <w:trHeight w:val="768" w:hRule="atLeast"/>
        </w:trPr>
        <w:tc>
          <w:tcPr>
            <w:tcW w:w="15521" w:type="dxa"/>
            <w:gridSpan w:val="11"/>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r>
              <w:rPr>
                <w:rFonts w:hint="eastAsia" w:ascii="宋体" w:hAnsi="宋体" w:cs="宋体"/>
                <w:color w:val="000000"/>
                <w:kern w:val="0"/>
                <w:sz w:val="30"/>
                <w:szCs w:val="30"/>
                <w:highlight w:val="none"/>
              </w:rPr>
              <w:t>收入决算表</w:t>
            </w:r>
          </w:p>
        </w:tc>
      </w:tr>
      <w:tr>
        <w:tblPrEx>
          <w:tblCellMar>
            <w:top w:w="0" w:type="dxa"/>
            <w:left w:w="108" w:type="dxa"/>
            <w:bottom w:w="0" w:type="dxa"/>
            <w:right w:w="108" w:type="dxa"/>
          </w:tblCellMar>
        </w:tblPrEx>
        <w:trPr>
          <w:trHeight w:val="451" w:hRule="atLeast"/>
        </w:trPr>
        <w:tc>
          <w:tcPr>
            <w:tcW w:w="78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78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91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361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87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72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3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85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742"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16"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179"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公开02表</w:t>
            </w:r>
          </w:p>
        </w:tc>
      </w:tr>
      <w:tr>
        <w:tblPrEx>
          <w:tblCellMar>
            <w:top w:w="0" w:type="dxa"/>
            <w:left w:w="108" w:type="dxa"/>
            <w:bottom w:w="0" w:type="dxa"/>
            <w:right w:w="108" w:type="dxa"/>
          </w:tblCellMar>
        </w:tblPrEx>
        <w:trPr>
          <w:trHeight w:val="451" w:hRule="atLeast"/>
        </w:trPr>
        <w:tc>
          <w:tcPr>
            <w:tcW w:w="6094" w:type="dxa"/>
            <w:gridSpan w:val="4"/>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187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72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3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85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742"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16"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179"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510" w:hRule="atLeast"/>
        </w:trPr>
        <w:tc>
          <w:tcPr>
            <w:tcW w:w="60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18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本年收入合计</w:t>
            </w:r>
          </w:p>
        </w:tc>
        <w:tc>
          <w:tcPr>
            <w:tcW w:w="172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财政拨款收入</w:t>
            </w:r>
          </w:p>
        </w:tc>
        <w:tc>
          <w:tcPr>
            <w:tcW w:w="10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上级补助收入</w:t>
            </w:r>
          </w:p>
        </w:tc>
        <w:tc>
          <w:tcPr>
            <w:tcW w:w="85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事业收入</w:t>
            </w:r>
          </w:p>
        </w:tc>
        <w:tc>
          <w:tcPr>
            <w:tcW w:w="74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经营收入</w:t>
            </w:r>
          </w:p>
        </w:tc>
        <w:tc>
          <w:tcPr>
            <w:tcW w:w="101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附属单位上缴收入</w:t>
            </w:r>
          </w:p>
        </w:tc>
        <w:tc>
          <w:tcPr>
            <w:tcW w:w="217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其他收入</w:t>
            </w:r>
          </w:p>
        </w:tc>
      </w:tr>
      <w:tr>
        <w:tblPrEx>
          <w:tblCellMar>
            <w:top w:w="0" w:type="dxa"/>
            <w:left w:w="108" w:type="dxa"/>
            <w:bottom w:w="0" w:type="dxa"/>
            <w:right w:w="108" w:type="dxa"/>
          </w:tblCellMar>
        </w:tblPrEx>
        <w:trPr>
          <w:trHeight w:val="505" w:hRule="atLeast"/>
        </w:trPr>
        <w:tc>
          <w:tcPr>
            <w:tcW w:w="247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功能分类科目编码</w:t>
            </w:r>
          </w:p>
        </w:tc>
        <w:tc>
          <w:tcPr>
            <w:tcW w:w="3615" w:type="dxa"/>
            <w:vMerge w:val="restart"/>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72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74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1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17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505" w:hRule="atLeast"/>
        </w:trPr>
        <w:tc>
          <w:tcPr>
            <w:tcW w:w="247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3615"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72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74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1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17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312" w:hRule="atLeast"/>
        </w:trPr>
        <w:tc>
          <w:tcPr>
            <w:tcW w:w="247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3615"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72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74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1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17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609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187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172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103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c>
          <w:tcPr>
            <w:tcW w:w="85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w:t>
            </w:r>
          </w:p>
        </w:tc>
        <w:tc>
          <w:tcPr>
            <w:tcW w:w="742"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w:t>
            </w:r>
          </w:p>
        </w:tc>
        <w:tc>
          <w:tcPr>
            <w:tcW w:w="1016"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w:t>
            </w:r>
          </w:p>
        </w:tc>
        <w:tc>
          <w:tcPr>
            <w:tcW w:w="2179"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7</w:t>
            </w:r>
          </w:p>
        </w:tc>
      </w:tr>
      <w:tr>
        <w:tblPrEx>
          <w:tblCellMar>
            <w:top w:w="0" w:type="dxa"/>
            <w:left w:w="108" w:type="dxa"/>
            <w:bottom w:w="0" w:type="dxa"/>
            <w:right w:w="108" w:type="dxa"/>
          </w:tblCellMar>
        </w:tblPrEx>
        <w:trPr>
          <w:trHeight w:val="510" w:hRule="atLeast"/>
        </w:trPr>
        <w:tc>
          <w:tcPr>
            <w:tcW w:w="609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color w:val="000000"/>
                <w:sz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25.02</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color w:val="000000"/>
                <w:sz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25.02</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3.17</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3.17</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人大事务</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2010101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20103</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政府办公厅（室）及相关机构事务</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2010301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文化旅游体育与传媒支出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文化和旅游</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其他文化和旅游支出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9.94</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9.94</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人力资源和社会保障管理事务</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2080101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其他行政事业单位养老支出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20827</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财政对其他社会保险基金的补助</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2082701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财政对失业保险基金的补助</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21012</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财政对基本医疗保险基金的补助</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2101201</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财政对职工基本医疗保险基金的补助</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21305</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巩固脱贫衔接乡村振兴</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247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36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其他巩固脱贫衔接乡村振兴支出</w:t>
            </w:r>
          </w:p>
        </w:tc>
        <w:tc>
          <w:tcPr>
            <w:tcW w:w="18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03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5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742"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01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179"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10" w:hRule="atLeast"/>
        </w:trPr>
        <w:tc>
          <w:tcPr>
            <w:tcW w:w="15521" w:type="dxa"/>
            <w:gridSpan w:val="11"/>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注：本表反映部门本年度取得的各项收入情况。</w:t>
            </w:r>
          </w:p>
        </w:tc>
      </w:tr>
    </w:tbl>
    <w:p>
      <w:pPr>
        <w:widowControl/>
        <w:shd w:val="clear"/>
        <w:jc w:val="left"/>
        <w:rPr>
          <w:rFonts w:hint="eastAsia" w:ascii="Times New Roman" w:hAnsi="Times New Roman" w:eastAsia="黑体"/>
          <w:bCs/>
          <w:kern w:val="0"/>
          <w:sz w:val="32"/>
          <w:szCs w:val="32"/>
          <w:highlight w:val="none"/>
          <w:lang w:eastAsia="zh-CN"/>
        </w:rPr>
      </w:pPr>
    </w:p>
    <w:p>
      <w:pPr>
        <w:widowControl/>
        <w:shd w:val="clear"/>
        <w:jc w:val="left"/>
        <w:rPr>
          <w:rFonts w:ascii="Times New Roman" w:hAnsi="Times New Roman" w:eastAsia="黑体"/>
          <w:bCs/>
          <w:kern w:val="0"/>
          <w:sz w:val="32"/>
          <w:szCs w:val="32"/>
          <w:highlight w:val="none"/>
        </w:rPr>
      </w:pPr>
    </w:p>
    <w:tbl>
      <w:tblPr>
        <w:tblStyle w:val="10"/>
        <w:tblW w:w="15521" w:type="dxa"/>
        <w:tblInd w:w="93" w:type="dxa"/>
        <w:tblLayout w:type="fixed"/>
        <w:tblCellMar>
          <w:top w:w="0" w:type="dxa"/>
          <w:left w:w="108" w:type="dxa"/>
          <w:bottom w:w="0" w:type="dxa"/>
          <w:right w:w="108" w:type="dxa"/>
        </w:tblCellMar>
      </w:tblPr>
      <w:tblGrid>
        <w:gridCol w:w="327"/>
        <w:gridCol w:w="327"/>
        <w:gridCol w:w="431"/>
        <w:gridCol w:w="4169"/>
        <w:gridCol w:w="2085"/>
        <w:gridCol w:w="1740"/>
        <w:gridCol w:w="1545"/>
        <w:gridCol w:w="1515"/>
        <w:gridCol w:w="886"/>
        <w:gridCol w:w="2496"/>
      </w:tblGrid>
      <w:tr>
        <w:tblPrEx>
          <w:tblCellMar>
            <w:top w:w="0" w:type="dxa"/>
            <w:left w:w="108" w:type="dxa"/>
            <w:bottom w:w="0" w:type="dxa"/>
            <w:right w:w="108" w:type="dxa"/>
          </w:tblCellMar>
        </w:tblPrEx>
        <w:trPr>
          <w:trHeight w:val="932" w:hRule="atLeast"/>
        </w:trPr>
        <w:tc>
          <w:tcPr>
            <w:tcW w:w="15521" w:type="dxa"/>
            <w:gridSpan w:val="10"/>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r>
              <w:rPr>
                <w:rFonts w:hint="eastAsia" w:ascii="宋体" w:hAnsi="宋体" w:cs="宋体"/>
                <w:color w:val="000000"/>
                <w:kern w:val="0"/>
                <w:sz w:val="30"/>
                <w:szCs w:val="30"/>
                <w:highlight w:val="none"/>
              </w:rPr>
              <w:t>支出决算表</w:t>
            </w:r>
          </w:p>
        </w:tc>
      </w:tr>
      <w:tr>
        <w:tblPrEx>
          <w:tblCellMar>
            <w:top w:w="0" w:type="dxa"/>
            <w:left w:w="108" w:type="dxa"/>
            <w:bottom w:w="0" w:type="dxa"/>
            <w:right w:w="108" w:type="dxa"/>
          </w:tblCellMar>
        </w:tblPrEx>
        <w:trPr>
          <w:trHeight w:val="466" w:hRule="atLeast"/>
        </w:trPr>
        <w:tc>
          <w:tcPr>
            <w:tcW w:w="327"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327"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43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4169"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08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74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54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51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886"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496"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公开03表</w:t>
            </w:r>
          </w:p>
        </w:tc>
      </w:tr>
      <w:tr>
        <w:tblPrEx>
          <w:tblCellMar>
            <w:top w:w="0" w:type="dxa"/>
            <w:left w:w="108" w:type="dxa"/>
            <w:bottom w:w="0" w:type="dxa"/>
            <w:right w:w="108" w:type="dxa"/>
          </w:tblCellMar>
        </w:tblPrEx>
        <w:trPr>
          <w:trHeight w:val="466" w:hRule="atLeast"/>
        </w:trPr>
        <w:tc>
          <w:tcPr>
            <w:tcW w:w="5254" w:type="dxa"/>
            <w:gridSpan w:val="4"/>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208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74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54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51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886"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496"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531" w:hRule="atLeast"/>
        </w:trPr>
        <w:tc>
          <w:tcPr>
            <w:tcW w:w="525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208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本年支出合计</w:t>
            </w:r>
          </w:p>
        </w:tc>
        <w:tc>
          <w:tcPr>
            <w:tcW w:w="17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基本支出</w:t>
            </w:r>
          </w:p>
        </w:tc>
        <w:tc>
          <w:tcPr>
            <w:tcW w:w="154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项目支出</w:t>
            </w:r>
          </w:p>
        </w:tc>
        <w:tc>
          <w:tcPr>
            <w:tcW w:w="151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上缴上级支出</w:t>
            </w:r>
          </w:p>
        </w:tc>
        <w:tc>
          <w:tcPr>
            <w:tcW w:w="88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经营支出</w:t>
            </w:r>
          </w:p>
        </w:tc>
        <w:tc>
          <w:tcPr>
            <w:tcW w:w="249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对附属单位补助支出</w:t>
            </w:r>
          </w:p>
        </w:tc>
      </w:tr>
      <w:tr>
        <w:tblPrEx>
          <w:tblCellMar>
            <w:top w:w="0" w:type="dxa"/>
            <w:left w:w="108" w:type="dxa"/>
            <w:bottom w:w="0" w:type="dxa"/>
            <w:right w:w="108" w:type="dxa"/>
          </w:tblCellMar>
        </w:tblPrEx>
        <w:trPr>
          <w:trHeight w:val="525" w:hRule="atLeast"/>
        </w:trPr>
        <w:tc>
          <w:tcPr>
            <w:tcW w:w="108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功能分类科目编码</w:t>
            </w:r>
          </w:p>
        </w:tc>
        <w:tc>
          <w:tcPr>
            <w:tcW w:w="4169" w:type="dxa"/>
            <w:vMerge w:val="restart"/>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208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74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88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49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525" w:hRule="atLeast"/>
        </w:trPr>
        <w:tc>
          <w:tcPr>
            <w:tcW w:w="108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4169"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208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74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88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49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1430" w:hRule="atLeast"/>
        </w:trPr>
        <w:tc>
          <w:tcPr>
            <w:tcW w:w="108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4169"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208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74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88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49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525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208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1740"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154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c>
          <w:tcPr>
            <w:tcW w:w="151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w:t>
            </w:r>
          </w:p>
        </w:tc>
        <w:tc>
          <w:tcPr>
            <w:tcW w:w="886"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w:t>
            </w:r>
          </w:p>
        </w:tc>
        <w:tc>
          <w:tcPr>
            <w:tcW w:w="2496"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w:t>
            </w:r>
          </w:p>
        </w:tc>
      </w:tr>
      <w:tr>
        <w:tblPrEx>
          <w:tblCellMar>
            <w:top w:w="0" w:type="dxa"/>
            <w:left w:w="108" w:type="dxa"/>
            <w:bottom w:w="0" w:type="dxa"/>
            <w:right w:w="108" w:type="dxa"/>
          </w:tblCellMar>
        </w:tblPrEx>
        <w:trPr>
          <w:trHeight w:val="531" w:hRule="atLeast"/>
        </w:trPr>
        <w:tc>
          <w:tcPr>
            <w:tcW w:w="525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25.02</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b/>
                <w:bCs/>
                <w:color w:val="000000"/>
                <w:sz w:val="22"/>
                <w:highlight w:val="none"/>
                <w:lang w:val="en-US"/>
              </w:rPr>
            </w:pPr>
            <w:r>
              <w:rPr>
                <w:rFonts w:hint="eastAsia" w:ascii="宋体" w:hAnsi="宋体" w:eastAsia="宋体" w:cs="宋体"/>
                <w:b/>
                <w:bCs/>
                <w:i w:val="0"/>
                <w:iCs w:val="0"/>
                <w:color w:val="000000"/>
                <w:kern w:val="0"/>
                <w:sz w:val="22"/>
                <w:szCs w:val="22"/>
                <w:highlight w:val="none"/>
                <w:u w:val="none"/>
                <w:lang w:val="en-US" w:eastAsia="zh-CN" w:bidi="ar"/>
              </w:rPr>
              <w:t>19.9</w:t>
            </w:r>
            <w:r>
              <w:rPr>
                <w:rFonts w:hint="eastAsia" w:ascii="宋体" w:hAnsi="宋体" w:cs="宋体"/>
                <w:b/>
                <w:bCs/>
                <w:i w:val="0"/>
                <w:iCs w:val="0"/>
                <w:color w:val="000000"/>
                <w:kern w:val="0"/>
                <w:sz w:val="22"/>
                <w:szCs w:val="22"/>
                <w:highlight w:val="none"/>
                <w:u w:val="none"/>
                <w:lang w:val="en-US" w:eastAsia="zh-CN" w:bidi="ar"/>
              </w:rPr>
              <w:t>3</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5.09</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b/>
                <w:bCs/>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3.17</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人大事务</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2010101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20103</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政府办公厅（室）及相关机构事务</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2010301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文化旅游体育与传媒支出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文化和旅游</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2070199</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其他文化和旅游支出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9.94</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9.94</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人力资源和社会保障管理事务</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2080101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2080599</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其他行政事业单位养老支出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20827</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财政对其他社会保险基金的补助</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2082701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财政对失业保险基金的补助</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21012</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财政对基本医疗保险基金的补助</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2101201</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财政对职工基本医疗保险基金的补助</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21305</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巩固脱贫衔接乡村振兴</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08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41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其他巩固脱贫衔接乡村振兴支出</w:t>
            </w: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1515"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88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2496"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31" w:hRule="atLeast"/>
        </w:trPr>
        <w:tc>
          <w:tcPr>
            <w:tcW w:w="15521" w:type="dxa"/>
            <w:gridSpan w:val="10"/>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注：本表反映部门本年度各项支出情况。</w:t>
            </w:r>
          </w:p>
        </w:tc>
      </w:tr>
    </w:tbl>
    <w:p>
      <w:pPr>
        <w:widowControl/>
        <w:shd w:val="clear"/>
        <w:rPr>
          <w:rFonts w:ascii="Times New Roman" w:hAnsi="Times New Roman" w:eastAsia="方正小标宋_GBK"/>
          <w:color w:val="000000"/>
          <w:kern w:val="0"/>
          <w:sz w:val="36"/>
          <w:szCs w:val="21"/>
          <w:highlight w:val="none"/>
        </w:rPr>
      </w:pPr>
    </w:p>
    <w:tbl>
      <w:tblPr>
        <w:tblStyle w:val="10"/>
        <w:tblW w:w="15371" w:type="dxa"/>
        <w:tblInd w:w="93" w:type="dxa"/>
        <w:tblLayout w:type="fixed"/>
        <w:tblCellMar>
          <w:top w:w="0" w:type="dxa"/>
          <w:left w:w="108" w:type="dxa"/>
          <w:bottom w:w="0" w:type="dxa"/>
          <w:right w:w="108" w:type="dxa"/>
        </w:tblCellMar>
      </w:tblPr>
      <w:tblGrid>
        <w:gridCol w:w="3676"/>
        <w:gridCol w:w="532"/>
        <w:gridCol w:w="1311"/>
        <w:gridCol w:w="4201"/>
        <w:gridCol w:w="532"/>
        <w:gridCol w:w="1170"/>
        <w:gridCol w:w="1311"/>
        <w:gridCol w:w="902"/>
        <w:gridCol w:w="1736"/>
      </w:tblGrid>
      <w:tr>
        <w:tblPrEx>
          <w:tblCellMar>
            <w:top w:w="0" w:type="dxa"/>
            <w:left w:w="108" w:type="dxa"/>
            <w:bottom w:w="0" w:type="dxa"/>
            <w:right w:w="108" w:type="dxa"/>
          </w:tblCellMar>
        </w:tblPrEx>
        <w:trPr>
          <w:trHeight w:val="174" w:hRule="atLeast"/>
        </w:trPr>
        <w:tc>
          <w:tcPr>
            <w:tcW w:w="15371" w:type="dxa"/>
            <w:gridSpan w:val="9"/>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bookmarkStart w:id="0" w:name="RANGE!A1:I22"/>
            <w:bookmarkEnd w:id="0"/>
            <w:bookmarkStart w:id="1" w:name="RANGE!A1:F16"/>
            <w:bookmarkEnd w:id="1"/>
            <w:r>
              <w:rPr>
                <w:rFonts w:hint="eastAsia" w:ascii="宋体" w:hAnsi="宋体" w:cs="宋体"/>
                <w:color w:val="000000"/>
                <w:kern w:val="0"/>
                <w:sz w:val="30"/>
                <w:szCs w:val="30"/>
                <w:highlight w:val="none"/>
              </w:rPr>
              <w:t>财政拨款收入支出决算总表</w:t>
            </w:r>
          </w:p>
        </w:tc>
      </w:tr>
      <w:tr>
        <w:tblPrEx>
          <w:tblCellMar>
            <w:top w:w="0" w:type="dxa"/>
            <w:left w:w="108" w:type="dxa"/>
            <w:bottom w:w="0" w:type="dxa"/>
            <w:right w:w="108" w:type="dxa"/>
          </w:tblCellMar>
        </w:tblPrEx>
        <w:trPr>
          <w:trHeight w:val="90" w:hRule="atLeast"/>
        </w:trPr>
        <w:tc>
          <w:tcPr>
            <w:tcW w:w="370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53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318"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423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53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8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318"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89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603"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公开04表</w:t>
            </w:r>
          </w:p>
        </w:tc>
      </w:tr>
      <w:tr>
        <w:tblPrEx>
          <w:tblCellMar>
            <w:top w:w="0" w:type="dxa"/>
            <w:left w:w="108" w:type="dxa"/>
            <w:bottom w:w="0" w:type="dxa"/>
            <w:right w:w="108" w:type="dxa"/>
          </w:tblCellMar>
        </w:tblPrEx>
        <w:trPr>
          <w:trHeight w:val="90" w:hRule="atLeast"/>
        </w:trPr>
        <w:tc>
          <w:tcPr>
            <w:tcW w:w="3701" w:type="dxa"/>
            <w:tcBorders>
              <w:top w:val="nil"/>
              <w:left w:val="nil"/>
              <w:bottom w:val="nil"/>
              <w:right w:val="nil"/>
            </w:tcBorders>
            <w:shd w:val="clear" w:color="auto" w:fill="auto"/>
            <w:noWrap/>
            <w:vAlign w:val="bottom"/>
          </w:tcPr>
          <w:p>
            <w:pPr>
              <w:widowControl/>
              <w:shd w:val="clear"/>
              <w:jc w:val="lef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53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318"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423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53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8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318"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89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603"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106" w:hRule="atLeast"/>
        </w:trPr>
        <w:tc>
          <w:tcPr>
            <w:tcW w:w="55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收入</w:t>
            </w:r>
          </w:p>
        </w:tc>
        <w:tc>
          <w:tcPr>
            <w:tcW w:w="9948"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支出</w:t>
            </w:r>
          </w:p>
        </w:tc>
      </w:tr>
      <w:tr>
        <w:tblPrEx>
          <w:tblCellMar>
            <w:top w:w="0" w:type="dxa"/>
            <w:left w:w="108" w:type="dxa"/>
            <w:bottom w:w="0" w:type="dxa"/>
            <w:right w:w="108" w:type="dxa"/>
          </w:tblCellMar>
        </w:tblPrEx>
        <w:trPr>
          <w:trHeight w:val="312" w:hRule="atLeast"/>
        </w:trPr>
        <w:tc>
          <w:tcPr>
            <w:tcW w:w="37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53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行次</w:t>
            </w:r>
          </w:p>
        </w:tc>
        <w:tc>
          <w:tcPr>
            <w:tcW w:w="1323"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金额</w:t>
            </w:r>
          </w:p>
        </w:tc>
        <w:tc>
          <w:tcPr>
            <w:tcW w:w="4246"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53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行次</w:t>
            </w:r>
          </w:p>
        </w:tc>
        <w:tc>
          <w:tcPr>
            <w:tcW w:w="1181" w:type="dxa"/>
            <w:vMerge w:val="restart"/>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1323"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一般公共预算财政拨款</w:t>
            </w:r>
          </w:p>
        </w:tc>
        <w:tc>
          <w:tcPr>
            <w:tcW w:w="891"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政府性基金预算财政拨款</w:t>
            </w:r>
          </w:p>
        </w:tc>
        <w:tc>
          <w:tcPr>
            <w:tcW w:w="1603"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国有资本经营预算财政拨款</w:t>
            </w:r>
          </w:p>
        </w:tc>
      </w:tr>
      <w:tr>
        <w:tblPrEx>
          <w:tblCellMar>
            <w:top w:w="0" w:type="dxa"/>
            <w:left w:w="108" w:type="dxa"/>
            <w:bottom w:w="0" w:type="dxa"/>
            <w:right w:w="108" w:type="dxa"/>
          </w:tblCellMar>
        </w:tblPrEx>
        <w:trPr>
          <w:trHeight w:val="876" w:hRule="atLeast"/>
        </w:trPr>
        <w:tc>
          <w:tcPr>
            <w:tcW w:w="3715"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53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23"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4246"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53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181"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1323"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89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603"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530" w:type="dxa"/>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1318"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4230"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530" w:type="dxa"/>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1181"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1318"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w:t>
            </w:r>
          </w:p>
        </w:tc>
        <w:tc>
          <w:tcPr>
            <w:tcW w:w="1603"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w:t>
            </w: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25.02</w:t>
            </w: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3.17</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3.17</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4.82</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4.82</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25.02</w:t>
            </w: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25.02</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25.02</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230"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1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230"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1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230"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1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13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3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25.02</w:t>
            </w:r>
          </w:p>
        </w:tc>
        <w:tc>
          <w:tcPr>
            <w:tcW w:w="4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1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25.02</w:t>
            </w:r>
          </w:p>
        </w:tc>
        <w:tc>
          <w:tcPr>
            <w:tcW w:w="13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25.02</w:t>
            </w:r>
          </w:p>
        </w:tc>
        <w:tc>
          <w:tcPr>
            <w:tcW w:w="891"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1603" w:type="dxa"/>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106" w:hRule="atLeast"/>
        </w:trPr>
        <w:tc>
          <w:tcPr>
            <w:tcW w:w="13768" w:type="dxa"/>
            <w:gridSpan w:val="8"/>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注：本表反映部门本年度一般公共预算财政拨款、政府性基金预算财政拨款和国有资本经营预算财政拨款的总收支和年末结转结余情况。</w:t>
            </w:r>
          </w:p>
        </w:tc>
        <w:tc>
          <w:tcPr>
            <w:tcW w:w="1603" w:type="dxa"/>
            <w:tcBorders>
              <w:top w:val="nil"/>
              <w:left w:val="nil"/>
              <w:bottom w:val="nil"/>
              <w:right w:val="nil"/>
            </w:tcBorders>
            <w:shd w:val="clear" w:color="auto" w:fill="auto"/>
            <w:noWrap/>
            <w:vAlign w:val="center"/>
          </w:tcPr>
          <w:p>
            <w:pPr>
              <w:shd w:val="clear"/>
              <w:jc w:val="left"/>
              <w:rPr>
                <w:rFonts w:ascii="宋体" w:hAnsi="宋体" w:cs="宋体"/>
                <w:color w:val="000000"/>
                <w:sz w:val="20"/>
                <w:szCs w:val="20"/>
                <w:highlight w:val="none"/>
              </w:rPr>
            </w:pPr>
          </w:p>
        </w:tc>
      </w:tr>
    </w:tbl>
    <w:p>
      <w:pPr>
        <w:pStyle w:val="3"/>
        <w:shd w:val="clear"/>
        <w:rPr>
          <w:highlight w:val="none"/>
        </w:rPr>
      </w:pPr>
    </w:p>
    <w:p>
      <w:pPr>
        <w:pStyle w:val="3"/>
        <w:shd w:val="clear"/>
        <w:rPr>
          <w:highlight w:val="none"/>
        </w:rPr>
      </w:pPr>
    </w:p>
    <w:p>
      <w:pPr>
        <w:pStyle w:val="3"/>
        <w:shd w:val="clear"/>
        <w:rPr>
          <w:highlight w:val="none"/>
        </w:rPr>
      </w:pPr>
    </w:p>
    <w:tbl>
      <w:tblPr>
        <w:tblStyle w:val="10"/>
        <w:tblW w:w="14764" w:type="dxa"/>
        <w:tblInd w:w="93" w:type="dxa"/>
        <w:tblLayout w:type="fixed"/>
        <w:tblCellMar>
          <w:top w:w="0" w:type="dxa"/>
          <w:left w:w="108" w:type="dxa"/>
          <w:bottom w:w="0" w:type="dxa"/>
          <w:right w:w="108" w:type="dxa"/>
        </w:tblCellMar>
      </w:tblPr>
      <w:tblGrid>
        <w:gridCol w:w="879"/>
        <w:gridCol w:w="879"/>
        <w:gridCol w:w="1172"/>
        <w:gridCol w:w="4589"/>
        <w:gridCol w:w="2190"/>
        <w:gridCol w:w="2355"/>
        <w:gridCol w:w="2700"/>
      </w:tblGrid>
      <w:tr>
        <w:tblPrEx>
          <w:tblCellMar>
            <w:top w:w="0" w:type="dxa"/>
            <w:left w:w="108" w:type="dxa"/>
            <w:bottom w:w="0" w:type="dxa"/>
            <w:right w:w="108" w:type="dxa"/>
          </w:tblCellMar>
        </w:tblPrEx>
        <w:trPr>
          <w:trHeight w:val="670" w:hRule="atLeast"/>
        </w:trPr>
        <w:tc>
          <w:tcPr>
            <w:tcW w:w="14764" w:type="dxa"/>
            <w:gridSpan w:val="7"/>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r>
              <w:rPr>
                <w:rFonts w:hint="eastAsia" w:ascii="宋体" w:hAnsi="宋体" w:cs="宋体"/>
                <w:color w:val="000000"/>
                <w:kern w:val="0"/>
                <w:sz w:val="30"/>
                <w:szCs w:val="30"/>
                <w:highlight w:val="none"/>
              </w:rPr>
              <w:t>一般公共预算财政拨款支出决算表</w:t>
            </w:r>
          </w:p>
        </w:tc>
      </w:tr>
      <w:tr>
        <w:tblPrEx>
          <w:tblCellMar>
            <w:top w:w="0" w:type="dxa"/>
            <w:left w:w="108" w:type="dxa"/>
            <w:bottom w:w="0" w:type="dxa"/>
            <w:right w:w="108" w:type="dxa"/>
          </w:tblCellMar>
        </w:tblPrEx>
        <w:trPr>
          <w:trHeight w:val="334" w:hRule="atLeast"/>
        </w:trPr>
        <w:tc>
          <w:tcPr>
            <w:tcW w:w="879"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879"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72"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4589"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19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35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700"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公开05表</w:t>
            </w:r>
          </w:p>
        </w:tc>
      </w:tr>
      <w:tr>
        <w:tblPrEx>
          <w:tblCellMar>
            <w:top w:w="0" w:type="dxa"/>
            <w:left w:w="108" w:type="dxa"/>
            <w:bottom w:w="0" w:type="dxa"/>
            <w:right w:w="108" w:type="dxa"/>
          </w:tblCellMar>
        </w:tblPrEx>
        <w:trPr>
          <w:trHeight w:val="334" w:hRule="atLeast"/>
        </w:trPr>
        <w:tc>
          <w:tcPr>
            <w:tcW w:w="2930" w:type="dxa"/>
            <w:gridSpan w:val="3"/>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4589"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19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35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700"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356" w:hRule="atLeast"/>
        </w:trPr>
        <w:tc>
          <w:tcPr>
            <w:tcW w:w="75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7245" w:type="dxa"/>
            <w:gridSpan w:val="3"/>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本年支出</w:t>
            </w:r>
          </w:p>
        </w:tc>
      </w:tr>
      <w:tr>
        <w:tblPrEx>
          <w:tblCellMar>
            <w:top w:w="0" w:type="dxa"/>
            <w:left w:w="108" w:type="dxa"/>
            <w:bottom w:w="0" w:type="dxa"/>
            <w:right w:w="108" w:type="dxa"/>
          </w:tblCellMar>
        </w:tblPrEx>
        <w:trPr>
          <w:trHeight w:val="351" w:hRule="atLeast"/>
        </w:trPr>
        <w:tc>
          <w:tcPr>
            <w:tcW w:w="293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功能分类科目编码</w:t>
            </w:r>
          </w:p>
        </w:tc>
        <w:tc>
          <w:tcPr>
            <w:tcW w:w="4589" w:type="dxa"/>
            <w:vMerge w:val="restart"/>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219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小计</w:t>
            </w:r>
          </w:p>
        </w:tc>
        <w:tc>
          <w:tcPr>
            <w:tcW w:w="235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基本支出</w:t>
            </w:r>
          </w:p>
        </w:tc>
        <w:tc>
          <w:tcPr>
            <w:tcW w:w="270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项目支出</w:t>
            </w:r>
          </w:p>
        </w:tc>
      </w:tr>
      <w:tr>
        <w:tblPrEx>
          <w:tblCellMar>
            <w:top w:w="0" w:type="dxa"/>
            <w:left w:w="108" w:type="dxa"/>
            <w:bottom w:w="0" w:type="dxa"/>
            <w:right w:w="108" w:type="dxa"/>
          </w:tblCellMar>
        </w:tblPrEx>
        <w:trPr>
          <w:trHeight w:val="327" w:hRule="atLeast"/>
        </w:trPr>
        <w:tc>
          <w:tcPr>
            <w:tcW w:w="293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4589"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219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35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7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351" w:hRule="atLeast"/>
        </w:trPr>
        <w:tc>
          <w:tcPr>
            <w:tcW w:w="293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4589"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219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35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7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356" w:hRule="atLeast"/>
        </w:trPr>
        <w:tc>
          <w:tcPr>
            <w:tcW w:w="751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2190"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2355"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2700" w:type="dxa"/>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r>
      <w:tr>
        <w:tblPrEx>
          <w:tblCellMar>
            <w:top w:w="0" w:type="dxa"/>
            <w:left w:w="108" w:type="dxa"/>
            <w:bottom w:w="0" w:type="dxa"/>
            <w:right w:w="108" w:type="dxa"/>
          </w:tblCellMar>
        </w:tblPrEx>
        <w:trPr>
          <w:trHeight w:val="356" w:hRule="atLeast"/>
        </w:trPr>
        <w:tc>
          <w:tcPr>
            <w:tcW w:w="751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25.02</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b/>
                <w:bCs/>
                <w:color w:val="000000"/>
                <w:sz w:val="22"/>
                <w:highlight w:val="none"/>
                <w:lang w:val="en-US"/>
              </w:rPr>
            </w:pPr>
            <w:r>
              <w:rPr>
                <w:rFonts w:hint="eastAsia" w:ascii="宋体" w:hAnsi="宋体" w:eastAsia="宋体" w:cs="宋体"/>
                <w:b/>
                <w:bCs/>
                <w:i w:val="0"/>
                <w:iCs w:val="0"/>
                <w:color w:val="000000"/>
                <w:kern w:val="0"/>
                <w:sz w:val="22"/>
                <w:szCs w:val="22"/>
                <w:highlight w:val="none"/>
                <w:u w:val="none"/>
                <w:lang w:val="en-US" w:eastAsia="zh-CN" w:bidi="ar"/>
              </w:rPr>
              <w:t>19.9</w:t>
            </w:r>
            <w:r>
              <w:rPr>
                <w:rFonts w:hint="eastAsia" w:ascii="宋体" w:hAnsi="宋体" w:cs="宋体"/>
                <w:b/>
                <w:bCs/>
                <w:i w:val="0"/>
                <w:iCs w:val="0"/>
                <w:color w:val="000000"/>
                <w:kern w:val="0"/>
                <w:sz w:val="22"/>
                <w:szCs w:val="22"/>
                <w:highlight w:val="none"/>
                <w:u w:val="none"/>
                <w:lang w:val="en-US" w:eastAsia="zh-CN" w:bidi="ar"/>
              </w:rPr>
              <w:t>3</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b/>
                <w:bCs/>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5.09</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3.17</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人大事务</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2010101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20103</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政府办公厅（室）及相关机构事务</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2010301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0.27</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文化旅游体育与传媒支出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文化和旅游</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2070199</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其他文化和旅游支出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9.94</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9.94</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3.7</w:t>
            </w:r>
            <w:r>
              <w:rPr>
                <w:rFonts w:hint="eastAsia" w:ascii="宋体" w:hAnsi="宋体" w:cs="宋体"/>
                <w:i w:val="0"/>
                <w:iCs w:val="0"/>
                <w:color w:val="000000"/>
                <w:kern w:val="0"/>
                <w:sz w:val="22"/>
                <w:szCs w:val="22"/>
                <w:highlight w:val="none"/>
                <w:u w:val="none"/>
                <w:lang w:val="en-US" w:eastAsia="zh-CN" w:bidi="ar"/>
              </w:rPr>
              <w:t>1</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人力资源和社会保障管理事务</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2080101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2080599</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其他行政事业单位养老支出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20827</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财政对其他社会保险基金的补助</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2082701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财政对失业保险基金的补助</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11</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21012</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财政对基本医疗保险基金的补助</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2101201</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财政对职工基本医疗保险基金的补助</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21305</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巩固脱贫衔接乡村振兴</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r>
      <w:tr>
        <w:tblPrEx>
          <w:tblCellMar>
            <w:top w:w="0" w:type="dxa"/>
            <w:left w:w="108" w:type="dxa"/>
            <w:bottom w:w="0" w:type="dxa"/>
            <w:right w:w="108" w:type="dxa"/>
          </w:tblCellMar>
        </w:tblPrEx>
        <w:trPr>
          <w:trHeight w:val="356" w:hRule="atLeast"/>
        </w:trPr>
        <w:tc>
          <w:tcPr>
            <w:tcW w:w="293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45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其他巩固脱贫衔接乡村振兴支出</w:t>
            </w:r>
          </w:p>
        </w:tc>
        <w:tc>
          <w:tcPr>
            <w:tcW w:w="21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c>
          <w:tcPr>
            <w:tcW w:w="23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2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4.82</w:t>
            </w:r>
          </w:p>
        </w:tc>
      </w:tr>
      <w:tr>
        <w:tblPrEx>
          <w:tblCellMar>
            <w:top w:w="0" w:type="dxa"/>
            <w:left w:w="108" w:type="dxa"/>
            <w:bottom w:w="0" w:type="dxa"/>
            <w:right w:w="108" w:type="dxa"/>
          </w:tblCellMar>
        </w:tblPrEx>
        <w:trPr>
          <w:trHeight w:val="356" w:hRule="atLeast"/>
        </w:trPr>
        <w:tc>
          <w:tcPr>
            <w:tcW w:w="14764" w:type="dxa"/>
            <w:gridSpan w:val="7"/>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注：本表反映部门本年度一般公共预算财政拨款支出情况。</w:t>
            </w:r>
          </w:p>
        </w:tc>
      </w:tr>
    </w:tbl>
    <w:p>
      <w:pPr>
        <w:widowControl/>
        <w:shd w:val="clear"/>
        <w:jc w:val="left"/>
        <w:rPr>
          <w:rFonts w:ascii="Times New Roman" w:hAnsi="Times New Roman" w:eastAsia="仿宋_GB2312"/>
          <w:bCs/>
          <w:kern w:val="0"/>
          <w:szCs w:val="21"/>
          <w:highlight w:val="none"/>
        </w:rPr>
      </w:pPr>
    </w:p>
    <w:tbl>
      <w:tblPr>
        <w:tblStyle w:val="10"/>
        <w:tblW w:w="15300" w:type="dxa"/>
        <w:tblInd w:w="93" w:type="dxa"/>
        <w:tblLayout w:type="fixed"/>
        <w:tblCellMar>
          <w:top w:w="0" w:type="dxa"/>
          <w:left w:w="108" w:type="dxa"/>
          <w:bottom w:w="0" w:type="dxa"/>
          <w:right w:w="108" w:type="dxa"/>
        </w:tblCellMar>
      </w:tblPr>
      <w:tblGrid>
        <w:gridCol w:w="1551"/>
        <w:gridCol w:w="2751"/>
        <w:gridCol w:w="1035"/>
        <w:gridCol w:w="1215"/>
        <w:gridCol w:w="1980"/>
        <w:gridCol w:w="1005"/>
        <w:gridCol w:w="1440"/>
        <w:gridCol w:w="2835"/>
        <w:gridCol w:w="1488"/>
      </w:tblGrid>
      <w:tr>
        <w:tblPrEx>
          <w:tblCellMar>
            <w:top w:w="0" w:type="dxa"/>
            <w:left w:w="108" w:type="dxa"/>
            <w:bottom w:w="0" w:type="dxa"/>
            <w:right w:w="108" w:type="dxa"/>
          </w:tblCellMar>
        </w:tblPrEx>
        <w:trPr>
          <w:trHeight w:val="551" w:hRule="atLeast"/>
        </w:trPr>
        <w:tc>
          <w:tcPr>
            <w:tcW w:w="15300" w:type="dxa"/>
            <w:gridSpan w:val="9"/>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bookmarkStart w:id="2" w:name="RANGE!A1:I34"/>
            <w:bookmarkEnd w:id="2"/>
            <w:r>
              <w:rPr>
                <w:rFonts w:hint="eastAsia" w:ascii="宋体" w:hAnsi="宋体" w:cs="宋体"/>
                <w:color w:val="000000"/>
                <w:kern w:val="0"/>
                <w:sz w:val="30"/>
                <w:szCs w:val="30"/>
                <w:highlight w:val="none"/>
              </w:rPr>
              <w:t>一般公共预算财政拨款基本支出决算明细表</w:t>
            </w:r>
          </w:p>
        </w:tc>
      </w:tr>
      <w:tr>
        <w:tblPrEx>
          <w:tblCellMar>
            <w:top w:w="0" w:type="dxa"/>
            <w:left w:w="108" w:type="dxa"/>
            <w:bottom w:w="0" w:type="dxa"/>
            <w:right w:w="108" w:type="dxa"/>
          </w:tblCellMar>
        </w:tblPrEx>
        <w:trPr>
          <w:trHeight w:val="276" w:hRule="atLeast"/>
        </w:trPr>
        <w:tc>
          <w:tcPr>
            <w:tcW w:w="155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75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3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21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98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0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44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83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488"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公开06表</w:t>
            </w:r>
          </w:p>
        </w:tc>
      </w:tr>
      <w:tr>
        <w:tblPrEx>
          <w:tblCellMar>
            <w:top w:w="0" w:type="dxa"/>
            <w:left w:w="108" w:type="dxa"/>
            <w:bottom w:w="0" w:type="dxa"/>
            <w:right w:w="108" w:type="dxa"/>
          </w:tblCellMar>
        </w:tblPrEx>
        <w:trPr>
          <w:trHeight w:val="551" w:hRule="atLeast"/>
        </w:trPr>
        <w:tc>
          <w:tcPr>
            <w:tcW w:w="4302" w:type="dxa"/>
            <w:gridSpan w:val="2"/>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103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21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98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0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44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283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488"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297" w:hRule="atLeast"/>
        </w:trPr>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人员经费</w:t>
            </w:r>
          </w:p>
        </w:tc>
        <w:tc>
          <w:tcPr>
            <w:tcW w:w="9963"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公用经费</w:t>
            </w:r>
          </w:p>
        </w:tc>
      </w:tr>
      <w:tr>
        <w:tblPrEx>
          <w:tblCellMar>
            <w:top w:w="0" w:type="dxa"/>
            <w:left w:w="108" w:type="dxa"/>
            <w:bottom w:w="0" w:type="dxa"/>
            <w:right w:w="108" w:type="dxa"/>
          </w:tblCellMar>
        </w:tblPrEx>
        <w:trPr>
          <w:trHeight w:val="312" w:hRule="atLeast"/>
        </w:trPr>
        <w:tc>
          <w:tcPr>
            <w:tcW w:w="15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科目编码</w:t>
            </w:r>
          </w:p>
        </w:tc>
        <w:tc>
          <w:tcPr>
            <w:tcW w:w="2751"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决算数</w:t>
            </w:r>
          </w:p>
        </w:tc>
        <w:tc>
          <w:tcPr>
            <w:tcW w:w="121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科目编码</w:t>
            </w:r>
          </w:p>
        </w:tc>
        <w:tc>
          <w:tcPr>
            <w:tcW w:w="198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100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决算数</w:t>
            </w:r>
          </w:p>
        </w:tc>
        <w:tc>
          <w:tcPr>
            <w:tcW w:w="144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科目编码</w:t>
            </w:r>
          </w:p>
        </w:tc>
        <w:tc>
          <w:tcPr>
            <w:tcW w:w="283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1488"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决算数</w:t>
            </w:r>
          </w:p>
        </w:tc>
      </w:tr>
      <w:tr>
        <w:tblPrEx>
          <w:tblCellMar>
            <w:top w:w="0" w:type="dxa"/>
            <w:left w:w="108" w:type="dxa"/>
            <w:bottom w:w="0" w:type="dxa"/>
            <w:right w:w="108" w:type="dxa"/>
          </w:tblCellMar>
        </w:tblPrEx>
        <w:trPr>
          <w:trHeight w:val="312" w:hRule="atLeast"/>
        </w:trPr>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75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3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21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9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00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44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83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48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17.1</w:t>
            </w:r>
            <w:r>
              <w:rPr>
                <w:rFonts w:hint="eastAsia" w:ascii="宋体" w:hAnsi="宋体" w:cs="宋体"/>
                <w:i w:val="0"/>
                <w:iCs w:val="0"/>
                <w:color w:val="000000"/>
                <w:kern w:val="0"/>
                <w:sz w:val="22"/>
                <w:szCs w:val="22"/>
                <w:highlight w:val="none"/>
                <w:u w:val="none"/>
                <w:lang w:val="en-US" w:eastAsia="zh-CN" w:bidi="ar"/>
              </w:rPr>
              <w:t>6</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2.77</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color w:val="00000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5.6</w:t>
            </w:r>
            <w:r>
              <w:rPr>
                <w:rFonts w:hint="eastAsia" w:ascii="宋体" w:hAnsi="宋体" w:cs="宋体"/>
                <w:i w:val="0"/>
                <w:iCs w:val="0"/>
                <w:color w:val="000000"/>
                <w:kern w:val="0"/>
                <w:sz w:val="22"/>
                <w:szCs w:val="22"/>
                <w:highlight w:val="none"/>
                <w:u w:val="none"/>
                <w:lang w:val="en-US" w:eastAsia="zh-CN" w:bidi="ar"/>
              </w:rPr>
              <w:t>6</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sz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0.07</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0.43</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73"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0.17</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73"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0.35</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0.53</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0.10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0.40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97"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0.16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73"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39909</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经常性赠与</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73"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39910</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资本性赠与</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8"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2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73"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27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2835"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573"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2751"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1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10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2835"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highlight w:val="none"/>
              </w:rPr>
            </w:pPr>
          </w:p>
        </w:tc>
        <w:tc>
          <w:tcPr>
            <w:tcW w:w="14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297" w:hRule="atLeast"/>
        </w:trPr>
        <w:tc>
          <w:tcPr>
            <w:tcW w:w="430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17.1</w:t>
            </w:r>
            <w:r>
              <w:rPr>
                <w:rFonts w:hint="eastAsia" w:ascii="宋体" w:hAnsi="宋体" w:cs="宋体"/>
                <w:i w:val="0"/>
                <w:iCs w:val="0"/>
                <w:color w:val="000000"/>
                <w:kern w:val="0"/>
                <w:sz w:val="22"/>
                <w:szCs w:val="22"/>
                <w:highlight w:val="none"/>
                <w:u w:val="none"/>
                <w:lang w:val="en-US" w:eastAsia="zh-CN" w:bidi="ar"/>
              </w:rPr>
              <w:t>6</w:t>
            </w:r>
          </w:p>
        </w:tc>
        <w:tc>
          <w:tcPr>
            <w:tcW w:w="847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14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2.77</w:t>
            </w:r>
          </w:p>
        </w:tc>
      </w:tr>
      <w:tr>
        <w:tblPrEx>
          <w:tblCellMar>
            <w:top w:w="0" w:type="dxa"/>
            <w:left w:w="108" w:type="dxa"/>
            <w:bottom w:w="0" w:type="dxa"/>
            <w:right w:w="108" w:type="dxa"/>
          </w:tblCellMar>
        </w:tblPrEx>
        <w:trPr>
          <w:trHeight w:val="297" w:hRule="atLeast"/>
        </w:trPr>
        <w:tc>
          <w:tcPr>
            <w:tcW w:w="15300" w:type="dxa"/>
            <w:gridSpan w:val="9"/>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注：本表反映部门本年度一般公共预算财政拨款基本支出明细情况。</w:t>
            </w:r>
          </w:p>
        </w:tc>
      </w:tr>
    </w:tbl>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tbl>
      <w:tblPr>
        <w:tblStyle w:val="10"/>
        <w:tblW w:w="15340" w:type="dxa"/>
        <w:tblInd w:w="93" w:type="dxa"/>
        <w:tblLayout w:type="fixed"/>
        <w:tblCellMar>
          <w:top w:w="0" w:type="dxa"/>
          <w:left w:w="108" w:type="dxa"/>
          <w:bottom w:w="0" w:type="dxa"/>
          <w:right w:w="108" w:type="dxa"/>
        </w:tblCellMar>
      </w:tblPr>
      <w:tblGrid>
        <w:gridCol w:w="2373"/>
        <w:gridCol w:w="1394"/>
        <w:gridCol w:w="1136"/>
        <w:gridCol w:w="1015"/>
        <w:gridCol w:w="1143"/>
        <w:gridCol w:w="1141"/>
        <w:gridCol w:w="980"/>
        <w:gridCol w:w="1254"/>
        <w:gridCol w:w="983"/>
        <w:gridCol w:w="939"/>
        <w:gridCol w:w="1152"/>
        <w:gridCol w:w="1830"/>
      </w:tblGrid>
      <w:tr>
        <w:tblPrEx>
          <w:tblCellMar>
            <w:top w:w="0" w:type="dxa"/>
            <w:left w:w="108" w:type="dxa"/>
            <w:bottom w:w="0" w:type="dxa"/>
            <w:right w:w="108" w:type="dxa"/>
          </w:tblCellMar>
        </w:tblPrEx>
        <w:trPr>
          <w:trHeight w:val="870" w:hRule="atLeast"/>
        </w:trPr>
        <w:tc>
          <w:tcPr>
            <w:tcW w:w="15340" w:type="dxa"/>
            <w:gridSpan w:val="12"/>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r>
              <w:rPr>
                <w:rFonts w:hint="eastAsia" w:ascii="宋体" w:hAnsi="宋体" w:cs="宋体"/>
                <w:color w:val="000000"/>
                <w:kern w:val="0"/>
                <w:sz w:val="30"/>
                <w:szCs w:val="30"/>
                <w:highlight w:val="none"/>
              </w:rPr>
              <w:t>财政拨款“三公”经费支出决算表</w:t>
            </w:r>
          </w:p>
        </w:tc>
      </w:tr>
      <w:tr>
        <w:tblPrEx>
          <w:tblCellMar>
            <w:top w:w="0" w:type="dxa"/>
            <w:left w:w="108" w:type="dxa"/>
            <w:bottom w:w="0" w:type="dxa"/>
            <w:right w:w="108" w:type="dxa"/>
          </w:tblCellMar>
        </w:tblPrEx>
        <w:trPr>
          <w:trHeight w:val="435" w:hRule="atLeast"/>
        </w:trPr>
        <w:tc>
          <w:tcPr>
            <w:tcW w:w="237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394"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36"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1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4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4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98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254"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98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939"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52"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830"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公开07表</w:t>
            </w:r>
          </w:p>
        </w:tc>
      </w:tr>
      <w:tr>
        <w:tblPrEx>
          <w:tblCellMar>
            <w:top w:w="0" w:type="dxa"/>
            <w:left w:w="108" w:type="dxa"/>
            <w:bottom w:w="0" w:type="dxa"/>
            <w:right w:w="108" w:type="dxa"/>
          </w:tblCellMar>
        </w:tblPrEx>
        <w:trPr>
          <w:trHeight w:val="435" w:hRule="atLeast"/>
        </w:trPr>
        <w:tc>
          <w:tcPr>
            <w:tcW w:w="3767" w:type="dxa"/>
            <w:gridSpan w:val="2"/>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1136"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015"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4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41"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980"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254"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983"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939"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152" w:type="dxa"/>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1830" w:type="dxa"/>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481" w:hRule="atLeast"/>
        </w:trPr>
        <w:tc>
          <w:tcPr>
            <w:tcW w:w="8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预算数</w:t>
            </w:r>
          </w:p>
        </w:tc>
        <w:tc>
          <w:tcPr>
            <w:tcW w:w="7138" w:type="dxa"/>
            <w:gridSpan w:val="6"/>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决算数</w:t>
            </w:r>
          </w:p>
        </w:tc>
      </w:tr>
      <w:tr>
        <w:tblPrEx>
          <w:tblCellMar>
            <w:top w:w="0" w:type="dxa"/>
            <w:left w:w="108" w:type="dxa"/>
            <w:bottom w:w="0" w:type="dxa"/>
            <w:right w:w="108" w:type="dxa"/>
          </w:tblCellMar>
        </w:tblPrEx>
        <w:trPr>
          <w:trHeight w:val="918" w:hRule="atLeast"/>
        </w:trPr>
        <w:tc>
          <w:tcPr>
            <w:tcW w:w="2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1394"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因公出国（境）费</w:t>
            </w:r>
          </w:p>
        </w:tc>
        <w:tc>
          <w:tcPr>
            <w:tcW w:w="3294" w:type="dxa"/>
            <w:gridSpan w:val="3"/>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公务用车购置及运行费</w:t>
            </w:r>
          </w:p>
        </w:tc>
        <w:tc>
          <w:tcPr>
            <w:tcW w:w="1141"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公务接待费</w:t>
            </w:r>
          </w:p>
        </w:tc>
        <w:tc>
          <w:tcPr>
            <w:tcW w:w="98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1254"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因公出国（境）费</w:t>
            </w:r>
          </w:p>
        </w:tc>
        <w:tc>
          <w:tcPr>
            <w:tcW w:w="3074" w:type="dxa"/>
            <w:gridSpan w:val="3"/>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公务用车购置及运行费</w:t>
            </w:r>
          </w:p>
        </w:tc>
        <w:tc>
          <w:tcPr>
            <w:tcW w:w="183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公务接待费</w:t>
            </w:r>
          </w:p>
        </w:tc>
      </w:tr>
      <w:tr>
        <w:tblPrEx>
          <w:tblCellMar>
            <w:top w:w="0" w:type="dxa"/>
            <w:left w:w="108" w:type="dxa"/>
            <w:bottom w:w="0" w:type="dxa"/>
            <w:right w:w="108" w:type="dxa"/>
          </w:tblCellMar>
        </w:tblPrEx>
        <w:trPr>
          <w:trHeight w:val="1199" w:hRule="atLeast"/>
        </w:trPr>
        <w:tc>
          <w:tcPr>
            <w:tcW w:w="2373"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136"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小计</w:t>
            </w:r>
          </w:p>
        </w:tc>
        <w:tc>
          <w:tcPr>
            <w:tcW w:w="101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公务用车购置费</w:t>
            </w:r>
          </w:p>
        </w:tc>
        <w:tc>
          <w:tcPr>
            <w:tcW w:w="1143"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公务用车运行费</w:t>
            </w:r>
          </w:p>
        </w:tc>
        <w:tc>
          <w:tcPr>
            <w:tcW w:w="114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9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25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983"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小计</w:t>
            </w:r>
          </w:p>
        </w:tc>
        <w:tc>
          <w:tcPr>
            <w:tcW w:w="939"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公务用车购置费</w:t>
            </w:r>
          </w:p>
        </w:tc>
        <w:tc>
          <w:tcPr>
            <w:tcW w:w="1152"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公务用车运行费</w:t>
            </w:r>
          </w:p>
        </w:tc>
        <w:tc>
          <w:tcPr>
            <w:tcW w:w="183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481" w:hRule="atLeast"/>
        </w:trPr>
        <w:tc>
          <w:tcPr>
            <w:tcW w:w="2373" w:type="dxa"/>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1394"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1136"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c>
          <w:tcPr>
            <w:tcW w:w="1015"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w:t>
            </w:r>
          </w:p>
        </w:tc>
        <w:tc>
          <w:tcPr>
            <w:tcW w:w="1143"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w:t>
            </w:r>
          </w:p>
        </w:tc>
        <w:tc>
          <w:tcPr>
            <w:tcW w:w="1141"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w:t>
            </w:r>
          </w:p>
        </w:tc>
        <w:tc>
          <w:tcPr>
            <w:tcW w:w="980"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7</w:t>
            </w:r>
          </w:p>
        </w:tc>
        <w:tc>
          <w:tcPr>
            <w:tcW w:w="1254"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8</w:t>
            </w:r>
          </w:p>
        </w:tc>
        <w:tc>
          <w:tcPr>
            <w:tcW w:w="983"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9</w:t>
            </w:r>
          </w:p>
        </w:tc>
        <w:tc>
          <w:tcPr>
            <w:tcW w:w="939"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10</w:t>
            </w:r>
          </w:p>
        </w:tc>
        <w:tc>
          <w:tcPr>
            <w:tcW w:w="1152"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11</w:t>
            </w:r>
          </w:p>
        </w:tc>
        <w:tc>
          <w:tcPr>
            <w:tcW w:w="1830" w:type="dxa"/>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12</w:t>
            </w:r>
          </w:p>
        </w:tc>
      </w:tr>
      <w:tr>
        <w:tblPrEx>
          <w:tblCellMar>
            <w:top w:w="0" w:type="dxa"/>
            <w:left w:w="108" w:type="dxa"/>
            <w:bottom w:w="0" w:type="dxa"/>
            <w:right w:w="108" w:type="dxa"/>
          </w:tblCellMar>
        </w:tblPrEx>
        <w:trPr>
          <w:trHeight w:val="481" w:hRule="atLeast"/>
        </w:trPr>
        <w:tc>
          <w:tcPr>
            <w:tcW w:w="23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0.53</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0.53</w:t>
            </w:r>
          </w:p>
        </w:tc>
        <w:tc>
          <w:tcPr>
            <w:tcW w:w="9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0.53</w:t>
            </w:r>
          </w:p>
        </w:tc>
        <w:tc>
          <w:tcPr>
            <w:tcW w:w="12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8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0.53</w:t>
            </w:r>
          </w:p>
        </w:tc>
      </w:tr>
      <w:tr>
        <w:tblPrEx>
          <w:tblCellMar>
            <w:top w:w="0" w:type="dxa"/>
            <w:left w:w="108" w:type="dxa"/>
            <w:bottom w:w="0" w:type="dxa"/>
            <w:right w:w="108" w:type="dxa"/>
          </w:tblCellMar>
        </w:tblPrEx>
        <w:trPr>
          <w:trHeight w:val="918" w:hRule="atLeast"/>
        </w:trPr>
        <w:tc>
          <w:tcPr>
            <w:tcW w:w="15340" w:type="dxa"/>
            <w:gridSpan w:val="12"/>
            <w:tcBorders>
              <w:top w:val="nil"/>
              <w:left w:val="nil"/>
              <w:bottom w:val="nil"/>
              <w:right w:val="nil"/>
            </w:tcBorders>
            <w:shd w:val="clear" w:color="auto" w:fill="auto"/>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tbl>
      <w:tblPr>
        <w:tblStyle w:val="10"/>
        <w:tblW w:w="15200" w:type="dxa"/>
        <w:tblInd w:w="93" w:type="dxa"/>
        <w:tblLayout w:type="autofit"/>
        <w:tblCellMar>
          <w:top w:w="0" w:type="dxa"/>
          <w:left w:w="108" w:type="dxa"/>
          <w:bottom w:w="0" w:type="dxa"/>
          <w:right w:w="108" w:type="dxa"/>
        </w:tblCellMar>
      </w:tblPr>
      <w:tblGrid>
        <w:gridCol w:w="3801"/>
        <w:gridCol w:w="300"/>
        <w:gridCol w:w="300"/>
        <w:gridCol w:w="1479"/>
        <w:gridCol w:w="1186"/>
        <w:gridCol w:w="1186"/>
        <w:gridCol w:w="1182"/>
        <w:gridCol w:w="1180"/>
        <w:gridCol w:w="1176"/>
        <w:gridCol w:w="3410"/>
      </w:tblGrid>
      <w:tr>
        <w:tblPrEx>
          <w:tblCellMar>
            <w:top w:w="0" w:type="dxa"/>
            <w:left w:w="108" w:type="dxa"/>
            <w:bottom w:w="0" w:type="dxa"/>
            <w:right w:w="108" w:type="dxa"/>
          </w:tblCellMar>
        </w:tblPrEx>
        <w:trPr>
          <w:trHeight w:val="876" w:hRule="atLeast"/>
        </w:trPr>
        <w:tc>
          <w:tcPr>
            <w:tcW w:w="15200" w:type="dxa"/>
            <w:gridSpan w:val="10"/>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r>
              <w:rPr>
                <w:rFonts w:hint="eastAsia" w:ascii="宋体" w:hAnsi="宋体" w:cs="宋体"/>
                <w:color w:val="000000"/>
                <w:kern w:val="0"/>
                <w:sz w:val="30"/>
                <w:szCs w:val="30"/>
                <w:highlight w:val="none"/>
              </w:rPr>
              <w:t>政府性基金预算财政拨款收入支出决算表</w:t>
            </w:r>
          </w:p>
        </w:tc>
      </w:tr>
      <w:tr>
        <w:tblPrEx>
          <w:tblCellMar>
            <w:top w:w="0" w:type="dxa"/>
            <w:left w:w="108" w:type="dxa"/>
            <w:bottom w:w="0" w:type="dxa"/>
            <w:right w:w="108" w:type="dxa"/>
          </w:tblCellMar>
        </w:tblPrEx>
        <w:trPr>
          <w:trHeight w:val="436" w:hRule="atLeast"/>
        </w:trPr>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公开08表</w:t>
            </w:r>
          </w:p>
        </w:tc>
      </w:tr>
      <w:tr>
        <w:tblPrEx>
          <w:tblCellMar>
            <w:top w:w="0" w:type="dxa"/>
            <w:left w:w="108" w:type="dxa"/>
            <w:bottom w:w="0" w:type="dxa"/>
            <w:right w:w="108" w:type="dxa"/>
          </w:tblCellMar>
        </w:tblPrEx>
        <w:trPr>
          <w:trHeight w:val="436" w:hRule="atLeast"/>
        </w:trPr>
        <w:tc>
          <w:tcPr>
            <w:tcW w:w="0" w:type="auto"/>
            <w:tcBorders>
              <w:top w:val="nil"/>
              <w:left w:val="nil"/>
              <w:bottom w:val="nil"/>
              <w:right w:val="nil"/>
            </w:tcBorders>
            <w:shd w:val="clear" w:color="auto" w:fill="auto"/>
            <w:noWrap/>
            <w:vAlign w:val="bottom"/>
          </w:tcPr>
          <w:p>
            <w:pPr>
              <w:widowControl/>
              <w:shd w:val="clear"/>
              <w:jc w:val="lef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48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13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年初结转和结余</w:t>
            </w:r>
          </w:p>
        </w:tc>
        <w:tc>
          <w:tcPr>
            <w:tcW w:w="13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本年收入</w:t>
            </w:r>
          </w:p>
        </w:tc>
        <w:tc>
          <w:tcPr>
            <w:tcW w:w="3932" w:type="dxa"/>
            <w:gridSpan w:val="3"/>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本年支出</w:t>
            </w:r>
          </w:p>
        </w:tc>
        <w:tc>
          <w:tcPr>
            <w:tcW w:w="343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年末结转和结余</w:t>
            </w:r>
          </w:p>
        </w:tc>
      </w:tr>
      <w:tr>
        <w:tblPrEx>
          <w:tblCellMar>
            <w:top w:w="0" w:type="dxa"/>
            <w:left w:w="108" w:type="dxa"/>
            <w:bottom w:w="0" w:type="dxa"/>
            <w:right w:w="108" w:type="dxa"/>
          </w:tblCellMar>
        </w:tblPrEx>
        <w:trPr>
          <w:trHeight w:val="478" w:hRule="atLeast"/>
        </w:trPr>
        <w:tc>
          <w:tcPr>
            <w:tcW w:w="358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132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2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1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小计</w:t>
            </w:r>
          </w:p>
        </w:tc>
        <w:tc>
          <w:tcPr>
            <w:tcW w:w="1312"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基本支出</w:t>
            </w:r>
          </w:p>
        </w:tc>
        <w:tc>
          <w:tcPr>
            <w:tcW w:w="130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项目支出</w:t>
            </w:r>
          </w:p>
        </w:tc>
        <w:tc>
          <w:tcPr>
            <w:tcW w:w="343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478" w:hRule="atLeast"/>
        </w:trPr>
        <w:tc>
          <w:tcPr>
            <w:tcW w:w="358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132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2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1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12"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343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478" w:hRule="atLeast"/>
        </w:trPr>
        <w:tc>
          <w:tcPr>
            <w:tcW w:w="358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132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2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1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12"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343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484"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6</w:t>
            </w:r>
          </w:p>
        </w:tc>
      </w:tr>
      <w:tr>
        <w:tblPrEx>
          <w:tblCellMar>
            <w:top w:w="0" w:type="dxa"/>
            <w:left w:w="108" w:type="dxa"/>
            <w:bottom w:w="0" w:type="dxa"/>
            <w:right w:w="108" w:type="dxa"/>
          </w:tblCellMar>
        </w:tblPrEx>
        <w:trPr>
          <w:trHeight w:val="484"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r>
      <w:tr>
        <w:tblPrEx>
          <w:tblCellMar>
            <w:top w:w="0" w:type="dxa"/>
            <w:left w:w="108" w:type="dxa"/>
            <w:bottom w:w="0" w:type="dxa"/>
            <w:right w:w="108" w:type="dxa"/>
          </w:tblCellMar>
        </w:tblPrEx>
        <w:trPr>
          <w:trHeight w:val="48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8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8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8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8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8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84" w:hRule="atLeast"/>
        </w:trPr>
        <w:tc>
          <w:tcPr>
            <w:tcW w:w="0" w:type="auto"/>
            <w:gridSpan w:val="10"/>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注：本表反映部门本年度政府性基金预算财政拨款收入、支出及结转和结余情况。</w:t>
            </w:r>
          </w:p>
        </w:tc>
      </w:tr>
    </w:tbl>
    <w:p>
      <w:pPr>
        <w:widowControl/>
        <w:shd w:val="clear"/>
        <w:jc w:val="left"/>
        <w:rPr>
          <w:rFonts w:ascii="Times New Roman" w:hAnsi="Times New Roman" w:eastAsia="仿宋_GB2312"/>
          <w:b/>
          <w:kern w:val="0"/>
          <w:szCs w:val="21"/>
          <w:highlight w:val="none"/>
        </w:rPr>
      </w:pPr>
      <w:r>
        <w:rPr>
          <w:rFonts w:hint="eastAsia" w:ascii="Times New Roman" w:hAnsi="Times New Roman" w:eastAsia="仿宋_GB2312"/>
          <w:b/>
          <w:kern w:val="0"/>
          <w:szCs w:val="21"/>
          <w:highlight w:val="none"/>
        </w:rPr>
        <w:t>本单位没有政府性基金收入，也没有使用政府性基金安排的支出，故本表无数据。</w:t>
      </w:r>
    </w:p>
    <w:p>
      <w:pPr>
        <w:pStyle w:val="16"/>
        <w:shd w:val="clear"/>
        <w:rPr>
          <w:sz w:val="72"/>
          <w:szCs w:val="72"/>
          <w:highlight w:val="none"/>
        </w:rPr>
      </w:pPr>
    </w:p>
    <w:p>
      <w:pPr>
        <w:pStyle w:val="16"/>
        <w:shd w:val="clear"/>
        <w:rPr>
          <w:sz w:val="72"/>
          <w:szCs w:val="72"/>
          <w:highlight w:val="none"/>
        </w:rPr>
      </w:pPr>
    </w:p>
    <w:tbl>
      <w:tblPr>
        <w:tblStyle w:val="10"/>
        <w:tblW w:w="15240" w:type="dxa"/>
        <w:tblInd w:w="93" w:type="dxa"/>
        <w:tblLayout w:type="autofit"/>
        <w:tblCellMar>
          <w:top w:w="0" w:type="dxa"/>
          <w:left w:w="108" w:type="dxa"/>
          <w:bottom w:w="0" w:type="dxa"/>
          <w:right w:w="108" w:type="dxa"/>
        </w:tblCellMar>
      </w:tblPr>
      <w:tblGrid>
        <w:gridCol w:w="4169"/>
        <w:gridCol w:w="329"/>
        <w:gridCol w:w="329"/>
        <w:gridCol w:w="1623"/>
        <w:gridCol w:w="1974"/>
        <w:gridCol w:w="1974"/>
        <w:gridCol w:w="4842"/>
      </w:tblGrid>
      <w:tr>
        <w:tblPrEx>
          <w:tblCellMar>
            <w:top w:w="0" w:type="dxa"/>
            <w:left w:w="108" w:type="dxa"/>
            <w:bottom w:w="0" w:type="dxa"/>
            <w:right w:w="108" w:type="dxa"/>
          </w:tblCellMar>
        </w:tblPrEx>
        <w:trPr>
          <w:trHeight w:val="861" w:hRule="atLeast"/>
        </w:trPr>
        <w:tc>
          <w:tcPr>
            <w:tcW w:w="15240" w:type="dxa"/>
            <w:gridSpan w:val="7"/>
            <w:tcBorders>
              <w:top w:val="nil"/>
              <w:left w:val="nil"/>
              <w:bottom w:val="nil"/>
              <w:right w:val="nil"/>
            </w:tcBorders>
            <w:shd w:val="clear" w:color="auto" w:fill="auto"/>
            <w:noWrap/>
            <w:vAlign w:val="bottom"/>
          </w:tcPr>
          <w:p>
            <w:pPr>
              <w:widowControl/>
              <w:shd w:val="clear"/>
              <w:jc w:val="center"/>
              <w:textAlignment w:val="bottom"/>
              <w:rPr>
                <w:rFonts w:ascii="宋体" w:hAnsi="宋体" w:cs="宋体"/>
                <w:color w:val="000000"/>
                <w:sz w:val="30"/>
                <w:szCs w:val="30"/>
                <w:highlight w:val="none"/>
              </w:rPr>
            </w:pPr>
            <w:r>
              <w:rPr>
                <w:rFonts w:hint="eastAsia" w:ascii="宋体" w:hAnsi="宋体" w:cs="宋体"/>
                <w:color w:val="000000"/>
                <w:kern w:val="0"/>
                <w:sz w:val="30"/>
                <w:szCs w:val="30"/>
                <w:highlight w:val="none"/>
              </w:rPr>
              <w:t>国有资本经营预算财政拨款支出决算表</w:t>
            </w:r>
          </w:p>
        </w:tc>
      </w:tr>
      <w:tr>
        <w:tblPrEx>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公开09表</w:t>
            </w:r>
          </w:p>
        </w:tc>
      </w:tr>
      <w:tr>
        <w:tblPrEx>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bottom"/>
          </w:tcPr>
          <w:p>
            <w:pPr>
              <w:widowControl/>
              <w:shd w:val="clear"/>
              <w:jc w:val="lef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部门：会同县炎帝文化研究所</w:t>
            </w: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shd w:val="clear"/>
              <w:rPr>
                <w:rFonts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widowControl/>
              <w:shd w:val="clear"/>
              <w:jc w:val="right"/>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金额单位：万元</w:t>
            </w:r>
          </w:p>
        </w:tc>
      </w:tr>
      <w:tr>
        <w:tblPrEx>
          <w:tblCellMar>
            <w:top w:w="0" w:type="dxa"/>
            <w:left w:w="108" w:type="dxa"/>
            <w:bottom w:w="0" w:type="dxa"/>
            <w:right w:w="108" w:type="dxa"/>
          </w:tblCellMar>
        </w:tblPrEx>
        <w:trPr>
          <w:trHeight w:val="46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w:t>
            </w:r>
          </w:p>
        </w:tc>
        <w:tc>
          <w:tcPr>
            <w:tcW w:w="9385" w:type="dxa"/>
            <w:gridSpan w:val="3"/>
            <w:tcBorders>
              <w:top w:val="single" w:color="000000" w:sz="4" w:space="0"/>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本年支出</w:t>
            </w:r>
          </w:p>
        </w:tc>
      </w:tr>
      <w:tr>
        <w:tblPrEx>
          <w:tblCellMar>
            <w:top w:w="0" w:type="dxa"/>
            <w:left w:w="108" w:type="dxa"/>
            <w:bottom w:w="0" w:type="dxa"/>
            <w:right w:w="108" w:type="dxa"/>
          </w:tblCellMar>
        </w:tblPrEx>
        <w:trPr>
          <w:trHeight w:val="459" w:hRule="atLeast"/>
        </w:trPr>
        <w:tc>
          <w:tcPr>
            <w:tcW w:w="405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科目名称</w:t>
            </w:r>
          </w:p>
        </w:tc>
        <w:tc>
          <w:tcPr>
            <w:tcW w:w="223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2230"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基本支出</w:t>
            </w:r>
          </w:p>
        </w:tc>
        <w:tc>
          <w:tcPr>
            <w:tcW w:w="4925" w:type="dxa"/>
            <w:vMerge w:val="restart"/>
            <w:tcBorders>
              <w:top w:val="nil"/>
              <w:left w:val="nil"/>
              <w:bottom w:val="single" w:color="000000" w:sz="4" w:space="0"/>
              <w:right w:val="single" w:color="000000" w:sz="4" w:space="0"/>
            </w:tcBorders>
            <w:shd w:val="clear" w:color="auto" w:fill="auto"/>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项目支出</w:t>
            </w:r>
          </w:p>
        </w:tc>
      </w:tr>
      <w:tr>
        <w:tblPrEx>
          <w:tblCellMar>
            <w:top w:w="0" w:type="dxa"/>
            <w:left w:w="108" w:type="dxa"/>
            <w:bottom w:w="0" w:type="dxa"/>
            <w:right w:w="108" w:type="dxa"/>
          </w:tblCellMar>
        </w:tblPrEx>
        <w:trPr>
          <w:trHeight w:val="459" w:hRule="atLeast"/>
        </w:trPr>
        <w:tc>
          <w:tcPr>
            <w:tcW w:w="405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223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23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492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459" w:hRule="atLeast"/>
        </w:trPr>
        <w:tc>
          <w:tcPr>
            <w:tcW w:w="405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ascii="宋体" w:hAnsi="宋体" w:cs="宋体"/>
                <w:color w:val="000000"/>
                <w:sz w:val="22"/>
                <w:highlight w:val="none"/>
              </w:rPr>
            </w:pPr>
          </w:p>
        </w:tc>
        <w:tc>
          <w:tcPr>
            <w:tcW w:w="223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223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c>
          <w:tcPr>
            <w:tcW w:w="492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ascii="宋体" w:hAnsi="宋体" w:cs="宋体"/>
                <w:color w:val="000000"/>
                <w:sz w:val="22"/>
                <w:highlight w:val="none"/>
              </w:rPr>
            </w:pPr>
          </w:p>
        </w:tc>
      </w:tr>
      <w:tr>
        <w:tblPrEx>
          <w:tblCellMar>
            <w:top w:w="0" w:type="dxa"/>
            <w:left w:w="108" w:type="dxa"/>
            <w:bottom w:w="0" w:type="dxa"/>
            <w:right w:w="108" w:type="dxa"/>
          </w:tblCellMar>
        </w:tblPrEx>
        <w:trPr>
          <w:trHeight w:val="464"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3</w:t>
            </w:r>
          </w:p>
        </w:tc>
      </w:tr>
      <w:tr>
        <w:tblPrEx>
          <w:tblCellMar>
            <w:top w:w="0" w:type="dxa"/>
            <w:left w:w="108" w:type="dxa"/>
            <w:bottom w:w="0" w:type="dxa"/>
            <w:right w:w="108" w:type="dxa"/>
          </w:tblCellMar>
        </w:tblPrEx>
        <w:trPr>
          <w:trHeight w:val="464"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合计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color w:val="000000"/>
                <w:sz w:val="22"/>
                <w:highlight w:val="none"/>
                <w:lang w:val="en-US" w:eastAsia="zh-CN"/>
              </w:rPr>
            </w:pPr>
            <w:r>
              <w:rPr>
                <w:rFonts w:hint="eastAsia" w:ascii="宋体" w:hAnsi="宋体" w:cs="宋体"/>
                <w:b/>
                <w:bCs/>
                <w:color w:val="000000"/>
                <w:sz w:val="22"/>
                <w:highlight w:val="none"/>
                <w:lang w:val="en-US" w:eastAsia="zh-CN"/>
              </w:rPr>
              <w:t>0</w:t>
            </w:r>
          </w:p>
        </w:tc>
      </w:tr>
      <w:tr>
        <w:tblPrEx>
          <w:tblCellMar>
            <w:top w:w="0" w:type="dxa"/>
            <w:left w:w="108" w:type="dxa"/>
            <w:bottom w:w="0" w:type="dxa"/>
            <w:right w:w="108" w:type="dxa"/>
          </w:tblCellMar>
        </w:tblPrEx>
        <w:trPr>
          <w:trHeight w:val="46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6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6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6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6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6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ascii="宋体" w:hAnsi="宋体" w:cs="宋体"/>
                <w:color w:val="000000"/>
                <w:sz w:val="22"/>
                <w:highlight w:val="none"/>
              </w:rPr>
            </w:pPr>
          </w:p>
        </w:tc>
      </w:tr>
      <w:tr>
        <w:tblPrEx>
          <w:tblCellMar>
            <w:top w:w="0" w:type="dxa"/>
            <w:left w:w="108" w:type="dxa"/>
            <w:bottom w:w="0" w:type="dxa"/>
            <w:right w:w="108" w:type="dxa"/>
          </w:tblCellMar>
        </w:tblPrEx>
        <w:trPr>
          <w:trHeight w:val="464" w:hRule="atLeast"/>
        </w:trPr>
        <w:tc>
          <w:tcPr>
            <w:tcW w:w="0" w:type="auto"/>
            <w:gridSpan w:val="7"/>
            <w:tcBorders>
              <w:top w:val="nil"/>
              <w:left w:val="nil"/>
              <w:bottom w:val="nil"/>
              <w:right w:val="nil"/>
            </w:tcBorders>
            <w:shd w:val="clear" w:color="auto" w:fill="auto"/>
            <w:noWrap/>
            <w:vAlign w:val="center"/>
          </w:tcPr>
          <w:p>
            <w:pPr>
              <w:widowControl/>
              <w:shd w:val="clear"/>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注：本表反映部门本年度国有资本经营预算财政拨款支出情况。</w:t>
            </w:r>
          </w:p>
        </w:tc>
      </w:tr>
    </w:tbl>
    <w:p>
      <w:pPr>
        <w:pStyle w:val="16"/>
        <w:shd w:val="clear"/>
        <w:rPr>
          <w:sz w:val="72"/>
          <w:szCs w:val="72"/>
          <w:highlight w:val="none"/>
        </w:rPr>
        <w:sectPr>
          <w:pgSz w:w="16838" w:h="11906" w:orient="landscape"/>
          <w:pgMar w:top="720" w:right="720" w:bottom="720" w:left="720" w:header="851" w:footer="992" w:gutter="0"/>
          <w:cols w:space="425" w:num="1"/>
          <w:docGrid w:type="lines" w:linePitch="312" w:charSpace="0"/>
        </w:sectPr>
      </w:pPr>
      <w:r>
        <w:rPr>
          <w:rFonts w:hint="eastAsia" w:ascii="Times New Roman" w:hAnsi="Times New Roman" w:eastAsia="仿宋_GB2312"/>
          <w:b/>
          <w:sz w:val="21"/>
          <w:szCs w:val="18"/>
          <w:highlight w:val="none"/>
        </w:rPr>
        <w:t>本单位没有国有资本经营收入，也没有使用国有资本经营安排的支出，故本表无数据。</w:t>
      </w:r>
    </w:p>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p>
      <w:pPr>
        <w:pStyle w:val="16"/>
        <w:shd w:val="clear"/>
        <w:rPr>
          <w:sz w:val="72"/>
          <w:szCs w:val="72"/>
          <w:highlight w:val="none"/>
        </w:rPr>
      </w:pPr>
    </w:p>
    <w:p>
      <w:pPr>
        <w:pStyle w:val="16"/>
        <w:shd w:val="clear"/>
        <w:jc w:val="center"/>
        <w:rPr>
          <w:sz w:val="72"/>
          <w:szCs w:val="72"/>
          <w:highlight w:val="none"/>
        </w:rPr>
      </w:pPr>
    </w:p>
    <w:p>
      <w:pPr>
        <w:pStyle w:val="16"/>
        <w:shd w:val="clear"/>
        <w:jc w:val="center"/>
        <w:rPr>
          <w:sz w:val="72"/>
          <w:szCs w:val="72"/>
          <w:highlight w:val="none"/>
        </w:rPr>
      </w:pPr>
    </w:p>
    <w:p>
      <w:pPr>
        <w:pStyle w:val="16"/>
        <w:shd w:val="clear"/>
        <w:spacing w:line="360" w:lineRule="auto"/>
        <w:jc w:val="center"/>
        <w:rPr>
          <w:sz w:val="72"/>
          <w:szCs w:val="72"/>
          <w:highlight w:val="none"/>
        </w:rPr>
      </w:pPr>
      <w:r>
        <w:rPr>
          <w:rFonts w:hint="eastAsia"/>
          <w:sz w:val="72"/>
          <w:szCs w:val="72"/>
          <w:highlight w:val="none"/>
        </w:rPr>
        <w:t>第三部分</w:t>
      </w:r>
    </w:p>
    <w:p>
      <w:pPr>
        <w:pStyle w:val="16"/>
        <w:shd w:val="clear"/>
        <w:spacing w:line="360" w:lineRule="auto"/>
        <w:jc w:val="center"/>
        <w:rPr>
          <w:sz w:val="70"/>
          <w:szCs w:val="70"/>
          <w:highlight w:val="none"/>
        </w:rPr>
      </w:pPr>
    </w:p>
    <w:p>
      <w:pPr>
        <w:pStyle w:val="16"/>
        <w:shd w:val="clear"/>
        <w:spacing w:line="360" w:lineRule="auto"/>
        <w:jc w:val="center"/>
        <w:rPr>
          <w:sz w:val="70"/>
          <w:szCs w:val="70"/>
          <w:highlight w:val="none"/>
        </w:rPr>
      </w:pPr>
      <w:r>
        <w:rPr>
          <w:sz w:val="70"/>
          <w:szCs w:val="70"/>
          <w:highlight w:val="none"/>
        </w:rPr>
        <w:t>202</w:t>
      </w:r>
      <w:r>
        <w:rPr>
          <w:rFonts w:hint="eastAsia"/>
          <w:sz w:val="70"/>
          <w:szCs w:val="70"/>
          <w:highlight w:val="none"/>
          <w:lang w:val="en-US" w:eastAsia="zh-CN"/>
        </w:rPr>
        <w:t>2</w:t>
      </w:r>
      <w:r>
        <w:rPr>
          <w:rFonts w:hint="eastAsia"/>
          <w:sz w:val="70"/>
          <w:szCs w:val="70"/>
          <w:highlight w:val="none"/>
        </w:rPr>
        <w:t>年度部门决算情况说明</w:t>
      </w:r>
    </w:p>
    <w:p>
      <w:pPr>
        <w:widowControl/>
        <w:shd w:val="clear"/>
        <w:spacing w:line="360" w:lineRule="auto"/>
        <w:jc w:val="left"/>
        <w:rPr>
          <w:rFonts w:ascii="宋体" w:hAnsi="宋体"/>
          <w:sz w:val="32"/>
          <w:szCs w:val="32"/>
          <w:highlight w:val="none"/>
        </w:rPr>
      </w:pPr>
      <w:r>
        <w:rPr>
          <w:sz w:val="70"/>
          <w:szCs w:val="70"/>
          <w:highlight w:val="none"/>
        </w:rPr>
        <w:br w:type="page"/>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一、收入支出决算总体情况说明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年度收入总计</w:t>
      </w:r>
      <w:r>
        <w:rPr>
          <w:rFonts w:hint="eastAsia" w:ascii="宋体" w:hAnsi="宋体" w:eastAsia="宋体" w:cs="宋体"/>
          <w:color w:val="auto"/>
          <w:sz w:val="32"/>
          <w:szCs w:val="32"/>
          <w:highlight w:val="none"/>
          <w:lang w:val="en-US" w:eastAsia="zh-CN"/>
        </w:rPr>
        <w:t>25.02</w:t>
      </w:r>
      <w:r>
        <w:rPr>
          <w:rFonts w:hint="eastAsia" w:ascii="宋体" w:hAnsi="宋体" w:eastAsia="宋体" w:cs="宋体"/>
          <w:sz w:val="32"/>
          <w:szCs w:val="32"/>
          <w:highlight w:val="none"/>
        </w:rPr>
        <w:t>万元，与上年相比，减少</w:t>
      </w:r>
      <w:r>
        <w:rPr>
          <w:rFonts w:hint="eastAsia" w:ascii="宋体" w:hAnsi="宋体" w:eastAsia="宋体" w:cs="宋体"/>
          <w:color w:val="auto"/>
          <w:sz w:val="32"/>
          <w:szCs w:val="32"/>
          <w:highlight w:val="none"/>
          <w:lang w:val="en-US" w:eastAsia="zh-CN"/>
        </w:rPr>
        <w:t>3.59</w:t>
      </w:r>
      <w:r>
        <w:rPr>
          <w:rFonts w:hint="eastAsia" w:ascii="宋体" w:hAnsi="宋体" w:eastAsia="宋体" w:cs="宋体"/>
          <w:color w:val="auto"/>
          <w:sz w:val="32"/>
          <w:szCs w:val="32"/>
          <w:highlight w:val="none"/>
        </w:rPr>
        <w:t>万元，减少</w:t>
      </w:r>
      <w:r>
        <w:rPr>
          <w:rFonts w:hint="eastAsia" w:ascii="宋体" w:hAnsi="宋体" w:eastAsia="宋体" w:cs="宋体"/>
          <w:color w:val="auto"/>
          <w:sz w:val="32"/>
          <w:szCs w:val="32"/>
          <w:highlight w:val="none"/>
          <w:lang w:val="en-US" w:eastAsia="zh-CN"/>
        </w:rPr>
        <w:t>12.55</w:t>
      </w:r>
      <w:r>
        <w:rPr>
          <w:rFonts w:hint="eastAsia" w:ascii="宋体" w:hAnsi="宋体" w:eastAsia="宋体" w:cs="宋体"/>
          <w:color w:val="auto"/>
          <w:sz w:val="32"/>
          <w:szCs w:val="32"/>
          <w:highlight w:val="none"/>
        </w:rPr>
        <w:t>%</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文化研究相关费用减少。</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年度支出总计</w:t>
      </w:r>
      <w:r>
        <w:rPr>
          <w:rFonts w:hint="eastAsia" w:ascii="宋体" w:hAnsi="宋体" w:eastAsia="宋体" w:cs="宋体"/>
          <w:color w:val="auto"/>
          <w:sz w:val="32"/>
          <w:szCs w:val="32"/>
          <w:highlight w:val="none"/>
          <w:lang w:val="en-US" w:eastAsia="zh-CN"/>
        </w:rPr>
        <w:t>25.02</w:t>
      </w:r>
      <w:r>
        <w:rPr>
          <w:rFonts w:hint="eastAsia" w:ascii="宋体" w:hAnsi="宋体" w:eastAsia="宋体" w:cs="宋体"/>
          <w:sz w:val="32"/>
          <w:szCs w:val="32"/>
          <w:highlight w:val="none"/>
        </w:rPr>
        <w:t>万元，与上年相比，减少</w:t>
      </w:r>
      <w:r>
        <w:rPr>
          <w:rFonts w:hint="eastAsia" w:ascii="宋体" w:hAnsi="宋体" w:eastAsia="宋体" w:cs="宋体"/>
          <w:sz w:val="32"/>
          <w:szCs w:val="32"/>
          <w:highlight w:val="none"/>
          <w:lang w:val="en-US" w:eastAsia="zh-CN"/>
        </w:rPr>
        <w:t>3.59</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12.55</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文化研究相关费用减少。</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二、收入决算情况说明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本年收入合计</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万元，其中：财政拨款收入</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万元，占100%；上级补助收入0万元，占0%；事业收入0万元，占0%；经营收入0万元，占0%；附属单位上缴收入0万元，占0%；其他收入0万元，占0%。</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三、支出决算情况说明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本年支出合计</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万元，其中：基本支出</w:t>
      </w:r>
      <w:r>
        <w:rPr>
          <w:rFonts w:hint="eastAsia" w:ascii="宋体" w:hAnsi="宋体" w:eastAsia="宋体" w:cs="宋体"/>
          <w:sz w:val="32"/>
          <w:szCs w:val="32"/>
          <w:highlight w:val="none"/>
          <w:lang w:val="en-US" w:eastAsia="zh-CN"/>
        </w:rPr>
        <w:t>19.93</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79.66</w:t>
      </w:r>
      <w:r>
        <w:rPr>
          <w:rFonts w:hint="eastAsia" w:ascii="宋体" w:hAnsi="宋体" w:eastAsia="宋体" w:cs="宋体"/>
          <w:sz w:val="32"/>
          <w:szCs w:val="32"/>
          <w:highlight w:val="none"/>
        </w:rPr>
        <w:t>%；项目支出</w:t>
      </w:r>
      <w:r>
        <w:rPr>
          <w:rFonts w:hint="eastAsia" w:ascii="宋体" w:hAnsi="宋体" w:eastAsia="宋体" w:cs="宋体"/>
          <w:sz w:val="32"/>
          <w:szCs w:val="32"/>
          <w:highlight w:val="none"/>
          <w:lang w:val="en-US" w:eastAsia="zh-CN"/>
        </w:rPr>
        <w:t>5.09</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20.34</w:t>
      </w:r>
      <w:r>
        <w:rPr>
          <w:rFonts w:hint="eastAsia" w:ascii="宋体" w:hAnsi="宋体" w:eastAsia="宋体" w:cs="宋体"/>
          <w:sz w:val="32"/>
          <w:szCs w:val="32"/>
          <w:highlight w:val="none"/>
        </w:rPr>
        <w:t>%；上缴上级支出0万元，占0%；经营支出0万元，占0%；对附属单位补助支出0万元,占0%。</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四、财政拨款收入支出决算总体情况说明</w:t>
      </w:r>
    </w:p>
    <w:p>
      <w:pPr>
        <w:keepNext w:val="0"/>
        <w:keepLines w:val="0"/>
        <w:pageBreakBefore w:val="0"/>
        <w:widowControl/>
        <w:shd w:val="clear"/>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年度财政拨款收入</w:t>
      </w:r>
      <w:r>
        <w:rPr>
          <w:rFonts w:hint="eastAsia" w:ascii="宋体" w:hAnsi="宋体" w:cs="宋体"/>
          <w:sz w:val="32"/>
          <w:szCs w:val="32"/>
          <w:highlight w:val="none"/>
          <w:lang w:val="en-US" w:eastAsia="zh-CN"/>
        </w:rPr>
        <w:t>总</w:t>
      </w:r>
      <w:r>
        <w:rPr>
          <w:rFonts w:hint="eastAsia" w:ascii="宋体" w:hAnsi="宋体" w:eastAsia="宋体" w:cs="宋体"/>
          <w:sz w:val="32"/>
          <w:szCs w:val="32"/>
          <w:highlight w:val="none"/>
        </w:rPr>
        <w:t>计</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w:t>
      </w:r>
      <w:r>
        <w:rPr>
          <w:rFonts w:hint="eastAsia" w:ascii="宋体" w:hAnsi="宋体" w:eastAsia="宋体" w:cs="宋体"/>
          <w:color w:val="auto"/>
          <w:sz w:val="32"/>
          <w:szCs w:val="32"/>
          <w:highlight w:val="none"/>
        </w:rPr>
        <w:t>。与上年相比，减少</w:t>
      </w:r>
      <w:r>
        <w:rPr>
          <w:rFonts w:hint="eastAsia" w:ascii="宋体" w:hAnsi="宋体" w:eastAsia="宋体" w:cs="宋体"/>
          <w:sz w:val="32"/>
          <w:szCs w:val="32"/>
          <w:highlight w:val="none"/>
          <w:lang w:val="en-US" w:eastAsia="zh-CN"/>
        </w:rPr>
        <w:t>3.59</w:t>
      </w:r>
      <w:r>
        <w:rPr>
          <w:rFonts w:hint="eastAsia" w:ascii="宋体" w:hAnsi="宋体" w:eastAsia="宋体" w:cs="宋体"/>
          <w:color w:val="auto"/>
          <w:sz w:val="32"/>
          <w:szCs w:val="32"/>
          <w:highlight w:val="none"/>
        </w:rPr>
        <w:t>万元，减少</w:t>
      </w:r>
      <w:r>
        <w:rPr>
          <w:rFonts w:hint="eastAsia" w:ascii="宋体" w:hAnsi="宋体" w:eastAsia="宋体" w:cs="宋体"/>
          <w:color w:val="auto"/>
          <w:sz w:val="32"/>
          <w:szCs w:val="32"/>
          <w:highlight w:val="none"/>
          <w:lang w:val="en-US" w:eastAsia="zh-CN"/>
        </w:rPr>
        <w:t>12.55</w:t>
      </w:r>
      <w:r>
        <w:rPr>
          <w:rFonts w:hint="eastAsia" w:ascii="宋体" w:hAnsi="宋体" w:eastAsia="宋体" w:cs="宋体"/>
          <w:color w:val="auto"/>
          <w:sz w:val="32"/>
          <w:szCs w:val="32"/>
          <w:highlight w:val="none"/>
        </w:rPr>
        <w:t>%，主要是因为</w:t>
      </w:r>
      <w:r>
        <w:rPr>
          <w:rFonts w:hint="eastAsia" w:ascii="宋体" w:hAnsi="宋体" w:eastAsia="宋体" w:cs="宋体"/>
          <w:sz w:val="32"/>
          <w:szCs w:val="32"/>
          <w:highlight w:val="none"/>
          <w:lang w:eastAsia="zh-CN"/>
        </w:rPr>
        <w:t>文化研究相关费用减少。</w:t>
      </w:r>
    </w:p>
    <w:p>
      <w:pPr>
        <w:keepNext w:val="0"/>
        <w:keepLines w:val="0"/>
        <w:pageBreakBefore w:val="0"/>
        <w:widowControl/>
        <w:shd w:val="clear"/>
        <w:kinsoku/>
        <w:wordWrap/>
        <w:overflowPunct/>
        <w:topLinePunct w:val="0"/>
        <w:bidi w:val="0"/>
        <w:snapToGrid/>
        <w:spacing w:line="600"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年度财政拨款支出</w:t>
      </w:r>
      <w:r>
        <w:rPr>
          <w:rFonts w:hint="eastAsia" w:ascii="宋体" w:hAnsi="宋体" w:cs="宋体"/>
          <w:color w:val="auto"/>
          <w:sz w:val="32"/>
          <w:szCs w:val="32"/>
          <w:highlight w:val="none"/>
          <w:lang w:val="en-US" w:eastAsia="zh-CN"/>
        </w:rPr>
        <w:t>总</w:t>
      </w:r>
      <w:r>
        <w:rPr>
          <w:rFonts w:hint="eastAsia" w:ascii="宋体" w:hAnsi="宋体" w:eastAsia="宋体" w:cs="宋体"/>
          <w:color w:val="auto"/>
          <w:sz w:val="32"/>
          <w:szCs w:val="32"/>
          <w:highlight w:val="none"/>
        </w:rPr>
        <w:t>计</w:t>
      </w:r>
      <w:r>
        <w:rPr>
          <w:rFonts w:hint="eastAsia" w:ascii="宋体" w:hAnsi="宋体" w:eastAsia="宋体" w:cs="宋体"/>
          <w:color w:val="auto"/>
          <w:sz w:val="32"/>
          <w:szCs w:val="32"/>
          <w:highlight w:val="none"/>
          <w:lang w:val="en-US" w:eastAsia="zh-CN"/>
        </w:rPr>
        <w:t>25.02</w:t>
      </w:r>
      <w:r>
        <w:rPr>
          <w:rFonts w:hint="eastAsia" w:ascii="宋体" w:hAnsi="宋体" w:eastAsia="宋体" w:cs="宋体"/>
          <w:color w:val="auto"/>
          <w:sz w:val="32"/>
          <w:szCs w:val="32"/>
          <w:highlight w:val="none"/>
        </w:rPr>
        <w:t>万元。与上年相比，减少</w:t>
      </w:r>
      <w:r>
        <w:rPr>
          <w:rFonts w:hint="eastAsia" w:ascii="宋体" w:hAnsi="宋体" w:eastAsia="宋体" w:cs="宋体"/>
          <w:sz w:val="32"/>
          <w:szCs w:val="32"/>
          <w:highlight w:val="none"/>
          <w:lang w:val="en-US" w:eastAsia="zh-CN"/>
        </w:rPr>
        <w:t>3.59</w:t>
      </w:r>
      <w:r>
        <w:rPr>
          <w:rFonts w:hint="eastAsia" w:ascii="宋体" w:hAnsi="宋体" w:eastAsia="宋体" w:cs="宋体"/>
          <w:color w:val="auto"/>
          <w:sz w:val="32"/>
          <w:szCs w:val="32"/>
          <w:highlight w:val="none"/>
        </w:rPr>
        <w:t>万元，减少</w:t>
      </w:r>
      <w:r>
        <w:rPr>
          <w:rFonts w:hint="eastAsia" w:ascii="宋体" w:hAnsi="宋体" w:eastAsia="宋体" w:cs="宋体"/>
          <w:sz w:val="32"/>
          <w:szCs w:val="32"/>
          <w:highlight w:val="none"/>
          <w:lang w:val="en-US" w:eastAsia="zh-CN"/>
        </w:rPr>
        <w:t>12.55</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文化研究相关费用减少。</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五、一般公共预算财政拨款支出决算情况说明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（一）财政拨款支出决算总体情况</w:t>
      </w:r>
    </w:p>
    <w:p>
      <w:pPr>
        <w:keepNext w:val="0"/>
        <w:keepLines w:val="0"/>
        <w:pageBreakBefore w:val="0"/>
        <w:widowControl/>
        <w:shd w:val="clear"/>
        <w:kinsoku/>
        <w:wordWrap/>
        <w:overflowPunct/>
        <w:topLinePunct w:val="0"/>
        <w:bidi w:val="0"/>
        <w:snapToGrid/>
        <w:spacing w:line="600"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年度财政拨款支出</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万元，占本年支出合计的100%，与上年相比，财政拨款支出减少</w:t>
      </w:r>
      <w:r>
        <w:rPr>
          <w:rFonts w:hint="eastAsia" w:ascii="宋体" w:hAnsi="宋体" w:eastAsia="宋体" w:cs="宋体"/>
          <w:sz w:val="32"/>
          <w:szCs w:val="32"/>
          <w:highlight w:val="none"/>
          <w:lang w:val="en-US" w:eastAsia="zh-CN"/>
        </w:rPr>
        <w:t>3.59</w:t>
      </w:r>
      <w:r>
        <w:rPr>
          <w:rFonts w:hint="eastAsia" w:ascii="宋体" w:hAnsi="宋体" w:eastAsia="宋体" w:cs="宋体"/>
          <w:color w:val="auto"/>
          <w:sz w:val="32"/>
          <w:szCs w:val="32"/>
          <w:highlight w:val="none"/>
        </w:rPr>
        <w:t>万元，减少</w:t>
      </w:r>
      <w:r>
        <w:rPr>
          <w:rFonts w:hint="eastAsia" w:ascii="宋体" w:hAnsi="宋体" w:eastAsia="宋体" w:cs="宋体"/>
          <w:sz w:val="32"/>
          <w:szCs w:val="32"/>
          <w:highlight w:val="none"/>
          <w:lang w:val="en-US" w:eastAsia="zh-CN"/>
        </w:rPr>
        <w:t>12.55</w:t>
      </w:r>
      <w:r>
        <w:rPr>
          <w:rFonts w:hint="eastAsia" w:ascii="宋体" w:hAnsi="宋体" w:eastAsia="宋体" w:cs="宋体"/>
          <w:sz w:val="32"/>
          <w:szCs w:val="32"/>
          <w:highlight w:val="none"/>
        </w:rPr>
        <w:t>%，</w:t>
      </w:r>
      <w:r>
        <w:rPr>
          <w:rFonts w:hint="eastAsia" w:ascii="宋体" w:hAnsi="宋体" w:cs="宋体"/>
          <w:sz w:val="32"/>
          <w:szCs w:val="32"/>
          <w:highlight w:val="none"/>
          <w:lang w:val="en-US" w:eastAsia="zh-CN"/>
        </w:rPr>
        <w:t>减少的</w:t>
      </w:r>
      <w:r>
        <w:rPr>
          <w:rFonts w:hint="eastAsia" w:ascii="宋体" w:hAnsi="宋体" w:eastAsia="宋体" w:cs="宋体"/>
          <w:sz w:val="32"/>
          <w:szCs w:val="32"/>
          <w:highlight w:val="none"/>
        </w:rPr>
        <w:t>主要</w:t>
      </w:r>
      <w:r>
        <w:rPr>
          <w:rFonts w:hint="eastAsia" w:ascii="宋体" w:hAnsi="宋体" w:cs="宋体"/>
          <w:sz w:val="32"/>
          <w:szCs w:val="32"/>
          <w:highlight w:val="none"/>
          <w:lang w:val="en-US" w:eastAsia="zh-CN"/>
        </w:rPr>
        <w:t>原因</w:t>
      </w:r>
      <w:r>
        <w:rPr>
          <w:rFonts w:hint="eastAsia" w:ascii="宋体" w:hAnsi="宋体" w:eastAsia="宋体" w:cs="宋体"/>
          <w:sz w:val="32"/>
          <w:szCs w:val="32"/>
          <w:highlight w:val="none"/>
        </w:rPr>
        <w:t>是</w:t>
      </w:r>
      <w:r>
        <w:rPr>
          <w:rFonts w:hint="eastAsia" w:ascii="宋体" w:hAnsi="宋体" w:eastAsia="宋体" w:cs="宋体"/>
          <w:sz w:val="32"/>
          <w:szCs w:val="32"/>
          <w:highlight w:val="none"/>
          <w:lang w:eastAsia="zh-CN"/>
        </w:rPr>
        <w:t>文化研究相关费用减少。</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（二）财政拨款支出决算结构情况</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年度财政拨款支出</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万元，主要用于以下方面：一般公共服务（类）支出</w:t>
      </w:r>
      <w:r>
        <w:rPr>
          <w:rFonts w:hint="eastAsia" w:ascii="宋体" w:hAnsi="宋体" w:eastAsia="宋体" w:cs="宋体"/>
          <w:sz w:val="32"/>
          <w:szCs w:val="32"/>
          <w:highlight w:val="none"/>
          <w:lang w:val="en-US" w:eastAsia="zh-CN"/>
        </w:rPr>
        <w:t>3.17</w:t>
      </w:r>
      <w:r>
        <w:rPr>
          <w:rFonts w:hint="eastAsia" w:ascii="宋体" w:hAnsi="宋体" w:eastAsia="宋体" w:cs="宋体"/>
          <w:sz w:val="32"/>
          <w:szCs w:val="32"/>
          <w:highlight w:val="none"/>
        </w:rPr>
        <w:t>元，占</w:t>
      </w:r>
      <w:r>
        <w:rPr>
          <w:rFonts w:hint="eastAsia" w:ascii="宋体" w:hAnsi="宋体" w:eastAsia="宋体" w:cs="宋体"/>
          <w:sz w:val="32"/>
          <w:szCs w:val="32"/>
          <w:highlight w:val="none"/>
          <w:lang w:val="en-US" w:eastAsia="zh-CN"/>
        </w:rPr>
        <w:t>12.67</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文化旅游体育与传媒</w:t>
      </w:r>
      <w:r>
        <w:rPr>
          <w:rFonts w:hint="eastAsia" w:ascii="宋体" w:hAnsi="宋体" w:eastAsia="宋体" w:cs="宋体"/>
          <w:sz w:val="32"/>
          <w:szCs w:val="32"/>
          <w:highlight w:val="none"/>
          <w:lang w:val="en-US" w:eastAsia="zh-CN"/>
        </w:rPr>
        <w:t>(类）</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lang w:val="en-US" w:eastAsia="zh-CN"/>
        </w:rPr>
        <w:t>11.94，占47.72%，</w:t>
      </w:r>
      <w:r>
        <w:rPr>
          <w:rFonts w:hint="eastAsia" w:ascii="宋体" w:hAnsi="宋体" w:eastAsia="宋体" w:cs="宋体"/>
          <w:sz w:val="32"/>
          <w:szCs w:val="32"/>
          <w:highlight w:val="none"/>
        </w:rPr>
        <w:t>社会保障和就业（类）支出</w:t>
      </w:r>
      <w:r>
        <w:rPr>
          <w:rFonts w:hint="eastAsia" w:ascii="宋体" w:hAnsi="宋体" w:eastAsia="宋体" w:cs="宋体"/>
          <w:sz w:val="32"/>
          <w:szCs w:val="32"/>
          <w:highlight w:val="none"/>
          <w:lang w:val="en-US" w:eastAsia="zh-CN"/>
        </w:rPr>
        <w:t>3.71</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14.83</w:t>
      </w:r>
      <w:r>
        <w:rPr>
          <w:rFonts w:hint="eastAsia" w:ascii="宋体" w:hAnsi="宋体" w:eastAsia="宋体" w:cs="宋体"/>
          <w:sz w:val="32"/>
          <w:szCs w:val="32"/>
          <w:highlight w:val="none"/>
        </w:rPr>
        <w:t>%;卫生健康（类）支出</w:t>
      </w:r>
      <w:r>
        <w:rPr>
          <w:rFonts w:hint="eastAsia" w:ascii="宋体" w:hAnsi="宋体" w:eastAsia="宋体" w:cs="宋体"/>
          <w:sz w:val="32"/>
          <w:szCs w:val="32"/>
          <w:highlight w:val="none"/>
          <w:lang w:val="en-US" w:eastAsia="zh-CN"/>
        </w:rPr>
        <w:t>1.38</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5.52</w:t>
      </w:r>
      <w:r>
        <w:rPr>
          <w:rFonts w:hint="eastAsia" w:ascii="宋体" w:hAnsi="宋体" w:eastAsia="宋体" w:cs="宋体"/>
          <w:sz w:val="32"/>
          <w:szCs w:val="32"/>
          <w:highlight w:val="none"/>
        </w:rPr>
        <w:t>%；农林水（类）支出</w:t>
      </w:r>
      <w:r>
        <w:rPr>
          <w:rFonts w:hint="eastAsia" w:ascii="宋体" w:hAnsi="宋体" w:eastAsia="宋体" w:cs="宋体"/>
          <w:sz w:val="32"/>
          <w:szCs w:val="32"/>
          <w:highlight w:val="none"/>
          <w:lang w:val="en-US" w:eastAsia="zh-CN"/>
        </w:rPr>
        <w:t>4.82</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19.26</w:t>
      </w:r>
      <w:r>
        <w:rPr>
          <w:rFonts w:hint="eastAsia" w:ascii="宋体" w:hAnsi="宋体" w:eastAsia="宋体" w:cs="宋体"/>
          <w:sz w:val="32"/>
          <w:szCs w:val="32"/>
          <w:highlight w:val="none"/>
        </w:rPr>
        <w:t>%。</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（三）财政拨款支出决算具体情况</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年度财政拨款支出</w:t>
      </w:r>
      <w:r>
        <w:rPr>
          <w:rFonts w:hint="eastAsia" w:ascii="宋体" w:hAnsi="宋体" w:eastAsia="宋体" w:cs="宋体"/>
          <w:sz w:val="32"/>
          <w:szCs w:val="32"/>
          <w:highlight w:val="none"/>
          <w:lang w:eastAsia="zh-CN"/>
        </w:rPr>
        <w:t>年初预算数为</w:t>
      </w:r>
      <w:r>
        <w:rPr>
          <w:rFonts w:hint="eastAsia" w:ascii="宋体" w:hAnsi="宋体" w:eastAsia="宋体" w:cs="宋体"/>
          <w:sz w:val="32"/>
          <w:szCs w:val="32"/>
          <w:highlight w:val="none"/>
          <w:lang w:val="en-US" w:eastAsia="zh-CN"/>
        </w:rPr>
        <w:t>26.60</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决算数为</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完成年初预算的</w:t>
      </w:r>
      <w:r>
        <w:rPr>
          <w:rFonts w:hint="eastAsia" w:ascii="宋体" w:hAnsi="宋体" w:eastAsia="宋体" w:cs="宋体"/>
          <w:sz w:val="32"/>
          <w:szCs w:val="32"/>
          <w:highlight w:val="none"/>
          <w:lang w:val="en-US" w:eastAsia="zh-CN"/>
        </w:rPr>
        <w:t>94.06%</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其中：</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1、一般公共服务支出（类）人大事务（款）行政运行（项）。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26.6万元，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eastAsia="宋体" w:cs="宋体"/>
          <w:sz w:val="32"/>
          <w:szCs w:val="32"/>
          <w:highlight w:val="none"/>
          <w:lang w:val="en-US" w:eastAsia="zh-CN"/>
        </w:rPr>
        <w:t>2.9</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完成年初预算的</w:t>
      </w:r>
      <w:r>
        <w:rPr>
          <w:rFonts w:hint="eastAsia" w:ascii="宋体" w:hAnsi="宋体" w:eastAsia="宋体" w:cs="宋体"/>
          <w:sz w:val="32"/>
          <w:szCs w:val="32"/>
          <w:highlight w:val="none"/>
          <w:lang w:val="en-US" w:eastAsia="zh-CN"/>
        </w:rPr>
        <w:t>10.9%</w:t>
      </w:r>
      <w:r>
        <w:rPr>
          <w:rFonts w:hint="eastAsia" w:ascii="宋体" w:hAnsi="宋体" w:eastAsia="宋体" w:cs="宋体"/>
          <w:sz w:val="32"/>
          <w:szCs w:val="32"/>
          <w:highlight w:val="none"/>
          <w:lang w:eastAsia="zh-CN"/>
        </w:rPr>
        <w:t>，决算数小于年初预算的主要原因是：</w:t>
      </w:r>
      <w:r>
        <w:rPr>
          <w:rFonts w:hint="eastAsia" w:ascii="宋体" w:hAnsi="宋体" w:eastAsia="宋体" w:cs="宋体"/>
          <w:sz w:val="32"/>
          <w:szCs w:val="32"/>
          <w:highlight w:val="none"/>
        </w:rPr>
        <w:t>厉行节约，压减支出</w:t>
      </w:r>
      <w:r>
        <w:rPr>
          <w:rFonts w:hint="eastAsia" w:ascii="宋体" w:hAnsi="宋体" w:eastAsia="宋体" w:cs="宋体"/>
          <w:sz w:val="32"/>
          <w:szCs w:val="32"/>
          <w:highlight w:val="none"/>
          <w:lang w:eastAsia="zh-CN"/>
        </w:rPr>
        <w:t>。</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2、一般公共服务支出</w:t>
      </w:r>
      <w:r>
        <w:rPr>
          <w:rFonts w:hint="eastAsia" w:ascii="宋体" w:hAnsi="宋体" w:eastAsia="宋体" w:cs="宋体"/>
          <w:sz w:val="32"/>
          <w:szCs w:val="32"/>
          <w:highlight w:val="none"/>
        </w:rPr>
        <w:t>（类）政府办公厅（室）及相关机构事务（款） 行政运行（项）。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0万元，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eastAsia="宋体" w:cs="宋体"/>
          <w:sz w:val="32"/>
          <w:szCs w:val="32"/>
          <w:highlight w:val="none"/>
          <w:lang w:val="en-US" w:eastAsia="zh-CN"/>
        </w:rPr>
        <w:t>0.27</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3、文化旅游体育与传媒支出</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eastAsia="zh-CN"/>
        </w:rPr>
        <w:t>文化和旅游</w:t>
      </w:r>
      <w:r>
        <w:rPr>
          <w:rFonts w:hint="eastAsia" w:ascii="宋体" w:hAnsi="宋体" w:eastAsia="宋体" w:cs="宋体"/>
          <w:sz w:val="32"/>
          <w:szCs w:val="32"/>
          <w:highlight w:val="none"/>
        </w:rPr>
        <w:t>（款）</w:t>
      </w:r>
      <w:r>
        <w:rPr>
          <w:rFonts w:hint="eastAsia" w:ascii="宋体" w:hAnsi="宋体" w:eastAsia="宋体" w:cs="宋体"/>
          <w:sz w:val="32"/>
          <w:szCs w:val="32"/>
          <w:highlight w:val="none"/>
          <w:lang w:eastAsia="zh-CN"/>
        </w:rPr>
        <w:t>行政运行</w:t>
      </w:r>
      <w:r>
        <w:rPr>
          <w:rFonts w:hint="eastAsia" w:ascii="宋体" w:hAnsi="宋体" w:eastAsia="宋体" w:cs="宋体"/>
          <w:sz w:val="32"/>
          <w:szCs w:val="32"/>
          <w:highlight w:val="none"/>
        </w:rPr>
        <w:t>（项）。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0万元，</w:t>
      </w:r>
      <w:r>
        <w:rPr>
          <w:rFonts w:hint="eastAsia" w:ascii="宋体" w:hAnsi="宋体" w:eastAsia="宋体" w:cs="宋体"/>
          <w:sz w:val="32"/>
          <w:szCs w:val="32"/>
          <w:highlight w:val="none"/>
        </w:rPr>
        <w:t>支出决算为</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4、文化旅游体育与传媒支出</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eastAsia="zh-CN"/>
        </w:rPr>
        <w:t>文化和旅游</w:t>
      </w:r>
      <w:r>
        <w:rPr>
          <w:rFonts w:hint="eastAsia" w:ascii="宋体" w:hAnsi="宋体" w:eastAsia="宋体" w:cs="宋体"/>
          <w:sz w:val="32"/>
          <w:szCs w:val="32"/>
          <w:highlight w:val="none"/>
        </w:rPr>
        <w:t>（款）</w:t>
      </w:r>
      <w:r>
        <w:rPr>
          <w:rFonts w:hint="eastAsia" w:ascii="宋体" w:hAnsi="宋体" w:eastAsia="宋体" w:cs="宋体"/>
          <w:sz w:val="32"/>
          <w:szCs w:val="32"/>
          <w:highlight w:val="none"/>
          <w:lang w:eastAsia="zh-CN"/>
        </w:rPr>
        <w:t>其他文化和旅游支出</w:t>
      </w:r>
      <w:r>
        <w:rPr>
          <w:rFonts w:hint="eastAsia" w:ascii="宋体" w:hAnsi="宋体" w:eastAsia="宋体" w:cs="宋体"/>
          <w:sz w:val="32"/>
          <w:szCs w:val="32"/>
          <w:highlight w:val="none"/>
        </w:rPr>
        <w:t>（项）。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0万元，</w:t>
      </w:r>
      <w:r>
        <w:rPr>
          <w:rFonts w:hint="eastAsia" w:ascii="宋体" w:hAnsi="宋体" w:eastAsia="宋体" w:cs="宋体"/>
          <w:sz w:val="32"/>
          <w:szCs w:val="32"/>
          <w:highlight w:val="none"/>
        </w:rPr>
        <w:t>支出决算为</w:t>
      </w:r>
      <w:r>
        <w:rPr>
          <w:rFonts w:hint="eastAsia" w:ascii="宋体" w:hAnsi="宋体" w:eastAsia="宋体" w:cs="宋体"/>
          <w:sz w:val="32"/>
          <w:szCs w:val="32"/>
          <w:highlight w:val="none"/>
          <w:lang w:val="en-US" w:eastAsia="zh-CN"/>
        </w:rPr>
        <w:t>9.94</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社会保障和就业支出（类）人力资源和社会保障管理事务（款）行政运行（项）。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rPr>
        <w:t>社会保障和就业支出（类）行政事业单位养老支出（款）机关事业单位基本养老保险缴费支出（项）。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cs="宋体"/>
          <w:sz w:val="32"/>
          <w:szCs w:val="32"/>
          <w:highlight w:val="none"/>
          <w:lang w:val="en-US" w:eastAsia="zh-CN"/>
        </w:rPr>
        <w:t>2.17</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7、</w:t>
      </w:r>
      <w:r>
        <w:rPr>
          <w:rFonts w:hint="eastAsia" w:ascii="宋体" w:hAnsi="宋体" w:eastAsia="宋体" w:cs="宋体"/>
          <w:sz w:val="32"/>
          <w:szCs w:val="32"/>
          <w:highlight w:val="none"/>
        </w:rPr>
        <w:t>社会保障和就业支出（类）行政事业单位养老支出（款）其他行政事业单位养老支出（项）。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0万元，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cs="宋体"/>
          <w:sz w:val="32"/>
          <w:szCs w:val="32"/>
          <w:highlight w:val="none"/>
          <w:lang w:val="en-US" w:eastAsia="zh-CN"/>
        </w:rPr>
        <w:t>0.43</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keepNext w:val="0"/>
        <w:keepLines w:val="0"/>
        <w:pageBreakBefore w:val="0"/>
        <w:shd w:val="clear"/>
        <w:kinsoku/>
        <w:wordWrap/>
        <w:overflowPunct/>
        <w:topLinePunct w:val="0"/>
        <w:bidi w:val="0"/>
        <w:snapToGrid/>
        <w:spacing w:line="600" w:lineRule="exact"/>
        <w:ind w:firstLine="320" w:firstLineChars="100"/>
        <w:textAlignment w:val="auto"/>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 xml:space="preserve">  8、</w:t>
      </w:r>
      <w:r>
        <w:rPr>
          <w:rFonts w:hint="eastAsia" w:ascii="宋体" w:hAnsi="宋体" w:eastAsia="宋体" w:cs="宋体"/>
          <w:sz w:val="32"/>
          <w:szCs w:val="32"/>
          <w:highlight w:val="none"/>
        </w:rPr>
        <w:t>社会保障和就业支出（类）财政对其他社会保险基金的补助（款）财政对失业保险基金的补助（项）。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default"/>
          <w:highlight w:val="none"/>
          <w:lang w:val="en-US" w:eastAsia="zh-CN"/>
        </w:rPr>
      </w:pPr>
      <w:r>
        <w:rPr>
          <w:rFonts w:hint="eastAsia" w:ascii="宋体" w:hAnsi="宋体" w:eastAsia="宋体" w:cs="宋体"/>
          <w:sz w:val="32"/>
          <w:szCs w:val="32"/>
          <w:highlight w:val="none"/>
          <w:lang w:eastAsia="zh-CN"/>
        </w:rPr>
        <w:t>年初预算为</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cs="宋体"/>
          <w:sz w:val="32"/>
          <w:szCs w:val="32"/>
          <w:highlight w:val="none"/>
          <w:lang w:val="en-US" w:eastAsia="zh-CN"/>
        </w:rPr>
        <w:t>0.11</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9</w:t>
      </w:r>
      <w:r>
        <w:rPr>
          <w:rFonts w:hint="eastAsia" w:ascii="宋体" w:hAnsi="宋体" w:eastAsia="宋体" w:cs="宋体"/>
          <w:sz w:val="32"/>
          <w:szCs w:val="32"/>
          <w:highlight w:val="none"/>
        </w:rPr>
        <w:t>、卫生健康支出（类）财政对基本医疗保险基金的补助（款）财政对</w:t>
      </w:r>
    </w:p>
    <w:p>
      <w:pPr>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职工基本医疗保险基金的补助（项）。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年初预算为</w:t>
      </w:r>
      <w:r>
        <w:rPr>
          <w:rFonts w:hint="eastAsia" w:ascii="宋体" w:hAnsi="宋体" w:eastAsia="宋体" w:cs="宋体"/>
          <w:sz w:val="32"/>
          <w:szCs w:val="32"/>
          <w:highlight w:val="none"/>
          <w:lang w:val="en-US" w:eastAsia="zh-CN"/>
        </w:rPr>
        <w:t>0万元，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eastAsia="宋体" w:cs="宋体"/>
          <w:sz w:val="32"/>
          <w:szCs w:val="32"/>
          <w:highlight w:val="none"/>
          <w:lang w:val="en-US" w:eastAsia="zh-CN"/>
        </w:rPr>
        <w:t>1.38</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10</w:t>
      </w:r>
      <w:r>
        <w:rPr>
          <w:rFonts w:hint="eastAsia" w:ascii="宋体" w:hAnsi="宋体" w:eastAsia="宋体" w:cs="宋体"/>
          <w:sz w:val="32"/>
          <w:szCs w:val="32"/>
          <w:highlight w:val="none"/>
        </w:rPr>
        <w:t>、农林水支出（类）巩固脱贫衔接乡村振兴（款）其他巩固脱贫衔接乡村振兴支出（项）。</w:t>
      </w:r>
    </w:p>
    <w:p>
      <w:pPr>
        <w:pStyle w:val="16"/>
        <w:keepNext w:val="0"/>
        <w:keepLines w:val="0"/>
        <w:pageBreakBefore w:val="0"/>
        <w:shd w:val="clear"/>
        <w:kinsoku/>
        <w:wordWrap/>
        <w:overflowPunct/>
        <w:topLinePunct w:val="0"/>
        <w:bidi w:val="0"/>
        <w:snapToGrid/>
        <w:spacing w:line="600" w:lineRule="exact"/>
        <w:ind w:firstLine="800" w:firstLineChars="25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年初预算为</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rPr>
        <w:t>决算为</w:t>
      </w:r>
      <w:r>
        <w:rPr>
          <w:rFonts w:hint="eastAsia" w:ascii="宋体" w:hAnsi="宋体" w:eastAsia="宋体" w:cs="宋体"/>
          <w:sz w:val="32"/>
          <w:szCs w:val="32"/>
          <w:highlight w:val="none"/>
          <w:lang w:val="en-US" w:eastAsia="zh-CN"/>
        </w:rPr>
        <w:t>4.82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由于年初预算为0，无法计算百分比</w:t>
      </w:r>
      <w:r>
        <w:rPr>
          <w:rFonts w:hint="eastAsia" w:ascii="宋体" w:hAnsi="宋体" w:eastAsia="宋体" w:cs="宋体"/>
          <w:sz w:val="32"/>
          <w:szCs w:val="32"/>
          <w:highlight w:val="none"/>
          <w:lang w:eastAsia="zh-CN"/>
        </w:rPr>
        <w:t>，决算数</w:t>
      </w:r>
      <w:r>
        <w:rPr>
          <w:rFonts w:hint="eastAsia" w:ascii="宋体" w:hAnsi="宋体" w:eastAsia="宋体" w:cs="宋体"/>
          <w:sz w:val="32"/>
          <w:szCs w:val="32"/>
          <w:highlight w:val="none"/>
          <w:lang w:val="en-US" w:eastAsia="zh-CN"/>
        </w:rPr>
        <w:t>大</w:t>
      </w:r>
      <w:r>
        <w:rPr>
          <w:rFonts w:hint="eastAsia" w:ascii="宋体" w:hAnsi="宋体" w:eastAsia="宋体" w:cs="宋体"/>
          <w:sz w:val="32"/>
          <w:szCs w:val="32"/>
          <w:highlight w:val="none"/>
          <w:lang w:eastAsia="zh-CN"/>
        </w:rPr>
        <w:t>于年初预算的主要原因是：将</w:t>
      </w:r>
      <w:r>
        <w:rPr>
          <w:rFonts w:hint="eastAsia" w:ascii="宋体" w:hAnsi="宋体" w:eastAsia="宋体" w:cs="宋体"/>
          <w:sz w:val="32"/>
          <w:szCs w:val="32"/>
          <w:highlight w:val="none"/>
        </w:rPr>
        <w:t>一般公共服务支出（类）人大事务（款）行政运行（项）</w:t>
      </w:r>
      <w:r>
        <w:rPr>
          <w:rFonts w:hint="eastAsia" w:ascii="宋体" w:hAnsi="宋体" w:eastAsia="宋体" w:cs="宋体"/>
          <w:sz w:val="32"/>
          <w:szCs w:val="32"/>
          <w:highlight w:val="none"/>
          <w:lang w:eastAsia="zh-CN"/>
        </w:rPr>
        <w:t>部分年初预算调整到此。</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六、一般公共预算财政拨款基本支出决算情况说明</w:t>
      </w:r>
    </w:p>
    <w:p>
      <w:pPr>
        <w:keepNext w:val="0"/>
        <w:keepLines w:val="0"/>
        <w:pageBreakBefore w:val="0"/>
        <w:widowControl/>
        <w:shd w:val="clear"/>
        <w:kinsoku/>
        <w:wordWrap/>
        <w:overflowPunct/>
        <w:topLinePunct w:val="0"/>
        <w:bidi w:val="0"/>
        <w:snapToGrid/>
        <w:spacing w:line="600" w:lineRule="exact"/>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color w:val="000000"/>
          <w:kern w:val="0"/>
          <w:sz w:val="32"/>
          <w:szCs w:val="32"/>
          <w:highlight w:val="none"/>
        </w:rPr>
        <w:t>202</w:t>
      </w: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年度财政拨款基本支出</w:t>
      </w:r>
      <w:r>
        <w:rPr>
          <w:rFonts w:hint="eastAsia" w:ascii="宋体" w:hAnsi="宋体" w:eastAsia="宋体" w:cs="宋体"/>
          <w:color w:val="000000"/>
          <w:kern w:val="0"/>
          <w:sz w:val="32"/>
          <w:szCs w:val="32"/>
          <w:highlight w:val="none"/>
          <w:lang w:val="en-US" w:eastAsia="zh-CN"/>
        </w:rPr>
        <w:t>19.9</w:t>
      </w:r>
      <w:r>
        <w:rPr>
          <w:rFonts w:hint="eastAsia" w:ascii="宋体" w:hAnsi="宋体" w:cs="宋体"/>
          <w:color w:val="000000"/>
          <w:kern w:val="0"/>
          <w:sz w:val="32"/>
          <w:szCs w:val="32"/>
          <w:highlight w:val="none"/>
          <w:lang w:val="en-US" w:eastAsia="zh-CN"/>
        </w:rPr>
        <w:t>3</w:t>
      </w:r>
      <w:r>
        <w:rPr>
          <w:rFonts w:hint="eastAsia" w:ascii="宋体" w:hAnsi="宋体" w:eastAsia="宋体" w:cs="宋体"/>
          <w:color w:val="000000"/>
          <w:kern w:val="0"/>
          <w:sz w:val="32"/>
          <w:szCs w:val="32"/>
          <w:highlight w:val="none"/>
        </w:rPr>
        <w:t>万元，其中：</w:t>
      </w:r>
      <w:r>
        <w:rPr>
          <w:rFonts w:hint="eastAsia" w:ascii="宋体" w:hAnsi="宋体" w:eastAsia="宋体" w:cs="宋体"/>
          <w:b/>
          <w:bCs/>
          <w:color w:val="000000"/>
          <w:kern w:val="0"/>
          <w:sz w:val="32"/>
          <w:szCs w:val="32"/>
          <w:highlight w:val="none"/>
        </w:rPr>
        <w:t>人员经费</w:t>
      </w:r>
      <w:r>
        <w:rPr>
          <w:rFonts w:hint="eastAsia" w:ascii="宋体" w:hAnsi="宋体" w:eastAsia="宋体" w:cs="宋体"/>
          <w:b/>
          <w:bCs/>
          <w:color w:val="000000"/>
          <w:kern w:val="0"/>
          <w:sz w:val="32"/>
          <w:szCs w:val="32"/>
          <w:highlight w:val="none"/>
          <w:lang w:val="en-US" w:eastAsia="zh-CN"/>
        </w:rPr>
        <w:t>17.1</w:t>
      </w:r>
      <w:r>
        <w:rPr>
          <w:rFonts w:hint="eastAsia" w:ascii="宋体" w:hAnsi="宋体" w:cs="宋体"/>
          <w:b/>
          <w:bCs/>
          <w:color w:val="000000"/>
          <w:kern w:val="0"/>
          <w:sz w:val="32"/>
          <w:szCs w:val="32"/>
          <w:highlight w:val="none"/>
          <w:lang w:val="en-US" w:eastAsia="zh-CN"/>
        </w:rPr>
        <w:t>6</w:t>
      </w:r>
      <w:r>
        <w:rPr>
          <w:rFonts w:hint="eastAsia" w:ascii="宋体" w:hAnsi="宋体" w:eastAsia="宋体" w:cs="宋体"/>
          <w:b/>
          <w:bCs/>
          <w:color w:val="000000"/>
          <w:kern w:val="0"/>
          <w:sz w:val="32"/>
          <w:szCs w:val="32"/>
          <w:highlight w:val="none"/>
        </w:rPr>
        <w:t>万元</w:t>
      </w:r>
      <w:r>
        <w:rPr>
          <w:rFonts w:hint="eastAsia" w:ascii="宋体" w:hAnsi="宋体" w:eastAsia="宋体" w:cs="宋体"/>
          <w:color w:val="000000"/>
          <w:kern w:val="0"/>
          <w:sz w:val="32"/>
          <w:szCs w:val="32"/>
          <w:highlight w:val="none"/>
        </w:rPr>
        <w:t>，占基本支出的</w:t>
      </w:r>
      <w:r>
        <w:rPr>
          <w:rFonts w:hint="eastAsia" w:ascii="宋体" w:hAnsi="宋体" w:eastAsia="宋体" w:cs="宋体"/>
          <w:color w:val="000000"/>
          <w:kern w:val="0"/>
          <w:sz w:val="32"/>
          <w:szCs w:val="32"/>
          <w:highlight w:val="none"/>
          <w:lang w:val="en-US" w:eastAsia="zh-CN"/>
        </w:rPr>
        <w:t>86.</w:t>
      </w:r>
      <w:r>
        <w:rPr>
          <w:rFonts w:hint="eastAsia" w:ascii="宋体" w:hAnsi="宋体" w:cs="宋体"/>
          <w:color w:val="000000"/>
          <w:kern w:val="0"/>
          <w:sz w:val="32"/>
          <w:szCs w:val="32"/>
          <w:highlight w:val="none"/>
          <w:lang w:val="en-US" w:eastAsia="zh-CN"/>
        </w:rPr>
        <w:t>10</w:t>
      </w:r>
      <w:r>
        <w:rPr>
          <w:rFonts w:hint="eastAsia" w:ascii="宋体" w:hAnsi="宋体" w:eastAsia="宋体" w:cs="宋体"/>
          <w:color w:val="000000"/>
          <w:kern w:val="0"/>
          <w:sz w:val="32"/>
          <w:szCs w:val="32"/>
          <w:highlight w:val="none"/>
        </w:rPr>
        <w:t>%,主要包括基本工资、津贴补贴、奖金、绩效工资、机关事业单位基本养老保险缴费、职工基本医疗保险缴费、其他社会保险缴费、住房公积金、其他工资福利支出；</w:t>
      </w:r>
      <w:r>
        <w:rPr>
          <w:rFonts w:hint="eastAsia" w:ascii="宋体" w:hAnsi="宋体" w:eastAsia="宋体" w:cs="宋体"/>
          <w:b/>
          <w:bCs/>
          <w:color w:val="000000"/>
          <w:kern w:val="0"/>
          <w:sz w:val="32"/>
          <w:szCs w:val="32"/>
          <w:highlight w:val="none"/>
        </w:rPr>
        <w:t>公用经费</w:t>
      </w:r>
      <w:r>
        <w:rPr>
          <w:rFonts w:hint="eastAsia" w:ascii="宋体" w:hAnsi="宋体" w:eastAsia="宋体" w:cs="宋体"/>
          <w:b/>
          <w:bCs/>
          <w:color w:val="000000"/>
          <w:kern w:val="0"/>
          <w:sz w:val="32"/>
          <w:szCs w:val="32"/>
          <w:highlight w:val="none"/>
          <w:lang w:val="en-US" w:eastAsia="zh-CN"/>
        </w:rPr>
        <w:t>2.77</w:t>
      </w:r>
      <w:r>
        <w:rPr>
          <w:rFonts w:hint="eastAsia" w:ascii="宋体" w:hAnsi="宋体" w:eastAsia="宋体" w:cs="宋体"/>
          <w:b/>
          <w:bCs/>
          <w:color w:val="000000"/>
          <w:kern w:val="0"/>
          <w:sz w:val="32"/>
          <w:szCs w:val="32"/>
          <w:highlight w:val="none"/>
        </w:rPr>
        <w:t>万元</w:t>
      </w:r>
      <w:r>
        <w:rPr>
          <w:rFonts w:hint="eastAsia" w:ascii="宋体" w:hAnsi="宋体" w:eastAsia="宋体" w:cs="宋体"/>
          <w:color w:val="000000"/>
          <w:kern w:val="0"/>
          <w:sz w:val="32"/>
          <w:szCs w:val="32"/>
          <w:highlight w:val="none"/>
        </w:rPr>
        <w:t>，占基本支出的</w:t>
      </w:r>
      <w:r>
        <w:rPr>
          <w:rFonts w:hint="eastAsia" w:ascii="宋体" w:hAnsi="宋体" w:eastAsia="宋体" w:cs="宋体"/>
          <w:color w:val="000000"/>
          <w:kern w:val="0"/>
          <w:sz w:val="32"/>
          <w:szCs w:val="32"/>
          <w:highlight w:val="none"/>
          <w:lang w:val="en-US" w:eastAsia="zh-CN"/>
        </w:rPr>
        <w:t>13.9</w:t>
      </w:r>
      <w:r>
        <w:rPr>
          <w:rFonts w:hint="eastAsia" w:ascii="宋体" w:hAnsi="宋体" w:cs="宋体"/>
          <w:color w:val="000000"/>
          <w:kern w:val="0"/>
          <w:sz w:val="32"/>
          <w:szCs w:val="32"/>
          <w:highlight w:val="none"/>
          <w:lang w:val="en-US" w:eastAsia="zh-CN"/>
        </w:rPr>
        <w:t>0</w:t>
      </w:r>
      <w:r>
        <w:rPr>
          <w:rFonts w:hint="eastAsia" w:ascii="宋体" w:hAnsi="宋体" w:eastAsia="宋体" w:cs="宋体"/>
          <w:color w:val="000000"/>
          <w:kern w:val="0"/>
          <w:sz w:val="32"/>
          <w:szCs w:val="32"/>
          <w:highlight w:val="none"/>
        </w:rPr>
        <w:t>%，主要包括办公费、差旅费、培训费、公务接待费、劳务费、委托业务费、工</w:t>
      </w:r>
      <w:r>
        <w:rPr>
          <w:rFonts w:hint="eastAsia" w:ascii="宋体" w:hAnsi="宋体" w:cs="宋体"/>
          <w:color w:val="000000"/>
          <w:kern w:val="0"/>
          <w:sz w:val="32"/>
          <w:szCs w:val="32"/>
          <w:highlight w:val="none"/>
          <w:lang w:val="en-US" w:eastAsia="zh-CN"/>
        </w:rPr>
        <w:t>会</w:t>
      </w:r>
      <w:r>
        <w:rPr>
          <w:rFonts w:hint="eastAsia" w:ascii="宋体" w:hAnsi="宋体" w:eastAsia="宋体" w:cs="宋体"/>
          <w:color w:val="000000"/>
          <w:kern w:val="0"/>
          <w:sz w:val="32"/>
          <w:szCs w:val="32"/>
          <w:highlight w:val="none"/>
        </w:rPr>
        <w:t>经费。</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七、财政拨款“三公”经费支出决算情况说明</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（一）“三公”经费财政拨款支出决算总体情况说明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年度“三公”经费财政拨款支出预算为</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万元，完成预算的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%，其中：</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u w:val="none"/>
        </w:rPr>
      </w:pPr>
      <w:r>
        <w:rPr>
          <w:rFonts w:hint="eastAsia" w:ascii="宋体" w:hAnsi="宋体" w:eastAsia="宋体" w:cs="宋体"/>
          <w:sz w:val="32"/>
          <w:szCs w:val="32"/>
          <w:highlight w:val="none"/>
        </w:rPr>
        <w:t>因公出</w:t>
      </w:r>
      <w:r>
        <w:rPr>
          <w:rFonts w:hint="eastAsia" w:ascii="宋体" w:hAnsi="宋体" w:eastAsia="宋体" w:cs="宋体"/>
          <w:color w:val="auto"/>
          <w:sz w:val="32"/>
          <w:szCs w:val="32"/>
          <w:highlight w:val="none"/>
        </w:rPr>
        <w:t>国（境）费支出预算</w:t>
      </w:r>
      <w:r>
        <w:rPr>
          <w:rFonts w:hint="eastAsia" w:ascii="宋体" w:hAnsi="宋体" w:eastAsia="宋体" w:cs="宋体"/>
          <w:color w:val="auto"/>
          <w:sz w:val="32"/>
          <w:szCs w:val="32"/>
          <w:highlight w:val="none"/>
          <w:lang w:val="en-US" w:eastAsia="zh-CN"/>
        </w:rPr>
        <w:t>0万元，</w:t>
      </w:r>
      <w:r>
        <w:rPr>
          <w:rFonts w:hint="eastAsia" w:ascii="宋体" w:hAnsi="宋体" w:eastAsia="宋体" w:cs="宋体"/>
          <w:color w:val="auto"/>
          <w:sz w:val="32"/>
          <w:szCs w:val="32"/>
          <w:highlight w:val="none"/>
        </w:rPr>
        <w:t>支出决算为0万元，决算数</w:t>
      </w:r>
      <w:r>
        <w:rPr>
          <w:rFonts w:hint="eastAsia" w:ascii="宋体" w:hAnsi="宋体" w:eastAsia="宋体" w:cs="宋体"/>
          <w:color w:val="auto"/>
          <w:sz w:val="32"/>
          <w:szCs w:val="32"/>
          <w:highlight w:val="none"/>
          <w:lang w:val="en-US" w:eastAsia="zh-CN"/>
        </w:rPr>
        <w:t>等于</w:t>
      </w:r>
      <w:r>
        <w:rPr>
          <w:rFonts w:hint="eastAsia" w:ascii="宋体" w:hAnsi="宋体" w:eastAsia="宋体" w:cs="宋体"/>
          <w:color w:val="auto"/>
          <w:sz w:val="32"/>
          <w:szCs w:val="32"/>
          <w:highlight w:val="none"/>
        </w:rPr>
        <w:t>年初预算数的主要原因是</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严格执行预算，</w:t>
      </w:r>
      <w:r>
        <w:rPr>
          <w:rFonts w:hint="eastAsia" w:ascii="宋体" w:hAnsi="宋体" w:eastAsia="宋体" w:cs="宋体"/>
          <w:color w:val="auto"/>
          <w:sz w:val="32"/>
          <w:szCs w:val="32"/>
          <w:highlight w:val="none"/>
          <w:lang w:eastAsia="zh-CN"/>
        </w:rPr>
        <w:t>与上年决算数</w:t>
      </w:r>
      <w:r>
        <w:rPr>
          <w:rFonts w:hint="eastAsia" w:ascii="宋体" w:hAnsi="宋体" w:eastAsia="宋体" w:cs="宋体"/>
          <w:color w:val="auto"/>
          <w:sz w:val="32"/>
          <w:szCs w:val="32"/>
          <w:highlight w:val="none"/>
          <w:lang w:val="en-US" w:eastAsia="zh-CN"/>
        </w:rPr>
        <w:t>0万元</w:t>
      </w:r>
      <w:r>
        <w:rPr>
          <w:rFonts w:hint="eastAsia" w:ascii="宋体" w:hAnsi="宋体" w:eastAsia="宋体" w:cs="宋体"/>
          <w:color w:val="auto"/>
          <w:sz w:val="32"/>
          <w:szCs w:val="32"/>
          <w:highlight w:val="none"/>
          <w:lang w:eastAsia="zh-CN"/>
        </w:rPr>
        <w:t>一致，</w:t>
      </w:r>
      <w:r>
        <w:rPr>
          <w:rFonts w:hint="eastAsia" w:ascii="宋体" w:hAnsi="宋体" w:eastAsia="宋体" w:cs="宋体"/>
          <w:color w:val="auto"/>
          <w:sz w:val="32"/>
          <w:szCs w:val="32"/>
          <w:highlight w:val="none"/>
          <w:lang w:val="en-US" w:eastAsia="zh-CN"/>
        </w:rPr>
        <w:t>无增减变动，</w:t>
      </w:r>
      <w:r>
        <w:rPr>
          <w:rFonts w:hint="eastAsia" w:ascii="宋体" w:hAnsi="宋体" w:eastAsia="宋体" w:cs="宋体"/>
          <w:color w:val="auto"/>
          <w:sz w:val="32"/>
          <w:szCs w:val="32"/>
          <w:highlight w:val="none"/>
          <w:lang w:eastAsia="zh-CN"/>
        </w:rPr>
        <w:t>原因是</w:t>
      </w:r>
      <w:r>
        <w:rPr>
          <w:rFonts w:hint="eastAsia" w:ascii="宋体" w:hAnsi="宋体" w:eastAsia="宋体" w:cs="宋体"/>
          <w:sz w:val="32"/>
          <w:szCs w:val="32"/>
          <w:highlight w:val="none"/>
        </w:rPr>
        <w:t>没有因公出国（境）费用类支出。</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公务接待费</w:t>
      </w:r>
      <w:r>
        <w:rPr>
          <w:rFonts w:hint="eastAsia" w:ascii="宋体" w:hAnsi="宋体" w:eastAsia="宋体" w:cs="宋体"/>
          <w:sz w:val="32"/>
          <w:szCs w:val="32"/>
          <w:highlight w:val="none"/>
          <w:lang w:eastAsia="zh-CN"/>
        </w:rPr>
        <w:t>年初</w:t>
      </w:r>
      <w:r>
        <w:rPr>
          <w:rFonts w:hint="eastAsia" w:ascii="宋体" w:hAnsi="宋体" w:eastAsia="宋体" w:cs="宋体"/>
          <w:sz w:val="32"/>
          <w:szCs w:val="32"/>
          <w:highlight w:val="none"/>
        </w:rPr>
        <w:t>预算为</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万元，完成预算的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%，决算数</w:t>
      </w:r>
      <w:r>
        <w:rPr>
          <w:rFonts w:hint="eastAsia" w:ascii="宋体" w:hAnsi="宋体" w:eastAsia="宋体" w:cs="宋体"/>
          <w:sz w:val="32"/>
          <w:szCs w:val="32"/>
          <w:highlight w:val="none"/>
          <w:lang w:eastAsia="zh-CN"/>
        </w:rPr>
        <w:t>等</w:t>
      </w:r>
      <w:r>
        <w:rPr>
          <w:rFonts w:hint="eastAsia" w:ascii="宋体" w:hAnsi="宋体" w:eastAsia="宋体" w:cs="宋体"/>
          <w:sz w:val="32"/>
          <w:szCs w:val="32"/>
          <w:highlight w:val="none"/>
        </w:rPr>
        <w:t>于</w:t>
      </w:r>
      <w:r>
        <w:rPr>
          <w:rFonts w:hint="eastAsia" w:ascii="宋体" w:hAnsi="宋体" w:eastAsia="宋体" w:cs="宋体"/>
          <w:sz w:val="32"/>
          <w:szCs w:val="32"/>
          <w:highlight w:val="none"/>
          <w:lang w:eastAsia="zh-CN"/>
        </w:rPr>
        <w:t>年初</w:t>
      </w:r>
      <w:r>
        <w:rPr>
          <w:rFonts w:hint="eastAsia" w:ascii="宋体" w:hAnsi="宋体" w:eastAsia="宋体" w:cs="宋体"/>
          <w:sz w:val="32"/>
          <w:szCs w:val="32"/>
          <w:highlight w:val="none"/>
        </w:rPr>
        <w:t>预算数的主要原因是厉行节约，压减支出，与</w:t>
      </w:r>
      <w:r>
        <w:rPr>
          <w:rFonts w:hint="eastAsia" w:ascii="宋体" w:hAnsi="宋体" w:eastAsia="宋体" w:cs="宋体"/>
          <w:sz w:val="32"/>
          <w:szCs w:val="32"/>
          <w:highlight w:val="none"/>
          <w:lang w:eastAsia="zh-CN"/>
        </w:rPr>
        <w:t>上</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eastAsia="zh-CN"/>
        </w:rPr>
        <w:t>决算</w:t>
      </w:r>
      <w:r>
        <w:rPr>
          <w:rFonts w:hint="eastAsia" w:ascii="宋体" w:hAnsi="宋体" w:eastAsia="宋体" w:cs="宋体"/>
          <w:sz w:val="32"/>
          <w:szCs w:val="32"/>
          <w:highlight w:val="none"/>
          <w:lang w:val="en-US" w:eastAsia="zh-CN"/>
        </w:rPr>
        <w:t>0.37万元</w:t>
      </w:r>
      <w:r>
        <w:rPr>
          <w:rFonts w:hint="eastAsia" w:ascii="宋体" w:hAnsi="宋体" w:eastAsia="宋体" w:cs="宋体"/>
          <w:sz w:val="32"/>
          <w:szCs w:val="32"/>
          <w:highlight w:val="none"/>
        </w:rPr>
        <w:t>相比</w:t>
      </w:r>
      <w:r>
        <w:rPr>
          <w:rFonts w:hint="eastAsia" w:ascii="宋体" w:hAnsi="宋体" w:eastAsia="宋体" w:cs="宋体"/>
          <w:sz w:val="32"/>
          <w:szCs w:val="32"/>
          <w:highlight w:val="none"/>
          <w:lang w:eastAsia="zh-CN"/>
        </w:rPr>
        <w:t>增加</w:t>
      </w:r>
      <w:r>
        <w:rPr>
          <w:rFonts w:hint="eastAsia" w:ascii="宋体" w:hAnsi="宋体" w:eastAsia="宋体" w:cs="宋体"/>
          <w:sz w:val="32"/>
          <w:szCs w:val="32"/>
          <w:highlight w:val="none"/>
        </w:rPr>
        <w:t>0.</w:t>
      </w:r>
      <w:r>
        <w:rPr>
          <w:rFonts w:hint="eastAsia" w:ascii="宋体" w:hAnsi="宋体" w:eastAsia="宋体" w:cs="宋体"/>
          <w:sz w:val="32"/>
          <w:szCs w:val="32"/>
          <w:highlight w:val="none"/>
          <w:lang w:val="en-US" w:eastAsia="zh-CN"/>
        </w:rPr>
        <w:t>16</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增加</w:t>
      </w:r>
      <w:r>
        <w:rPr>
          <w:rFonts w:hint="eastAsia" w:ascii="宋体" w:hAnsi="宋体" w:eastAsia="宋体" w:cs="宋体"/>
          <w:sz w:val="32"/>
          <w:szCs w:val="32"/>
          <w:highlight w:val="none"/>
          <w:lang w:val="en-US" w:eastAsia="zh-CN"/>
        </w:rPr>
        <w:t>43.24</w:t>
      </w:r>
      <w:r>
        <w:rPr>
          <w:rFonts w:hint="eastAsia" w:ascii="宋体" w:hAnsi="宋体" w:eastAsia="宋体" w:cs="宋体"/>
          <w:sz w:val="32"/>
          <w:szCs w:val="32"/>
          <w:highlight w:val="none"/>
        </w:rPr>
        <w:t>%,主要原因</w:t>
      </w:r>
      <w:r>
        <w:rPr>
          <w:rFonts w:hint="eastAsia" w:ascii="宋体" w:hAnsi="宋体" w:eastAsia="宋体" w:cs="宋体"/>
          <w:sz w:val="32"/>
          <w:szCs w:val="32"/>
          <w:highlight w:val="none"/>
          <w:lang w:eastAsia="zh-CN"/>
        </w:rPr>
        <w:t>接待增加。</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公务用车购置费</w:t>
      </w:r>
      <w:r>
        <w:rPr>
          <w:rFonts w:hint="eastAsia" w:ascii="宋体" w:hAnsi="宋体" w:eastAsia="宋体" w:cs="宋体"/>
          <w:sz w:val="32"/>
          <w:szCs w:val="32"/>
          <w:highlight w:val="none"/>
          <w:lang w:eastAsia="zh-CN"/>
        </w:rPr>
        <w:t>年初</w:t>
      </w:r>
      <w:r>
        <w:rPr>
          <w:rFonts w:hint="eastAsia" w:ascii="宋体" w:hAnsi="宋体" w:eastAsia="宋体" w:cs="宋体"/>
          <w:sz w:val="32"/>
          <w:szCs w:val="32"/>
          <w:highlight w:val="none"/>
        </w:rPr>
        <w:t>预算为0万元，支出决算为0万元，决算数与年初预算一致</w:t>
      </w:r>
      <w:r>
        <w:rPr>
          <w:rFonts w:hint="eastAsia" w:ascii="宋体" w:hAnsi="宋体" w:eastAsia="宋体" w:cs="宋体"/>
          <w:sz w:val="32"/>
          <w:szCs w:val="32"/>
          <w:highlight w:val="none"/>
          <w:lang w:eastAsia="zh-CN"/>
        </w:rPr>
        <w:t>，</w:t>
      </w:r>
      <w:r>
        <w:rPr>
          <w:rFonts w:hint="eastAsia" w:ascii="宋体" w:hAnsi="宋体" w:eastAsia="宋体" w:cs="宋体"/>
          <w:color w:val="auto"/>
          <w:sz w:val="32"/>
          <w:szCs w:val="32"/>
          <w:highlight w:val="none"/>
          <w:lang w:val="en-US" w:eastAsia="zh-CN"/>
        </w:rPr>
        <w:t>无增减变动，</w:t>
      </w:r>
      <w:r>
        <w:rPr>
          <w:rFonts w:hint="eastAsia" w:ascii="宋体" w:hAnsi="宋体" w:eastAsia="宋体" w:cs="宋体"/>
          <w:sz w:val="32"/>
          <w:szCs w:val="32"/>
          <w:highlight w:val="none"/>
          <w:lang w:val="en-US" w:eastAsia="zh-CN"/>
        </w:rPr>
        <w:t>主要是无车辆购置</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与上年决算</w:t>
      </w:r>
      <w:r>
        <w:rPr>
          <w:rFonts w:hint="eastAsia" w:ascii="宋体" w:hAnsi="宋体" w:eastAsia="宋体" w:cs="宋体"/>
          <w:sz w:val="32"/>
          <w:szCs w:val="32"/>
          <w:highlight w:val="none"/>
          <w:lang w:val="en-US" w:eastAsia="zh-CN"/>
        </w:rPr>
        <w:t>0万元相比一致，</w:t>
      </w:r>
      <w:r>
        <w:rPr>
          <w:rFonts w:hint="eastAsia" w:ascii="宋体" w:hAnsi="宋体" w:eastAsia="宋体" w:cs="宋体"/>
          <w:color w:val="auto"/>
          <w:sz w:val="32"/>
          <w:szCs w:val="32"/>
          <w:highlight w:val="none"/>
          <w:lang w:val="en-US" w:eastAsia="zh-CN"/>
        </w:rPr>
        <w:t>无增减变动，</w:t>
      </w:r>
      <w:r>
        <w:rPr>
          <w:rFonts w:hint="eastAsia" w:ascii="宋体" w:hAnsi="宋体" w:eastAsia="宋体" w:cs="宋体"/>
          <w:sz w:val="32"/>
          <w:szCs w:val="32"/>
          <w:highlight w:val="none"/>
          <w:lang w:val="en-US" w:eastAsia="zh-CN"/>
        </w:rPr>
        <w:t>主要原因是本年度</w:t>
      </w:r>
      <w:r>
        <w:rPr>
          <w:rFonts w:hint="eastAsia" w:ascii="宋体" w:hAnsi="宋体" w:eastAsia="宋体" w:cs="宋体"/>
          <w:sz w:val="32"/>
          <w:szCs w:val="32"/>
          <w:highlight w:val="none"/>
        </w:rPr>
        <w:t>未安排车辆购置。</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公务用车运行维护费</w:t>
      </w:r>
      <w:r>
        <w:rPr>
          <w:rFonts w:hint="eastAsia" w:ascii="宋体" w:hAnsi="宋体" w:eastAsia="宋体" w:cs="宋体"/>
          <w:color w:val="auto"/>
          <w:sz w:val="32"/>
          <w:szCs w:val="32"/>
          <w:highlight w:val="none"/>
        </w:rPr>
        <w:t>支出</w:t>
      </w:r>
      <w:r>
        <w:rPr>
          <w:rFonts w:hint="eastAsia" w:ascii="宋体" w:hAnsi="宋体" w:eastAsia="宋体" w:cs="宋体"/>
          <w:sz w:val="32"/>
          <w:szCs w:val="32"/>
          <w:highlight w:val="none"/>
        </w:rPr>
        <w:t>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万元，决算数</w:t>
      </w:r>
      <w:r>
        <w:rPr>
          <w:rFonts w:hint="eastAsia" w:ascii="宋体" w:hAnsi="宋体" w:eastAsia="宋体" w:cs="宋体"/>
          <w:sz w:val="32"/>
          <w:szCs w:val="32"/>
          <w:highlight w:val="none"/>
          <w:lang w:eastAsia="zh-CN"/>
        </w:rPr>
        <w:t>等</w:t>
      </w:r>
      <w:r>
        <w:rPr>
          <w:rFonts w:hint="eastAsia" w:ascii="宋体" w:hAnsi="宋体" w:eastAsia="宋体" w:cs="宋体"/>
          <w:sz w:val="32"/>
          <w:szCs w:val="32"/>
          <w:highlight w:val="none"/>
        </w:rPr>
        <w:t>于预算数的主要原因是厉行节约，压减支出，与</w:t>
      </w:r>
      <w:r>
        <w:rPr>
          <w:rFonts w:hint="eastAsia" w:ascii="宋体" w:hAnsi="宋体" w:eastAsia="宋体" w:cs="宋体"/>
          <w:sz w:val="32"/>
          <w:szCs w:val="32"/>
          <w:highlight w:val="none"/>
          <w:lang w:eastAsia="zh-CN"/>
        </w:rPr>
        <w:t>上</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eastAsia="zh-CN"/>
        </w:rPr>
        <w:t>决算</w:t>
      </w:r>
      <w:r>
        <w:rPr>
          <w:rFonts w:hint="eastAsia" w:ascii="宋体" w:hAnsi="宋体" w:eastAsia="宋体" w:cs="宋体"/>
          <w:sz w:val="32"/>
          <w:szCs w:val="32"/>
          <w:highlight w:val="none"/>
          <w:lang w:val="en-US" w:eastAsia="zh-CN"/>
        </w:rPr>
        <w:t>0万元</w:t>
      </w:r>
      <w:r>
        <w:rPr>
          <w:rFonts w:hint="eastAsia" w:ascii="宋体" w:hAnsi="宋体" w:eastAsia="宋体" w:cs="宋体"/>
          <w:sz w:val="32"/>
          <w:szCs w:val="32"/>
          <w:highlight w:val="none"/>
        </w:rPr>
        <w:t>相比</w:t>
      </w:r>
      <w:r>
        <w:rPr>
          <w:rFonts w:hint="eastAsia" w:ascii="宋体" w:hAnsi="宋体" w:eastAsia="宋体" w:cs="宋体"/>
          <w:sz w:val="32"/>
          <w:szCs w:val="32"/>
          <w:highlight w:val="none"/>
          <w:lang w:val="en-US" w:eastAsia="zh-CN"/>
        </w:rPr>
        <w:t>一致，</w:t>
      </w:r>
      <w:r>
        <w:rPr>
          <w:rFonts w:hint="eastAsia" w:ascii="宋体" w:hAnsi="宋体" w:eastAsia="宋体" w:cs="宋体"/>
          <w:color w:val="auto"/>
          <w:sz w:val="32"/>
          <w:szCs w:val="32"/>
          <w:highlight w:val="none"/>
          <w:lang w:val="en-US" w:eastAsia="zh-CN"/>
        </w:rPr>
        <w:t>无增减变动，一致的</w:t>
      </w:r>
      <w:r>
        <w:rPr>
          <w:rFonts w:hint="eastAsia" w:ascii="宋体" w:hAnsi="宋体" w:eastAsia="宋体" w:cs="宋体"/>
          <w:sz w:val="32"/>
          <w:szCs w:val="32"/>
          <w:highlight w:val="none"/>
        </w:rPr>
        <w:t>主要原因是厉行节约，压减支出。</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（二）“三公”经费财政拨款支出决算具体情况说明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年度“三公”经费财政拨款支出决算中，公务接待费支出决算</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%,因公出国（境）费支出决算0.0万元，占0%,公务用车购置费及运行维护费支出决算</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%。其中：</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default" w:ascii="宋体" w:hAnsi="宋体" w:eastAsia="宋体" w:cs="宋体"/>
          <w:sz w:val="32"/>
          <w:szCs w:val="32"/>
          <w:highlight w:val="none"/>
          <w:lang w:val="en-US"/>
        </w:rPr>
      </w:pPr>
      <w:r>
        <w:rPr>
          <w:rFonts w:hint="eastAsia" w:ascii="宋体" w:hAnsi="宋体" w:eastAsia="宋体" w:cs="宋体"/>
          <w:sz w:val="32"/>
          <w:szCs w:val="32"/>
          <w:highlight w:val="none"/>
        </w:rPr>
        <w:t>1、因公出国（境）费支出决算为0万元</w:t>
      </w:r>
      <w:r>
        <w:rPr>
          <w:rFonts w:hint="eastAsia" w:ascii="宋体" w:hAnsi="宋体" w:eastAsia="宋体" w:cs="宋体"/>
          <w:sz w:val="32"/>
          <w:szCs w:val="32"/>
          <w:highlight w:val="none"/>
          <w:lang w:eastAsia="zh-CN"/>
        </w:rPr>
        <w:t>，全年安排因公出国（境）团组</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lang w:eastAsia="zh-CN"/>
        </w:rPr>
        <w:t>个，累计</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lang w:eastAsia="zh-CN"/>
        </w:rPr>
        <w:t>人次,开支内容包括：</w:t>
      </w:r>
      <w:r>
        <w:rPr>
          <w:rFonts w:hint="eastAsia" w:ascii="宋体" w:hAnsi="宋体" w:eastAsia="宋体" w:cs="宋体"/>
          <w:sz w:val="32"/>
          <w:szCs w:val="32"/>
          <w:highlight w:val="none"/>
          <w:lang w:val="en-US" w:eastAsia="zh-CN"/>
        </w:rPr>
        <w:t>无</w:t>
      </w:r>
      <w:r>
        <w:rPr>
          <w:rFonts w:hint="eastAsia" w:ascii="宋体" w:hAnsi="宋体" w:eastAsia="宋体" w:cs="宋体"/>
          <w:sz w:val="32"/>
          <w:szCs w:val="32"/>
          <w:highlight w:val="none"/>
          <w:lang w:eastAsia="zh-CN"/>
        </w:rPr>
        <w:t>，支出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lang w:eastAsia="zh-CN"/>
        </w:rPr>
        <w:t>万元，主要用于：</w:t>
      </w:r>
      <w:r>
        <w:rPr>
          <w:rFonts w:hint="eastAsia" w:ascii="宋体" w:hAnsi="宋体" w:eastAsia="宋体" w:cs="宋体"/>
          <w:sz w:val="32"/>
          <w:szCs w:val="32"/>
          <w:highlight w:val="none"/>
          <w:lang w:val="en-US" w:eastAsia="zh-CN"/>
        </w:rPr>
        <w:t>无</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2、公务接待费支出决算为</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万元，全年共接待来访团组</w:t>
      </w:r>
      <w:r>
        <w:rPr>
          <w:rFonts w:hint="eastAsia" w:ascii="宋体" w:hAnsi="宋体" w:eastAsia="宋体" w:cs="宋体"/>
          <w:sz w:val="32"/>
          <w:szCs w:val="32"/>
          <w:highlight w:val="none"/>
          <w:lang w:val="en-US" w:eastAsia="zh-CN"/>
        </w:rPr>
        <w:t>12</w:t>
      </w:r>
      <w:r>
        <w:rPr>
          <w:rFonts w:hint="eastAsia" w:ascii="宋体" w:hAnsi="宋体" w:eastAsia="宋体" w:cs="宋体"/>
          <w:sz w:val="32"/>
          <w:szCs w:val="32"/>
          <w:highlight w:val="none"/>
        </w:rPr>
        <w:t>个、来宾</w:t>
      </w:r>
      <w:r>
        <w:rPr>
          <w:rFonts w:hint="eastAsia" w:ascii="宋体" w:hAnsi="宋体" w:eastAsia="宋体" w:cs="宋体"/>
          <w:sz w:val="32"/>
          <w:szCs w:val="32"/>
          <w:highlight w:val="none"/>
          <w:lang w:val="en-US" w:eastAsia="zh-CN"/>
        </w:rPr>
        <w:t>50</w:t>
      </w:r>
      <w:r>
        <w:rPr>
          <w:rFonts w:hint="eastAsia" w:ascii="宋体" w:hAnsi="宋体" w:eastAsia="宋体" w:cs="宋体"/>
          <w:sz w:val="32"/>
          <w:szCs w:val="32"/>
          <w:highlight w:val="none"/>
        </w:rPr>
        <w:t>人次，主要是等发生的接待支出。</w:t>
      </w:r>
    </w:p>
    <w:p>
      <w:pPr>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color w:val="000000"/>
          <w:kern w:val="0"/>
          <w:sz w:val="32"/>
          <w:szCs w:val="32"/>
          <w:highlight w:val="none"/>
        </w:rPr>
      </w:pPr>
      <w:r>
        <w:rPr>
          <w:rFonts w:hint="eastAsia" w:ascii="宋体" w:hAnsi="宋体" w:eastAsia="宋体" w:cs="宋体"/>
          <w:sz w:val="32"/>
          <w:szCs w:val="32"/>
          <w:highlight w:val="none"/>
        </w:rPr>
        <w:t>3、公务用车购置费及运行维护费支出决算为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万元，其中：公务用车购置费0万元</w:t>
      </w:r>
      <w:r>
        <w:rPr>
          <w:rFonts w:hint="eastAsia" w:ascii="宋体" w:hAnsi="宋体" w:eastAsia="宋体" w:cs="宋体"/>
          <w:sz w:val="32"/>
          <w:szCs w:val="32"/>
          <w:highlight w:val="none"/>
          <w:lang w:eastAsia="zh-CN"/>
        </w:rPr>
        <w:t>，</w:t>
      </w:r>
      <w:r>
        <w:rPr>
          <w:rFonts w:hint="eastAsia" w:ascii="宋体" w:hAnsi="宋体" w:cs="宋体"/>
          <w:sz w:val="32"/>
          <w:szCs w:val="32"/>
          <w:highlight w:val="none"/>
          <w:lang w:val="en-US" w:eastAsia="zh-CN"/>
        </w:rPr>
        <w:t>更新公务用车0辆。</w:t>
      </w:r>
      <w:r>
        <w:rPr>
          <w:rFonts w:hint="eastAsia" w:ascii="宋体" w:hAnsi="宋体" w:eastAsia="宋体" w:cs="宋体"/>
          <w:sz w:val="32"/>
          <w:szCs w:val="32"/>
          <w:highlight w:val="none"/>
        </w:rPr>
        <w:t>公务用车运行维护费</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万元，主要是车辆的汽油费、过路过桥费等支出，截止202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年12月31日，我单位财政拨款开支的公务用车为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八、政府性基金预算收入支出决算情况</w:t>
      </w:r>
    </w:p>
    <w:p>
      <w:pPr>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i/>
          <w:color w:val="FF0000"/>
          <w:sz w:val="32"/>
          <w:szCs w:val="32"/>
          <w:highlight w:val="none"/>
          <w:lang w:eastAsia="zh-CN"/>
        </w:rPr>
      </w:pPr>
      <w:r>
        <w:rPr>
          <w:rFonts w:hint="eastAsia" w:ascii="宋体" w:hAnsi="宋体" w:eastAsia="宋体" w:cs="宋体"/>
          <w:sz w:val="32"/>
          <w:szCs w:val="32"/>
          <w:highlight w:val="none"/>
        </w:rPr>
        <w:t>本单位政府性基金预算财政拨款收入</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万元；年初结转和结余</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万元；支出</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万元，其中基本支出</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万元，项目支出</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万元；年末结转和结余</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万元。本单位无政府性基金收支</w:t>
      </w:r>
      <w:r>
        <w:rPr>
          <w:rFonts w:hint="eastAsia" w:ascii="宋体" w:hAnsi="宋体" w:cs="宋体"/>
          <w:sz w:val="32"/>
          <w:szCs w:val="32"/>
          <w:highlight w:val="none"/>
          <w:lang w:eastAsia="zh-CN"/>
        </w:rPr>
        <w:t>。</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九、机关运行经费支出说明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本部门202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年度机关运行经费支出</w:t>
      </w:r>
      <w:r>
        <w:rPr>
          <w:rFonts w:hint="eastAsia" w:ascii="宋体" w:hAnsi="宋体" w:eastAsia="宋体" w:cs="宋体"/>
          <w:sz w:val="32"/>
          <w:szCs w:val="32"/>
          <w:highlight w:val="none"/>
          <w:lang w:val="en-US" w:eastAsia="zh-CN"/>
        </w:rPr>
        <w:t>2.77</w:t>
      </w:r>
      <w:r>
        <w:rPr>
          <w:rFonts w:hint="eastAsia" w:ascii="宋体" w:hAnsi="宋体" w:eastAsia="宋体" w:cs="宋体"/>
          <w:sz w:val="32"/>
          <w:szCs w:val="32"/>
          <w:highlight w:val="none"/>
        </w:rPr>
        <w:t>万元，比年初预算数减少</w:t>
      </w:r>
      <w:r>
        <w:rPr>
          <w:rFonts w:hint="eastAsia" w:ascii="宋体" w:hAnsi="宋体" w:eastAsia="宋体" w:cs="宋体"/>
          <w:sz w:val="32"/>
          <w:szCs w:val="32"/>
          <w:highlight w:val="none"/>
          <w:lang w:val="en-US" w:eastAsia="zh-CN"/>
        </w:rPr>
        <w:t>0.13</w:t>
      </w:r>
      <w:r>
        <w:rPr>
          <w:rFonts w:hint="eastAsia" w:ascii="宋体" w:hAnsi="宋体" w:eastAsia="宋体" w:cs="宋体"/>
          <w:sz w:val="32"/>
          <w:szCs w:val="32"/>
          <w:highlight w:val="none"/>
        </w:rPr>
        <w:t>万元，降低</w:t>
      </w:r>
      <w:r>
        <w:rPr>
          <w:rFonts w:hint="eastAsia" w:ascii="宋体" w:hAnsi="宋体" w:eastAsia="宋体" w:cs="宋体"/>
          <w:sz w:val="32"/>
          <w:szCs w:val="32"/>
          <w:highlight w:val="none"/>
          <w:lang w:val="en-US" w:eastAsia="zh-CN"/>
        </w:rPr>
        <w:t>4.69</w:t>
      </w:r>
      <w:r>
        <w:rPr>
          <w:rFonts w:hint="eastAsia" w:ascii="宋体" w:hAnsi="宋体" w:eastAsia="宋体" w:cs="宋体"/>
          <w:sz w:val="32"/>
          <w:szCs w:val="32"/>
          <w:highlight w:val="none"/>
        </w:rPr>
        <w:t>%。主要原因是：</w:t>
      </w:r>
      <w:r>
        <w:rPr>
          <w:rFonts w:hint="eastAsia" w:ascii="宋体" w:hAnsi="宋体" w:eastAsia="宋体" w:cs="宋体"/>
          <w:sz w:val="32"/>
          <w:szCs w:val="32"/>
          <w:highlight w:val="none"/>
          <w:lang w:eastAsia="zh-CN"/>
        </w:rPr>
        <w:t>委托业务费</w:t>
      </w:r>
      <w:r>
        <w:rPr>
          <w:rFonts w:hint="eastAsia" w:ascii="宋体" w:hAnsi="宋体" w:eastAsia="宋体" w:cs="宋体"/>
          <w:sz w:val="32"/>
          <w:szCs w:val="32"/>
          <w:highlight w:val="none"/>
        </w:rPr>
        <w:t>减少；</w:t>
      </w:r>
      <w:r>
        <w:rPr>
          <w:rFonts w:hint="eastAsia" w:ascii="宋体" w:hAnsi="宋体" w:eastAsia="宋体" w:cs="宋体"/>
          <w:sz w:val="32"/>
          <w:szCs w:val="32"/>
          <w:highlight w:val="none"/>
          <w:lang w:eastAsia="zh-CN"/>
        </w:rPr>
        <w:t>与</w:t>
      </w:r>
      <w:r>
        <w:rPr>
          <w:rFonts w:hint="eastAsia" w:ascii="宋体" w:hAnsi="宋体" w:eastAsia="宋体" w:cs="宋体"/>
          <w:sz w:val="32"/>
          <w:szCs w:val="32"/>
          <w:highlight w:val="none"/>
        </w:rPr>
        <w:t>年初预算数</w:t>
      </w:r>
      <w:r>
        <w:rPr>
          <w:rFonts w:hint="eastAsia" w:ascii="宋体" w:hAnsi="宋体" w:eastAsia="宋体" w:cs="宋体"/>
          <w:sz w:val="32"/>
          <w:szCs w:val="32"/>
          <w:highlight w:val="none"/>
          <w:lang w:eastAsia="zh-CN"/>
        </w:rPr>
        <w:t>一致。</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十、一般性支出情况说明</w:t>
      </w:r>
    </w:p>
    <w:p>
      <w:pPr>
        <w:keepNext w:val="0"/>
        <w:keepLines w:val="0"/>
        <w:pageBreakBefore w:val="0"/>
        <w:widowControl/>
        <w:numPr>
          <w:ilvl w:val="0"/>
          <w:numId w:val="0"/>
        </w:numPr>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年本部门开支会议费</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万元，用于召开</w:t>
      </w:r>
      <w:r>
        <w:rPr>
          <w:rFonts w:hint="eastAsia" w:ascii="宋体" w:hAnsi="宋体" w:cs="宋体"/>
          <w:sz w:val="32"/>
          <w:szCs w:val="32"/>
          <w:highlight w:val="none"/>
          <w:lang w:val="en-US" w:eastAsia="zh-CN"/>
        </w:rPr>
        <w:t>0次</w:t>
      </w:r>
      <w:r>
        <w:rPr>
          <w:rFonts w:hint="eastAsia" w:ascii="宋体" w:hAnsi="宋体" w:eastAsia="宋体" w:cs="宋体"/>
          <w:sz w:val="32"/>
          <w:szCs w:val="32"/>
          <w:highlight w:val="none"/>
        </w:rPr>
        <w:t>会议，人数</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人，内容为</w:t>
      </w:r>
      <w:r>
        <w:rPr>
          <w:rFonts w:hint="eastAsia" w:ascii="宋体" w:hAnsi="宋体" w:cs="宋体"/>
          <w:sz w:val="32"/>
          <w:szCs w:val="32"/>
          <w:highlight w:val="none"/>
          <w:lang w:val="en-US" w:eastAsia="zh-CN"/>
        </w:rPr>
        <w:t>无</w:t>
      </w:r>
      <w:r>
        <w:rPr>
          <w:rFonts w:hint="eastAsia" w:ascii="宋体" w:hAnsi="宋体" w:eastAsia="宋体" w:cs="宋体"/>
          <w:sz w:val="32"/>
          <w:szCs w:val="32"/>
          <w:highlight w:val="none"/>
        </w:rPr>
        <w:t>；开支</w:t>
      </w:r>
      <w:r>
        <w:rPr>
          <w:rFonts w:hint="eastAsia" w:ascii="宋体" w:hAnsi="宋体" w:cs="宋体"/>
          <w:b w:val="0"/>
          <w:bCs w:val="0"/>
          <w:sz w:val="32"/>
          <w:szCs w:val="32"/>
          <w:highlight w:val="none"/>
          <w:lang w:val="en-US" w:eastAsia="zh-CN"/>
        </w:rPr>
        <w:t>培训费</w:t>
      </w:r>
      <w:r>
        <w:rPr>
          <w:rFonts w:hint="eastAsia" w:ascii="宋体" w:hAnsi="宋体" w:eastAsia="宋体" w:cs="宋体"/>
          <w:b w:val="0"/>
          <w:bCs w:val="0"/>
          <w:sz w:val="32"/>
          <w:szCs w:val="32"/>
          <w:highlight w:val="none"/>
        </w:rPr>
        <w:t>0.0</w:t>
      </w:r>
      <w:r>
        <w:rPr>
          <w:rFonts w:hint="eastAsia" w:ascii="宋体" w:hAnsi="宋体" w:eastAsia="宋体" w:cs="宋体"/>
          <w:b w:val="0"/>
          <w:bCs w:val="0"/>
          <w:sz w:val="32"/>
          <w:szCs w:val="32"/>
          <w:highlight w:val="none"/>
          <w:lang w:val="en-US" w:eastAsia="zh-CN"/>
        </w:rPr>
        <w:t>6</w:t>
      </w:r>
      <w:r>
        <w:rPr>
          <w:rFonts w:hint="eastAsia" w:ascii="宋体" w:hAnsi="宋体" w:eastAsia="宋体" w:cs="宋体"/>
          <w:b w:val="0"/>
          <w:bCs w:val="0"/>
          <w:sz w:val="32"/>
          <w:szCs w:val="32"/>
          <w:highlight w:val="none"/>
        </w:rPr>
        <w:t>万元</w:t>
      </w:r>
      <w:r>
        <w:rPr>
          <w:rFonts w:hint="eastAsia" w:ascii="宋体" w:hAnsi="宋体" w:eastAsia="宋体" w:cs="宋体"/>
          <w:sz w:val="32"/>
          <w:szCs w:val="32"/>
          <w:highlight w:val="none"/>
        </w:rPr>
        <w:t>，用于召开</w:t>
      </w:r>
      <w:r>
        <w:rPr>
          <w:rFonts w:hint="eastAsia" w:ascii="宋体" w:hAnsi="宋体" w:eastAsia="宋体" w:cs="宋体"/>
          <w:sz w:val="32"/>
          <w:szCs w:val="32"/>
          <w:highlight w:val="none"/>
          <w:lang w:eastAsia="zh-CN"/>
        </w:rPr>
        <w:t>民俗文化培训</w:t>
      </w:r>
      <w:r>
        <w:rPr>
          <w:rFonts w:hint="eastAsia" w:ascii="宋体" w:hAnsi="宋体" w:cs="宋体"/>
          <w:sz w:val="32"/>
          <w:szCs w:val="32"/>
          <w:highlight w:val="none"/>
          <w:lang w:eastAsia="zh-CN"/>
        </w:rPr>
        <w:t>，</w:t>
      </w:r>
      <w:r>
        <w:rPr>
          <w:rFonts w:hint="eastAsia" w:ascii="宋体" w:hAnsi="宋体" w:eastAsia="宋体" w:cs="宋体"/>
          <w:sz w:val="32"/>
          <w:szCs w:val="32"/>
          <w:highlight w:val="none"/>
          <w:lang w:eastAsia="zh-CN"/>
        </w:rPr>
        <w:t>人数</w:t>
      </w:r>
      <w:r>
        <w:rPr>
          <w:rFonts w:hint="eastAsia" w:ascii="宋体" w:hAnsi="宋体" w:cs="宋体"/>
          <w:sz w:val="32"/>
          <w:szCs w:val="32"/>
          <w:highlight w:val="none"/>
          <w:lang w:val="en-US" w:eastAsia="zh-CN"/>
        </w:rPr>
        <w:t>15</w:t>
      </w:r>
      <w:r>
        <w:rPr>
          <w:rFonts w:hint="eastAsia" w:ascii="宋体" w:hAnsi="宋体" w:eastAsia="宋体" w:cs="宋体"/>
          <w:sz w:val="32"/>
          <w:szCs w:val="32"/>
          <w:highlight w:val="none"/>
          <w:lang w:eastAsia="zh-CN"/>
        </w:rPr>
        <w:t>人，内</w:t>
      </w:r>
      <w:bookmarkStart w:id="3" w:name="_GoBack"/>
      <w:r>
        <w:rPr>
          <w:rFonts w:hint="eastAsia" w:ascii="宋体" w:hAnsi="宋体" w:eastAsia="宋体" w:cs="宋体"/>
          <w:sz w:val="32"/>
          <w:szCs w:val="32"/>
          <w:highlight w:val="none"/>
          <w:lang w:eastAsia="zh-CN"/>
        </w:rPr>
        <w:t>容为</w:t>
      </w:r>
      <w:r>
        <w:rPr>
          <w:rFonts w:hint="eastAsia" w:ascii="宋体" w:hAnsi="宋体" w:cs="宋体"/>
          <w:sz w:val="32"/>
          <w:szCs w:val="32"/>
          <w:highlight w:val="none"/>
          <w:lang w:eastAsia="zh-CN"/>
        </w:rPr>
        <w:t>“</w:t>
      </w:r>
      <w:r>
        <w:rPr>
          <w:rFonts w:hint="eastAsia" w:ascii="宋体" w:hAnsi="宋体" w:cs="宋体"/>
          <w:sz w:val="32"/>
          <w:szCs w:val="32"/>
          <w:highlight w:val="none"/>
          <w:lang w:val="en-US" w:eastAsia="zh-CN"/>
        </w:rPr>
        <w:t>弘扬炎帝文化，讲好会同故事”</w:t>
      </w:r>
      <w:r>
        <w:rPr>
          <w:rFonts w:hint="eastAsia" w:ascii="宋体" w:hAnsi="宋体" w:eastAsia="宋体" w:cs="宋体"/>
          <w:sz w:val="32"/>
          <w:szCs w:val="32"/>
          <w:highlight w:val="none"/>
          <w:lang w:eastAsia="zh-CN"/>
        </w:rPr>
        <w:t>；举办</w:t>
      </w:r>
      <w:r>
        <w:rPr>
          <w:rFonts w:hint="eastAsia" w:ascii="宋体" w:hAnsi="宋体" w:cs="宋体"/>
          <w:sz w:val="32"/>
          <w:szCs w:val="32"/>
          <w:highlight w:val="none"/>
          <w:lang w:val="en-US" w:eastAsia="zh-CN"/>
        </w:rPr>
        <w:t>0次</w:t>
      </w:r>
      <w:r>
        <w:rPr>
          <w:rFonts w:hint="eastAsia" w:ascii="宋体" w:hAnsi="宋体" w:eastAsia="宋体" w:cs="宋体"/>
          <w:sz w:val="32"/>
          <w:szCs w:val="32"/>
          <w:highlight w:val="none"/>
          <w:lang w:eastAsia="zh-CN"/>
        </w:rPr>
        <w:t>节庆、晚会、论坛、赛事活动，开支</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lang w:eastAsia="zh-CN"/>
        </w:rPr>
        <w:t>万元，主要是</w:t>
      </w:r>
      <w:r>
        <w:rPr>
          <w:rFonts w:hint="eastAsia" w:ascii="宋体" w:hAnsi="宋体" w:cs="宋体"/>
          <w:sz w:val="32"/>
          <w:szCs w:val="32"/>
          <w:highlight w:val="none"/>
          <w:lang w:val="en-US" w:eastAsia="zh-CN"/>
        </w:rPr>
        <w:t>无</w:t>
      </w:r>
      <w:r>
        <w:rPr>
          <w:rFonts w:hint="eastAsia" w:ascii="宋体" w:hAnsi="宋体" w:eastAsia="宋体" w:cs="宋体"/>
          <w:sz w:val="32"/>
          <w:szCs w:val="32"/>
          <w:highlight w:val="none"/>
          <w:lang w:eastAsia="zh-CN"/>
        </w:rPr>
        <w:t>。</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十一、政府采购支出说明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本部门2022年度政府采购支出总额  0 万元，其中：政府采购货物支出 0万元、政府采购工程支出  0 万元、政府采购服务支出0   万元。授予中小企业合同金额 0  万元，分母为0无法计算占比，其中：授予小微企业合同金额 0  万元，分母</w:t>
      </w:r>
      <w:bookmarkEnd w:id="3"/>
      <w:r>
        <w:rPr>
          <w:rFonts w:hint="eastAsia" w:ascii="宋体" w:hAnsi="宋体" w:eastAsia="宋体" w:cs="宋体"/>
          <w:sz w:val="32"/>
          <w:szCs w:val="32"/>
          <w:highlight w:val="none"/>
        </w:rPr>
        <w:t>为0无法计算占比</w:t>
      </w:r>
      <w:r>
        <w:rPr>
          <w:rFonts w:hint="eastAsia" w:ascii="宋体" w:hAnsi="宋体" w:eastAsia="宋体" w:cs="宋体"/>
          <w:sz w:val="32"/>
          <w:szCs w:val="32"/>
          <w:highlight w:val="none"/>
          <w:lang w:eastAsia="zh-CN"/>
        </w:rPr>
        <w:t>。</w:t>
      </w:r>
    </w:p>
    <w:p>
      <w:pPr>
        <w:pStyle w:val="16"/>
        <w:keepNext w:val="0"/>
        <w:keepLines w:val="0"/>
        <w:pageBreakBefore w:val="0"/>
        <w:shd w:val="clear"/>
        <w:kinsoku/>
        <w:wordWrap/>
        <w:overflowPunct/>
        <w:topLinePunct w:val="0"/>
        <w:bidi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十二、国有资产占用情况说明</w:t>
      </w:r>
    </w:p>
    <w:p>
      <w:pPr>
        <w:pStyle w:val="16"/>
        <w:keepNext w:val="0"/>
        <w:keepLines w:val="0"/>
        <w:pageBreakBefore w:val="0"/>
        <w:shd w:val="clear"/>
        <w:kinsoku/>
        <w:wordWrap/>
        <w:overflowPunct/>
        <w:topLinePunct w:val="0"/>
        <w:bidi w:val="0"/>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截至202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年12月31日，本单位共有车辆</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辆，其中，主要领导干部用车0辆，机要通信用车0辆、应急保障用车0辆、执法执勤用车0辆、特种专业技术用车0辆、其他用车</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辆，其他用车主要是单位应急用车；单位价值</w:t>
      </w:r>
      <w:r>
        <w:rPr>
          <w:rFonts w:hint="eastAsia" w:ascii="宋体" w:hAnsi="宋体" w:eastAsia="宋体" w:cs="宋体"/>
          <w:sz w:val="32"/>
          <w:szCs w:val="32"/>
          <w:highlight w:val="none"/>
          <w:lang w:val="en-US" w:eastAsia="zh-CN"/>
        </w:rPr>
        <w:t>50</w:t>
      </w:r>
      <w:r>
        <w:rPr>
          <w:rFonts w:hint="eastAsia" w:ascii="宋体" w:hAnsi="宋体" w:eastAsia="宋体" w:cs="宋体"/>
          <w:sz w:val="32"/>
          <w:szCs w:val="32"/>
          <w:highlight w:val="none"/>
        </w:rPr>
        <w:t>万元以上通用设备0台；单位价值100万元以上专用设备0台。</w:t>
      </w:r>
    </w:p>
    <w:p>
      <w:pPr>
        <w:pStyle w:val="16"/>
        <w:keepNext w:val="0"/>
        <w:keepLines w:val="0"/>
        <w:pageBreakBefore w:val="0"/>
        <w:widowControl w:val="0"/>
        <w:shd w:val="clear"/>
        <w:kinsoku/>
        <w:wordWrap/>
        <w:overflowPunct/>
        <w:topLinePunct w:val="0"/>
        <w:autoSpaceDE w:val="0"/>
        <w:autoSpaceDN w:val="0"/>
        <w:bidi w:val="0"/>
        <w:adjustRightInd w:val="0"/>
        <w:snapToGrid/>
        <w:spacing w:line="600" w:lineRule="exact"/>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十三、202</w:t>
      </w:r>
      <w:r>
        <w:rPr>
          <w:rFonts w:hint="eastAsia" w:ascii="宋体" w:hAnsi="宋体" w:eastAsia="宋体" w:cs="宋体"/>
          <w:b/>
          <w:sz w:val="32"/>
          <w:szCs w:val="32"/>
          <w:highlight w:val="none"/>
          <w:lang w:val="en-US" w:eastAsia="zh-CN"/>
        </w:rPr>
        <w:t>2</w:t>
      </w:r>
      <w:r>
        <w:rPr>
          <w:rFonts w:hint="eastAsia" w:ascii="宋体" w:hAnsi="宋体" w:eastAsia="宋体" w:cs="宋体"/>
          <w:b/>
          <w:sz w:val="32"/>
          <w:szCs w:val="32"/>
          <w:highlight w:val="none"/>
        </w:rPr>
        <w:t>年度预算绩效情况说明</w:t>
      </w:r>
    </w:p>
    <w:p>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宋体" w:hAnsi="宋体" w:eastAsia="宋体" w:cs="宋体"/>
          <w:color w:val="000000"/>
          <w:kern w:val="0"/>
          <w:sz w:val="32"/>
          <w:szCs w:val="32"/>
          <w:highlight w:val="none"/>
        </w:rPr>
      </w:pPr>
      <w:r>
        <w:rPr>
          <w:rFonts w:hint="eastAsia" w:ascii="宋体" w:hAnsi="宋体" w:eastAsia="宋体" w:cs="宋体"/>
          <w:b/>
          <w:color w:val="000000"/>
          <w:kern w:val="0"/>
          <w:sz w:val="32"/>
          <w:szCs w:val="32"/>
          <w:highlight w:val="none"/>
        </w:rPr>
        <w:t>（1）绩效管理评价工作开展情况</w:t>
      </w:r>
      <w:r>
        <w:rPr>
          <w:rFonts w:hint="eastAsia" w:ascii="宋体" w:hAnsi="宋体" w:eastAsia="宋体" w:cs="宋体"/>
          <w:color w:val="000000"/>
          <w:kern w:val="0"/>
          <w:sz w:val="32"/>
          <w:szCs w:val="32"/>
          <w:highlight w:val="none"/>
        </w:rPr>
        <w:t>。</w:t>
      </w:r>
    </w:p>
    <w:p>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纳入</w:t>
      </w:r>
      <w:r>
        <w:rPr>
          <w:rFonts w:hint="eastAsia" w:ascii="宋体" w:hAnsi="宋体" w:eastAsia="宋体" w:cs="宋体"/>
          <w:color w:val="000000"/>
          <w:kern w:val="0"/>
          <w:sz w:val="32"/>
          <w:szCs w:val="32"/>
          <w:highlight w:val="none"/>
          <w:lang w:val="en-US" w:eastAsia="zh-CN"/>
        </w:rPr>
        <w:t>2022</w:t>
      </w:r>
      <w:r>
        <w:rPr>
          <w:rFonts w:hint="eastAsia" w:ascii="宋体" w:hAnsi="宋体" w:eastAsia="宋体" w:cs="宋体"/>
          <w:color w:val="000000"/>
          <w:kern w:val="0"/>
          <w:sz w:val="32"/>
          <w:szCs w:val="32"/>
          <w:highlight w:val="none"/>
        </w:rPr>
        <w:t>年部门整体支出绩效目标的金额为</w:t>
      </w:r>
      <w:r>
        <w:rPr>
          <w:rFonts w:hint="eastAsia" w:ascii="宋体" w:hAnsi="宋体" w:cs="宋体"/>
          <w:color w:val="000000"/>
          <w:kern w:val="0"/>
          <w:sz w:val="32"/>
          <w:szCs w:val="32"/>
          <w:highlight w:val="none"/>
          <w:lang w:val="en-US" w:eastAsia="zh-CN"/>
        </w:rPr>
        <w:t>25.02</w:t>
      </w:r>
      <w:r>
        <w:rPr>
          <w:rFonts w:hint="eastAsia" w:ascii="宋体" w:hAnsi="宋体" w:eastAsia="宋体" w:cs="宋体"/>
          <w:color w:val="000000"/>
          <w:kern w:val="0"/>
          <w:sz w:val="32"/>
          <w:szCs w:val="32"/>
          <w:highlight w:val="none"/>
        </w:rPr>
        <w:t>万元，其中</w:t>
      </w:r>
      <w:r>
        <w:rPr>
          <w:rFonts w:hint="eastAsia" w:ascii="宋体" w:hAnsi="宋体" w:cs="宋体"/>
          <w:color w:val="000000"/>
          <w:kern w:val="0"/>
          <w:sz w:val="32"/>
          <w:szCs w:val="32"/>
          <w:highlight w:val="none"/>
          <w:lang w:eastAsia="zh-CN"/>
        </w:rPr>
        <w:t>：基本支出</w:t>
      </w:r>
      <w:r>
        <w:rPr>
          <w:rFonts w:hint="eastAsia" w:ascii="宋体" w:hAnsi="宋体" w:cs="宋体"/>
          <w:color w:val="000000"/>
          <w:kern w:val="0"/>
          <w:sz w:val="32"/>
          <w:szCs w:val="32"/>
          <w:highlight w:val="none"/>
          <w:lang w:val="en-US" w:eastAsia="zh-CN"/>
        </w:rPr>
        <w:t>19.93万元，</w:t>
      </w:r>
      <w:r>
        <w:rPr>
          <w:rFonts w:hint="eastAsia" w:ascii="宋体" w:hAnsi="宋体" w:eastAsia="宋体" w:cs="宋体"/>
          <w:color w:val="000000"/>
          <w:kern w:val="0"/>
          <w:sz w:val="32"/>
          <w:szCs w:val="32"/>
          <w:highlight w:val="none"/>
        </w:rPr>
        <w:t>项目支出</w:t>
      </w:r>
      <w:r>
        <w:rPr>
          <w:rFonts w:hint="eastAsia" w:ascii="宋体" w:hAnsi="宋体" w:eastAsia="宋体" w:cs="宋体"/>
          <w:color w:val="000000"/>
          <w:kern w:val="0"/>
          <w:sz w:val="32"/>
          <w:szCs w:val="32"/>
          <w:highlight w:val="none"/>
          <w:lang w:val="en-US" w:eastAsia="zh-CN"/>
        </w:rPr>
        <w:t>5.09</w:t>
      </w:r>
      <w:r>
        <w:rPr>
          <w:rFonts w:hint="eastAsia" w:ascii="宋体" w:hAnsi="宋体" w:eastAsia="宋体" w:cs="宋体"/>
          <w:color w:val="000000"/>
          <w:kern w:val="0"/>
          <w:sz w:val="32"/>
          <w:szCs w:val="32"/>
          <w:highlight w:val="none"/>
        </w:rPr>
        <w:t>万元，本年度无重点项目支出。根据预算绩效管理要求，我部门组织对202</w:t>
      </w: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年度一般公共预算项目支出全面开展绩效自评，其中，一级项目0个，二级项目3个，共涉及资金128.75万元，占一般公共预算项目支出总额的100%。2021年度</w:t>
      </w:r>
      <w:r>
        <w:rPr>
          <w:rFonts w:hint="eastAsia" w:ascii="宋体" w:hAnsi="宋体" w:eastAsia="宋体" w:cs="宋体"/>
          <w:color w:val="000000"/>
          <w:kern w:val="0"/>
          <w:sz w:val="32"/>
          <w:szCs w:val="32"/>
          <w:highlight w:val="none"/>
          <w:lang w:eastAsia="zh-CN"/>
        </w:rPr>
        <w:t>本</w:t>
      </w:r>
      <w:r>
        <w:rPr>
          <w:rFonts w:hint="eastAsia" w:ascii="宋体" w:hAnsi="宋体" w:eastAsia="宋体" w:cs="宋体"/>
          <w:color w:val="000000"/>
          <w:kern w:val="0"/>
          <w:sz w:val="32"/>
          <w:szCs w:val="32"/>
          <w:highlight w:val="none"/>
        </w:rPr>
        <w:t>单位未安排政府性基金预算项目和国有资本经营预算项目支出。</w:t>
      </w:r>
    </w:p>
    <w:p>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（2）部门决算中项目绩效自评结果。</w:t>
      </w:r>
    </w:p>
    <w:p>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2021年度项目绩效自评综述：根据年初设定的绩效目标，项目绩效自评得分为96分。项目全年预算数为</w:t>
      </w:r>
      <w:r>
        <w:rPr>
          <w:rFonts w:hint="eastAsia" w:ascii="宋体" w:hAnsi="宋体" w:eastAsia="宋体" w:cs="宋体"/>
          <w:color w:val="000000"/>
          <w:kern w:val="0"/>
          <w:sz w:val="32"/>
          <w:szCs w:val="32"/>
          <w:highlight w:val="none"/>
          <w:lang w:val="en-US" w:eastAsia="zh-CN"/>
        </w:rPr>
        <w:t>26.6</w:t>
      </w:r>
      <w:r>
        <w:rPr>
          <w:rFonts w:hint="eastAsia" w:ascii="宋体" w:hAnsi="宋体" w:eastAsia="宋体" w:cs="宋体"/>
          <w:color w:val="000000"/>
          <w:kern w:val="0"/>
          <w:sz w:val="32"/>
          <w:szCs w:val="32"/>
          <w:highlight w:val="none"/>
        </w:rPr>
        <w:t>万元，执行数为</w:t>
      </w:r>
      <w:r>
        <w:rPr>
          <w:rFonts w:hint="eastAsia" w:ascii="宋体" w:hAnsi="宋体" w:eastAsia="宋体" w:cs="宋体"/>
          <w:color w:val="000000"/>
          <w:kern w:val="0"/>
          <w:sz w:val="32"/>
          <w:szCs w:val="32"/>
          <w:highlight w:val="none"/>
          <w:lang w:val="en-US" w:eastAsia="zh-CN"/>
        </w:rPr>
        <w:t>25.02</w:t>
      </w:r>
      <w:r>
        <w:rPr>
          <w:rFonts w:hint="eastAsia" w:ascii="宋体" w:hAnsi="宋体" w:eastAsia="宋体" w:cs="宋体"/>
          <w:color w:val="000000"/>
          <w:kern w:val="0"/>
          <w:sz w:val="32"/>
          <w:szCs w:val="32"/>
          <w:highlight w:val="none"/>
        </w:rPr>
        <w:t>万元，完成预算的</w:t>
      </w:r>
      <w:r>
        <w:rPr>
          <w:rFonts w:hint="eastAsia" w:ascii="宋体" w:hAnsi="宋体" w:eastAsia="宋体" w:cs="宋体"/>
          <w:color w:val="000000"/>
          <w:kern w:val="0"/>
          <w:sz w:val="32"/>
          <w:szCs w:val="32"/>
          <w:highlight w:val="none"/>
          <w:lang w:val="en-US" w:eastAsia="zh-CN"/>
        </w:rPr>
        <w:t>94.06</w:t>
      </w:r>
      <w:r>
        <w:rPr>
          <w:rFonts w:hint="eastAsia" w:ascii="宋体" w:hAnsi="宋体" w:eastAsia="宋体" w:cs="宋体"/>
          <w:color w:val="000000"/>
          <w:kern w:val="0"/>
          <w:sz w:val="32"/>
          <w:szCs w:val="32"/>
          <w:highlight w:val="none"/>
        </w:rPr>
        <w:t>%。项目绩效目标全部完成。发现的主要问题及原因：一是预算执行率偏高；二是绩效指标值设置的不够科学。下一步改进措施：结合绩效目标和年度工作计划，进一步完善年度指标值设定，加强资金统筹。</w:t>
      </w:r>
    </w:p>
    <w:p>
      <w:pPr>
        <w:keepNext w:val="0"/>
        <w:keepLines w:val="0"/>
        <w:pageBreakBefore w:val="0"/>
        <w:widowControl w:val="0"/>
        <w:numPr>
          <w:ilvl w:val="0"/>
          <w:numId w:val="2"/>
        </w:numPr>
        <w:shd w:val="clea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部门评价项目绩效评价结果。</w:t>
      </w:r>
    </w:p>
    <w:p>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202</w:t>
      </w: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年度项目绩效评价综合得分96分，绩效评价结果为“优”，绩效评价报告详见附件。</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十四、国有资本经营预算财政拨款支出决算情况</w:t>
      </w:r>
    </w:p>
    <w:p>
      <w:pPr>
        <w:pStyle w:val="3"/>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eastAsia="宋体" w:cs="宋体"/>
          <w:highlight w:val="none"/>
          <w:lang w:val="en-US"/>
        </w:rPr>
      </w:pPr>
      <w:r>
        <w:rPr>
          <w:rFonts w:hint="eastAsia" w:ascii="宋体" w:hAnsi="宋体" w:eastAsia="宋体" w:cs="宋体"/>
          <w:color w:val="000000"/>
          <w:kern w:val="0"/>
          <w:sz w:val="32"/>
          <w:szCs w:val="32"/>
          <w:highlight w:val="none"/>
          <w:lang w:eastAsia="zh-CN"/>
        </w:rPr>
        <w:t>202</w:t>
      </w: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lang w:eastAsia="zh-CN"/>
        </w:rPr>
        <w:t>年度国有资本经营预算财政拨款收入</w:t>
      </w:r>
      <w:r>
        <w:rPr>
          <w:rFonts w:hint="eastAsia" w:ascii="宋体" w:hAnsi="宋体" w:eastAsia="宋体" w:cs="宋体"/>
          <w:color w:val="000000"/>
          <w:kern w:val="0"/>
          <w:sz w:val="32"/>
          <w:szCs w:val="32"/>
          <w:highlight w:val="none"/>
          <w:lang w:val="en-US" w:eastAsia="zh-CN"/>
        </w:rPr>
        <w:t>0万元，年初结转和结余0万元，</w:t>
      </w:r>
      <w:r>
        <w:rPr>
          <w:rFonts w:hint="eastAsia" w:ascii="宋体" w:hAnsi="宋体" w:eastAsia="宋体" w:cs="宋体"/>
          <w:color w:val="000000"/>
          <w:kern w:val="0"/>
          <w:sz w:val="32"/>
          <w:szCs w:val="32"/>
          <w:highlight w:val="none"/>
          <w:lang w:eastAsia="zh-CN"/>
        </w:rPr>
        <w:t>支出0万元，其中基本支出0万元，项目支出0万，年末结转和结余</w:t>
      </w:r>
      <w:r>
        <w:rPr>
          <w:rFonts w:hint="eastAsia" w:ascii="宋体" w:hAnsi="宋体" w:eastAsia="宋体" w:cs="宋体"/>
          <w:color w:val="000000"/>
          <w:kern w:val="0"/>
          <w:sz w:val="32"/>
          <w:szCs w:val="32"/>
          <w:highlight w:val="none"/>
          <w:lang w:val="en-US" w:eastAsia="zh-CN"/>
        </w:rPr>
        <w:t>0万元。</w:t>
      </w: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both"/>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both"/>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第四部分</w:t>
      </w:r>
    </w:p>
    <w:p>
      <w:pPr>
        <w:shd w:val="clear"/>
        <w:spacing w:line="360" w:lineRule="auto"/>
        <w:jc w:val="center"/>
        <w:rPr>
          <w:rFonts w:hint="eastAsia" w:ascii="宋体" w:hAnsi="宋体" w:eastAsia="宋体" w:cs="宋体"/>
          <w:b/>
          <w:bCs/>
          <w:color w:val="000000"/>
          <w:kern w:val="0"/>
          <w:sz w:val="70"/>
          <w:szCs w:val="70"/>
          <w:highlight w:val="none"/>
        </w:rPr>
      </w:pPr>
    </w:p>
    <w:p>
      <w:pPr>
        <w:shd w:val="clear"/>
        <w:spacing w:line="360" w:lineRule="auto"/>
        <w:jc w:val="center"/>
        <w:rPr>
          <w:rFonts w:hint="eastAsia" w:ascii="宋体" w:hAnsi="宋体" w:eastAsia="宋体" w:cs="宋体"/>
          <w:b/>
          <w:bCs/>
          <w:color w:val="000000"/>
          <w:kern w:val="0"/>
          <w:sz w:val="70"/>
          <w:szCs w:val="70"/>
          <w:highlight w:val="none"/>
        </w:rPr>
      </w:pPr>
      <w:r>
        <w:rPr>
          <w:rFonts w:hint="eastAsia" w:ascii="宋体" w:hAnsi="宋体" w:eastAsia="宋体" w:cs="宋体"/>
          <w:b/>
          <w:bCs/>
          <w:color w:val="000000"/>
          <w:kern w:val="0"/>
          <w:sz w:val="70"/>
          <w:szCs w:val="70"/>
          <w:highlight w:val="none"/>
        </w:rPr>
        <w:t>名词解释</w:t>
      </w:r>
    </w:p>
    <w:p>
      <w:pPr>
        <w:widowControl/>
        <w:shd w:val="clear"/>
        <w:spacing w:line="360" w:lineRule="auto"/>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70"/>
          <w:szCs w:val="70"/>
          <w:highlight w:val="none"/>
        </w:rPr>
        <w:br w:type="page"/>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1.财政拨款收入：指市级财政当年拨付的资金。</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2.上级补助收入：指单位从主管部门和上级单位取得的非财政性补助收入。</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3.事业收入：指事业单位开展专业业务活动及辅助活动所取得的收入。</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4.经营收入：指事业单位在专业业务活动及辅助活动之外开展非独立核算经营活动取得的收入。</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5.附属单位上缴收入：指单位附属的独立核算单位按照上缴的收入。</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6.其他收入：指除上述“财政拨款收入”、“上级补助收入”、“事业收入”、“经营收入”、“附属单位上缴收入”等以外的收入。</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7.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8.上年结转和结余：指以前年度尚未完成、结转到本年按有关规定继续使用的资金。</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9.结余分配：指事业单位按规定对非财政补助结余资金提取的职工福利基金、事业基金和缴纳的所得税，以及减少单位按规定应缴回的基本建设竣工项目结余资金。</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10.年末结转和结余资金：指本年度或以前年度预算安排、因客观条件发生变化无法按原计划实施，需要延迟到以后年度按有关规定继续使用的资金。</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11.基本支出：指保障机构正常运转、完成支日常工作任务而发生的人员支出和公用支出。</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12.项目支出：指在基本支出之外为完成特定行政任务和事业发展目标所发生的支出。</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13.经营支出：指事业单位在专业业务活动及其辅助活动之外开展非独立核算经营活动发生的支出。</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14、上缴上级支出：指事业单位按照财政部门和主管部门的规定上缴上级单位的支出。（可结合部门实际支出情况举例说明）</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15、对附属单位补助支出：指事业单位用财政补助收入之外的收入对附属单位补助发生的支出。</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16.“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17.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widowControl/>
        <w:shd w:val="clear" w:color="auto"/>
        <w:spacing w:after="335" w:line="600" w:lineRule="exact"/>
        <w:ind w:firstLine="703"/>
        <w:jc w:val="left"/>
        <w:rPr>
          <w:rFonts w:hint="eastAsia" w:ascii="宋体" w:hAnsi="宋体" w:eastAsia="宋体" w:cs="宋体"/>
          <w:color w:val="333333"/>
          <w:kern w:val="0"/>
          <w:sz w:val="32"/>
          <w:szCs w:val="32"/>
          <w:highlight w:val="none"/>
          <w:shd w:val="clear" w:color="auto" w:fill="FFFFFF"/>
        </w:rPr>
      </w:pPr>
      <w:r>
        <w:rPr>
          <w:rFonts w:hint="eastAsia" w:ascii="宋体" w:hAnsi="宋体" w:eastAsia="宋体" w:cs="宋体"/>
          <w:color w:val="333333"/>
          <w:kern w:val="0"/>
          <w:sz w:val="32"/>
          <w:szCs w:val="32"/>
          <w:highlight w:val="none"/>
          <w:shd w:val="clear" w:color="auto" w:fill="FFFFFF"/>
        </w:rPr>
        <w:t>18.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sz w:val="72"/>
          <w:szCs w:val="72"/>
          <w:highlight w:val="none"/>
        </w:rPr>
      </w:pPr>
    </w:p>
    <w:p>
      <w:pPr>
        <w:pStyle w:val="16"/>
        <w:shd w:val="clea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第五部分</w:t>
      </w:r>
    </w:p>
    <w:p>
      <w:pPr>
        <w:shd w:val="clear"/>
        <w:spacing w:line="360" w:lineRule="auto"/>
        <w:jc w:val="center"/>
        <w:rPr>
          <w:rFonts w:hint="eastAsia" w:ascii="宋体" w:hAnsi="宋体" w:eastAsia="宋体" w:cs="宋体"/>
          <w:b/>
          <w:bCs/>
          <w:color w:val="000000"/>
          <w:kern w:val="0"/>
          <w:sz w:val="70"/>
          <w:szCs w:val="70"/>
          <w:highlight w:val="none"/>
        </w:rPr>
      </w:pPr>
    </w:p>
    <w:p>
      <w:pPr>
        <w:shd w:val="clear"/>
        <w:spacing w:line="360" w:lineRule="auto"/>
        <w:jc w:val="center"/>
        <w:rPr>
          <w:rFonts w:hint="eastAsia" w:ascii="宋体" w:hAnsi="宋体" w:eastAsia="宋体" w:cs="宋体"/>
          <w:b/>
          <w:bCs/>
          <w:color w:val="000000"/>
          <w:kern w:val="0"/>
          <w:sz w:val="70"/>
          <w:szCs w:val="70"/>
          <w:highlight w:val="none"/>
        </w:rPr>
      </w:pPr>
      <w:r>
        <w:rPr>
          <w:rFonts w:hint="eastAsia" w:ascii="宋体" w:hAnsi="宋体" w:eastAsia="宋体" w:cs="宋体"/>
          <w:b/>
          <w:bCs/>
          <w:color w:val="000000"/>
          <w:kern w:val="0"/>
          <w:sz w:val="70"/>
          <w:szCs w:val="70"/>
          <w:highlight w:val="none"/>
        </w:rPr>
        <w:t>附件</w:t>
      </w:r>
    </w:p>
    <w:p>
      <w:pPr>
        <w:widowControl/>
        <w:shd w:val="clear"/>
        <w:spacing w:line="360" w:lineRule="auto"/>
        <w:jc w:val="left"/>
        <w:rPr>
          <w:rFonts w:hint="eastAsia" w:ascii="宋体" w:hAnsi="宋体" w:eastAsia="宋体" w:cs="宋体"/>
          <w:b/>
          <w:bCs/>
          <w:color w:val="000000"/>
          <w:kern w:val="0"/>
          <w:sz w:val="70"/>
          <w:szCs w:val="70"/>
          <w:highlight w:val="none"/>
        </w:rPr>
      </w:pPr>
      <w:r>
        <w:rPr>
          <w:rFonts w:hint="eastAsia" w:ascii="宋体" w:hAnsi="宋体" w:eastAsia="宋体" w:cs="宋体"/>
          <w:b/>
          <w:bCs/>
          <w:color w:val="000000"/>
          <w:kern w:val="0"/>
          <w:sz w:val="70"/>
          <w:szCs w:val="70"/>
          <w:highlight w:val="none"/>
        </w:rPr>
        <w:br w:type="page"/>
      </w:r>
    </w:p>
    <w:p>
      <w:pPr>
        <w:shd w:val="clear"/>
        <w:spacing w:line="580" w:lineRule="exact"/>
        <w:jc w:val="center"/>
        <w:rPr>
          <w:rFonts w:hint="eastAsia" w:ascii="宋体" w:hAnsi="宋体" w:eastAsia="宋体" w:cs="宋体"/>
          <w:b/>
          <w:color w:val="000000"/>
          <w:kern w:val="0"/>
          <w:sz w:val="44"/>
          <w:szCs w:val="44"/>
          <w:highlight w:val="none"/>
        </w:rPr>
      </w:pPr>
      <w:r>
        <w:rPr>
          <w:rFonts w:hint="eastAsia" w:ascii="宋体" w:hAnsi="宋体" w:eastAsia="宋体" w:cs="宋体"/>
          <w:b/>
          <w:color w:val="000000"/>
          <w:kern w:val="0"/>
          <w:sz w:val="44"/>
          <w:szCs w:val="44"/>
          <w:highlight w:val="none"/>
        </w:rPr>
        <w:t>202</w:t>
      </w:r>
      <w:r>
        <w:rPr>
          <w:rFonts w:hint="eastAsia" w:ascii="宋体" w:hAnsi="宋体" w:eastAsia="宋体" w:cs="宋体"/>
          <w:b/>
          <w:color w:val="000000"/>
          <w:kern w:val="0"/>
          <w:sz w:val="44"/>
          <w:szCs w:val="44"/>
          <w:highlight w:val="none"/>
          <w:lang w:val="en-US" w:eastAsia="zh-CN"/>
        </w:rPr>
        <w:t>2</w:t>
      </w:r>
      <w:r>
        <w:rPr>
          <w:rFonts w:hint="eastAsia" w:ascii="宋体" w:hAnsi="宋体" w:eastAsia="宋体" w:cs="宋体"/>
          <w:b/>
          <w:color w:val="000000"/>
          <w:kern w:val="0"/>
          <w:sz w:val="44"/>
          <w:szCs w:val="44"/>
          <w:highlight w:val="none"/>
        </w:rPr>
        <w:t>年度部门整体支出绩效评价报告</w:t>
      </w:r>
    </w:p>
    <w:p>
      <w:pPr>
        <w:shd w:val="clear"/>
        <w:spacing w:line="580" w:lineRule="exact"/>
        <w:rPr>
          <w:rFonts w:hint="eastAsia" w:ascii="宋体" w:hAnsi="宋体" w:eastAsia="宋体" w:cs="宋体"/>
          <w:b/>
          <w:sz w:val="44"/>
          <w:szCs w:val="44"/>
          <w:highlight w:val="none"/>
        </w:rPr>
      </w:pPr>
    </w:p>
    <w:p>
      <w:pPr>
        <w:shd w:val="clear"/>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为加强预算绩效管理，强化预算支出绩效责任，提高财政资金使用效益，根据《中共湖南省省委办公厅湖南省人民政府办公厅关于全面实施预算绩效管理的实施意见》（湘办发【2019】10号）、《会同县财政局关于开展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年度本级财政资金绩效自评工作的通知》（会财绩【2022】11号），202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年度，会同县</w:t>
      </w:r>
      <w:r>
        <w:rPr>
          <w:rFonts w:hint="eastAsia" w:ascii="宋体" w:hAnsi="宋体" w:eastAsia="宋体" w:cs="宋体"/>
          <w:sz w:val="32"/>
          <w:szCs w:val="32"/>
          <w:highlight w:val="none"/>
          <w:lang w:eastAsia="zh-CN"/>
        </w:rPr>
        <w:t>炎帝文化研究所</w:t>
      </w:r>
      <w:r>
        <w:rPr>
          <w:rFonts w:hint="eastAsia" w:ascii="宋体" w:hAnsi="宋体" w:eastAsia="宋体" w:cs="宋体"/>
          <w:sz w:val="32"/>
          <w:szCs w:val="32"/>
          <w:highlight w:val="none"/>
        </w:rPr>
        <w:t>坚持以执行预算为中心，以节约费用为重点，抓好单位财务管理工作，现就202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年整体支出绩效自评如下：</w:t>
      </w:r>
    </w:p>
    <w:p>
      <w:pPr>
        <w:shd w:val="clear"/>
        <w:autoSpaceDN w:val="0"/>
        <w:spacing w:line="580" w:lineRule="exact"/>
        <w:ind w:firstLine="643"/>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一、县</w:t>
      </w:r>
      <w:r>
        <w:rPr>
          <w:rFonts w:hint="eastAsia" w:ascii="宋体" w:hAnsi="宋体" w:eastAsia="宋体" w:cs="宋体"/>
          <w:b/>
          <w:bCs/>
          <w:sz w:val="32"/>
          <w:szCs w:val="32"/>
          <w:highlight w:val="none"/>
          <w:lang w:eastAsia="zh-CN"/>
        </w:rPr>
        <w:t>炎帝办</w:t>
      </w:r>
      <w:r>
        <w:rPr>
          <w:rFonts w:hint="eastAsia" w:ascii="宋体" w:hAnsi="宋体" w:eastAsia="宋体" w:cs="宋体"/>
          <w:b/>
          <w:bCs/>
          <w:sz w:val="32"/>
          <w:szCs w:val="32"/>
          <w:highlight w:val="none"/>
        </w:rPr>
        <w:t>的主要职责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i w:val="0"/>
          <w:iCs w:val="0"/>
          <w:caps w:val="0"/>
          <w:color w:val="000000"/>
          <w:spacing w:val="0"/>
          <w:sz w:val="32"/>
          <w:szCs w:val="32"/>
          <w:highlight w:val="none"/>
        </w:rPr>
      </w:pPr>
      <w:r>
        <w:rPr>
          <w:rFonts w:hint="eastAsia" w:ascii="宋体" w:hAnsi="宋体" w:eastAsia="宋体" w:cs="宋体"/>
          <w:i w:val="0"/>
          <w:iCs w:val="0"/>
          <w:caps w:val="0"/>
          <w:color w:val="000000"/>
          <w:spacing w:val="0"/>
          <w:sz w:val="32"/>
          <w:szCs w:val="32"/>
          <w:highlight w:val="none"/>
        </w:rPr>
        <w:t>宣传、贯彻上级有关民间文化法律法规和政策，弘扬社会主义先进文化；拟定我县民间文化的抢救和发展规划，并组织实施；负责我县民间文化的挖掘、收集、整理、研究；配合相关部门做好民间文化的保护，并协助做好非物质文化遗产保护申报工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i w:val="0"/>
          <w:iCs w:val="0"/>
          <w:caps w:val="0"/>
          <w:color w:val="000000"/>
          <w:spacing w:val="0"/>
          <w:sz w:val="32"/>
          <w:szCs w:val="32"/>
          <w:highlight w:val="none"/>
        </w:rPr>
      </w:pPr>
      <w:r>
        <w:rPr>
          <w:rFonts w:hint="eastAsia" w:ascii="宋体" w:hAnsi="宋体" w:eastAsia="宋体" w:cs="宋体"/>
          <w:i w:val="0"/>
          <w:iCs w:val="0"/>
          <w:caps w:val="0"/>
          <w:color w:val="000000"/>
          <w:spacing w:val="0"/>
          <w:sz w:val="32"/>
          <w:szCs w:val="32"/>
          <w:highlight w:val="none"/>
          <w:lang w:val="en-US" w:eastAsia="zh-CN"/>
        </w:rPr>
        <w:t>二、</w:t>
      </w:r>
      <w:r>
        <w:rPr>
          <w:rFonts w:hint="eastAsia" w:ascii="宋体" w:hAnsi="宋体" w:eastAsia="宋体" w:cs="宋体"/>
          <w:i w:val="0"/>
          <w:iCs w:val="0"/>
          <w:caps w:val="0"/>
          <w:color w:val="000000"/>
          <w:spacing w:val="0"/>
          <w:sz w:val="32"/>
          <w:szCs w:val="32"/>
          <w:highlight w:val="none"/>
        </w:rPr>
        <w:t>主要工作任务及目标是：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i w:val="0"/>
          <w:iCs w:val="0"/>
          <w:caps w:val="0"/>
          <w:color w:val="000000"/>
          <w:spacing w:val="0"/>
          <w:sz w:val="32"/>
          <w:szCs w:val="32"/>
          <w:highlight w:val="none"/>
        </w:rPr>
      </w:pPr>
      <w:r>
        <w:rPr>
          <w:rFonts w:hint="eastAsia" w:ascii="宋体" w:hAnsi="宋体" w:eastAsia="宋体" w:cs="宋体"/>
          <w:i w:val="0"/>
          <w:iCs w:val="0"/>
          <w:caps w:val="0"/>
          <w:color w:val="000000"/>
          <w:spacing w:val="0"/>
          <w:sz w:val="32"/>
          <w:szCs w:val="32"/>
          <w:highlight w:val="none"/>
        </w:rPr>
        <w:t>扎实开展本土民俗文化研究、非物质文化遗产保护、传统文化村落建设等各方面的工作，为构建富裕文明和谐新会同作贡献。</w:t>
      </w:r>
    </w:p>
    <w:p>
      <w:pPr>
        <w:shd w:val="clear"/>
        <w:autoSpaceDN w:val="0"/>
        <w:spacing w:line="580"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三、</w:t>
      </w:r>
      <w:r>
        <w:rPr>
          <w:rFonts w:hint="eastAsia" w:ascii="宋体" w:hAnsi="宋体" w:eastAsia="宋体" w:cs="宋体"/>
          <w:color w:val="000000"/>
          <w:sz w:val="32"/>
          <w:szCs w:val="32"/>
          <w:highlight w:val="none"/>
        </w:rPr>
        <w:t>承办县委、县人民政府交办的其他事项。</w:t>
      </w:r>
    </w:p>
    <w:p>
      <w:pPr>
        <w:shd w:val="clear"/>
        <w:spacing w:line="580" w:lineRule="exact"/>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四</w:t>
      </w:r>
      <w:r>
        <w:rPr>
          <w:rFonts w:hint="eastAsia" w:ascii="宋体" w:hAnsi="宋体" w:eastAsia="宋体" w:cs="宋体"/>
          <w:b/>
          <w:sz w:val="32"/>
          <w:szCs w:val="32"/>
          <w:highlight w:val="none"/>
        </w:rPr>
        <w:t>、年初预算安排情况</w:t>
      </w:r>
    </w:p>
    <w:p>
      <w:pPr>
        <w:shd w:val="clear"/>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县本级安排县财政局预算收入</w:t>
      </w:r>
      <w:r>
        <w:rPr>
          <w:rFonts w:hint="eastAsia" w:ascii="宋体" w:hAnsi="宋体" w:eastAsia="宋体" w:cs="宋体"/>
          <w:sz w:val="32"/>
          <w:szCs w:val="32"/>
          <w:highlight w:val="none"/>
          <w:lang w:val="en-US" w:eastAsia="zh-CN"/>
        </w:rPr>
        <w:t>26.60</w:t>
      </w:r>
      <w:r>
        <w:rPr>
          <w:rFonts w:hint="eastAsia" w:ascii="宋体" w:hAnsi="宋体" w:eastAsia="宋体" w:cs="宋体"/>
          <w:sz w:val="32"/>
          <w:szCs w:val="32"/>
          <w:highlight w:val="none"/>
        </w:rPr>
        <w:t>万元，其中：工资福利性支出为</w:t>
      </w:r>
      <w:r>
        <w:rPr>
          <w:rFonts w:hint="eastAsia" w:ascii="宋体" w:hAnsi="宋体" w:eastAsia="宋体" w:cs="宋体"/>
          <w:sz w:val="32"/>
          <w:szCs w:val="32"/>
          <w:highlight w:val="none"/>
          <w:lang w:val="en-US" w:eastAsia="zh-CN"/>
        </w:rPr>
        <w:t>22.10</w:t>
      </w:r>
      <w:r>
        <w:rPr>
          <w:rFonts w:hint="eastAsia" w:ascii="宋体" w:hAnsi="宋体" w:eastAsia="宋体" w:cs="宋体"/>
          <w:sz w:val="32"/>
          <w:szCs w:val="32"/>
          <w:highlight w:val="none"/>
        </w:rPr>
        <w:t>万元，占预算收入的</w:t>
      </w:r>
      <w:r>
        <w:rPr>
          <w:rFonts w:hint="eastAsia" w:ascii="宋体" w:hAnsi="宋体" w:eastAsia="宋体" w:cs="宋体"/>
          <w:sz w:val="32"/>
          <w:szCs w:val="32"/>
          <w:highlight w:val="none"/>
          <w:lang w:val="en-US" w:eastAsia="zh-CN"/>
        </w:rPr>
        <w:t>93.08</w:t>
      </w:r>
      <w:r>
        <w:rPr>
          <w:rFonts w:hint="eastAsia" w:ascii="宋体" w:hAnsi="宋体" w:eastAsia="宋体" w:cs="宋体"/>
          <w:sz w:val="32"/>
          <w:szCs w:val="32"/>
          <w:highlight w:val="none"/>
        </w:rPr>
        <w:t>%；公用经费</w:t>
      </w:r>
      <w:r>
        <w:rPr>
          <w:rFonts w:hint="eastAsia" w:ascii="宋体" w:hAnsi="宋体" w:eastAsia="宋体" w:cs="宋体"/>
          <w:sz w:val="32"/>
          <w:szCs w:val="32"/>
          <w:highlight w:val="none"/>
          <w:lang w:val="en-US" w:eastAsia="zh-CN"/>
        </w:rPr>
        <w:t>2.9</w:t>
      </w:r>
      <w:r>
        <w:rPr>
          <w:rFonts w:hint="eastAsia" w:ascii="宋体" w:hAnsi="宋体" w:eastAsia="宋体" w:cs="宋体"/>
          <w:sz w:val="32"/>
          <w:szCs w:val="32"/>
          <w:highlight w:val="none"/>
        </w:rPr>
        <w:t>万元（其中“三公”经费预算</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万元，公务接待费为</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万元、公务用车运行维护费为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万元），占预算收入的</w:t>
      </w:r>
      <w:r>
        <w:rPr>
          <w:rFonts w:hint="eastAsia" w:ascii="宋体" w:hAnsi="宋体" w:eastAsia="宋体" w:cs="宋体"/>
          <w:sz w:val="32"/>
          <w:szCs w:val="32"/>
          <w:highlight w:val="none"/>
          <w:lang w:val="en-US" w:eastAsia="zh-CN"/>
        </w:rPr>
        <w:t>10.9</w:t>
      </w:r>
      <w:r>
        <w:rPr>
          <w:rFonts w:hint="eastAsia" w:ascii="宋体" w:hAnsi="宋体" w:eastAsia="宋体" w:cs="宋体"/>
          <w:sz w:val="32"/>
          <w:szCs w:val="32"/>
          <w:highlight w:val="none"/>
        </w:rPr>
        <w:t>%；项目支出</w:t>
      </w:r>
      <w:r>
        <w:rPr>
          <w:rFonts w:hint="eastAsia" w:ascii="宋体" w:hAnsi="宋体" w:eastAsia="宋体" w:cs="宋体"/>
          <w:sz w:val="32"/>
          <w:szCs w:val="32"/>
          <w:highlight w:val="none"/>
          <w:lang w:val="en-US" w:eastAsia="zh-CN"/>
        </w:rPr>
        <w:t>1.6</w:t>
      </w:r>
      <w:r>
        <w:rPr>
          <w:rFonts w:hint="eastAsia" w:ascii="宋体" w:hAnsi="宋体" w:eastAsia="宋体" w:cs="宋体"/>
          <w:sz w:val="32"/>
          <w:szCs w:val="32"/>
          <w:highlight w:val="none"/>
        </w:rPr>
        <w:t>万元，占预算收入的</w:t>
      </w:r>
      <w:r>
        <w:rPr>
          <w:rFonts w:hint="eastAsia" w:ascii="宋体" w:hAnsi="宋体" w:eastAsia="宋体" w:cs="宋体"/>
          <w:sz w:val="32"/>
          <w:szCs w:val="32"/>
          <w:highlight w:val="none"/>
          <w:lang w:val="en-US" w:eastAsia="zh-CN"/>
        </w:rPr>
        <w:t>6.02</w:t>
      </w:r>
      <w:r>
        <w:rPr>
          <w:rFonts w:hint="eastAsia" w:ascii="宋体" w:hAnsi="宋体" w:eastAsia="宋体" w:cs="宋体"/>
          <w:sz w:val="32"/>
          <w:szCs w:val="32"/>
          <w:highlight w:val="none"/>
        </w:rPr>
        <w:t>%，基本能够保障</w:t>
      </w:r>
      <w:r>
        <w:rPr>
          <w:rFonts w:hint="eastAsia" w:ascii="宋体" w:hAnsi="宋体" w:eastAsia="宋体" w:cs="宋体"/>
          <w:sz w:val="32"/>
          <w:szCs w:val="32"/>
          <w:highlight w:val="none"/>
          <w:lang w:eastAsia="zh-CN"/>
        </w:rPr>
        <w:t>本单位</w:t>
      </w:r>
      <w:r>
        <w:rPr>
          <w:rFonts w:hint="eastAsia" w:ascii="宋体" w:hAnsi="宋体" w:eastAsia="宋体" w:cs="宋体"/>
          <w:sz w:val="32"/>
          <w:szCs w:val="32"/>
          <w:highlight w:val="none"/>
        </w:rPr>
        <w:t>履行主要工作职责。</w:t>
      </w:r>
    </w:p>
    <w:p>
      <w:pPr>
        <w:shd w:val="clear"/>
        <w:spacing w:line="580" w:lineRule="exact"/>
        <w:ind w:left="638" w:leftChars="304" w:firstLine="0" w:firstLineChars="0"/>
        <w:rPr>
          <w:rFonts w:hint="eastAsia" w:ascii="宋体" w:hAnsi="宋体" w:eastAsia="宋体" w:cs="宋体"/>
          <w:b/>
          <w:sz w:val="32"/>
          <w:szCs w:val="32"/>
          <w:highlight w:val="none"/>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年度“三公”经费预算数</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万元，其中：公务接待</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b/>
          <w:sz w:val="32"/>
          <w:szCs w:val="32"/>
          <w:highlight w:val="none"/>
          <w:lang w:eastAsia="zh-CN"/>
        </w:rPr>
        <w:t>五</w:t>
      </w:r>
      <w:r>
        <w:rPr>
          <w:rFonts w:hint="eastAsia" w:ascii="宋体" w:hAnsi="宋体" w:eastAsia="宋体" w:cs="宋体"/>
          <w:b/>
          <w:sz w:val="32"/>
          <w:szCs w:val="32"/>
          <w:highlight w:val="none"/>
        </w:rPr>
        <w:t>、本年预算执行情况</w:t>
      </w:r>
    </w:p>
    <w:p>
      <w:pPr>
        <w:shd w:val="clear"/>
        <w:spacing w:line="58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年本年收入为</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万元，其中：年初预算数</w:t>
      </w:r>
      <w:r>
        <w:rPr>
          <w:rFonts w:hint="eastAsia" w:ascii="宋体" w:hAnsi="宋体" w:eastAsia="宋体" w:cs="宋体"/>
          <w:sz w:val="32"/>
          <w:szCs w:val="32"/>
          <w:highlight w:val="none"/>
          <w:lang w:val="en-US" w:eastAsia="zh-CN"/>
        </w:rPr>
        <w:t>26.60</w:t>
      </w:r>
      <w:r>
        <w:rPr>
          <w:rFonts w:hint="eastAsia" w:ascii="宋体" w:hAnsi="宋体" w:eastAsia="宋体" w:cs="宋体"/>
          <w:sz w:val="32"/>
          <w:szCs w:val="32"/>
          <w:highlight w:val="none"/>
        </w:rPr>
        <w:t>万</w:t>
      </w:r>
      <w:r>
        <w:rPr>
          <w:rFonts w:hint="eastAsia" w:ascii="宋体" w:hAnsi="宋体" w:eastAsia="宋体" w:cs="宋体"/>
          <w:sz w:val="32"/>
          <w:szCs w:val="32"/>
          <w:highlight w:val="none"/>
          <w:lang w:eastAsia="zh-CN"/>
        </w:rPr>
        <w:t>。</w:t>
      </w:r>
    </w:p>
    <w:p>
      <w:pPr>
        <w:shd w:val="clear"/>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b/>
          <w:sz w:val="32"/>
          <w:szCs w:val="32"/>
          <w:highlight w:val="none"/>
        </w:rPr>
        <w:t>支出方面</w:t>
      </w:r>
      <w:r>
        <w:rPr>
          <w:rFonts w:hint="eastAsia" w:ascii="宋体" w:hAnsi="宋体" w:eastAsia="宋体" w:cs="宋体"/>
          <w:sz w:val="32"/>
          <w:szCs w:val="32"/>
          <w:highlight w:val="none"/>
        </w:rPr>
        <w:t>：本年实际财政拔款支出为</w:t>
      </w:r>
      <w:r>
        <w:rPr>
          <w:rFonts w:hint="eastAsia" w:ascii="宋体" w:hAnsi="宋体" w:eastAsia="宋体" w:cs="宋体"/>
          <w:sz w:val="32"/>
          <w:szCs w:val="32"/>
          <w:highlight w:val="none"/>
          <w:lang w:val="en-US" w:eastAsia="zh-CN"/>
        </w:rPr>
        <w:t>25.02</w:t>
      </w:r>
      <w:r>
        <w:rPr>
          <w:rFonts w:hint="eastAsia" w:ascii="宋体" w:hAnsi="宋体" w:eastAsia="宋体" w:cs="宋体"/>
          <w:sz w:val="32"/>
          <w:szCs w:val="32"/>
          <w:highlight w:val="none"/>
        </w:rPr>
        <w:t>万元，为全年收入的100%。其中：基本支出</w:t>
      </w:r>
      <w:r>
        <w:rPr>
          <w:rFonts w:hint="eastAsia" w:ascii="宋体" w:hAnsi="宋体" w:eastAsia="宋体" w:cs="宋体"/>
          <w:sz w:val="32"/>
          <w:szCs w:val="32"/>
          <w:highlight w:val="none"/>
          <w:lang w:val="en-US" w:eastAsia="zh-CN"/>
        </w:rPr>
        <w:t>19.9</w:t>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t>万元（人员经费</w:t>
      </w:r>
      <w:r>
        <w:rPr>
          <w:rFonts w:hint="eastAsia" w:ascii="宋体" w:hAnsi="宋体" w:eastAsia="宋体" w:cs="宋体"/>
          <w:sz w:val="32"/>
          <w:szCs w:val="32"/>
          <w:highlight w:val="none"/>
          <w:lang w:val="en-US" w:eastAsia="zh-CN"/>
        </w:rPr>
        <w:t>17.1</w:t>
      </w: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rPr>
        <w:t>万元、日常公用经费</w:t>
      </w:r>
      <w:r>
        <w:rPr>
          <w:rFonts w:hint="eastAsia" w:ascii="宋体" w:hAnsi="宋体" w:eastAsia="宋体" w:cs="宋体"/>
          <w:sz w:val="32"/>
          <w:szCs w:val="32"/>
          <w:highlight w:val="none"/>
          <w:lang w:val="en-US" w:eastAsia="zh-CN"/>
        </w:rPr>
        <w:t>2.77</w:t>
      </w:r>
      <w:r>
        <w:rPr>
          <w:rFonts w:hint="eastAsia" w:ascii="宋体" w:hAnsi="宋体" w:eastAsia="宋体" w:cs="宋体"/>
          <w:sz w:val="32"/>
          <w:szCs w:val="32"/>
          <w:highlight w:val="none"/>
        </w:rPr>
        <w:t>万元），为全年收入的</w:t>
      </w:r>
      <w:r>
        <w:rPr>
          <w:rFonts w:hint="eastAsia" w:ascii="宋体" w:hAnsi="宋体" w:eastAsia="宋体" w:cs="宋体"/>
          <w:sz w:val="32"/>
          <w:szCs w:val="32"/>
          <w:highlight w:val="none"/>
          <w:lang w:val="en-US" w:eastAsia="zh-CN"/>
        </w:rPr>
        <w:t>79.</w:t>
      </w:r>
      <w:r>
        <w:rPr>
          <w:rFonts w:hint="eastAsia" w:ascii="宋体" w:hAnsi="宋体" w:cs="宋体"/>
          <w:sz w:val="32"/>
          <w:szCs w:val="32"/>
          <w:highlight w:val="none"/>
          <w:lang w:val="en-US" w:eastAsia="zh-CN"/>
        </w:rPr>
        <w:t>66</w:t>
      </w:r>
      <w:r>
        <w:rPr>
          <w:rFonts w:hint="eastAsia" w:ascii="宋体" w:hAnsi="宋体" w:eastAsia="宋体" w:cs="宋体"/>
          <w:sz w:val="32"/>
          <w:szCs w:val="32"/>
          <w:highlight w:val="none"/>
        </w:rPr>
        <w:t>%；项目支出</w:t>
      </w:r>
      <w:r>
        <w:rPr>
          <w:rFonts w:hint="eastAsia" w:ascii="宋体" w:hAnsi="宋体" w:eastAsia="宋体" w:cs="宋体"/>
          <w:sz w:val="32"/>
          <w:szCs w:val="32"/>
          <w:highlight w:val="none"/>
          <w:lang w:val="en-US" w:eastAsia="zh-CN"/>
        </w:rPr>
        <w:t>5.09</w:t>
      </w:r>
      <w:r>
        <w:rPr>
          <w:rFonts w:hint="eastAsia" w:ascii="宋体" w:hAnsi="宋体" w:eastAsia="宋体" w:cs="宋体"/>
          <w:sz w:val="32"/>
          <w:szCs w:val="32"/>
          <w:highlight w:val="none"/>
        </w:rPr>
        <w:t>万元，为全年收入的</w:t>
      </w:r>
      <w:r>
        <w:rPr>
          <w:rFonts w:hint="eastAsia" w:ascii="宋体" w:hAnsi="宋体" w:eastAsia="宋体" w:cs="宋体"/>
          <w:sz w:val="32"/>
          <w:szCs w:val="32"/>
          <w:highlight w:val="none"/>
          <w:lang w:val="en-US" w:eastAsia="zh-CN"/>
        </w:rPr>
        <w:t>20.34</w:t>
      </w:r>
      <w:r>
        <w:rPr>
          <w:rFonts w:hint="eastAsia" w:ascii="宋体" w:hAnsi="宋体" w:eastAsia="宋体" w:cs="宋体"/>
          <w:sz w:val="32"/>
          <w:szCs w:val="32"/>
          <w:highlight w:val="none"/>
        </w:rPr>
        <w:t>%。</w:t>
      </w:r>
    </w:p>
    <w:p>
      <w:pPr>
        <w:pStyle w:val="17"/>
        <w:shd w:val="clear"/>
        <w:spacing w:line="580" w:lineRule="exact"/>
        <w:ind w:firstLine="640"/>
        <w:rPr>
          <w:rFonts w:hint="eastAsia" w:ascii="宋体" w:hAnsi="宋体" w:eastAsia="宋体" w:cs="宋体"/>
          <w:sz w:val="32"/>
          <w:szCs w:val="32"/>
          <w:highlight w:val="none"/>
        </w:rPr>
      </w:pPr>
      <w:r>
        <w:rPr>
          <w:rFonts w:hint="eastAsia" w:ascii="宋体" w:hAnsi="宋体" w:eastAsia="宋体" w:cs="宋体"/>
          <w:sz w:val="32"/>
          <w:szCs w:val="32"/>
          <w:highlight w:val="none"/>
        </w:rPr>
        <w:t>（一）基本支出</w:t>
      </w:r>
      <w:r>
        <w:rPr>
          <w:rFonts w:hint="eastAsia" w:ascii="宋体" w:hAnsi="宋体" w:eastAsia="宋体" w:cs="宋体"/>
          <w:sz w:val="32"/>
          <w:szCs w:val="32"/>
          <w:highlight w:val="none"/>
          <w:lang w:val="en-US" w:eastAsia="zh-CN"/>
        </w:rPr>
        <w:t>19.92</w:t>
      </w:r>
      <w:r>
        <w:rPr>
          <w:rFonts w:hint="eastAsia" w:ascii="宋体" w:hAnsi="宋体" w:eastAsia="宋体" w:cs="宋体"/>
          <w:sz w:val="32"/>
          <w:szCs w:val="32"/>
          <w:highlight w:val="none"/>
        </w:rPr>
        <w:t>万元，为全年收入的</w:t>
      </w:r>
      <w:r>
        <w:rPr>
          <w:rFonts w:hint="eastAsia" w:ascii="宋体" w:hAnsi="宋体" w:eastAsia="宋体" w:cs="宋体"/>
          <w:sz w:val="32"/>
          <w:szCs w:val="32"/>
          <w:highlight w:val="none"/>
          <w:lang w:val="en-US" w:eastAsia="zh-CN"/>
        </w:rPr>
        <w:t>79.62</w:t>
      </w:r>
      <w:r>
        <w:rPr>
          <w:rFonts w:hint="eastAsia" w:ascii="宋体" w:hAnsi="宋体" w:eastAsia="宋体" w:cs="宋体"/>
          <w:sz w:val="32"/>
          <w:szCs w:val="32"/>
          <w:highlight w:val="none"/>
        </w:rPr>
        <w:t>%：</w:t>
      </w:r>
    </w:p>
    <w:p>
      <w:pPr>
        <w:shd w:val="clear"/>
        <w:spacing w:line="580" w:lineRule="exact"/>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1.工资福利支出</w:t>
      </w:r>
      <w:r>
        <w:rPr>
          <w:rFonts w:hint="eastAsia" w:ascii="宋体" w:hAnsi="宋体" w:eastAsia="宋体" w:cs="宋体"/>
          <w:sz w:val="32"/>
          <w:szCs w:val="32"/>
          <w:highlight w:val="none"/>
          <w:lang w:val="en-US" w:eastAsia="zh-CN"/>
        </w:rPr>
        <w:t>17.1</w:t>
      </w: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rPr>
        <w:t>万元，其中：基本工资</w:t>
      </w:r>
      <w:r>
        <w:rPr>
          <w:rFonts w:hint="eastAsia" w:ascii="宋体" w:hAnsi="宋体" w:eastAsia="宋体" w:cs="宋体"/>
          <w:sz w:val="32"/>
          <w:szCs w:val="32"/>
          <w:highlight w:val="none"/>
          <w:lang w:val="en-US" w:eastAsia="zh-CN"/>
        </w:rPr>
        <w:t>5.6</w:t>
      </w:r>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rPr>
        <w:t>万元，津贴补贴</w:t>
      </w:r>
      <w:r>
        <w:rPr>
          <w:rFonts w:hint="eastAsia" w:ascii="宋体" w:hAnsi="宋体" w:eastAsia="宋体" w:cs="宋体"/>
          <w:sz w:val="32"/>
          <w:szCs w:val="32"/>
          <w:highlight w:val="none"/>
          <w:lang w:val="en-US" w:eastAsia="zh-CN"/>
        </w:rPr>
        <w:t>2.4</w:t>
      </w:r>
      <w:r>
        <w:rPr>
          <w:rFonts w:hint="eastAsia" w:ascii="宋体" w:hAnsi="宋体" w:eastAsia="宋体" w:cs="宋体"/>
          <w:sz w:val="32"/>
          <w:szCs w:val="32"/>
          <w:highlight w:val="none"/>
        </w:rPr>
        <w:t>万元，奖金</w:t>
      </w:r>
      <w:r>
        <w:rPr>
          <w:rFonts w:hint="eastAsia" w:ascii="宋体" w:hAnsi="宋体" w:eastAsia="宋体" w:cs="宋体"/>
          <w:sz w:val="32"/>
          <w:szCs w:val="32"/>
          <w:highlight w:val="none"/>
          <w:lang w:val="en-US" w:eastAsia="zh-CN"/>
        </w:rPr>
        <w:t>0.43</w:t>
      </w:r>
      <w:r>
        <w:rPr>
          <w:rFonts w:hint="eastAsia" w:ascii="宋体" w:hAnsi="宋体" w:eastAsia="宋体" w:cs="宋体"/>
          <w:sz w:val="32"/>
          <w:szCs w:val="32"/>
          <w:highlight w:val="none"/>
        </w:rPr>
        <w:t>万元，</w:t>
      </w:r>
      <w:r>
        <w:rPr>
          <w:rFonts w:hint="eastAsia" w:ascii="宋体" w:hAnsi="宋体" w:cs="宋体"/>
          <w:sz w:val="32"/>
          <w:szCs w:val="32"/>
          <w:highlight w:val="none"/>
          <w:lang w:val="en-US" w:eastAsia="zh-CN"/>
        </w:rPr>
        <w:t>绩效工资2.17万元，</w:t>
      </w:r>
      <w:r>
        <w:rPr>
          <w:rFonts w:hint="eastAsia" w:ascii="宋体" w:hAnsi="宋体" w:eastAsia="宋体" w:cs="宋体"/>
          <w:sz w:val="32"/>
          <w:szCs w:val="32"/>
          <w:highlight w:val="none"/>
        </w:rPr>
        <w:t>机关事业单位基本养老保险缴费</w:t>
      </w:r>
      <w:r>
        <w:rPr>
          <w:rFonts w:hint="eastAsia" w:ascii="宋体" w:hAnsi="宋体" w:eastAsia="宋体" w:cs="宋体"/>
          <w:sz w:val="32"/>
          <w:szCs w:val="32"/>
          <w:highlight w:val="none"/>
          <w:lang w:val="en-US" w:eastAsia="zh-CN"/>
        </w:rPr>
        <w:t>2.6</w:t>
      </w:r>
      <w:r>
        <w:rPr>
          <w:rFonts w:hint="eastAsia" w:ascii="宋体" w:hAnsi="宋体" w:eastAsia="宋体" w:cs="宋体"/>
          <w:sz w:val="32"/>
          <w:szCs w:val="32"/>
          <w:highlight w:val="none"/>
        </w:rPr>
        <w:t>万元，职工基本医疗保险缴费</w:t>
      </w:r>
      <w:r>
        <w:rPr>
          <w:rFonts w:hint="eastAsia" w:ascii="宋体" w:hAnsi="宋体" w:eastAsia="宋体" w:cs="宋体"/>
          <w:sz w:val="32"/>
          <w:szCs w:val="32"/>
          <w:highlight w:val="none"/>
          <w:lang w:val="en-US" w:eastAsia="zh-CN"/>
        </w:rPr>
        <w:t>1.38</w:t>
      </w:r>
      <w:r>
        <w:rPr>
          <w:rFonts w:hint="eastAsia" w:ascii="宋体" w:hAnsi="宋体" w:eastAsia="宋体" w:cs="宋体"/>
          <w:sz w:val="32"/>
          <w:szCs w:val="32"/>
          <w:highlight w:val="none"/>
        </w:rPr>
        <w:t>万元，其他社会保障缴费</w:t>
      </w:r>
      <w:r>
        <w:rPr>
          <w:rFonts w:hint="eastAsia" w:ascii="宋体" w:hAnsi="宋体" w:eastAsia="宋体" w:cs="宋体"/>
          <w:sz w:val="32"/>
          <w:szCs w:val="32"/>
          <w:highlight w:val="none"/>
          <w:lang w:val="en-US" w:eastAsia="zh-CN"/>
        </w:rPr>
        <w:t>0.17</w:t>
      </w:r>
      <w:r>
        <w:rPr>
          <w:rFonts w:hint="eastAsia" w:ascii="宋体" w:hAnsi="宋体" w:eastAsia="宋体" w:cs="宋体"/>
          <w:sz w:val="32"/>
          <w:szCs w:val="32"/>
          <w:highlight w:val="none"/>
        </w:rPr>
        <w:t>万元，住房公积金</w:t>
      </w:r>
      <w:r>
        <w:rPr>
          <w:rFonts w:hint="eastAsia" w:ascii="宋体" w:hAnsi="宋体" w:eastAsia="宋体" w:cs="宋体"/>
          <w:sz w:val="32"/>
          <w:szCs w:val="32"/>
          <w:highlight w:val="none"/>
          <w:lang w:val="en-US" w:eastAsia="zh-CN"/>
        </w:rPr>
        <w:t>0.35</w:t>
      </w:r>
      <w:r>
        <w:rPr>
          <w:rFonts w:hint="eastAsia" w:ascii="宋体" w:hAnsi="宋体" w:eastAsia="宋体" w:cs="宋体"/>
          <w:sz w:val="32"/>
          <w:szCs w:val="32"/>
          <w:highlight w:val="none"/>
        </w:rPr>
        <w:t>万元，其他工资福利支出</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万元。</w:t>
      </w:r>
    </w:p>
    <w:p>
      <w:pPr>
        <w:shd w:val="clear"/>
        <w:spacing w:line="580" w:lineRule="exact"/>
        <w:ind w:firstLine="800" w:firstLineChars="250"/>
        <w:rPr>
          <w:rFonts w:hint="eastAsia" w:ascii="宋体" w:hAnsi="宋体" w:eastAsia="宋体" w:cs="宋体"/>
          <w:sz w:val="32"/>
          <w:szCs w:val="32"/>
          <w:highlight w:val="none"/>
        </w:rPr>
      </w:pPr>
      <w:r>
        <w:rPr>
          <w:rFonts w:hint="eastAsia" w:ascii="宋体" w:hAnsi="宋体" w:eastAsia="宋体" w:cs="宋体"/>
          <w:sz w:val="32"/>
          <w:szCs w:val="32"/>
          <w:highlight w:val="none"/>
        </w:rPr>
        <w:t>2.商品和服务支出</w:t>
      </w:r>
      <w:r>
        <w:rPr>
          <w:rFonts w:hint="eastAsia" w:ascii="宋体" w:hAnsi="宋体" w:eastAsia="宋体" w:cs="宋体"/>
          <w:sz w:val="32"/>
          <w:szCs w:val="32"/>
          <w:highlight w:val="none"/>
          <w:lang w:val="en-US" w:eastAsia="zh-CN"/>
        </w:rPr>
        <w:t>2.77</w:t>
      </w:r>
      <w:r>
        <w:rPr>
          <w:rFonts w:hint="eastAsia" w:ascii="宋体" w:hAnsi="宋体" w:eastAsia="宋体" w:cs="宋体"/>
          <w:sz w:val="32"/>
          <w:szCs w:val="32"/>
          <w:highlight w:val="none"/>
        </w:rPr>
        <w:t>万元，其中：办公费</w:t>
      </w:r>
      <w:r>
        <w:rPr>
          <w:rFonts w:hint="eastAsia" w:ascii="宋体" w:hAnsi="宋体" w:eastAsia="宋体" w:cs="宋体"/>
          <w:sz w:val="32"/>
          <w:szCs w:val="32"/>
          <w:highlight w:val="none"/>
          <w:lang w:val="en-US" w:eastAsia="zh-CN"/>
        </w:rPr>
        <w:t>0.07</w:t>
      </w:r>
      <w:r>
        <w:rPr>
          <w:rFonts w:hint="eastAsia" w:ascii="宋体" w:hAnsi="宋体" w:eastAsia="宋体" w:cs="宋体"/>
          <w:sz w:val="32"/>
          <w:szCs w:val="32"/>
          <w:highlight w:val="none"/>
        </w:rPr>
        <w:t>万元，差旅费</w:t>
      </w:r>
      <w:r>
        <w:rPr>
          <w:rFonts w:hint="eastAsia" w:ascii="宋体" w:hAnsi="宋体" w:eastAsia="宋体" w:cs="宋体"/>
          <w:sz w:val="32"/>
          <w:szCs w:val="32"/>
          <w:highlight w:val="none"/>
          <w:lang w:val="en-US" w:eastAsia="zh-CN"/>
        </w:rPr>
        <w:t>1.45</w:t>
      </w:r>
      <w:r>
        <w:rPr>
          <w:rFonts w:hint="eastAsia" w:ascii="宋体" w:hAnsi="宋体" w:eastAsia="宋体" w:cs="宋体"/>
          <w:sz w:val="32"/>
          <w:szCs w:val="32"/>
          <w:highlight w:val="none"/>
        </w:rPr>
        <w:t>万元，培训费</w:t>
      </w:r>
      <w:r>
        <w:rPr>
          <w:rFonts w:hint="eastAsia" w:ascii="宋体" w:hAnsi="宋体" w:eastAsia="宋体" w:cs="宋体"/>
          <w:sz w:val="32"/>
          <w:szCs w:val="32"/>
          <w:highlight w:val="none"/>
          <w:lang w:val="en-US" w:eastAsia="zh-CN"/>
        </w:rPr>
        <w:t>0.06</w:t>
      </w:r>
      <w:r>
        <w:rPr>
          <w:rFonts w:hint="eastAsia" w:ascii="宋体" w:hAnsi="宋体" w:eastAsia="宋体" w:cs="宋体"/>
          <w:sz w:val="32"/>
          <w:szCs w:val="32"/>
          <w:highlight w:val="none"/>
        </w:rPr>
        <w:t>万元，公务接待费</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万元，劳务费</w:t>
      </w:r>
      <w:r>
        <w:rPr>
          <w:rFonts w:hint="eastAsia" w:ascii="宋体" w:hAnsi="宋体" w:eastAsia="宋体" w:cs="宋体"/>
          <w:sz w:val="32"/>
          <w:szCs w:val="32"/>
          <w:highlight w:val="none"/>
          <w:lang w:val="en-US" w:eastAsia="zh-CN"/>
        </w:rPr>
        <w:t>0.10</w:t>
      </w:r>
      <w:r>
        <w:rPr>
          <w:rFonts w:hint="eastAsia" w:ascii="宋体" w:hAnsi="宋体" w:eastAsia="宋体" w:cs="宋体"/>
          <w:sz w:val="32"/>
          <w:szCs w:val="32"/>
          <w:highlight w:val="none"/>
        </w:rPr>
        <w:t>万元，委托业务费</w:t>
      </w:r>
      <w:r>
        <w:rPr>
          <w:rFonts w:hint="eastAsia" w:ascii="宋体" w:hAnsi="宋体" w:eastAsia="宋体" w:cs="宋体"/>
          <w:sz w:val="32"/>
          <w:szCs w:val="32"/>
          <w:highlight w:val="none"/>
          <w:lang w:val="en-US" w:eastAsia="zh-CN"/>
        </w:rPr>
        <w:t>0.40</w:t>
      </w:r>
      <w:r>
        <w:rPr>
          <w:rFonts w:hint="eastAsia" w:ascii="宋体" w:hAnsi="宋体" w:eastAsia="宋体" w:cs="宋体"/>
          <w:sz w:val="32"/>
          <w:szCs w:val="32"/>
          <w:highlight w:val="none"/>
        </w:rPr>
        <w:t>万元，工会经费</w:t>
      </w:r>
      <w:r>
        <w:rPr>
          <w:rFonts w:hint="eastAsia" w:ascii="宋体" w:hAnsi="宋体" w:eastAsia="宋体" w:cs="宋体"/>
          <w:sz w:val="32"/>
          <w:szCs w:val="32"/>
          <w:highlight w:val="none"/>
          <w:lang w:val="en-US" w:eastAsia="zh-CN"/>
        </w:rPr>
        <w:t>0.16</w:t>
      </w:r>
      <w:r>
        <w:rPr>
          <w:rFonts w:hint="eastAsia" w:ascii="宋体" w:hAnsi="宋体" w:eastAsia="宋体" w:cs="宋体"/>
          <w:sz w:val="32"/>
          <w:szCs w:val="32"/>
          <w:highlight w:val="none"/>
        </w:rPr>
        <w:t>万元。</w:t>
      </w:r>
    </w:p>
    <w:p>
      <w:pPr>
        <w:shd w:val="clear"/>
        <w:spacing w:line="580" w:lineRule="exact"/>
        <w:ind w:firstLine="320" w:firstLineChars="1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（二）项目支出</w:t>
      </w:r>
      <w:r>
        <w:rPr>
          <w:rFonts w:hint="eastAsia" w:ascii="宋体" w:hAnsi="宋体" w:eastAsia="宋体" w:cs="宋体"/>
          <w:sz w:val="32"/>
          <w:szCs w:val="32"/>
          <w:highlight w:val="none"/>
          <w:lang w:val="en-US" w:eastAsia="zh-CN"/>
        </w:rPr>
        <w:t>5.09</w:t>
      </w:r>
      <w:r>
        <w:rPr>
          <w:rFonts w:hint="eastAsia" w:ascii="宋体" w:hAnsi="宋体" w:eastAsia="宋体" w:cs="宋体"/>
          <w:sz w:val="32"/>
          <w:szCs w:val="32"/>
          <w:highlight w:val="none"/>
        </w:rPr>
        <w:t>万元，为全年收入的</w:t>
      </w:r>
      <w:r>
        <w:rPr>
          <w:rFonts w:hint="eastAsia" w:ascii="宋体" w:hAnsi="宋体" w:eastAsia="宋体" w:cs="宋体"/>
          <w:sz w:val="32"/>
          <w:szCs w:val="32"/>
          <w:highlight w:val="none"/>
          <w:lang w:val="en-US" w:eastAsia="zh-CN"/>
        </w:rPr>
        <w:t>20.34</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主要用于文化创作与祠堂文化调研工作。</w:t>
      </w:r>
    </w:p>
    <w:p>
      <w:pPr>
        <w:shd w:val="clear"/>
        <w:spacing w:line="580" w:lineRule="exact"/>
        <w:ind w:firstLine="320" w:firstLineChars="100"/>
        <w:rPr>
          <w:rFonts w:hint="eastAsia" w:ascii="宋体" w:hAnsi="宋体" w:eastAsia="宋体" w:cs="宋体"/>
          <w:sz w:val="32"/>
          <w:szCs w:val="32"/>
          <w:highlight w:val="none"/>
          <w:lang w:val="en-US" w:eastAsia="zh-CN"/>
        </w:rPr>
      </w:pPr>
      <w:r>
        <w:rPr>
          <w:rFonts w:hint="eastAsia" w:ascii="宋体" w:hAnsi="宋体" w:eastAsia="宋体" w:cs="宋体"/>
          <w:b/>
          <w:sz w:val="32"/>
          <w:szCs w:val="32"/>
          <w:highlight w:val="none"/>
        </w:rPr>
        <w:t>“三公”经费控制情况</w:t>
      </w:r>
      <w:r>
        <w:rPr>
          <w:rFonts w:hint="eastAsia" w:ascii="宋体" w:hAnsi="宋体" w:eastAsia="宋体" w:cs="宋体"/>
          <w:sz w:val="32"/>
          <w:szCs w:val="32"/>
          <w:highlight w:val="none"/>
        </w:rPr>
        <w:t>：没有因公出国（境）人员，公务接待费年初预算安排</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万元，支出</w:t>
      </w:r>
      <w:r>
        <w:rPr>
          <w:rFonts w:hint="eastAsia" w:ascii="宋体" w:hAnsi="宋体" w:eastAsia="宋体" w:cs="宋体"/>
          <w:sz w:val="32"/>
          <w:szCs w:val="32"/>
          <w:highlight w:val="none"/>
          <w:lang w:val="en-US" w:eastAsia="zh-CN"/>
        </w:rPr>
        <w:t>0.53</w:t>
      </w:r>
      <w:r>
        <w:rPr>
          <w:rFonts w:hint="eastAsia" w:ascii="宋体" w:hAnsi="宋体" w:eastAsia="宋体" w:cs="宋体"/>
          <w:sz w:val="32"/>
          <w:szCs w:val="32"/>
          <w:highlight w:val="none"/>
        </w:rPr>
        <w:t>万元，占预算安排的</w:t>
      </w:r>
      <w:r>
        <w:rPr>
          <w:rFonts w:hint="eastAsia" w:ascii="宋体" w:hAnsi="宋体" w:cs="宋体"/>
          <w:sz w:val="32"/>
          <w:szCs w:val="32"/>
          <w:highlight w:val="none"/>
          <w:lang w:val="en-US" w:eastAsia="zh-CN"/>
        </w:rPr>
        <w:t>100%</w:t>
      </w:r>
      <w:r>
        <w:rPr>
          <w:rFonts w:hint="eastAsia" w:ascii="宋体" w:hAnsi="宋体" w:eastAsia="宋体" w:cs="宋体"/>
          <w:sz w:val="32"/>
          <w:szCs w:val="32"/>
          <w:highlight w:val="none"/>
          <w:lang w:val="en-US" w:eastAsia="zh-CN"/>
        </w:rPr>
        <w:t>。</w:t>
      </w:r>
    </w:p>
    <w:p>
      <w:pPr>
        <w:shd w:val="clear"/>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b/>
          <w:sz w:val="32"/>
          <w:szCs w:val="32"/>
          <w:highlight w:val="none"/>
        </w:rPr>
        <w:t>财务管理方面：</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eastAsia="zh-CN"/>
        </w:rPr>
        <w:t>我单位</w:t>
      </w:r>
      <w:r>
        <w:rPr>
          <w:rFonts w:hint="eastAsia" w:ascii="宋体" w:hAnsi="宋体" w:eastAsia="宋体" w:cs="宋体"/>
          <w:sz w:val="32"/>
          <w:szCs w:val="32"/>
          <w:highlight w:val="none"/>
        </w:rPr>
        <w:t>认真履行年初方案确定的职责。没有存在截留、挤占、挪用、虚列支出等情况；基础数据信息和会计信息资料真实、完整、准确。</w:t>
      </w:r>
    </w:p>
    <w:p>
      <w:pPr>
        <w:shd w:val="clear"/>
        <w:spacing w:line="580" w:lineRule="exact"/>
        <w:ind w:firstLine="640" w:firstLineChars="20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六</w:t>
      </w:r>
      <w:r>
        <w:rPr>
          <w:rFonts w:hint="eastAsia" w:ascii="宋体" w:hAnsi="宋体" w:eastAsia="宋体" w:cs="宋体"/>
          <w:b/>
          <w:bCs/>
          <w:sz w:val="32"/>
          <w:szCs w:val="32"/>
          <w:highlight w:val="none"/>
        </w:rPr>
        <w:t>、绩效自评结论</w:t>
      </w:r>
    </w:p>
    <w:p>
      <w:pPr>
        <w:shd w:val="clear"/>
        <w:spacing w:line="580" w:lineRule="exact"/>
        <w:ind w:firstLine="800" w:firstLineChars="25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经自评，202</w:t>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t>年度我局部门整体支出绩效评价结论为“优”，自评分96分。</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shd w:val="clear"/>
        <w:rPr>
          <w:rFonts w:hint="eastAsia" w:ascii="宋体" w:hAnsi="宋体" w:eastAsia="宋体" w:cs="宋体"/>
          <w:sz w:val="32"/>
          <w:szCs w:val="32"/>
        </w:rPr>
      </w:pPr>
    </w:p>
    <w:p>
      <w:pPr>
        <w:shd w:val="clear"/>
        <w:rPr>
          <w:rFonts w:hint="eastAsia" w:ascii="宋体" w:hAnsi="宋体" w:eastAsia="宋体" w:cs="宋体"/>
        </w:rPr>
      </w:pPr>
    </w:p>
    <w:p>
      <w:pPr>
        <w:shd w:val="clear"/>
        <w:jc w:val="center"/>
        <w:rPr>
          <w:rFonts w:hint="eastAsia" w:ascii="宋体" w:hAnsi="宋体" w:eastAsia="宋体" w:cs="宋体"/>
          <w:color w:val="000000"/>
          <w:kern w:val="0"/>
          <w:sz w:val="70"/>
          <w:szCs w:val="70"/>
        </w:rPr>
      </w:pPr>
    </w:p>
    <w:p>
      <w:pPr>
        <w:widowControl/>
        <w:shd w:val="clear"/>
        <w:jc w:val="left"/>
        <w:rPr>
          <w:rFonts w:hint="eastAsia" w:ascii="宋体" w:hAnsi="宋体" w:eastAsia="宋体" w:cs="宋体"/>
          <w:b/>
          <w:bCs/>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677C0"/>
    <w:multiLevelType w:val="singleLevel"/>
    <w:tmpl w:val="372677C0"/>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ODgxOWEzYTg2YzUzOGZmNGQyNWE0ZjA3YTRhY2JhMWEifQ=="/>
    <w:docVar w:name="KSO_WPS_MARK_KEY" w:val="7e924753-72bb-4d20-9471-f9bab801d197"/>
  </w:docVars>
  <w:rsids>
    <w:rsidRoot w:val="004506F9"/>
    <w:rsid w:val="0002229B"/>
    <w:rsid w:val="000273BD"/>
    <w:rsid w:val="000415B7"/>
    <w:rsid w:val="00041E3F"/>
    <w:rsid w:val="00055DAA"/>
    <w:rsid w:val="00061F7B"/>
    <w:rsid w:val="000658A3"/>
    <w:rsid w:val="00074155"/>
    <w:rsid w:val="00083D9B"/>
    <w:rsid w:val="00086143"/>
    <w:rsid w:val="000873EF"/>
    <w:rsid w:val="000A3F69"/>
    <w:rsid w:val="000A7000"/>
    <w:rsid w:val="000A7E2C"/>
    <w:rsid w:val="000C095D"/>
    <w:rsid w:val="000C4546"/>
    <w:rsid w:val="000D4500"/>
    <w:rsid w:val="00103957"/>
    <w:rsid w:val="00124A1F"/>
    <w:rsid w:val="00127F16"/>
    <w:rsid w:val="00133558"/>
    <w:rsid w:val="00152C6D"/>
    <w:rsid w:val="00162D39"/>
    <w:rsid w:val="001678BD"/>
    <w:rsid w:val="00172457"/>
    <w:rsid w:val="00182373"/>
    <w:rsid w:val="001A67DB"/>
    <w:rsid w:val="001B1B6D"/>
    <w:rsid w:val="001C3C29"/>
    <w:rsid w:val="001D51E5"/>
    <w:rsid w:val="001E080D"/>
    <w:rsid w:val="001E53D0"/>
    <w:rsid w:val="001F0C3B"/>
    <w:rsid w:val="00202C14"/>
    <w:rsid w:val="00202C82"/>
    <w:rsid w:val="00214427"/>
    <w:rsid w:val="00226CB7"/>
    <w:rsid w:val="00260B09"/>
    <w:rsid w:val="00264552"/>
    <w:rsid w:val="00264EF9"/>
    <w:rsid w:val="00265724"/>
    <w:rsid w:val="0027176D"/>
    <w:rsid w:val="0027426B"/>
    <w:rsid w:val="00281E92"/>
    <w:rsid w:val="002E0A30"/>
    <w:rsid w:val="003130C4"/>
    <w:rsid w:val="00316C4B"/>
    <w:rsid w:val="0032192B"/>
    <w:rsid w:val="00326279"/>
    <w:rsid w:val="003479BD"/>
    <w:rsid w:val="0037197D"/>
    <w:rsid w:val="003768D5"/>
    <w:rsid w:val="003C4197"/>
    <w:rsid w:val="003C47E6"/>
    <w:rsid w:val="003C4FC2"/>
    <w:rsid w:val="003E2331"/>
    <w:rsid w:val="003F4DAB"/>
    <w:rsid w:val="00416E61"/>
    <w:rsid w:val="00424C94"/>
    <w:rsid w:val="0042790C"/>
    <w:rsid w:val="00443479"/>
    <w:rsid w:val="00445E49"/>
    <w:rsid w:val="004506F9"/>
    <w:rsid w:val="004717A2"/>
    <w:rsid w:val="00473DF3"/>
    <w:rsid w:val="0047421C"/>
    <w:rsid w:val="00487911"/>
    <w:rsid w:val="00491741"/>
    <w:rsid w:val="004B0CEE"/>
    <w:rsid w:val="004E1CED"/>
    <w:rsid w:val="004F5C5F"/>
    <w:rsid w:val="00500E5F"/>
    <w:rsid w:val="005122EF"/>
    <w:rsid w:val="0051441A"/>
    <w:rsid w:val="00517C33"/>
    <w:rsid w:val="00517D5F"/>
    <w:rsid w:val="00521AF2"/>
    <w:rsid w:val="00523644"/>
    <w:rsid w:val="005372A7"/>
    <w:rsid w:val="0054069E"/>
    <w:rsid w:val="00544866"/>
    <w:rsid w:val="005767CC"/>
    <w:rsid w:val="00590D9F"/>
    <w:rsid w:val="00595D26"/>
    <w:rsid w:val="005A74E6"/>
    <w:rsid w:val="005B404E"/>
    <w:rsid w:val="005D4D55"/>
    <w:rsid w:val="005E10DC"/>
    <w:rsid w:val="005E2CFB"/>
    <w:rsid w:val="005F029D"/>
    <w:rsid w:val="005F2103"/>
    <w:rsid w:val="005F3D1C"/>
    <w:rsid w:val="0062378F"/>
    <w:rsid w:val="00641842"/>
    <w:rsid w:val="00647B0F"/>
    <w:rsid w:val="00651EEC"/>
    <w:rsid w:val="00686673"/>
    <w:rsid w:val="00691E8C"/>
    <w:rsid w:val="006A22C4"/>
    <w:rsid w:val="006A2BDD"/>
    <w:rsid w:val="006A348B"/>
    <w:rsid w:val="006A351B"/>
    <w:rsid w:val="006A4355"/>
    <w:rsid w:val="006B0422"/>
    <w:rsid w:val="006C1B53"/>
    <w:rsid w:val="006D7730"/>
    <w:rsid w:val="006E5284"/>
    <w:rsid w:val="006F3EB5"/>
    <w:rsid w:val="00702E34"/>
    <w:rsid w:val="00704395"/>
    <w:rsid w:val="00710FE7"/>
    <w:rsid w:val="00717621"/>
    <w:rsid w:val="00720FF1"/>
    <w:rsid w:val="00727A53"/>
    <w:rsid w:val="007453A1"/>
    <w:rsid w:val="00763C93"/>
    <w:rsid w:val="00787B42"/>
    <w:rsid w:val="007B4D7B"/>
    <w:rsid w:val="007C4539"/>
    <w:rsid w:val="007F3657"/>
    <w:rsid w:val="00800D8A"/>
    <w:rsid w:val="00812ED5"/>
    <w:rsid w:val="00814358"/>
    <w:rsid w:val="00820B48"/>
    <w:rsid w:val="008277D9"/>
    <w:rsid w:val="0084478C"/>
    <w:rsid w:val="0086638C"/>
    <w:rsid w:val="00877650"/>
    <w:rsid w:val="008853C1"/>
    <w:rsid w:val="008A3E8D"/>
    <w:rsid w:val="008A47DA"/>
    <w:rsid w:val="008D633A"/>
    <w:rsid w:val="009237C4"/>
    <w:rsid w:val="00944C48"/>
    <w:rsid w:val="00950252"/>
    <w:rsid w:val="00967F5D"/>
    <w:rsid w:val="00975D41"/>
    <w:rsid w:val="009A0F95"/>
    <w:rsid w:val="009A2B03"/>
    <w:rsid w:val="009B3ADF"/>
    <w:rsid w:val="009C3B52"/>
    <w:rsid w:val="009E490A"/>
    <w:rsid w:val="009E6817"/>
    <w:rsid w:val="009E6E9A"/>
    <w:rsid w:val="009F2F8F"/>
    <w:rsid w:val="00A01D2B"/>
    <w:rsid w:val="00A14B77"/>
    <w:rsid w:val="00A34425"/>
    <w:rsid w:val="00A42218"/>
    <w:rsid w:val="00A4458A"/>
    <w:rsid w:val="00A70249"/>
    <w:rsid w:val="00A70B02"/>
    <w:rsid w:val="00A71D9F"/>
    <w:rsid w:val="00A92E9F"/>
    <w:rsid w:val="00AA77B0"/>
    <w:rsid w:val="00AA7EDD"/>
    <w:rsid w:val="00AB0009"/>
    <w:rsid w:val="00AE174E"/>
    <w:rsid w:val="00B33BEA"/>
    <w:rsid w:val="00B57C9F"/>
    <w:rsid w:val="00B63572"/>
    <w:rsid w:val="00B845B3"/>
    <w:rsid w:val="00B85CB5"/>
    <w:rsid w:val="00B85D8B"/>
    <w:rsid w:val="00BA6AF6"/>
    <w:rsid w:val="00BA7608"/>
    <w:rsid w:val="00BB4A40"/>
    <w:rsid w:val="00BD6C3E"/>
    <w:rsid w:val="00BE3674"/>
    <w:rsid w:val="00BE6E26"/>
    <w:rsid w:val="00BF51B1"/>
    <w:rsid w:val="00C10681"/>
    <w:rsid w:val="00C13DE3"/>
    <w:rsid w:val="00C3049A"/>
    <w:rsid w:val="00C31B1E"/>
    <w:rsid w:val="00C63481"/>
    <w:rsid w:val="00C77645"/>
    <w:rsid w:val="00CE04C3"/>
    <w:rsid w:val="00CE2FE7"/>
    <w:rsid w:val="00CE76A0"/>
    <w:rsid w:val="00D13D80"/>
    <w:rsid w:val="00D148C6"/>
    <w:rsid w:val="00D17A8A"/>
    <w:rsid w:val="00D415BA"/>
    <w:rsid w:val="00D63780"/>
    <w:rsid w:val="00D644EE"/>
    <w:rsid w:val="00D73433"/>
    <w:rsid w:val="00D75489"/>
    <w:rsid w:val="00DD06FF"/>
    <w:rsid w:val="00DD5FE9"/>
    <w:rsid w:val="00DE775F"/>
    <w:rsid w:val="00DF4B04"/>
    <w:rsid w:val="00E00C7A"/>
    <w:rsid w:val="00E209CF"/>
    <w:rsid w:val="00E20BE0"/>
    <w:rsid w:val="00E37D6C"/>
    <w:rsid w:val="00E55B68"/>
    <w:rsid w:val="00E67BE6"/>
    <w:rsid w:val="00E8683C"/>
    <w:rsid w:val="00EA2B72"/>
    <w:rsid w:val="00EC7D57"/>
    <w:rsid w:val="00F25F21"/>
    <w:rsid w:val="00F272BA"/>
    <w:rsid w:val="00F74360"/>
    <w:rsid w:val="00FB0CF2"/>
    <w:rsid w:val="00FB462F"/>
    <w:rsid w:val="00FE16FA"/>
    <w:rsid w:val="00FE328A"/>
    <w:rsid w:val="00FE6269"/>
    <w:rsid w:val="00FF5CD6"/>
    <w:rsid w:val="01C963FC"/>
    <w:rsid w:val="023A2565"/>
    <w:rsid w:val="024A1C22"/>
    <w:rsid w:val="02A67A28"/>
    <w:rsid w:val="03644163"/>
    <w:rsid w:val="03A367D0"/>
    <w:rsid w:val="03F6739B"/>
    <w:rsid w:val="04E70524"/>
    <w:rsid w:val="063A2D82"/>
    <w:rsid w:val="0852333D"/>
    <w:rsid w:val="08A13C26"/>
    <w:rsid w:val="093517C8"/>
    <w:rsid w:val="0A391C3C"/>
    <w:rsid w:val="0AD616D9"/>
    <w:rsid w:val="0AE92E1D"/>
    <w:rsid w:val="0B61769D"/>
    <w:rsid w:val="0D083A90"/>
    <w:rsid w:val="0D59491B"/>
    <w:rsid w:val="0D6D54A2"/>
    <w:rsid w:val="0D8C1693"/>
    <w:rsid w:val="0E4D0FB9"/>
    <w:rsid w:val="0ECC7523"/>
    <w:rsid w:val="10246EEB"/>
    <w:rsid w:val="12E530A8"/>
    <w:rsid w:val="133F215C"/>
    <w:rsid w:val="13AC347F"/>
    <w:rsid w:val="13CA463F"/>
    <w:rsid w:val="14096B23"/>
    <w:rsid w:val="165F773B"/>
    <w:rsid w:val="16DE635E"/>
    <w:rsid w:val="17C47127"/>
    <w:rsid w:val="1B5457FD"/>
    <w:rsid w:val="1B71408C"/>
    <w:rsid w:val="1C22475E"/>
    <w:rsid w:val="1CE9063B"/>
    <w:rsid w:val="1D0C687F"/>
    <w:rsid w:val="1E010D51"/>
    <w:rsid w:val="1E7159F1"/>
    <w:rsid w:val="1EFD1C88"/>
    <w:rsid w:val="1F046865"/>
    <w:rsid w:val="1F0631F5"/>
    <w:rsid w:val="1F800D7A"/>
    <w:rsid w:val="205729C5"/>
    <w:rsid w:val="212B3C6E"/>
    <w:rsid w:val="21383F62"/>
    <w:rsid w:val="22794E74"/>
    <w:rsid w:val="22D36AF5"/>
    <w:rsid w:val="230C72BE"/>
    <w:rsid w:val="23AB426C"/>
    <w:rsid w:val="25A7294A"/>
    <w:rsid w:val="26880E9B"/>
    <w:rsid w:val="270F5E02"/>
    <w:rsid w:val="278A297D"/>
    <w:rsid w:val="2A7C3BC5"/>
    <w:rsid w:val="2B9B37D2"/>
    <w:rsid w:val="2C78285D"/>
    <w:rsid w:val="2D193F26"/>
    <w:rsid w:val="2D9423E3"/>
    <w:rsid w:val="2D965C69"/>
    <w:rsid w:val="2E4574B1"/>
    <w:rsid w:val="2E57593D"/>
    <w:rsid w:val="2FB32D23"/>
    <w:rsid w:val="309E3382"/>
    <w:rsid w:val="3293716D"/>
    <w:rsid w:val="32D5658F"/>
    <w:rsid w:val="34325348"/>
    <w:rsid w:val="35115793"/>
    <w:rsid w:val="37606F96"/>
    <w:rsid w:val="3785263D"/>
    <w:rsid w:val="38D879A8"/>
    <w:rsid w:val="39004C41"/>
    <w:rsid w:val="39CB0253"/>
    <w:rsid w:val="3A256E50"/>
    <w:rsid w:val="3B344258"/>
    <w:rsid w:val="3BC4636E"/>
    <w:rsid w:val="3D0E666A"/>
    <w:rsid w:val="3D684D8C"/>
    <w:rsid w:val="3EB76FF8"/>
    <w:rsid w:val="3ECE2253"/>
    <w:rsid w:val="3F32667F"/>
    <w:rsid w:val="3F7D4A4F"/>
    <w:rsid w:val="3FA52FFF"/>
    <w:rsid w:val="4033676B"/>
    <w:rsid w:val="4044362D"/>
    <w:rsid w:val="40654645"/>
    <w:rsid w:val="418552E8"/>
    <w:rsid w:val="42324F5C"/>
    <w:rsid w:val="42D94149"/>
    <w:rsid w:val="439B26E7"/>
    <w:rsid w:val="44FD0B3A"/>
    <w:rsid w:val="45E61567"/>
    <w:rsid w:val="46332C3F"/>
    <w:rsid w:val="4660008D"/>
    <w:rsid w:val="4700748D"/>
    <w:rsid w:val="48227A68"/>
    <w:rsid w:val="49437E06"/>
    <w:rsid w:val="49DD73B0"/>
    <w:rsid w:val="4A466A0F"/>
    <w:rsid w:val="4A67143C"/>
    <w:rsid w:val="4B085EF6"/>
    <w:rsid w:val="4BBA4717"/>
    <w:rsid w:val="4BF048FA"/>
    <w:rsid w:val="4C2224D3"/>
    <w:rsid w:val="4D1A0F3A"/>
    <w:rsid w:val="4DE1374A"/>
    <w:rsid w:val="4E9A073B"/>
    <w:rsid w:val="50587202"/>
    <w:rsid w:val="51ED2FFD"/>
    <w:rsid w:val="5350708D"/>
    <w:rsid w:val="56CB31E9"/>
    <w:rsid w:val="57BF4E47"/>
    <w:rsid w:val="57F8588D"/>
    <w:rsid w:val="5A487853"/>
    <w:rsid w:val="5A862923"/>
    <w:rsid w:val="5E307BA2"/>
    <w:rsid w:val="5EA4075B"/>
    <w:rsid w:val="5F290493"/>
    <w:rsid w:val="617C2E5C"/>
    <w:rsid w:val="61FA1FCC"/>
    <w:rsid w:val="62E85BC3"/>
    <w:rsid w:val="63145420"/>
    <w:rsid w:val="644E1262"/>
    <w:rsid w:val="64E878D2"/>
    <w:rsid w:val="666172A6"/>
    <w:rsid w:val="66871A01"/>
    <w:rsid w:val="67C227D3"/>
    <w:rsid w:val="6828189F"/>
    <w:rsid w:val="684F3F2D"/>
    <w:rsid w:val="695C7095"/>
    <w:rsid w:val="698612B5"/>
    <w:rsid w:val="69BF6104"/>
    <w:rsid w:val="6A573E58"/>
    <w:rsid w:val="6D567481"/>
    <w:rsid w:val="6F90302E"/>
    <w:rsid w:val="6FC860BC"/>
    <w:rsid w:val="6FCD24FA"/>
    <w:rsid w:val="704B6D4C"/>
    <w:rsid w:val="70C919D2"/>
    <w:rsid w:val="712C1536"/>
    <w:rsid w:val="7144125B"/>
    <w:rsid w:val="72C50C5D"/>
    <w:rsid w:val="75154854"/>
    <w:rsid w:val="755A1EB0"/>
    <w:rsid w:val="7800356D"/>
    <w:rsid w:val="786660D8"/>
    <w:rsid w:val="79C52ECE"/>
    <w:rsid w:val="7A2A7581"/>
    <w:rsid w:val="7ACF4BC8"/>
    <w:rsid w:val="7AD2057B"/>
    <w:rsid w:val="7B1B2B27"/>
    <w:rsid w:val="7B274CC1"/>
    <w:rsid w:val="7DB94306"/>
    <w:rsid w:val="7FE64290"/>
    <w:rsid w:val="7FFF6E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link w:val="19"/>
    <w:qFormat/>
    <w:uiPriority w:val="99"/>
    <w:pPr>
      <w:spacing w:after="120"/>
    </w:pPr>
  </w:style>
  <w:style w:type="paragraph" w:styleId="4">
    <w:name w:val="toc 5"/>
    <w:basedOn w:val="1"/>
    <w:next w:val="1"/>
    <w:qFormat/>
    <w:locked/>
    <w:uiPriority w:val="0"/>
    <w:pPr>
      <w:ind w:left="1680" w:leftChars="800"/>
    </w:pPr>
    <w:rPr>
      <w:rFonts w:ascii="Times New Roman" w:hAnsi="Times New Roman"/>
    </w:rPr>
  </w:style>
  <w:style w:type="paragraph" w:styleId="5">
    <w:name w:val="Balloon Text"/>
    <w:basedOn w:val="1"/>
    <w:link w:val="18"/>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9">
    <w:name w:val="Body Text First Indent"/>
    <w:basedOn w:val="3"/>
    <w:link w:val="20"/>
    <w:qFormat/>
    <w:uiPriority w:val="99"/>
    <w:pPr>
      <w:ind w:firstLine="420" w:firstLineChars="100"/>
    </w:pPr>
  </w:style>
  <w:style w:type="paragraph" w:customStyle="1" w:styleId="12">
    <w:name w:val="BodyText1I2"/>
    <w:basedOn w:val="13"/>
    <w:next w:val="1"/>
    <w:unhideWhenUsed/>
    <w:qFormat/>
    <w:uiPriority w:val="0"/>
    <w:pPr>
      <w:ind w:firstLine="200" w:firstLineChars="200"/>
    </w:pPr>
    <w:rPr>
      <w:rFonts w:hint="default" w:ascii="Calibri" w:hAnsi="Calibri" w:eastAsia="仿宋_GB2312"/>
      <w:sz w:val="36"/>
    </w:rPr>
  </w:style>
  <w:style w:type="paragraph" w:customStyle="1" w:styleId="13">
    <w:name w:val="BodyTextIndent"/>
    <w:basedOn w:val="1"/>
    <w:unhideWhenUsed/>
    <w:qFormat/>
    <w:uiPriority w:val="0"/>
    <w:pPr>
      <w:spacing w:after="120"/>
      <w:ind w:left="420" w:leftChars="200"/>
      <w:textAlignment w:val="baseline"/>
    </w:pPr>
    <w:rPr>
      <w:rFonts w:hint="eastAsia"/>
      <w:sz w:val="21"/>
      <w:lang w:val="en-US" w:eastAsia="zh-CN"/>
    </w:rPr>
  </w:style>
  <w:style w:type="character" w:customStyle="1" w:styleId="14">
    <w:name w:val="页眉 Char"/>
    <w:basedOn w:val="11"/>
    <w:link w:val="7"/>
    <w:qFormat/>
    <w:locked/>
    <w:uiPriority w:val="99"/>
    <w:rPr>
      <w:rFonts w:cs="Times New Roman"/>
      <w:sz w:val="18"/>
      <w:szCs w:val="18"/>
    </w:rPr>
  </w:style>
  <w:style w:type="character" w:customStyle="1" w:styleId="15">
    <w:name w:val="页脚 Char"/>
    <w:basedOn w:val="11"/>
    <w:link w:val="6"/>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locked/>
    <w:uiPriority w:val="99"/>
    <w:rPr>
      <w:rFonts w:cs="Times New Roman"/>
      <w:sz w:val="18"/>
      <w:szCs w:val="18"/>
    </w:rPr>
  </w:style>
  <w:style w:type="character" w:customStyle="1" w:styleId="19">
    <w:name w:val="正文文本 Char"/>
    <w:basedOn w:val="11"/>
    <w:link w:val="3"/>
    <w:semiHidden/>
    <w:qFormat/>
    <w:uiPriority w:val="99"/>
  </w:style>
  <w:style w:type="character" w:customStyle="1" w:styleId="20">
    <w:name w:val="正文首行缩进 Char"/>
    <w:basedOn w:val="19"/>
    <w:link w:val="9"/>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10740</Words>
  <Characters>13225</Characters>
  <Lines>151</Lines>
  <Paragraphs>42</Paragraphs>
  <TotalTime>6</TotalTime>
  <ScaleCrop>false</ScaleCrop>
  <LinksUpToDate>false</LinksUpToDate>
  <CharactersWithSpaces>13450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刘媛</cp:lastModifiedBy>
  <cp:lastPrinted>2022-07-27T12:55:00Z</cp:lastPrinted>
  <dcterms:modified xsi:type="dcterms:W3CDTF">2024-11-01T09:37:14Z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BC6D544C4B434E89A64CE9EC8060C00E</vt:lpwstr>
  </property>
</Properties>
</file>