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AF74D">
      <w:pPr>
        <w:pStyle w:val="14"/>
        <w:jc w:val="center"/>
        <w:rPr>
          <w:sz w:val="56"/>
          <w:szCs w:val="56"/>
        </w:rPr>
      </w:pPr>
      <w:bookmarkStart w:id="3" w:name="_GoBack"/>
      <w:bookmarkEnd w:id="3"/>
    </w:p>
    <w:p w14:paraId="3C2CD41F">
      <w:pPr>
        <w:pStyle w:val="14"/>
        <w:jc w:val="center"/>
        <w:rPr>
          <w:sz w:val="56"/>
          <w:szCs w:val="56"/>
        </w:rPr>
      </w:pPr>
    </w:p>
    <w:p w14:paraId="114DB1DE">
      <w:pPr>
        <w:pStyle w:val="14"/>
        <w:jc w:val="center"/>
        <w:rPr>
          <w:sz w:val="84"/>
          <w:szCs w:val="84"/>
        </w:rPr>
      </w:pPr>
    </w:p>
    <w:p w14:paraId="26BB0878">
      <w:pPr>
        <w:pStyle w:val="14"/>
        <w:jc w:val="center"/>
        <w:rPr>
          <w:sz w:val="84"/>
          <w:szCs w:val="84"/>
        </w:rPr>
      </w:pPr>
    </w:p>
    <w:p w14:paraId="4022EC95">
      <w:pPr>
        <w:pStyle w:val="14"/>
        <w:jc w:val="center"/>
        <w:rPr>
          <w:sz w:val="84"/>
          <w:szCs w:val="84"/>
        </w:rPr>
      </w:pPr>
      <w:r>
        <w:rPr>
          <w:sz w:val="84"/>
          <w:szCs w:val="84"/>
        </w:rPr>
        <w:t>202</w:t>
      </w:r>
      <w:r>
        <w:rPr>
          <w:rFonts w:hint="eastAsia"/>
          <w:sz w:val="84"/>
          <w:szCs w:val="84"/>
          <w:lang w:val="en-US" w:eastAsia="zh-CN"/>
        </w:rPr>
        <w:t>4</w:t>
      </w:r>
      <w:r>
        <w:rPr>
          <w:rFonts w:hint="eastAsia"/>
          <w:sz w:val="84"/>
          <w:szCs w:val="84"/>
        </w:rPr>
        <w:t>年度</w:t>
      </w:r>
    </w:p>
    <w:p w14:paraId="3295E569">
      <w:pPr>
        <w:pStyle w:val="14"/>
        <w:jc w:val="center"/>
        <w:rPr>
          <w:sz w:val="84"/>
          <w:szCs w:val="84"/>
        </w:rPr>
      </w:pPr>
      <w:r>
        <w:rPr>
          <w:rFonts w:hint="eastAsia"/>
          <w:sz w:val="84"/>
          <w:szCs w:val="84"/>
        </w:rPr>
        <w:t>会同县疾病预防控制中心部门决算</w:t>
      </w:r>
    </w:p>
    <w:p w14:paraId="6B2A5C54">
      <w:pPr>
        <w:pStyle w:val="14"/>
        <w:jc w:val="center"/>
        <w:rPr>
          <w:sz w:val="56"/>
          <w:szCs w:val="56"/>
        </w:rPr>
      </w:pPr>
    </w:p>
    <w:p w14:paraId="5C8AFC15">
      <w:pPr>
        <w:pStyle w:val="14"/>
        <w:jc w:val="center"/>
        <w:rPr>
          <w:sz w:val="56"/>
          <w:szCs w:val="56"/>
        </w:rPr>
      </w:pPr>
    </w:p>
    <w:p w14:paraId="0DE82B74">
      <w:pPr>
        <w:pStyle w:val="14"/>
        <w:jc w:val="center"/>
        <w:rPr>
          <w:sz w:val="56"/>
          <w:szCs w:val="56"/>
        </w:rPr>
      </w:pPr>
    </w:p>
    <w:p w14:paraId="02734E2F">
      <w:pPr>
        <w:pStyle w:val="14"/>
        <w:jc w:val="center"/>
        <w:rPr>
          <w:sz w:val="56"/>
          <w:szCs w:val="56"/>
        </w:rPr>
      </w:pPr>
    </w:p>
    <w:p w14:paraId="09B4566E">
      <w:pPr>
        <w:pStyle w:val="14"/>
        <w:jc w:val="center"/>
        <w:rPr>
          <w:sz w:val="32"/>
          <w:szCs w:val="32"/>
        </w:rPr>
      </w:pPr>
    </w:p>
    <w:p w14:paraId="5329FFEB">
      <w:pPr>
        <w:pStyle w:val="14"/>
        <w:jc w:val="center"/>
        <w:rPr>
          <w:sz w:val="32"/>
          <w:szCs w:val="32"/>
        </w:rPr>
      </w:pPr>
    </w:p>
    <w:p w14:paraId="75E72FFE">
      <w:pPr>
        <w:pStyle w:val="14"/>
        <w:jc w:val="center"/>
        <w:rPr>
          <w:sz w:val="32"/>
          <w:szCs w:val="32"/>
        </w:rPr>
      </w:pPr>
    </w:p>
    <w:p w14:paraId="26FE1033">
      <w:pPr>
        <w:pStyle w:val="14"/>
        <w:jc w:val="center"/>
        <w:rPr>
          <w:sz w:val="32"/>
          <w:szCs w:val="32"/>
        </w:rPr>
      </w:pPr>
    </w:p>
    <w:p w14:paraId="1086E76B">
      <w:pPr>
        <w:pStyle w:val="14"/>
        <w:spacing w:line="500" w:lineRule="exact"/>
        <w:jc w:val="both"/>
        <w:rPr>
          <w:b/>
          <w:sz w:val="36"/>
          <w:szCs w:val="28"/>
        </w:rPr>
      </w:pPr>
    </w:p>
    <w:p w14:paraId="0029B3A1">
      <w:pPr>
        <w:pStyle w:val="14"/>
        <w:spacing w:line="500" w:lineRule="exact"/>
        <w:jc w:val="center"/>
        <w:rPr>
          <w:b/>
          <w:sz w:val="36"/>
          <w:szCs w:val="28"/>
        </w:rPr>
      </w:pPr>
    </w:p>
    <w:p w14:paraId="1773701B">
      <w:pPr>
        <w:pStyle w:val="14"/>
        <w:spacing w:line="500" w:lineRule="exact"/>
        <w:jc w:val="center"/>
        <w:rPr>
          <w:b/>
          <w:sz w:val="36"/>
          <w:szCs w:val="28"/>
        </w:rPr>
      </w:pPr>
      <w:r>
        <w:rPr>
          <w:rFonts w:hint="eastAsia"/>
          <w:b/>
          <w:sz w:val="36"/>
          <w:szCs w:val="28"/>
        </w:rPr>
        <w:t>目录</w:t>
      </w:r>
    </w:p>
    <w:p w14:paraId="4B8C4B0F">
      <w:pPr>
        <w:pStyle w:val="14"/>
        <w:spacing w:line="500" w:lineRule="exact"/>
        <w:rPr>
          <w:rFonts w:ascii="仿宋_GB2312" w:eastAsia="仿宋_GB2312" w:cs="仿宋_GB2312"/>
          <w:b/>
          <w:sz w:val="28"/>
          <w:szCs w:val="28"/>
        </w:rPr>
      </w:pPr>
      <w:r>
        <w:rPr>
          <w:rFonts w:hint="eastAsia"/>
          <w:b/>
          <w:sz w:val="28"/>
          <w:szCs w:val="28"/>
        </w:rPr>
        <w:t>第一部分会同县疾病预防控制中心概况</w:t>
      </w:r>
    </w:p>
    <w:p w14:paraId="2C61C0B3">
      <w:pPr>
        <w:pStyle w:val="14"/>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14:paraId="0DA5FEB8">
      <w:pPr>
        <w:pStyle w:val="14"/>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二、机构设置</w:t>
      </w:r>
    </w:p>
    <w:p w14:paraId="42D0E0E5">
      <w:pPr>
        <w:pStyle w:val="14"/>
        <w:spacing w:line="500" w:lineRule="exact"/>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202</w:t>
      </w:r>
      <w:r>
        <w:rPr>
          <w:rFonts w:hint="eastAsia" w:hAnsi="仿宋_GB2312"/>
          <w:b/>
          <w:sz w:val="28"/>
          <w:szCs w:val="28"/>
          <w:lang w:val="en-US" w:eastAsia="zh-CN"/>
        </w:rPr>
        <w:t>4</w:t>
      </w:r>
      <w:r>
        <w:rPr>
          <w:rFonts w:hint="eastAsia" w:hAnsi="仿宋_GB2312"/>
          <w:b/>
          <w:sz w:val="28"/>
          <w:szCs w:val="28"/>
        </w:rPr>
        <w:t>年度部门决算表</w:t>
      </w:r>
    </w:p>
    <w:p w14:paraId="1D580C4D">
      <w:pPr>
        <w:pStyle w:val="14"/>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14:paraId="0C3087F5">
      <w:pPr>
        <w:pStyle w:val="14"/>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14:paraId="453FFFC8">
      <w:pPr>
        <w:pStyle w:val="14"/>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14:paraId="51164E29">
      <w:pPr>
        <w:pStyle w:val="14"/>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14:paraId="76E6B962">
      <w:pPr>
        <w:pStyle w:val="14"/>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14:paraId="2E142FBC">
      <w:pPr>
        <w:pStyle w:val="14"/>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六、一般公共预算财政拨款基本支出决算表</w:t>
      </w:r>
    </w:p>
    <w:p w14:paraId="23053F96">
      <w:pPr>
        <w:pStyle w:val="14"/>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七、一般公共预算财政拨款“三公”经费支出决算表</w:t>
      </w:r>
    </w:p>
    <w:p w14:paraId="229E22D1">
      <w:pPr>
        <w:pStyle w:val="14"/>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八、政府性基金预算财政拨款收入支出决算表</w:t>
      </w:r>
    </w:p>
    <w:p w14:paraId="4D47ECF9">
      <w:pPr>
        <w:pStyle w:val="14"/>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14:paraId="127F0631">
      <w:pPr>
        <w:pStyle w:val="14"/>
        <w:spacing w:line="500" w:lineRule="exact"/>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202</w:t>
      </w:r>
      <w:r>
        <w:rPr>
          <w:rFonts w:hint="eastAsia" w:hAnsi="仿宋_GB2312"/>
          <w:b/>
          <w:sz w:val="28"/>
          <w:szCs w:val="28"/>
          <w:lang w:val="en-US" w:eastAsia="zh-CN"/>
        </w:rPr>
        <w:t>4</w:t>
      </w:r>
      <w:r>
        <w:rPr>
          <w:rFonts w:hint="eastAsia" w:hAnsi="仿宋_GB2312"/>
          <w:b/>
          <w:sz w:val="28"/>
          <w:szCs w:val="28"/>
        </w:rPr>
        <w:t>年度部门决算情况说明</w:t>
      </w:r>
    </w:p>
    <w:p w14:paraId="5E21F93A">
      <w:pPr>
        <w:pStyle w:val="14"/>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14:paraId="780A49D3">
      <w:pPr>
        <w:spacing w:line="50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14:paraId="634B2E02">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14:paraId="5D4AC772">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14:paraId="5D4B2334">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14:paraId="1373FC0E">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14:paraId="017AB6B4">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七、一般公共预算财政拨款三公经费支出决算情况说明</w:t>
      </w:r>
    </w:p>
    <w:p w14:paraId="0327DC0C">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八、政府性基金预算收入支出决算情况</w:t>
      </w:r>
    </w:p>
    <w:p w14:paraId="737BC033">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九、关于机关运行经费支出说明</w:t>
      </w:r>
    </w:p>
    <w:p w14:paraId="31C45822">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14:paraId="354CAB56">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14:paraId="6EEB9CB0">
      <w:pPr>
        <w:pStyle w:val="14"/>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十二、关于国有资产占用情况说明</w:t>
      </w:r>
    </w:p>
    <w:p w14:paraId="5574E243">
      <w:pPr>
        <w:pStyle w:val="14"/>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十三、关</w:t>
      </w:r>
      <w:r>
        <w:rPr>
          <w:rFonts w:hint="eastAsia" w:ascii="宋体" w:hAnsi="宋体" w:eastAsia="宋体" w:cs="仿宋_GB2312"/>
          <w:sz w:val="28"/>
          <w:szCs w:val="28"/>
        </w:rPr>
        <w:t>于</w:t>
      </w:r>
      <w:r>
        <w:rPr>
          <w:rFonts w:ascii="宋体" w:hAnsi="宋体" w:eastAsia="宋体" w:cs="仿宋_GB2312"/>
          <w:sz w:val="28"/>
          <w:szCs w:val="28"/>
        </w:rPr>
        <w:t>2020</w:t>
      </w:r>
      <w:r>
        <w:rPr>
          <w:rFonts w:hint="eastAsia" w:ascii="宋体" w:hAnsi="宋体" w:eastAsia="宋体" w:cs="仿宋_GB2312"/>
          <w:sz w:val="28"/>
          <w:szCs w:val="28"/>
        </w:rPr>
        <w:t>年</w:t>
      </w:r>
      <w:r>
        <w:rPr>
          <w:rFonts w:hint="eastAsia" w:ascii="仿宋_GB2312" w:hAnsi="仿宋_GB2312" w:eastAsia="宋体" w:cs="仿宋_GB2312"/>
          <w:sz w:val="28"/>
          <w:szCs w:val="28"/>
        </w:rPr>
        <w:t>度预算绩效情况的说明</w:t>
      </w:r>
    </w:p>
    <w:p w14:paraId="59EDC758">
      <w:pPr>
        <w:autoSpaceDE w:val="0"/>
        <w:autoSpaceDN w:val="0"/>
        <w:adjustRightInd w:val="0"/>
        <w:spacing w:line="500" w:lineRule="exact"/>
        <w:jc w:val="left"/>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第四部分名词解释</w:t>
      </w:r>
    </w:p>
    <w:p w14:paraId="252B2DF8">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31E3D1DB">
      <w:pPr>
        <w:rPr>
          <w:sz w:val="72"/>
          <w:szCs w:val="72"/>
        </w:rPr>
      </w:pPr>
    </w:p>
    <w:p w14:paraId="23059F62">
      <w:pPr>
        <w:jc w:val="center"/>
        <w:rPr>
          <w:sz w:val="72"/>
          <w:szCs w:val="72"/>
        </w:rPr>
      </w:pPr>
    </w:p>
    <w:p w14:paraId="6F92ADAD">
      <w:pPr>
        <w:rPr>
          <w:sz w:val="72"/>
          <w:szCs w:val="72"/>
        </w:rPr>
      </w:pPr>
    </w:p>
    <w:p w14:paraId="41FE575C">
      <w:pPr>
        <w:pStyle w:val="14"/>
        <w:jc w:val="center"/>
        <w:rPr>
          <w:sz w:val="52"/>
          <w:szCs w:val="52"/>
        </w:rPr>
      </w:pPr>
      <w:r>
        <w:rPr>
          <w:rFonts w:hint="eastAsia"/>
          <w:sz w:val="52"/>
          <w:szCs w:val="52"/>
        </w:rPr>
        <w:t>第一部分</w:t>
      </w:r>
      <w:r>
        <w:rPr>
          <w:sz w:val="52"/>
          <w:szCs w:val="52"/>
        </w:rPr>
        <w:t xml:space="preserve"> </w:t>
      </w:r>
      <w:r>
        <w:rPr>
          <w:rFonts w:hint="eastAsia"/>
          <w:sz w:val="52"/>
          <w:szCs w:val="52"/>
        </w:rPr>
        <w:t>会同县疾病预防控制中心概况</w:t>
      </w:r>
    </w:p>
    <w:p w14:paraId="06161714">
      <w:pPr>
        <w:jc w:val="center"/>
        <w:rPr>
          <w:sz w:val="72"/>
          <w:szCs w:val="72"/>
        </w:rPr>
      </w:pPr>
    </w:p>
    <w:p w14:paraId="1C3AC60A">
      <w:pPr>
        <w:pStyle w:val="15"/>
        <w:ind w:left="720" w:firstLine="0" w:firstLineChars="0"/>
        <w:jc w:val="left"/>
        <w:rPr>
          <w:rFonts w:ascii="黑体" w:hAnsi="黑体" w:eastAsia="黑体"/>
          <w:sz w:val="32"/>
          <w:szCs w:val="32"/>
        </w:rPr>
      </w:pPr>
    </w:p>
    <w:p w14:paraId="178D58D4">
      <w:pPr>
        <w:pStyle w:val="15"/>
        <w:numPr>
          <w:ilvl w:val="0"/>
          <w:numId w:val="1"/>
        </w:numPr>
        <w:ind w:firstLineChars="0"/>
        <w:jc w:val="left"/>
        <w:rPr>
          <w:rFonts w:ascii="黑体" w:hAnsi="黑体" w:eastAsia="黑体"/>
          <w:sz w:val="32"/>
          <w:szCs w:val="32"/>
        </w:rPr>
      </w:pPr>
      <w:r>
        <w:rPr>
          <w:rFonts w:hint="eastAsia" w:ascii="黑体" w:hAnsi="黑体" w:eastAsia="黑体"/>
          <w:sz w:val="32"/>
          <w:szCs w:val="32"/>
        </w:rPr>
        <w:t>部门职责</w:t>
      </w:r>
    </w:p>
    <w:p w14:paraId="116C6C68">
      <w:pPr>
        <w:widowControl/>
        <w:spacing w:line="600" w:lineRule="exact"/>
        <w:ind w:firstLine="640" w:firstLineChars="200"/>
        <w:rPr>
          <w:rFonts w:hint="eastAsia" w:ascii="新宋体" w:hAnsi="新宋体" w:eastAsia="新宋体" w:cs="新宋体"/>
          <w:color w:val="000000"/>
          <w:sz w:val="32"/>
          <w:szCs w:val="32"/>
          <w:shd w:val="clear" w:color="auto" w:fill="FFFFFF"/>
        </w:rPr>
      </w:pPr>
      <w:r>
        <w:rPr>
          <w:rFonts w:hint="eastAsia" w:ascii="新宋体" w:hAnsi="新宋体" w:eastAsia="新宋体" w:cs="新宋体"/>
          <w:color w:val="000000"/>
          <w:sz w:val="32"/>
          <w:szCs w:val="32"/>
          <w:shd w:val="clear" w:color="auto" w:fill="FFFFFF"/>
        </w:rPr>
        <w:t>会同县疾病预防控制中心是政府主管疾病预防控制的职能部门，包括</w:t>
      </w:r>
    </w:p>
    <w:p w14:paraId="72356729">
      <w:pPr>
        <w:numPr>
          <w:ilvl w:val="0"/>
          <w:numId w:val="0"/>
        </w:numPr>
        <w:rPr>
          <w:rFonts w:hint="eastAsia"/>
          <w:sz w:val="28"/>
          <w:szCs w:val="36"/>
        </w:rPr>
      </w:pPr>
      <w:r>
        <w:rPr>
          <w:rFonts w:hint="eastAsia"/>
          <w:sz w:val="28"/>
          <w:szCs w:val="36"/>
          <w:lang w:val="en-US" w:eastAsia="zh-CN"/>
        </w:rPr>
        <w:t>1、</w:t>
      </w:r>
      <w:r>
        <w:rPr>
          <w:rFonts w:hint="eastAsia"/>
          <w:sz w:val="28"/>
          <w:szCs w:val="36"/>
        </w:rPr>
        <w:t>传染病预防与控制</w:t>
      </w:r>
      <w:r>
        <w:rPr>
          <w:rFonts w:hint="eastAsia"/>
          <w:sz w:val="28"/>
          <w:szCs w:val="36"/>
          <w:lang w:val="en-US" w:eastAsia="zh-CN"/>
        </w:rPr>
        <w:t>:</w:t>
      </w:r>
      <w:r>
        <w:rPr>
          <w:rFonts w:hint="eastAsia"/>
          <w:sz w:val="28"/>
          <w:szCs w:val="36"/>
        </w:rPr>
        <w:t xml:space="preserve"> 建立传染病监测网络，收集、分析辖区内医院、学校等机构报告的传染病疫情信息，及时发现异常情况，发出预警。</w:t>
      </w:r>
    </w:p>
    <w:p w14:paraId="1DF82C55">
      <w:pPr>
        <w:rPr>
          <w:rFonts w:hint="eastAsia"/>
          <w:sz w:val="28"/>
          <w:szCs w:val="36"/>
        </w:rPr>
      </w:pPr>
      <w:r>
        <w:rPr>
          <w:rFonts w:hint="eastAsia"/>
          <w:sz w:val="28"/>
          <w:szCs w:val="36"/>
          <w:lang w:val="en-US" w:eastAsia="zh-CN"/>
        </w:rPr>
        <w:t>2.</w:t>
      </w:r>
      <w:r>
        <w:rPr>
          <w:rFonts w:hint="eastAsia"/>
          <w:sz w:val="28"/>
          <w:szCs w:val="36"/>
        </w:rPr>
        <w:t>流行病学调查（流调）： 一旦发生传染病疫情（如新冠、流感、手足口病、痢疾等），立即派出专业人员开展流调，追踪传染源、确定传播途径、排查密切接触者。</w:t>
      </w:r>
    </w:p>
    <w:p w14:paraId="285A93AC">
      <w:pPr>
        <w:rPr>
          <w:rFonts w:hint="eastAsia"/>
          <w:sz w:val="28"/>
          <w:szCs w:val="36"/>
        </w:rPr>
      </w:pPr>
      <w:r>
        <w:rPr>
          <w:rFonts w:hint="eastAsia"/>
          <w:sz w:val="28"/>
          <w:szCs w:val="36"/>
          <w:lang w:val="en-US" w:eastAsia="zh-CN"/>
        </w:rPr>
        <w:t>3</w:t>
      </w:r>
      <w:r>
        <w:rPr>
          <w:rFonts w:hint="eastAsia"/>
          <w:sz w:val="28"/>
          <w:szCs w:val="36"/>
        </w:rPr>
        <w:t xml:space="preserve"> </w:t>
      </w:r>
      <w:r>
        <w:rPr>
          <w:rFonts w:hint="eastAsia"/>
          <w:sz w:val="28"/>
          <w:szCs w:val="36"/>
          <w:lang w:val="en-US" w:eastAsia="zh-CN"/>
        </w:rPr>
        <w:t>.</w:t>
      </w:r>
      <w:r>
        <w:rPr>
          <w:rFonts w:hint="eastAsia"/>
          <w:sz w:val="28"/>
          <w:szCs w:val="36"/>
        </w:rPr>
        <w:t>疫情处置与控制： 对疫点进行消毒、对密切接触者进行医学观察和管理、指导社区和单位落实防控措施，防止疫情扩散。</w:t>
      </w:r>
    </w:p>
    <w:p w14:paraId="0E08F66B">
      <w:pPr>
        <w:rPr>
          <w:rFonts w:hint="eastAsia"/>
          <w:sz w:val="28"/>
          <w:szCs w:val="36"/>
        </w:rPr>
      </w:pPr>
      <w:r>
        <w:rPr>
          <w:rFonts w:hint="eastAsia"/>
          <w:sz w:val="28"/>
          <w:szCs w:val="36"/>
          <w:lang w:val="en-US" w:eastAsia="zh-CN"/>
        </w:rPr>
        <w:t>4.</w:t>
      </w:r>
      <w:r>
        <w:rPr>
          <w:rFonts w:hint="eastAsia"/>
          <w:sz w:val="28"/>
          <w:szCs w:val="36"/>
        </w:rPr>
        <w:t xml:space="preserve"> 免疫规划与管理： 负责辖区内儿童和成人的预防接种工作，管理疫苗的储存、分发和运输，确保疫苗安全有效。同时处理疑似预防接种异常反应。</w:t>
      </w:r>
    </w:p>
    <w:p w14:paraId="2E7302B0">
      <w:pPr>
        <w:rPr>
          <w:rFonts w:hint="eastAsia"/>
          <w:sz w:val="28"/>
          <w:szCs w:val="36"/>
          <w:lang w:eastAsia="zh-CN"/>
        </w:rPr>
      </w:pPr>
      <w:r>
        <w:rPr>
          <w:rFonts w:hint="eastAsia"/>
          <w:sz w:val="28"/>
          <w:szCs w:val="36"/>
          <w:lang w:val="en-US" w:eastAsia="zh-CN"/>
        </w:rPr>
        <w:t>5、</w:t>
      </w:r>
      <w:r>
        <w:rPr>
          <w:rFonts w:hint="eastAsia"/>
          <w:sz w:val="28"/>
          <w:szCs w:val="36"/>
        </w:rPr>
        <w:t>慢性非传染性疾病防控监测与登记： 开展高血压、糖尿病、心脑血管疾病、肿瘤等重点慢性病的发病、患病和死亡监测登记</w:t>
      </w:r>
      <w:r>
        <w:rPr>
          <w:rFonts w:hint="eastAsia"/>
          <w:sz w:val="28"/>
          <w:szCs w:val="36"/>
          <w:lang w:eastAsia="zh-CN"/>
        </w:rPr>
        <w:t>。</w:t>
      </w:r>
    </w:p>
    <w:p w14:paraId="7118E817">
      <w:pPr>
        <w:rPr>
          <w:rFonts w:hint="eastAsia"/>
          <w:sz w:val="28"/>
          <w:szCs w:val="36"/>
        </w:rPr>
      </w:pPr>
      <w:r>
        <w:rPr>
          <w:rFonts w:hint="eastAsia"/>
          <w:sz w:val="28"/>
          <w:szCs w:val="36"/>
          <w:lang w:val="en-US" w:eastAsia="zh-CN"/>
        </w:rPr>
        <w:t>6、</w:t>
      </w:r>
      <w:r>
        <w:rPr>
          <w:rFonts w:hint="eastAsia"/>
          <w:sz w:val="28"/>
          <w:szCs w:val="36"/>
        </w:rPr>
        <w:t>危险因素控制： 开展全民健康生活方式行动，倡导合理膳食、适量运动、控烟限酒等，干预不健康行为。</w:t>
      </w:r>
    </w:p>
    <w:p w14:paraId="7261EAB9">
      <w:pPr>
        <w:rPr>
          <w:rFonts w:hint="eastAsia"/>
          <w:sz w:val="28"/>
          <w:szCs w:val="36"/>
        </w:rPr>
      </w:pPr>
      <w:r>
        <w:rPr>
          <w:rFonts w:hint="eastAsia"/>
          <w:sz w:val="28"/>
          <w:szCs w:val="36"/>
          <w:lang w:val="en-US" w:eastAsia="zh-CN"/>
        </w:rPr>
        <w:t>7、</w:t>
      </w:r>
      <w:r>
        <w:rPr>
          <w:rFonts w:hint="eastAsia"/>
          <w:sz w:val="28"/>
          <w:szCs w:val="36"/>
        </w:rPr>
        <w:t xml:space="preserve"> 早期筛查与管理： 指导基层医疗卫生机构开展慢性病早期筛查、患者健康管理和随访。</w:t>
      </w:r>
    </w:p>
    <w:p w14:paraId="3591CC13">
      <w:pPr>
        <w:rPr>
          <w:rFonts w:hint="eastAsia"/>
          <w:sz w:val="28"/>
          <w:szCs w:val="36"/>
        </w:rPr>
      </w:pPr>
      <w:r>
        <w:rPr>
          <w:rFonts w:hint="eastAsia"/>
          <w:sz w:val="28"/>
          <w:szCs w:val="36"/>
          <w:lang w:val="en-US" w:eastAsia="zh-CN"/>
        </w:rPr>
        <w:t>8</w:t>
      </w:r>
      <w:r>
        <w:rPr>
          <w:rFonts w:hint="eastAsia"/>
          <w:sz w:val="28"/>
          <w:szCs w:val="36"/>
        </w:rPr>
        <w:t>.</w:t>
      </w:r>
      <w:r>
        <w:rPr>
          <w:rFonts w:hint="eastAsia"/>
          <w:sz w:val="28"/>
          <w:szCs w:val="36"/>
          <w:lang w:eastAsia="zh-CN"/>
        </w:rPr>
        <w:t>、</w:t>
      </w:r>
      <w:r>
        <w:rPr>
          <w:rFonts w:hint="eastAsia"/>
          <w:sz w:val="28"/>
          <w:szCs w:val="36"/>
        </w:rPr>
        <w:t>突发公共卫生事件应急处置</w:t>
      </w:r>
      <w:r>
        <w:rPr>
          <w:rFonts w:hint="eastAsia"/>
          <w:sz w:val="28"/>
          <w:szCs w:val="36"/>
          <w:lang w:eastAsia="zh-CN"/>
        </w:rPr>
        <w:t>：</w:t>
      </w:r>
      <w:r>
        <w:rPr>
          <w:rFonts w:hint="eastAsia"/>
          <w:sz w:val="28"/>
          <w:szCs w:val="36"/>
        </w:rPr>
        <w:t xml:space="preserve"> 制定和完善本县各类突发公共卫生事件（如重大传染病暴发、食物中毒、职业中毒等）的应急预案。 储备应急物资，培训应急队伍，定期组织应急演练。现场处置： 事件发生后，迅速启动应急响应，进行现场流行病学调查、采样检测、危害评估和控制措施落实。</w:t>
      </w:r>
    </w:p>
    <w:p w14:paraId="1770EBD6">
      <w:pPr>
        <w:rPr>
          <w:rFonts w:hint="eastAsia"/>
          <w:sz w:val="28"/>
          <w:szCs w:val="36"/>
        </w:rPr>
      </w:pPr>
      <w:r>
        <w:rPr>
          <w:rFonts w:hint="eastAsia"/>
          <w:sz w:val="28"/>
          <w:szCs w:val="36"/>
          <w:lang w:val="en-US" w:eastAsia="zh-CN"/>
        </w:rPr>
        <w:t>9、</w:t>
      </w:r>
      <w:r>
        <w:rPr>
          <w:rFonts w:hint="eastAsia"/>
          <w:sz w:val="28"/>
          <w:szCs w:val="36"/>
        </w:rPr>
        <w:t xml:space="preserve"> 健康危害因素监测与干预 食品卫生安全： 开展食源性疾病的监测和调查。环境卫生： 对生活饮用水、公共场所卫生、农村改厕等进行监测和技术指导。职业卫生： 监测工作场所的职业病危害因素，开展职业健康教育和健康促进。 放射卫生： 监测医疗机构放射诊疗设备的防护情况。 学校卫生： 指导学校开展学生常见病（如近视、龋齿、肥胖）的预防和控制。</w:t>
      </w:r>
    </w:p>
    <w:p w14:paraId="48685AB1">
      <w:pPr>
        <w:rPr>
          <w:rFonts w:hint="eastAsia"/>
          <w:sz w:val="28"/>
          <w:szCs w:val="36"/>
        </w:rPr>
      </w:pPr>
      <w:r>
        <w:rPr>
          <w:rFonts w:hint="eastAsia"/>
          <w:sz w:val="28"/>
          <w:szCs w:val="36"/>
          <w:lang w:val="en-US" w:eastAsia="zh-CN"/>
        </w:rPr>
        <w:t>10、</w:t>
      </w:r>
      <w:r>
        <w:rPr>
          <w:rFonts w:hint="eastAsia"/>
          <w:sz w:val="28"/>
          <w:szCs w:val="36"/>
        </w:rPr>
        <w:t xml:space="preserve"> 实验室检测检验 对传染病病原体（病毒、细菌等）进行分离、培养和鉴定。 开展食品、水、空气等样品中的微生物和理化指标检测。 通常承担本县的艾滋病病毒抗体初筛检测工作。</w:t>
      </w:r>
    </w:p>
    <w:p w14:paraId="236A0AAB">
      <w:pPr>
        <w:rPr>
          <w:rFonts w:hint="eastAsia"/>
          <w:sz w:val="28"/>
          <w:szCs w:val="36"/>
        </w:rPr>
      </w:pPr>
      <w:r>
        <w:rPr>
          <w:rFonts w:hint="eastAsia"/>
          <w:sz w:val="28"/>
          <w:szCs w:val="36"/>
          <w:lang w:val="en-US" w:eastAsia="zh-CN"/>
        </w:rPr>
        <w:t>11、</w:t>
      </w:r>
      <w:r>
        <w:rPr>
          <w:rFonts w:hint="eastAsia"/>
          <w:sz w:val="28"/>
          <w:szCs w:val="36"/>
        </w:rPr>
        <w:t xml:space="preserve"> 健康教育与健康促进 知识普及： 通过宣传栏、讲座、新媒体等多种形式，向公众传播疾病防治和健康知识。 行为干预： 设计和实施针对特定健康问题（如结核病、艾滋病防控）的健康教育项目，改变人们的不健康行为。 创建健康支持性环境： 推动“健康社区”、“健康学校”、“健康单位”等建设。</w:t>
      </w:r>
    </w:p>
    <w:p w14:paraId="12A29CED">
      <w:pPr>
        <w:widowControl/>
        <w:spacing w:line="600" w:lineRule="exact"/>
        <w:ind w:firstLine="640" w:firstLineChars="200"/>
        <w:rPr>
          <w:rFonts w:hint="eastAsia" w:ascii="新宋体" w:hAnsi="新宋体" w:eastAsia="新宋体" w:cs="新宋体"/>
          <w:color w:val="000000"/>
          <w:sz w:val="32"/>
          <w:szCs w:val="32"/>
          <w:shd w:val="clear" w:color="auto" w:fill="FFFFFF"/>
        </w:rPr>
      </w:pPr>
    </w:p>
    <w:p w14:paraId="56382616">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08F10AFA">
      <w:pPr>
        <w:widowControl/>
        <w:spacing w:line="600" w:lineRule="exact"/>
        <w:rPr>
          <w:rFonts w:ascii="宋体" w:hAnsi="宋体"/>
          <w:bCs/>
          <w:kern w:val="0"/>
          <w:sz w:val="32"/>
          <w:szCs w:val="32"/>
        </w:rPr>
      </w:pPr>
      <w:r>
        <w:rPr>
          <w:rFonts w:hint="eastAsia" w:ascii="宋体" w:hAnsi="宋体"/>
          <w:bCs/>
          <w:kern w:val="0"/>
          <w:sz w:val="32"/>
          <w:szCs w:val="32"/>
        </w:rPr>
        <w:t>（一）内设机构设置。会同县疾病预防控制中心内设机构包括：本单位内设机构包括：办公室，检验科</w:t>
      </w:r>
      <w:r>
        <w:rPr>
          <w:rFonts w:hint="eastAsia" w:ascii="宋体" w:hAnsi="宋体"/>
          <w:bCs/>
          <w:kern w:val="0"/>
          <w:sz w:val="32"/>
          <w:szCs w:val="32"/>
          <w:lang w:eastAsia="zh-CN"/>
        </w:rPr>
        <w:t>、慢病科</w:t>
      </w:r>
      <w:r>
        <w:rPr>
          <w:rFonts w:hint="eastAsia" w:ascii="宋体" w:hAnsi="宋体"/>
          <w:bCs/>
          <w:kern w:val="0"/>
          <w:sz w:val="32"/>
          <w:szCs w:val="32"/>
        </w:rPr>
        <w:t>，健康教育科，</w:t>
      </w:r>
      <w:r>
        <w:rPr>
          <w:rFonts w:hint="eastAsia" w:ascii="宋体" w:hAnsi="宋体"/>
          <w:bCs/>
          <w:kern w:val="0"/>
          <w:sz w:val="32"/>
          <w:szCs w:val="32"/>
          <w:lang w:eastAsia="zh-CN"/>
        </w:rPr>
        <w:t>监测科</w:t>
      </w:r>
      <w:r>
        <w:rPr>
          <w:rFonts w:hint="eastAsia" w:ascii="宋体" w:hAnsi="宋体"/>
          <w:bCs/>
          <w:kern w:val="0"/>
          <w:sz w:val="32"/>
          <w:szCs w:val="32"/>
        </w:rPr>
        <w:t>，财务科</w:t>
      </w:r>
      <w:r>
        <w:rPr>
          <w:rFonts w:hint="eastAsia" w:ascii="宋体" w:hAnsi="宋体"/>
          <w:bCs/>
          <w:kern w:val="0"/>
          <w:sz w:val="32"/>
          <w:szCs w:val="32"/>
          <w:lang w:eastAsia="zh-CN"/>
        </w:rPr>
        <w:t>、免疫规划科、性艾科</w:t>
      </w:r>
      <w:r>
        <w:rPr>
          <w:rFonts w:hint="eastAsia" w:ascii="宋体" w:hAnsi="宋体"/>
          <w:bCs/>
          <w:kern w:val="0"/>
          <w:sz w:val="32"/>
          <w:szCs w:val="32"/>
        </w:rPr>
        <w:t>等</w:t>
      </w:r>
    </w:p>
    <w:p w14:paraId="074AACBA">
      <w:pPr>
        <w:widowControl/>
        <w:spacing w:line="600" w:lineRule="exact"/>
        <w:rPr>
          <w:rFonts w:ascii="宋体"/>
          <w:bCs/>
          <w:kern w:val="0"/>
          <w:sz w:val="32"/>
          <w:szCs w:val="32"/>
        </w:rPr>
      </w:pPr>
      <w:r>
        <w:rPr>
          <w:rFonts w:hint="eastAsia" w:ascii="宋体" w:hAnsi="宋体"/>
          <w:bCs/>
          <w:kern w:val="0"/>
          <w:sz w:val="32"/>
          <w:szCs w:val="32"/>
        </w:rPr>
        <w:t>（二）决算单位构成。</w:t>
      </w:r>
      <w:r>
        <w:rPr>
          <w:rFonts w:ascii="宋体" w:hAnsi="宋体"/>
          <w:bCs/>
          <w:kern w:val="0"/>
          <w:sz w:val="32"/>
          <w:szCs w:val="32"/>
        </w:rPr>
        <w:t>202</w:t>
      </w:r>
      <w:r>
        <w:rPr>
          <w:rFonts w:hint="eastAsia" w:ascii="宋体" w:hAnsi="宋体"/>
          <w:bCs/>
          <w:kern w:val="0"/>
          <w:sz w:val="32"/>
          <w:szCs w:val="32"/>
          <w:lang w:val="en-US" w:eastAsia="zh-CN"/>
        </w:rPr>
        <w:t>4</w:t>
      </w:r>
      <w:r>
        <w:rPr>
          <w:rFonts w:hint="eastAsia" w:ascii="宋体" w:hAnsi="宋体"/>
          <w:bCs/>
          <w:kern w:val="0"/>
          <w:sz w:val="32"/>
          <w:szCs w:val="32"/>
        </w:rPr>
        <w:t>年部门决算汇总公开单位构成包括：会同县疾病预防控制中心本级。</w:t>
      </w:r>
    </w:p>
    <w:p w14:paraId="4C1E2D1A">
      <w:pPr>
        <w:jc w:val="left"/>
        <w:rPr>
          <w:rFonts w:ascii="仿宋_GB2312" w:hAnsi="宋体" w:eastAsia="仿宋_GB2312"/>
          <w:sz w:val="28"/>
          <w:szCs w:val="32"/>
        </w:rPr>
      </w:pPr>
    </w:p>
    <w:p w14:paraId="1C52B4F0">
      <w:pPr>
        <w:jc w:val="center"/>
        <w:rPr>
          <w:rFonts w:ascii="黑体" w:hAnsi="黑体" w:eastAsia="黑体"/>
          <w:sz w:val="28"/>
          <w:szCs w:val="28"/>
        </w:rPr>
      </w:pPr>
    </w:p>
    <w:p w14:paraId="135939EA">
      <w:pPr>
        <w:jc w:val="center"/>
        <w:rPr>
          <w:rFonts w:ascii="黑体" w:hAnsi="黑体" w:eastAsia="黑体"/>
          <w:sz w:val="28"/>
          <w:szCs w:val="28"/>
        </w:rPr>
      </w:pPr>
    </w:p>
    <w:p w14:paraId="29EF6824">
      <w:pPr>
        <w:jc w:val="center"/>
        <w:rPr>
          <w:rFonts w:ascii="黑体" w:hAnsi="黑体" w:eastAsia="黑体"/>
          <w:sz w:val="28"/>
          <w:szCs w:val="28"/>
        </w:rPr>
      </w:pPr>
    </w:p>
    <w:p w14:paraId="040F4FD6">
      <w:pPr>
        <w:jc w:val="center"/>
        <w:rPr>
          <w:sz w:val="72"/>
          <w:szCs w:val="72"/>
        </w:rPr>
      </w:pPr>
    </w:p>
    <w:p w14:paraId="5E1B5B02">
      <w:pPr>
        <w:jc w:val="center"/>
        <w:rPr>
          <w:rFonts w:ascii="黑体" w:hAnsi="黑体" w:eastAsia="黑体" w:cs="黑体"/>
          <w:sz w:val="52"/>
          <w:szCs w:val="52"/>
        </w:rPr>
      </w:pPr>
      <w:r>
        <w:rPr>
          <w:rFonts w:hint="eastAsia" w:ascii="黑体" w:hAnsi="黑体" w:eastAsia="黑体" w:cs="黑体"/>
          <w:sz w:val="52"/>
          <w:szCs w:val="52"/>
        </w:rPr>
        <w:t>第二部分部门决算表</w:t>
      </w:r>
    </w:p>
    <w:p w14:paraId="681C59AF">
      <w:pPr>
        <w:jc w:val="center"/>
        <w:rPr>
          <w:sz w:val="72"/>
          <w:szCs w:val="72"/>
        </w:rPr>
      </w:pPr>
    </w:p>
    <w:p w14:paraId="525A3DDA">
      <w:pPr>
        <w:tabs>
          <w:tab w:val="left" w:pos="8346"/>
        </w:tabs>
        <w:jc w:val="left"/>
        <w:rPr>
          <w:rFonts w:hint="eastAsia" w:eastAsia="宋体"/>
          <w:sz w:val="72"/>
          <w:szCs w:val="72"/>
          <w:lang w:eastAsia="zh-CN"/>
        </w:rPr>
      </w:pPr>
      <w:r>
        <w:rPr>
          <w:rFonts w:hint="eastAsia"/>
          <w:sz w:val="72"/>
          <w:szCs w:val="72"/>
          <w:lang w:eastAsia="zh-CN"/>
        </w:rPr>
        <w:tab/>
      </w:r>
    </w:p>
    <w:p w14:paraId="18B7286E">
      <w:pPr>
        <w:jc w:val="center"/>
        <w:rPr>
          <w:sz w:val="72"/>
          <w:szCs w:val="72"/>
        </w:rPr>
      </w:pPr>
    </w:p>
    <w:p w14:paraId="52AF51D5">
      <w:pPr>
        <w:jc w:val="center"/>
        <w:rPr>
          <w:sz w:val="72"/>
          <w:szCs w:val="72"/>
        </w:rPr>
      </w:pPr>
    </w:p>
    <w:p w14:paraId="061504ED">
      <w:pPr>
        <w:jc w:val="left"/>
        <w:rPr>
          <w:sz w:val="32"/>
          <w:szCs w:val="32"/>
        </w:rPr>
      </w:pPr>
    </w:p>
    <w:p w14:paraId="662D00EB">
      <w:pPr>
        <w:jc w:val="left"/>
        <w:rPr>
          <w:rFonts w:ascii="宋体"/>
          <w:sz w:val="32"/>
          <w:szCs w:val="32"/>
        </w:rPr>
        <w:sectPr>
          <w:footerReference r:id="rId3" w:type="default"/>
          <w:pgSz w:w="11906" w:h="16838"/>
          <w:pgMar w:top="720" w:right="720" w:bottom="720" w:left="720" w:header="851" w:footer="992" w:gutter="0"/>
          <w:cols w:space="425" w:num="1"/>
          <w:docGrid w:type="lines" w:linePitch="312" w:charSpace="0"/>
        </w:sectPr>
      </w:pPr>
    </w:p>
    <w:tbl>
      <w:tblPr>
        <w:tblStyle w:val="9"/>
        <w:tblW w:w="14081" w:type="dxa"/>
        <w:tblInd w:w="93" w:type="dxa"/>
        <w:tblLayout w:type="autofit"/>
        <w:tblCellMar>
          <w:top w:w="0" w:type="dxa"/>
          <w:left w:w="108" w:type="dxa"/>
          <w:bottom w:w="0" w:type="dxa"/>
          <w:right w:w="108" w:type="dxa"/>
        </w:tblCellMar>
      </w:tblPr>
      <w:tblGrid>
        <w:gridCol w:w="4402"/>
        <w:gridCol w:w="773"/>
        <w:gridCol w:w="1680"/>
        <w:gridCol w:w="4143"/>
        <w:gridCol w:w="773"/>
        <w:gridCol w:w="2310"/>
      </w:tblGrid>
      <w:tr w14:paraId="71749986">
        <w:tblPrEx>
          <w:tblCellMar>
            <w:top w:w="0" w:type="dxa"/>
            <w:left w:w="108" w:type="dxa"/>
            <w:bottom w:w="0" w:type="dxa"/>
            <w:right w:w="108" w:type="dxa"/>
          </w:tblCellMar>
        </w:tblPrEx>
        <w:trPr>
          <w:trHeight w:val="390" w:hRule="atLeast"/>
        </w:trPr>
        <w:tc>
          <w:tcPr>
            <w:tcW w:w="14081" w:type="dxa"/>
            <w:gridSpan w:val="6"/>
            <w:tcBorders>
              <w:top w:val="nil"/>
              <w:left w:val="nil"/>
              <w:bottom w:val="nil"/>
              <w:right w:val="nil"/>
            </w:tcBorders>
            <w:shd w:val="clear" w:color="auto" w:fill="auto"/>
            <w:noWrap/>
            <w:vAlign w:val="bottom"/>
          </w:tcPr>
          <w:p w14:paraId="2C64B1A6">
            <w:pPr>
              <w:jc w:val="center"/>
              <w:rPr>
                <w:rFonts w:ascii="Arial" w:hAnsi="Arial" w:cs="Arial"/>
                <w:color w:val="000000"/>
                <w:sz w:val="20"/>
                <w:szCs w:val="20"/>
              </w:rPr>
            </w:pPr>
            <w:r>
              <w:rPr>
                <w:rFonts w:hint="eastAsia" w:ascii="宋体" w:hAnsi="宋体" w:cs="宋体"/>
                <w:color w:val="000000"/>
                <w:kern w:val="0"/>
                <w:sz w:val="30"/>
                <w:szCs w:val="30"/>
              </w:rPr>
              <w:t>收入支出决算总表</w:t>
            </w:r>
          </w:p>
        </w:tc>
      </w:tr>
      <w:tr w14:paraId="7E6DFD46">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41F7127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1208E8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E25DD1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98AB07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F3350EC">
            <w:pPr>
              <w:rPr>
                <w:rFonts w:ascii="Arial" w:hAnsi="Arial" w:cs="Arial"/>
                <w:color w:val="000000"/>
                <w:sz w:val="20"/>
                <w:szCs w:val="20"/>
              </w:rPr>
            </w:pPr>
          </w:p>
        </w:tc>
        <w:tc>
          <w:tcPr>
            <w:tcW w:w="1960" w:type="dxa"/>
            <w:tcBorders>
              <w:top w:val="nil"/>
              <w:left w:val="nil"/>
              <w:bottom w:val="nil"/>
              <w:right w:val="nil"/>
            </w:tcBorders>
            <w:shd w:val="clear" w:color="auto" w:fill="auto"/>
            <w:noWrap/>
            <w:vAlign w:val="bottom"/>
          </w:tcPr>
          <w:p w14:paraId="0B6518FC">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14:paraId="40471F73">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5F69B2B8">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部门：会同县疾病预防控制中心</w:t>
            </w:r>
          </w:p>
        </w:tc>
        <w:tc>
          <w:tcPr>
            <w:tcW w:w="0" w:type="auto"/>
            <w:tcBorders>
              <w:top w:val="nil"/>
              <w:left w:val="nil"/>
              <w:bottom w:val="nil"/>
              <w:right w:val="nil"/>
            </w:tcBorders>
            <w:shd w:val="clear" w:color="auto" w:fill="auto"/>
            <w:noWrap/>
            <w:vAlign w:val="bottom"/>
          </w:tcPr>
          <w:p w14:paraId="7F044BC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A02C1D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C237C0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2B499A4">
            <w:pPr>
              <w:rPr>
                <w:rFonts w:ascii="Arial" w:hAnsi="Arial" w:cs="Arial"/>
                <w:color w:val="000000"/>
                <w:sz w:val="20"/>
                <w:szCs w:val="20"/>
              </w:rPr>
            </w:pPr>
          </w:p>
        </w:tc>
        <w:tc>
          <w:tcPr>
            <w:tcW w:w="1960" w:type="dxa"/>
            <w:tcBorders>
              <w:top w:val="nil"/>
              <w:left w:val="nil"/>
              <w:bottom w:val="nil"/>
              <w:right w:val="nil"/>
            </w:tcBorders>
            <w:shd w:val="clear" w:color="auto" w:fill="auto"/>
            <w:noWrap/>
            <w:vAlign w:val="bottom"/>
          </w:tcPr>
          <w:p w14:paraId="5269B300">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04ECA017">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359D21C8">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7022" w:type="dxa"/>
            <w:gridSpan w:val="3"/>
            <w:tcBorders>
              <w:top w:val="single" w:color="000000" w:sz="4" w:space="0"/>
              <w:left w:val="nil"/>
              <w:bottom w:val="single" w:color="000000" w:sz="4" w:space="0"/>
              <w:right w:val="single" w:color="000000" w:sz="4" w:space="0"/>
            </w:tcBorders>
            <w:shd w:val="clear" w:color="FFFFFF" w:fill="C0C0C0"/>
            <w:noWrap/>
            <w:vAlign w:val="center"/>
          </w:tcPr>
          <w:p w14:paraId="3F53E6E0">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r>
      <w:tr w14:paraId="5CA833B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81399B5">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shd w:val="clear" w:color="FFFFFF" w:fill="C0C0C0"/>
            <w:noWrap/>
            <w:vAlign w:val="center"/>
          </w:tcPr>
          <w:p w14:paraId="21C67C2D">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tcBorders>
              <w:top w:val="nil"/>
              <w:left w:val="nil"/>
              <w:bottom w:val="single" w:color="000000" w:sz="4" w:space="0"/>
              <w:right w:val="single" w:color="000000" w:sz="4" w:space="0"/>
            </w:tcBorders>
            <w:shd w:val="clear" w:color="FFFFFF" w:fill="C0C0C0"/>
            <w:noWrap/>
            <w:vAlign w:val="center"/>
          </w:tcPr>
          <w:p w14:paraId="588E0145">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0" w:type="auto"/>
            <w:tcBorders>
              <w:top w:val="nil"/>
              <w:left w:val="nil"/>
              <w:bottom w:val="single" w:color="000000" w:sz="4" w:space="0"/>
              <w:right w:val="single" w:color="000000" w:sz="4" w:space="0"/>
            </w:tcBorders>
            <w:shd w:val="clear" w:color="FFFFFF" w:fill="C0C0C0"/>
            <w:noWrap/>
            <w:vAlign w:val="center"/>
          </w:tcPr>
          <w:p w14:paraId="28E2D45B">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shd w:val="clear" w:color="FFFFFF" w:fill="C0C0C0"/>
            <w:noWrap/>
            <w:vAlign w:val="center"/>
          </w:tcPr>
          <w:p w14:paraId="0C551BD2">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960" w:type="dxa"/>
            <w:tcBorders>
              <w:top w:val="nil"/>
              <w:left w:val="nil"/>
              <w:bottom w:val="single" w:color="000000" w:sz="4" w:space="0"/>
              <w:right w:val="single" w:color="000000" w:sz="4" w:space="0"/>
            </w:tcBorders>
            <w:shd w:val="clear" w:color="FFFFFF" w:fill="C0C0C0"/>
            <w:noWrap/>
            <w:vAlign w:val="center"/>
          </w:tcPr>
          <w:p w14:paraId="257486EF">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14:paraId="5271863A">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B06D6E2">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shd w:val="clear" w:color="FFFFFF" w:fill="C0C0C0"/>
            <w:noWrap/>
            <w:vAlign w:val="center"/>
          </w:tcPr>
          <w:p w14:paraId="59579CE1">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61E0F259">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shd w:val="clear" w:color="FFFFFF" w:fill="C0C0C0"/>
            <w:noWrap/>
            <w:vAlign w:val="center"/>
          </w:tcPr>
          <w:p w14:paraId="0B3ED14C">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shd w:val="clear" w:color="FFFFFF" w:fill="C0C0C0"/>
            <w:noWrap/>
            <w:vAlign w:val="center"/>
          </w:tcPr>
          <w:p w14:paraId="7213CE91">
            <w:pPr>
              <w:jc w:val="center"/>
              <w:rPr>
                <w:rFonts w:ascii="宋体" w:hAnsi="宋体" w:cs="宋体"/>
                <w:color w:val="000000"/>
                <w:sz w:val="22"/>
              </w:rPr>
            </w:pPr>
          </w:p>
        </w:tc>
        <w:tc>
          <w:tcPr>
            <w:tcW w:w="1960" w:type="dxa"/>
            <w:tcBorders>
              <w:top w:val="nil"/>
              <w:left w:val="nil"/>
              <w:bottom w:val="single" w:color="000000" w:sz="4" w:space="0"/>
              <w:right w:val="single" w:color="000000" w:sz="4" w:space="0"/>
            </w:tcBorders>
            <w:shd w:val="clear" w:color="FFFFFF" w:fill="C0C0C0"/>
            <w:noWrap/>
            <w:vAlign w:val="center"/>
          </w:tcPr>
          <w:p w14:paraId="71F23390">
            <w:pPr>
              <w:widowControl/>
              <w:jc w:val="center"/>
              <w:textAlignment w:val="center"/>
              <w:rPr>
                <w:rFonts w:ascii="宋体" w:hAnsi="宋体" w:cs="宋体"/>
                <w:color w:val="000000"/>
                <w:sz w:val="22"/>
              </w:rPr>
            </w:pPr>
            <w:r>
              <w:rPr>
                <w:rFonts w:hint="eastAsia" w:ascii="宋体" w:hAnsi="宋体" w:cs="宋体"/>
                <w:color w:val="000000"/>
                <w:kern w:val="0"/>
                <w:sz w:val="22"/>
              </w:rPr>
              <w:t>2</w:t>
            </w:r>
          </w:p>
        </w:tc>
      </w:tr>
      <w:tr w14:paraId="08C0C94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104F2C3">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14:paraId="61EAB361">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vAlign w:val="center"/>
          </w:tcPr>
          <w:p w14:paraId="68CDE2E5">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16108534.07</w:t>
            </w:r>
          </w:p>
        </w:tc>
        <w:tc>
          <w:tcPr>
            <w:tcW w:w="0" w:type="auto"/>
            <w:tcBorders>
              <w:top w:val="nil"/>
              <w:left w:val="nil"/>
              <w:bottom w:val="single" w:color="000000" w:sz="4" w:space="0"/>
              <w:right w:val="single" w:color="000000" w:sz="4" w:space="0"/>
            </w:tcBorders>
            <w:shd w:val="clear" w:color="FFFFFF" w:fill="C0C0C0"/>
            <w:noWrap/>
            <w:vAlign w:val="center"/>
          </w:tcPr>
          <w:p w14:paraId="1F548D76">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14:paraId="363D0FC5">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1960" w:type="dxa"/>
            <w:tcBorders>
              <w:top w:val="nil"/>
              <w:left w:val="nil"/>
              <w:bottom w:val="single" w:color="000000" w:sz="4" w:space="0"/>
              <w:right w:val="single" w:color="000000" w:sz="4" w:space="0"/>
            </w:tcBorders>
            <w:shd w:val="clear" w:color="auto" w:fill="auto"/>
            <w:noWrap/>
            <w:vAlign w:val="center"/>
          </w:tcPr>
          <w:p w14:paraId="6D7BD058">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43375.92</w:t>
            </w:r>
          </w:p>
        </w:tc>
      </w:tr>
      <w:tr w14:paraId="50274A2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EC45459">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14:paraId="29A40C9F">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shd w:val="clear" w:color="auto" w:fill="auto"/>
            <w:noWrap/>
            <w:vAlign w:val="center"/>
          </w:tcPr>
          <w:p w14:paraId="405C871A">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148862.00</w:t>
            </w:r>
          </w:p>
        </w:tc>
        <w:tc>
          <w:tcPr>
            <w:tcW w:w="0" w:type="auto"/>
            <w:tcBorders>
              <w:top w:val="nil"/>
              <w:left w:val="nil"/>
              <w:bottom w:val="single" w:color="000000" w:sz="4" w:space="0"/>
              <w:right w:val="single" w:color="000000" w:sz="4" w:space="0"/>
            </w:tcBorders>
            <w:shd w:val="clear" w:color="FFFFFF" w:fill="C0C0C0"/>
            <w:noWrap/>
            <w:vAlign w:val="center"/>
          </w:tcPr>
          <w:p w14:paraId="22722BB4">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14:paraId="1225C102">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1960" w:type="dxa"/>
            <w:tcBorders>
              <w:top w:val="nil"/>
              <w:left w:val="nil"/>
              <w:bottom w:val="single" w:color="000000" w:sz="4" w:space="0"/>
              <w:right w:val="single" w:color="000000" w:sz="4" w:space="0"/>
            </w:tcBorders>
            <w:shd w:val="clear" w:color="auto" w:fill="auto"/>
            <w:noWrap/>
            <w:vAlign w:val="center"/>
          </w:tcPr>
          <w:p w14:paraId="765FF976">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58FCD79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E6F3D05">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14:paraId="03093193">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shd w:val="clear" w:color="auto" w:fill="auto"/>
            <w:noWrap/>
            <w:vAlign w:val="center"/>
          </w:tcPr>
          <w:p w14:paraId="73095055">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14:paraId="24CEF8E9">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14:paraId="54FE1D01">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1960" w:type="dxa"/>
            <w:tcBorders>
              <w:top w:val="nil"/>
              <w:left w:val="nil"/>
              <w:bottom w:val="single" w:color="000000" w:sz="4" w:space="0"/>
              <w:right w:val="single" w:color="000000" w:sz="4" w:space="0"/>
            </w:tcBorders>
            <w:shd w:val="clear" w:color="auto" w:fill="auto"/>
            <w:noWrap/>
            <w:vAlign w:val="center"/>
          </w:tcPr>
          <w:p w14:paraId="54337128">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060A8409">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6049B5D">
            <w:pPr>
              <w:widowControl/>
              <w:jc w:val="left"/>
              <w:textAlignment w:val="center"/>
              <w:rPr>
                <w:rFonts w:ascii="宋体" w:hAnsi="宋体" w:cs="宋体"/>
                <w:color w:val="000000"/>
                <w:sz w:val="22"/>
              </w:rPr>
            </w:pPr>
            <w:r>
              <w:rPr>
                <w:rFonts w:hint="eastAsia" w:ascii="宋体" w:hAnsi="宋体" w:cs="宋体"/>
                <w:color w:val="000000"/>
                <w:kern w:val="0"/>
                <w:sz w:val="22"/>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14:paraId="0369D658">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shd w:val="clear" w:color="auto" w:fill="auto"/>
            <w:noWrap/>
            <w:vAlign w:val="center"/>
          </w:tcPr>
          <w:p w14:paraId="6F937B23">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14:paraId="6B7BAA6D">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14:paraId="599748EE">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1960" w:type="dxa"/>
            <w:tcBorders>
              <w:top w:val="nil"/>
              <w:left w:val="nil"/>
              <w:bottom w:val="single" w:color="000000" w:sz="4" w:space="0"/>
              <w:right w:val="single" w:color="000000" w:sz="4" w:space="0"/>
            </w:tcBorders>
            <w:shd w:val="clear" w:color="auto" w:fill="auto"/>
            <w:noWrap/>
            <w:vAlign w:val="center"/>
          </w:tcPr>
          <w:p w14:paraId="043F5B9B">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300000.00</w:t>
            </w:r>
          </w:p>
        </w:tc>
      </w:tr>
      <w:tr w14:paraId="07576AC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3B8AA86">
            <w:pPr>
              <w:widowControl/>
              <w:jc w:val="left"/>
              <w:textAlignment w:val="center"/>
              <w:rPr>
                <w:rFonts w:ascii="宋体" w:hAnsi="宋体" w:cs="宋体"/>
                <w:color w:val="000000"/>
                <w:sz w:val="22"/>
              </w:rPr>
            </w:pPr>
            <w:r>
              <w:rPr>
                <w:rFonts w:hint="eastAsia" w:ascii="宋体" w:hAnsi="宋体" w:cs="宋体"/>
                <w:color w:val="000000"/>
                <w:kern w:val="0"/>
                <w:sz w:val="22"/>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14:paraId="4A9B6E73">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shd w:val="clear" w:color="auto" w:fill="auto"/>
            <w:noWrap/>
            <w:vAlign w:val="center"/>
          </w:tcPr>
          <w:p w14:paraId="6B8FD429">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25000</w:t>
            </w:r>
          </w:p>
        </w:tc>
        <w:tc>
          <w:tcPr>
            <w:tcW w:w="0" w:type="auto"/>
            <w:tcBorders>
              <w:top w:val="nil"/>
              <w:left w:val="nil"/>
              <w:bottom w:val="single" w:color="000000" w:sz="4" w:space="0"/>
              <w:right w:val="single" w:color="000000" w:sz="4" w:space="0"/>
            </w:tcBorders>
            <w:shd w:val="clear" w:color="FFFFFF" w:fill="C0C0C0"/>
            <w:noWrap/>
            <w:vAlign w:val="center"/>
          </w:tcPr>
          <w:p w14:paraId="02F78CC2">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14:paraId="03D61E18">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1960" w:type="dxa"/>
            <w:tcBorders>
              <w:top w:val="nil"/>
              <w:left w:val="nil"/>
              <w:bottom w:val="single" w:color="000000" w:sz="4" w:space="0"/>
              <w:right w:val="single" w:color="000000" w:sz="4" w:space="0"/>
            </w:tcBorders>
            <w:shd w:val="clear" w:color="auto" w:fill="auto"/>
            <w:noWrap/>
            <w:vAlign w:val="center"/>
          </w:tcPr>
          <w:p w14:paraId="4502411A">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712D8B8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36EC5AE">
            <w:pPr>
              <w:widowControl/>
              <w:jc w:val="left"/>
              <w:textAlignment w:val="center"/>
              <w:rPr>
                <w:rFonts w:ascii="宋体" w:hAnsi="宋体" w:cs="宋体"/>
                <w:color w:val="000000"/>
                <w:sz w:val="22"/>
              </w:rPr>
            </w:pPr>
            <w:r>
              <w:rPr>
                <w:rFonts w:hint="eastAsia" w:ascii="宋体" w:hAnsi="宋体" w:cs="宋体"/>
                <w:color w:val="000000"/>
                <w:kern w:val="0"/>
                <w:sz w:val="22"/>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14:paraId="6AFA2E46">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0" w:type="auto"/>
            <w:tcBorders>
              <w:top w:val="nil"/>
              <w:left w:val="nil"/>
              <w:bottom w:val="single" w:color="000000" w:sz="4" w:space="0"/>
              <w:right w:val="single" w:color="000000" w:sz="4" w:space="0"/>
            </w:tcBorders>
            <w:shd w:val="clear" w:color="auto" w:fill="auto"/>
            <w:noWrap/>
            <w:vAlign w:val="center"/>
          </w:tcPr>
          <w:p w14:paraId="06AB0698">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14:paraId="2810674E">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14:paraId="3E13B572">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1960" w:type="dxa"/>
            <w:tcBorders>
              <w:top w:val="nil"/>
              <w:left w:val="nil"/>
              <w:bottom w:val="single" w:color="000000" w:sz="4" w:space="0"/>
              <w:right w:val="single" w:color="000000" w:sz="4" w:space="0"/>
            </w:tcBorders>
            <w:shd w:val="clear" w:color="auto" w:fill="auto"/>
            <w:noWrap/>
            <w:vAlign w:val="center"/>
          </w:tcPr>
          <w:p w14:paraId="7BFBFD2E">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586AFD46">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12CB8DF">
            <w:pPr>
              <w:widowControl/>
              <w:jc w:val="left"/>
              <w:textAlignment w:val="center"/>
              <w:rPr>
                <w:rFonts w:ascii="宋体" w:hAnsi="宋体" w:cs="宋体"/>
                <w:color w:val="000000"/>
                <w:sz w:val="22"/>
              </w:rPr>
            </w:pPr>
            <w:r>
              <w:rPr>
                <w:rFonts w:hint="eastAsia" w:ascii="宋体" w:hAnsi="宋体" w:cs="宋体"/>
                <w:color w:val="000000"/>
                <w:kern w:val="0"/>
                <w:sz w:val="22"/>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14:paraId="7B5215CD">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0" w:type="auto"/>
            <w:tcBorders>
              <w:top w:val="nil"/>
              <w:left w:val="nil"/>
              <w:bottom w:val="single" w:color="000000" w:sz="4" w:space="0"/>
              <w:right w:val="single" w:color="000000" w:sz="4" w:space="0"/>
            </w:tcBorders>
            <w:shd w:val="clear" w:color="auto" w:fill="auto"/>
            <w:noWrap/>
            <w:vAlign w:val="center"/>
          </w:tcPr>
          <w:p w14:paraId="41BE4F58">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14:paraId="7232E195">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14:paraId="326BDEFB">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1960" w:type="dxa"/>
            <w:tcBorders>
              <w:top w:val="nil"/>
              <w:left w:val="nil"/>
              <w:bottom w:val="single" w:color="000000" w:sz="4" w:space="0"/>
              <w:right w:val="single" w:color="000000" w:sz="4" w:space="0"/>
            </w:tcBorders>
            <w:shd w:val="clear" w:color="auto" w:fill="auto"/>
            <w:noWrap/>
            <w:vAlign w:val="center"/>
          </w:tcPr>
          <w:p w14:paraId="08C073E8">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528718.09</w:t>
            </w:r>
          </w:p>
        </w:tc>
      </w:tr>
      <w:tr w14:paraId="2C087DC3">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EC5F38E">
            <w:pPr>
              <w:widowControl/>
              <w:jc w:val="left"/>
              <w:textAlignment w:val="center"/>
              <w:rPr>
                <w:rFonts w:ascii="宋体" w:hAnsi="宋体" w:cs="宋体"/>
                <w:color w:val="000000"/>
                <w:sz w:val="22"/>
              </w:rPr>
            </w:pPr>
            <w:r>
              <w:rPr>
                <w:rFonts w:hint="eastAsia" w:ascii="宋体" w:hAnsi="宋体" w:cs="宋体"/>
                <w:color w:val="000000"/>
                <w:kern w:val="0"/>
                <w:sz w:val="22"/>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14:paraId="752EE002">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0" w:type="auto"/>
            <w:tcBorders>
              <w:top w:val="nil"/>
              <w:left w:val="nil"/>
              <w:bottom w:val="single" w:color="000000" w:sz="4" w:space="0"/>
              <w:right w:val="single" w:color="000000" w:sz="4" w:space="0"/>
            </w:tcBorders>
            <w:shd w:val="clear" w:color="auto" w:fill="auto"/>
            <w:noWrap/>
            <w:vAlign w:val="center"/>
          </w:tcPr>
          <w:p w14:paraId="4EFDE0C8">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55515.79</w:t>
            </w:r>
          </w:p>
        </w:tc>
        <w:tc>
          <w:tcPr>
            <w:tcW w:w="0" w:type="auto"/>
            <w:tcBorders>
              <w:top w:val="nil"/>
              <w:left w:val="nil"/>
              <w:bottom w:val="single" w:color="000000" w:sz="4" w:space="0"/>
              <w:right w:val="single" w:color="000000" w:sz="4" w:space="0"/>
            </w:tcBorders>
            <w:shd w:val="clear" w:color="FFFFFF" w:fill="C0C0C0"/>
            <w:noWrap/>
            <w:vAlign w:val="center"/>
          </w:tcPr>
          <w:p w14:paraId="384C3724">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14:paraId="2ADD2BB9">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1960" w:type="dxa"/>
            <w:tcBorders>
              <w:top w:val="nil"/>
              <w:left w:val="nil"/>
              <w:bottom w:val="single" w:color="000000" w:sz="4" w:space="0"/>
              <w:right w:val="single" w:color="000000" w:sz="4" w:space="0"/>
            </w:tcBorders>
            <w:shd w:val="clear" w:color="auto" w:fill="auto"/>
            <w:noWrap/>
            <w:vAlign w:val="center"/>
          </w:tcPr>
          <w:p w14:paraId="40803EC6">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15261325.75</w:t>
            </w:r>
          </w:p>
        </w:tc>
      </w:tr>
      <w:tr w14:paraId="2EC1D0D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E02243D">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02392A9A">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0" w:type="auto"/>
            <w:tcBorders>
              <w:top w:val="nil"/>
              <w:left w:val="nil"/>
              <w:bottom w:val="single" w:color="000000" w:sz="4" w:space="0"/>
              <w:right w:val="single" w:color="000000" w:sz="4" w:space="0"/>
            </w:tcBorders>
            <w:shd w:val="clear" w:color="auto" w:fill="auto"/>
            <w:noWrap/>
            <w:vAlign w:val="center"/>
          </w:tcPr>
          <w:p w14:paraId="15A000D9">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15851512">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14:paraId="4FC4FA2E">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1960" w:type="dxa"/>
            <w:tcBorders>
              <w:top w:val="nil"/>
              <w:left w:val="nil"/>
              <w:bottom w:val="single" w:color="000000" w:sz="4" w:space="0"/>
              <w:right w:val="single" w:color="000000" w:sz="4" w:space="0"/>
            </w:tcBorders>
            <w:shd w:val="clear" w:color="auto" w:fill="auto"/>
            <w:noWrap/>
            <w:vAlign w:val="center"/>
          </w:tcPr>
          <w:p w14:paraId="2D9ADA33">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0.00</w:t>
            </w:r>
          </w:p>
        </w:tc>
      </w:tr>
      <w:tr w14:paraId="2538F21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0903629">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6DF4A68B">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0" w:type="auto"/>
            <w:tcBorders>
              <w:top w:val="nil"/>
              <w:left w:val="nil"/>
              <w:bottom w:val="single" w:color="000000" w:sz="4" w:space="0"/>
              <w:right w:val="single" w:color="000000" w:sz="4" w:space="0"/>
            </w:tcBorders>
            <w:shd w:val="clear" w:color="auto" w:fill="auto"/>
            <w:noWrap/>
            <w:vAlign w:val="center"/>
          </w:tcPr>
          <w:p w14:paraId="747A19F7">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7105E4E5">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14:paraId="49E6C554">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1960" w:type="dxa"/>
            <w:tcBorders>
              <w:top w:val="nil"/>
              <w:left w:val="nil"/>
              <w:bottom w:val="single" w:color="000000" w:sz="4" w:space="0"/>
              <w:right w:val="single" w:color="000000" w:sz="4" w:space="0"/>
            </w:tcBorders>
            <w:shd w:val="clear" w:color="auto" w:fill="auto"/>
            <w:noWrap/>
            <w:vAlign w:val="center"/>
          </w:tcPr>
          <w:p w14:paraId="0544D013">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55630.10</w:t>
            </w:r>
          </w:p>
        </w:tc>
      </w:tr>
      <w:tr w14:paraId="46992A32">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9C0DA15">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3C02B11E">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0" w:type="auto"/>
            <w:tcBorders>
              <w:top w:val="nil"/>
              <w:left w:val="nil"/>
              <w:bottom w:val="single" w:color="000000" w:sz="4" w:space="0"/>
              <w:right w:val="single" w:color="000000" w:sz="4" w:space="0"/>
            </w:tcBorders>
            <w:shd w:val="clear" w:color="auto" w:fill="auto"/>
            <w:noWrap/>
            <w:vAlign w:val="center"/>
          </w:tcPr>
          <w:p w14:paraId="6E61B39C">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65B99617">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14:paraId="4D8FD1A2">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1960" w:type="dxa"/>
            <w:tcBorders>
              <w:top w:val="nil"/>
              <w:left w:val="nil"/>
              <w:bottom w:val="single" w:color="000000" w:sz="4" w:space="0"/>
              <w:right w:val="single" w:color="000000" w:sz="4" w:space="0"/>
            </w:tcBorders>
            <w:shd w:val="clear" w:color="auto" w:fill="auto"/>
            <w:noWrap/>
            <w:vAlign w:val="center"/>
          </w:tcPr>
          <w:p w14:paraId="049DE1B0">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6DB43161">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6388EDC">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20F85032">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0" w:type="auto"/>
            <w:tcBorders>
              <w:top w:val="nil"/>
              <w:left w:val="nil"/>
              <w:bottom w:val="single" w:color="000000" w:sz="4" w:space="0"/>
              <w:right w:val="single" w:color="000000" w:sz="4" w:space="0"/>
            </w:tcBorders>
            <w:shd w:val="clear" w:color="auto" w:fill="auto"/>
            <w:noWrap/>
            <w:vAlign w:val="center"/>
          </w:tcPr>
          <w:p w14:paraId="11B41226">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7A40DC95">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14:paraId="18075384">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1960" w:type="dxa"/>
            <w:tcBorders>
              <w:top w:val="nil"/>
              <w:left w:val="nil"/>
              <w:bottom w:val="single" w:color="000000" w:sz="4" w:space="0"/>
              <w:right w:val="single" w:color="000000" w:sz="4" w:space="0"/>
            </w:tcBorders>
            <w:shd w:val="clear" w:color="auto" w:fill="auto"/>
            <w:noWrap/>
            <w:vAlign w:val="center"/>
          </w:tcPr>
          <w:p w14:paraId="41868D83">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0.00</w:t>
            </w:r>
          </w:p>
        </w:tc>
      </w:tr>
      <w:tr w14:paraId="5B5D19C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51CE654">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035D4B3B">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0" w:type="auto"/>
            <w:tcBorders>
              <w:top w:val="nil"/>
              <w:left w:val="nil"/>
              <w:bottom w:val="single" w:color="000000" w:sz="4" w:space="0"/>
              <w:right w:val="single" w:color="000000" w:sz="4" w:space="0"/>
            </w:tcBorders>
            <w:shd w:val="clear" w:color="auto" w:fill="auto"/>
            <w:noWrap/>
            <w:vAlign w:val="center"/>
          </w:tcPr>
          <w:p w14:paraId="40623672">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16628709">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14:paraId="670444FA">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1960" w:type="dxa"/>
            <w:tcBorders>
              <w:top w:val="nil"/>
              <w:left w:val="nil"/>
              <w:bottom w:val="single" w:color="000000" w:sz="4" w:space="0"/>
              <w:right w:val="single" w:color="000000" w:sz="4" w:space="0"/>
            </w:tcBorders>
            <w:shd w:val="clear" w:color="auto" w:fill="auto"/>
            <w:noWrap/>
            <w:vAlign w:val="center"/>
          </w:tcPr>
          <w:p w14:paraId="4D132EBA">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288B39C4">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7951102">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073B00BC">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0" w:type="auto"/>
            <w:tcBorders>
              <w:top w:val="nil"/>
              <w:left w:val="nil"/>
              <w:bottom w:val="single" w:color="000000" w:sz="4" w:space="0"/>
              <w:right w:val="single" w:color="000000" w:sz="4" w:space="0"/>
            </w:tcBorders>
            <w:shd w:val="clear" w:color="auto" w:fill="auto"/>
            <w:noWrap/>
            <w:vAlign w:val="center"/>
          </w:tcPr>
          <w:p w14:paraId="10C3AA4D">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3F6315DB">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14:paraId="2D637CE9">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1960" w:type="dxa"/>
            <w:tcBorders>
              <w:top w:val="nil"/>
              <w:left w:val="nil"/>
              <w:bottom w:val="single" w:color="000000" w:sz="4" w:space="0"/>
              <w:right w:val="single" w:color="000000" w:sz="4" w:space="0"/>
            </w:tcBorders>
            <w:shd w:val="clear" w:color="auto" w:fill="auto"/>
            <w:noWrap/>
            <w:vAlign w:val="center"/>
          </w:tcPr>
          <w:p w14:paraId="052893FF">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22F32C41">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E14ADD4">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55CB9CF4">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0" w:type="auto"/>
            <w:tcBorders>
              <w:top w:val="nil"/>
              <w:left w:val="nil"/>
              <w:bottom w:val="single" w:color="000000" w:sz="4" w:space="0"/>
              <w:right w:val="single" w:color="000000" w:sz="4" w:space="0"/>
            </w:tcBorders>
            <w:shd w:val="clear" w:color="auto" w:fill="auto"/>
            <w:noWrap/>
            <w:vAlign w:val="center"/>
          </w:tcPr>
          <w:p w14:paraId="4F777DB0">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1F379B4F">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14:paraId="593DF6BB">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1960" w:type="dxa"/>
            <w:tcBorders>
              <w:top w:val="nil"/>
              <w:left w:val="nil"/>
              <w:bottom w:val="single" w:color="000000" w:sz="4" w:space="0"/>
              <w:right w:val="single" w:color="000000" w:sz="4" w:space="0"/>
            </w:tcBorders>
            <w:shd w:val="clear" w:color="auto" w:fill="auto"/>
            <w:noWrap/>
            <w:vAlign w:val="center"/>
          </w:tcPr>
          <w:p w14:paraId="10CCB07B">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1C33FBB9">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0443DCE">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5FA5CCEE">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0" w:type="auto"/>
            <w:tcBorders>
              <w:top w:val="nil"/>
              <w:left w:val="nil"/>
              <w:bottom w:val="single" w:color="000000" w:sz="4" w:space="0"/>
              <w:right w:val="single" w:color="000000" w:sz="4" w:space="0"/>
            </w:tcBorders>
            <w:shd w:val="clear" w:color="auto" w:fill="auto"/>
            <w:noWrap/>
            <w:vAlign w:val="center"/>
          </w:tcPr>
          <w:p w14:paraId="3278040A">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29B6294F">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14:paraId="7CBB8127">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1960" w:type="dxa"/>
            <w:tcBorders>
              <w:top w:val="nil"/>
              <w:left w:val="nil"/>
              <w:bottom w:val="single" w:color="000000" w:sz="4" w:space="0"/>
              <w:right w:val="single" w:color="000000" w:sz="4" w:space="0"/>
            </w:tcBorders>
            <w:shd w:val="clear" w:color="auto" w:fill="auto"/>
            <w:noWrap/>
            <w:vAlign w:val="center"/>
          </w:tcPr>
          <w:p w14:paraId="6F574332">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3C2CE0FC">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98A71E2">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61D754E0">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0" w:type="auto"/>
            <w:tcBorders>
              <w:top w:val="nil"/>
              <w:left w:val="nil"/>
              <w:bottom w:val="single" w:color="000000" w:sz="4" w:space="0"/>
              <w:right w:val="single" w:color="000000" w:sz="4" w:space="0"/>
            </w:tcBorders>
            <w:shd w:val="clear" w:color="auto" w:fill="auto"/>
            <w:noWrap/>
            <w:vAlign w:val="center"/>
          </w:tcPr>
          <w:p w14:paraId="700B52DA">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4E95BC1D">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14:paraId="3F125FAA">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1960" w:type="dxa"/>
            <w:tcBorders>
              <w:top w:val="nil"/>
              <w:left w:val="nil"/>
              <w:bottom w:val="single" w:color="000000" w:sz="4" w:space="0"/>
              <w:right w:val="single" w:color="000000" w:sz="4" w:space="0"/>
            </w:tcBorders>
            <w:shd w:val="clear" w:color="auto" w:fill="auto"/>
            <w:noWrap/>
            <w:vAlign w:val="center"/>
          </w:tcPr>
          <w:p w14:paraId="6B17B882">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0BFF8292">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FDF2AC2">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2F9E51A5">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0" w:type="auto"/>
            <w:tcBorders>
              <w:top w:val="nil"/>
              <w:left w:val="nil"/>
              <w:bottom w:val="single" w:color="000000" w:sz="4" w:space="0"/>
              <w:right w:val="single" w:color="000000" w:sz="4" w:space="0"/>
            </w:tcBorders>
            <w:shd w:val="clear" w:color="auto" w:fill="auto"/>
            <w:noWrap/>
            <w:vAlign w:val="center"/>
          </w:tcPr>
          <w:p w14:paraId="426CCFEA">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5A6B3A11">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14:paraId="494A01BD">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1960" w:type="dxa"/>
            <w:tcBorders>
              <w:top w:val="nil"/>
              <w:left w:val="nil"/>
              <w:bottom w:val="single" w:color="000000" w:sz="4" w:space="0"/>
              <w:right w:val="single" w:color="000000" w:sz="4" w:space="0"/>
            </w:tcBorders>
            <w:shd w:val="clear" w:color="auto" w:fill="auto"/>
            <w:noWrap/>
            <w:vAlign w:val="center"/>
          </w:tcPr>
          <w:p w14:paraId="751632A5">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53986904">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A75C15E">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718A2403">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0" w:type="auto"/>
            <w:tcBorders>
              <w:top w:val="nil"/>
              <w:left w:val="nil"/>
              <w:bottom w:val="single" w:color="000000" w:sz="4" w:space="0"/>
              <w:right w:val="single" w:color="000000" w:sz="4" w:space="0"/>
            </w:tcBorders>
            <w:shd w:val="clear" w:color="auto" w:fill="auto"/>
            <w:noWrap/>
            <w:vAlign w:val="center"/>
          </w:tcPr>
          <w:p w14:paraId="36D45CCE">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30888C17">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14:paraId="4E0160B0">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1960" w:type="dxa"/>
            <w:tcBorders>
              <w:top w:val="nil"/>
              <w:left w:val="nil"/>
              <w:bottom w:val="single" w:color="000000" w:sz="4" w:space="0"/>
              <w:right w:val="single" w:color="000000" w:sz="4" w:space="0"/>
            </w:tcBorders>
            <w:shd w:val="clear" w:color="auto" w:fill="auto"/>
            <w:noWrap/>
            <w:vAlign w:val="center"/>
          </w:tcPr>
          <w:p w14:paraId="14629FD9">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44C02FB9">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E02766A">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245DFB5E">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0" w:type="auto"/>
            <w:tcBorders>
              <w:top w:val="nil"/>
              <w:left w:val="nil"/>
              <w:bottom w:val="single" w:color="000000" w:sz="4" w:space="0"/>
              <w:right w:val="single" w:color="000000" w:sz="4" w:space="0"/>
            </w:tcBorders>
            <w:shd w:val="clear" w:color="auto" w:fill="auto"/>
            <w:noWrap/>
            <w:vAlign w:val="center"/>
          </w:tcPr>
          <w:p w14:paraId="680A5402">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242ACC24">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14:paraId="3A995983">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1960" w:type="dxa"/>
            <w:tcBorders>
              <w:top w:val="nil"/>
              <w:left w:val="nil"/>
              <w:bottom w:val="single" w:color="000000" w:sz="4" w:space="0"/>
              <w:right w:val="single" w:color="000000" w:sz="4" w:space="0"/>
            </w:tcBorders>
            <w:shd w:val="clear" w:color="auto" w:fill="auto"/>
            <w:noWrap/>
            <w:vAlign w:val="center"/>
          </w:tcPr>
          <w:p w14:paraId="7CC0A778">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0DD8649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5D9C01A">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277DFDF9">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0" w:type="auto"/>
            <w:tcBorders>
              <w:top w:val="nil"/>
              <w:left w:val="nil"/>
              <w:bottom w:val="single" w:color="000000" w:sz="4" w:space="0"/>
              <w:right w:val="single" w:color="000000" w:sz="4" w:space="0"/>
            </w:tcBorders>
            <w:shd w:val="clear" w:color="auto" w:fill="auto"/>
            <w:noWrap/>
            <w:vAlign w:val="center"/>
          </w:tcPr>
          <w:p w14:paraId="19F77401">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56F2FB14">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14:paraId="13AC4CF4">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1960" w:type="dxa"/>
            <w:tcBorders>
              <w:top w:val="nil"/>
              <w:left w:val="nil"/>
              <w:bottom w:val="single" w:color="000000" w:sz="4" w:space="0"/>
              <w:right w:val="single" w:color="000000" w:sz="4" w:space="0"/>
            </w:tcBorders>
            <w:shd w:val="clear" w:color="auto" w:fill="auto"/>
            <w:noWrap/>
            <w:vAlign w:val="center"/>
          </w:tcPr>
          <w:p w14:paraId="3E9733E8">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06F1561D">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83D7D3E">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71E35622">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0" w:type="auto"/>
            <w:tcBorders>
              <w:top w:val="nil"/>
              <w:left w:val="nil"/>
              <w:bottom w:val="single" w:color="000000" w:sz="4" w:space="0"/>
              <w:right w:val="single" w:color="000000" w:sz="4" w:space="0"/>
            </w:tcBorders>
            <w:shd w:val="clear" w:color="auto" w:fill="auto"/>
            <w:noWrap/>
            <w:vAlign w:val="center"/>
          </w:tcPr>
          <w:p w14:paraId="13B3FAD3">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7DF62870">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14:paraId="466C56EA">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1960" w:type="dxa"/>
            <w:tcBorders>
              <w:top w:val="nil"/>
              <w:left w:val="nil"/>
              <w:bottom w:val="single" w:color="000000" w:sz="4" w:space="0"/>
              <w:right w:val="single" w:color="000000" w:sz="4" w:space="0"/>
            </w:tcBorders>
            <w:shd w:val="clear" w:color="auto" w:fill="auto"/>
            <w:noWrap/>
            <w:vAlign w:val="center"/>
          </w:tcPr>
          <w:p w14:paraId="5A743614">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3B2271C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2029A35">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23F5A914">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0" w:type="auto"/>
            <w:tcBorders>
              <w:top w:val="nil"/>
              <w:left w:val="nil"/>
              <w:bottom w:val="single" w:color="000000" w:sz="4" w:space="0"/>
              <w:right w:val="single" w:color="000000" w:sz="4" w:space="0"/>
            </w:tcBorders>
            <w:shd w:val="clear" w:color="auto" w:fill="auto"/>
            <w:noWrap/>
            <w:vAlign w:val="center"/>
          </w:tcPr>
          <w:p w14:paraId="641F3B0C">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4EED18CB">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14:paraId="3EE9F8AD">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1960" w:type="dxa"/>
            <w:tcBorders>
              <w:top w:val="nil"/>
              <w:left w:val="nil"/>
              <w:bottom w:val="single" w:color="000000" w:sz="4" w:space="0"/>
              <w:right w:val="single" w:color="000000" w:sz="4" w:space="0"/>
            </w:tcBorders>
            <w:shd w:val="clear" w:color="auto" w:fill="auto"/>
            <w:noWrap/>
            <w:vAlign w:val="center"/>
          </w:tcPr>
          <w:p w14:paraId="3660F3F1">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148862.00</w:t>
            </w:r>
          </w:p>
        </w:tc>
      </w:tr>
      <w:tr w14:paraId="3D13E67A">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74C19EB">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19978F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0" w:type="auto"/>
            <w:tcBorders>
              <w:top w:val="nil"/>
              <w:left w:val="nil"/>
              <w:bottom w:val="single" w:color="000000" w:sz="4" w:space="0"/>
              <w:right w:val="single" w:color="000000" w:sz="4" w:space="0"/>
            </w:tcBorders>
            <w:shd w:val="clear" w:color="auto" w:fill="auto"/>
            <w:noWrap/>
            <w:vAlign w:val="center"/>
          </w:tcPr>
          <w:p w14:paraId="6BECA08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1A23A9F1">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14:paraId="34CB440A">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1960" w:type="dxa"/>
            <w:tcBorders>
              <w:top w:val="nil"/>
              <w:left w:val="nil"/>
              <w:bottom w:val="single" w:color="000000" w:sz="4" w:space="0"/>
              <w:right w:val="single" w:color="000000" w:sz="4" w:space="0"/>
            </w:tcBorders>
            <w:shd w:val="clear" w:color="auto" w:fill="auto"/>
            <w:noWrap/>
            <w:vAlign w:val="center"/>
          </w:tcPr>
          <w:p w14:paraId="1F214547">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685FBFF3">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4355715">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7DD70E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0" w:type="auto"/>
            <w:tcBorders>
              <w:top w:val="nil"/>
              <w:left w:val="nil"/>
              <w:bottom w:val="single" w:color="000000" w:sz="4" w:space="0"/>
              <w:right w:val="single" w:color="000000" w:sz="4" w:space="0"/>
            </w:tcBorders>
            <w:shd w:val="clear" w:color="auto" w:fill="auto"/>
            <w:noWrap/>
            <w:vAlign w:val="center"/>
          </w:tcPr>
          <w:p w14:paraId="052E839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7D5909D2">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14:paraId="45DA6681">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1960" w:type="dxa"/>
            <w:tcBorders>
              <w:top w:val="nil"/>
              <w:left w:val="nil"/>
              <w:bottom w:val="single" w:color="000000" w:sz="4" w:space="0"/>
              <w:right w:val="single" w:color="000000" w:sz="4" w:space="0"/>
            </w:tcBorders>
            <w:shd w:val="clear" w:color="auto" w:fill="auto"/>
            <w:noWrap/>
            <w:vAlign w:val="center"/>
          </w:tcPr>
          <w:p w14:paraId="23647D31">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6A1D208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712428E">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178E59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nil"/>
              <w:left w:val="nil"/>
              <w:bottom w:val="single" w:color="000000" w:sz="4" w:space="0"/>
              <w:right w:val="single" w:color="000000" w:sz="4" w:space="0"/>
            </w:tcBorders>
            <w:shd w:val="clear" w:color="auto" w:fill="auto"/>
            <w:noWrap/>
            <w:vAlign w:val="center"/>
          </w:tcPr>
          <w:p w14:paraId="705695D0">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0D43238A">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14:paraId="3BC2EBC8">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1960" w:type="dxa"/>
            <w:tcBorders>
              <w:top w:val="nil"/>
              <w:left w:val="nil"/>
              <w:bottom w:val="single" w:color="000000" w:sz="4" w:space="0"/>
              <w:right w:val="single" w:color="000000" w:sz="4" w:space="0"/>
            </w:tcBorders>
            <w:shd w:val="clear" w:color="auto" w:fill="auto"/>
            <w:noWrap/>
            <w:vAlign w:val="center"/>
          </w:tcPr>
          <w:p w14:paraId="181B6050">
            <w:pPr>
              <w:widowControl/>
              <w:jc w:val="right"/>
              <w:textAlignment w:val="center"/>
              <w:rPr>
                <w:rFonts w:ascii="宋体" w:hAnsi="宋体" w:cs="宋体"/>
                <w:color w:val="000000"/>
                <w:sz w:val="22"/>
              </w:rPr>
            </w:pPr>
            <w:r>
              <w:rPr>
                <w:rFonts w:hint="eastAsia" w:ascii="宋体" w:hAnsi="宋体" w:cs="宋体"/>
                <w:color w:val="000000"/>
                <w:kern w:val="0"/>
                <w:sz w:val="22"/>
              </w:rPr>
              <w:t>100.00</w:t>
            </w:r>
          </w:p>
        </w:tc>
      </w:tr>
      <w:tr w14:paraId="7E9EB83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3FF9671">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14:paraId="23604FBD">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0" w:type="auto"/>
            <w:tcBorders>
              <w:top w:val="nil"/>
              <w:left w:val="nil"/>
              <w:bottom w:val="single" w:color="000000" w:sz="4" w:space="0"/>
              <w:right w:val="single" w:color="000000" w:sz="4" w:space="0"/>
            </w:tcBorders>
            <w:shd w:val="clear" w:color="auto" w:fill="auto"/>
            <w:noWrap/>
            <w:vAlign w:val="center"/>
          </w:tcPr>
          <w:p w14:paraId="1D6254DC">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16337911.86</w:t>
            </w:r>
          </w:p>
        </w:tc>
        <w:tc>
          <w:tcPr>
            <w:tcW w:w="0" w:type="auto"/>
            <w:tcBorders>
              <w:top w:val="nil"/>
              <w:left w:val="nil"/>
              <w:bottom w:val="single" w:color="000000" w:sz="4" w:space="0"/>
              <w:right w:val="single" w:color="000000" w:sz="4" w:space="0"/>
            </w:tcBorders>
            <w:shd w:val="clear" w:color="FFFFFF" w:fill="C0C0C0"/>
            <w:noWrap/>
            <w:vAlign w:val="center"/>
          </w:tcPr>
          <w:p w14:paraId="691E52C8">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14:paraId="14D9E7D3">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1960" w:type="dxa"/>
            <w:tcBorders>
              <w:top w:val="nil"/>
              <w:left w:val="nil"/>
              <w:bottom w:val="single" w:color="000000" w:sz="4" w:space="0"/>
              <w:right w:val="single" w:color="000000" w:sz="4" w:space="0"/>
            </w:tcBorders>
            <w:shd w:val="clear" w:color="auto" w:fill="auto"/>
            <w:noWrap/>
            <w:vAlign w:val="center"/>
          </w:tcPr>
          <w:p w14:paraId="60C28F83">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16337911.86</w:t>
            </w:r>
          </w:p>
        </w:tc>
      </w:tr>
      <w:tr w14:paraId="0A490D65">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7C039A0">
            <w:pPr>
              <w:widowControl/>
              <w:jc w:val="left"/>
              <w:textAlignment w:val="center"/>
              <w:rPr>
                <w:rFonts w:ascii="宋体" w:hAnsi="宋体" w:cs="宋体"/>
                <w:color w:val="000000"/>
                <w:sz w:val="22"/>
              </w:rPr>
            </w:pPr>
            <w:r>
              <w:rPr>
                <w:rFonts w:hint="eastAsia" w:ascii="宋体" w:hAnsi="宋体" w:cs="宋体"/>
                <w:color w:val="000000"/>
                <w:kern w:val="0"/>
                <w:sz w:val="22"/>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14:paraId="52531B01">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0" w:type="auto"/>
            <w:tcBorders>
              <w:top w:val="nil"/>
              <w:left w:val="nil"/>
              <w:bottom w:val="single" w:color="000000" w:sz="4" w:space="0"/>
              <w:right w:val="single" w:color="000000" w:sz="4" w:space="0"/>
            </w:tcBorders>
            <w:shd w:val="clear" w:color="auto" w:fill="auto"/>
            <w:noWrap/>
            <w:vAlign w:val="center"/>
          </w:tcPr>
          <w:p w14:paraId="205D9C63">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14:paraId="5F3CEC88">
            <w:pPr>
              <w:widowControl/>
              <w:jc w:val="left"/>
              <w:textAlignment w:val="center"/>
              <w:rPr>
                <w:rFonts w:ascii="宋体" w:hAnsi="宋体" w:cs="宋体"/>
                <w:color w:val="000000"/>
                <w:sz w:val="22"/>
              </w:rPr>
            </w:pPr>
            <w:r>
              <w:rPr>
                <w:rFonts w:hint="eastAsia" w:ascii="宋体" w:hAnsi="宋体" w:cs="宋体"/>
                <w:color w:val="000000"/>
                <w:kern w:val="0"/>
                <w:sz w:val="22"/>
              </w:rPr>
              <w:t>结余分配</w:t>
            </w:r>
          </w:p>
        </w:tc>
        <w:tc>
          <w:tcPr>
            <w:tcW w:w="0" w:type="auto"/>
            <w:tcBorders>
              <w:top w:val="nil"/>
              <w:left w:val="nil"/>
              <w:bottom w:val="single" w:color="000000" w:sz="4" w:space="0"/>
              <w:right w:val="single" w:color="000000" w:sz="4" w:space="0"/>
            </w:tcBorders>
            <w:shd w:val="clear" w:color="FFFFFF" w:fill="C0C0C0"/>
            <w:noWrap/>
            <w:vAlign w:val="center"/>
          </w:tcPr>
          <w:p w14:paraId="45560AC5">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1960" w:type="dxa"/>
            <w:tcBorders>
              <w:top w:val="nil"/>
              <w:left w:val="nil"/>
              <w:bottom w:val="single" w:color="000000" w:sz="4" w:space="0"/>
              <w:right w:val="single" w:color="000000" w:sz="4" w:space="0"/>
            </w:tcBorders>
            <w:shd w:val="clear" w:color="auto" w:fill="auto"/>
            <w:noWrap/>
            <w:vAlign w:val="center"/>
          </w:tcPr>
          <w:p w14:paraId="4E881DBB">
            <w:pPr>
              <w:widowControl/>
              <w:jc w:val="right"/>
              <w:textAlignment w:val="center"/>
              <w:rPr>
                <w:rFonts w:ascii="宋体" w:hAnsi="宋体" w:cs="宋体"/>
                <w:color w:val="000000"/>
                <w:sz w:val="22"/>
              </w:rPr>
            </w:pPr>
            <w:r>
              <w:rPr>
                <w:rFonts w:hint="eastAsia" w:ascii="宋体" w:hAnsi="宋体" w:cs="宋体"/>
                <w:color w:val="000000"/>
                <w:kern w:val="0"/>
                <w:sz w:val="22"/>
              </w:rPr>
              <w:t>0.00</w:t>
            </w:r>
          </w:p>
        </w:tc>
      </w:tr>
      <w:tr w14:paraId="4A610AD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C0C705D">
            <w:pPr>
              <w:widowControl/>
              <w:jc w:val="left"/>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60597D06">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0" w:type="auto"/>
            <w:tcBorders>
              <w:top w:val="nil"/>
              <w:left w:val="nil"/>
              <w:bottom w:val="single" w:color="000000" w:sz="4" w:space="0"/>
              <w:right w:val="single" w:color="000000" w:sz="4" w:space="0"/>
            </w:tcBorders>
            <w:shd w:val="clear" w:color="auto" w:fill="auto"/>
            <w:noWrap/>
            <w:vAlign w:val="center"/>
          </w:tcPr>
          <w:p w14:paraId="264A87B7">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0.00</w:t>
            </w:r>
          </w:p>
        </w:tc>
        <w:tc>
          <w:tcPr>
            <w:tcW w:w="0" w:type="auto"/>
            <w:tcBorders>
              <w:top w:val="nil"/>
              <w:left w:val="nil"/>
              <w:bottom w:val="single" w:color="000000" w:sz="4" w:space="0"/>
              <w:right w:val="single" w:color="000000" w:sz="4" w:space="0"/>
            </w:tcBorders>
            <w:shd w:val="clear" w:color="FFFFFF" w:fill="C0C0C0"/>
            <w:noWrap/>
            <w:vAlign w:val="center"/>
          </w:tcPr>
          <w:p w14:paraId="3C807C8F">
            <w:pPr>
              <w:widowControl/>
              <w:jc w:val="left"/>
              <w:textAlignment w:val="center"/>
              <w:rPr>
                <w:rFonts w:ascii="宋体" w:hAnsi="宋体" w:cs="宋体"/>
                <w:color w:val="000000"/>
                <w:sz w:val="22"/>
              </w:rPr>
            </w:pPr>
            <w:r>
              <w:rPr>
                <w:rFonts w:hint="eastAsia" w:ascii="宋体" w:hAnsi="宋体" w:cs="宋体"/>
                <w:color w:val="000000"/>
                <w:kern w:val="0"/>
                <w:sz w:val="22"/>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35D774E9">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1960" w:type="dxa"/>
            <w:tcBorders>
              <w:top w:val="nil"/>
              <w:left w:val="nil"/>
              <w:bottom w:val="single" w:color="000000" w:sz="4" w:space="0"/>
              <w:right w:val="single" w:color="000000" w:sz="4" w:space="0"/>
            </w:tcBorders>
            <w:shd w:val="clear" w:color="auto" w:fill="auto"/>
            <w:noWrap/>
            <w:vAlign w:val="center"/>
          </w:tcPr>
          <w:p w14:paraId="28BB94EE">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0.00</w:t>
            </w:r>
          </w:p>
        </w:tc>
      </w:tr>
      <w:tr w14:paraId="3320A60E">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7C1D4C8">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024C3F3C">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0" w:type="auto"/>
            <w:tcBorders>
              <w:top w:val="nil"/>
              <w:left w:val="nil"/>
              <w:bottom w:val="single" w:color="000000" w:sz="4" w:space="0"/>
              <w:right w:val="single" w:color="000000" w:sz="4" w:space="0"/>
            </w:tcBorders>
            <w:shd w:val="clear" w:color="auto" w:fill="auto"/>
            <w:noWrap/>
            <w:vAlign w:val="center"/>
          </w:tcPr>
          <w:p w14:paraId="48305C70">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60A2FAB1">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C0C0C0"/>
            <w:noWrap/>
            <w:vAlign w:val="center"/>
          </w:tcPr>
          <w:p w14:paraId="307B4546">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1960" w:type="dxa"/>
            <w:tcBorders>
              <w:top w:val="nil"/>
              <w:left w:val="nil"/>
              <w:bottom w:val="single" w:color="000000" w:sz="4" w:space="0"/>
              <w:right w:val="single" w:color="000000" w:sz="4" w:space="0"/>
            </w:tcBorders>
            <w:shd w:val="clear" w:color="auto" w:fill="auto"/>
            <w:noWrap/>
            <w:vAlign w:val="center"/>
          </w:tcPr>
          <w:p w14:paraId="18494841">
            <w:pPr>
              <w:jc w:val="left"/>
              <w:rPr>
                <w:rFonts w:ascii="宋体" w:hAnsi="宋体" w:cs="宋体"/>
                <w:color w:val="000000"/>
                <w:sz w:val="22"/>
              </w:rPr>
            </w:pPr>
          </w:p>
        </w:tc>
      </w:tr>
      <w:tr w14:paraId="7453596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530528B">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8" w:space="0"/>
              <w:right w:val="single" w:color="000000" w:sz="4" w:space="0"/>
            </w:tcBorders>
            <w:shd w:val="clear" w:color="FFFFFF" w:fill="C0C0C0"/>
            <w:noWrap/>
            <w:vAlign w:val="center"/>
          </w:tcPr>
          <w:p w14:paraId="47408E15">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0" w:type="auto"/>
            <w:tcBorders>
              <w:top w:val="nil"/>
              <w:left w:val="nil"/>
              <w:bottom w:val="single" w:color="000000" w:sz="4" w:space="0"/>
              <w:right w:val="single" w:color="000000" w:sz="4" w:space="0"/>
            </w:tcBorders>
            <w:shd w:val="clear" w:color="auto" w:fill="auto"/>
            <w:noWrap/>
            <w:vAlign w:val="center"/>
          </w:tcPr>
          <w:p w14:paraId="143829E6">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16337911.86</w:t>
            </w:r>
          </w:p>
        </w:tc>
        <w:tc>
          <w:tcPr>
            <w:tcW w:w="0" w:type="auto"/>
            <w:tcBorders>
              <w:top w:val="nil"/>
              <w:left w:val="nil"/>
              <w:bottom w:val="single" w:color="000000" w:sz="4" w:space="0"/>
              <w:right w:val="single" w:color="000000" w:sz="4" w:space="0"/>
            </w:tcBorders>
            <w:shd w:val="clear" w:color="FFFFFF" w:fill="C0C0C0"/>
            <w:noWrap/>
            <w:vAlign w:val="center"/>
          </w:tcPr>
          <w:p w14:paraId="6335329A">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4" w:space="0"/>
              <w:right w:val="single" w:color="000000" w:sz="4" w:space="0"/>
            </w:tcBorders>
            <w:shd w:val="clear" w:color="FFFFFF" w:fill="C0C0C0"/>
            <w:noWrap/>
            <w:vAlign w:val="center"/>
          </w:tcPr>
          <w:p w14:paraId="51F03340">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1960" w:type="dxa"/>
            <w:tcBorders>
              <w:top w:val="nil"/>
              <w:left w:val="nil"/>
              <w:bottom w:val="single" w:color="000000" w:sz="4" w:space="0"/>
              <w:right w:val="single" w:color="000000" w:sz="4" w:space="0"/>
            </w:tcBorders>
            <w:shd w:val="clear" w:color="auto" w:fill="auto"/>
            <w:noWrap/>
            <w:vAlign w:val="center"/>
          </w:tcPr>
          <w:p w14:paraId="72F18D34">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16337911.86</w:t>
            </w:r>
          </w:p>
        </w:tc>
      </w:tr>
      <w:tr w14:paraId="1933DBDF">
        <w:tblPrEx>
          <w:tblCellMar>
            <w:top w:w="0" w:type="dxa"/>
            <w:left w:w="108" w:type="dxa"/>
            <w:bottom w:w="0" w:type="dxa"/>
            <w:right w:w="108" w:type="dxa"/>
          </w:tblCellMar>
        </w:tblPrEx>
        <w:trPr>
          <w:trHeight w:val="308" w:hRule="atLeast"/>
        </w:trPr>
        <w:tc>
          <w:tcPr>
            <w:tcW w:w="14081" w:type="dxa"/>
            <w:gridSpan w:val="6"/>
            <w:tcBorders>
              <w:top w:val="nil"/>
              <w:left w:val="nil"/>
              <w:bottom w:val="nil"/>
              <w:right w:val="nil"/>
            </w:tcBorders>
            <w:shd w:val="clear" w:color="auto" w:fill="auto"/>
            <w:noWrap/>
            <w:vAlign w:val="center"/>
          </w:tcPr>
          <w:p w14:paraId="5391972C">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注：本表反映部门本年度的总收支和年末结转结余情况。本套报表金额单位转换时可能存在尾数误差。</w:t>
            </w:r>
          </w:p>
        </w:tc>
      </w:tr>
    </w:tbl>
    <w:p w14:paraId="49FCCEA3">
      <w:pPr>
        <w:jc w:val="center"/>
        <w:rPr>
          <w:rFonts w:hint="eastAsia" w:ascii="宋体" w:hAnsi="宋体" w:eastAsia="宋体" w:cs="宋体"/>
          <w:b w:val="0"/>
          <w:bCs w:val="0"/>
        </w:rPr>
      </w:pPr>
    </w:p>
    <w:p w14:paraId="188068B2">
      <w:pPr>
        <w:jc w:val="center"/>
        <w:rPr>
          <w:rFonts w:hint="eastAsia" w:ascii="宋体" w:hAnsi="宋体" w:eastAsia="宋体" w:cs="宋体"/>
          <w:b w:val="0"/>
          <w:bCs w:val="0"/>
        </w:rPr>
      </w:pPr>
    </w:p>
    <w:p w14:paraId="7F5A709D">
      <w:pPr>
        <w:jc w:val="center"/>
        <w:rPr>
          <w:rFonts w:hint="eastAsia" w:ascii="宋体" w:hAnsi="宋体" w:eastAsia="宋体" w:cs="宋体"/>
          <w:b w:val="0"/>
          <w:bCs w:val="0"/>
        </w:rPr>
      </w:pPr>
    </w:p>
    <w:p w14:paraId="6E91CE6B">
      <w:pPr>
        <w:jc w:val="center"/>
        <w:rPr>
          <w:rFonts w:hint="eastAsia" w:ascii="宋体" w:hAnsi="宋体" w:eastAsia="宋体" w:cs="宋体"/>
          <w:b w:val="0"/>
          <w:bCs w:val="0"/>
        </w:rPr>
      </w:pPr>
    </w:p>
    <w:p w14:paraId="0A46F1B3">
      <w:pPr>
        <w:jc w:val="center"/>
        <w:rPr>
          <w:rFonts w:hint="eastAsia" w:ascii="宋体" w:hAnsi="宋体" w:eastAsia="宋体" w:cs="宋体"/>
          <w:b w:val="0"/>
          <w:bCs w:val="0"/>
        </w:rPr>
      </w:pPr>
    </w:p>
    <w:p w14:paraId="27CFBF13">
      <w:pPr>
        <w:jc w:val="center"/>
        <w:rPr>
          <w:rFonts w:hint="eastAsia" w:ascii="宋体" w:hAnsi="宋体" w:eastAsia="宋体" w:cs="宋体"/>
          <w:b w:val="0"/>
          <w:bCs w:val="0"/>
        </w:rPr>
      </w:pPr>
    </w:p>
    <w:p w14:paraId="68CCEEA8">
      <w:pPr>
        <w:jc w:val="center"/>
        <w:rPr>
          <w:rFonts w:hint="eastAsia" w:ascii="宋体" w:hAnsi="宋体" w:eastAsia="宋体" w:cs="宋体"/>
          <w:b w:val="0"/>
          <w:bCs w:val="0"/>
        </w:rPr>
      </w:pPr>
    </w:p>
    <w:p w14:paraId="01624314">
      <w:pPr>
        <w:jc w:val="center"/>
        <w:rPr>
          <w:rFonts w:hint="eastAsia" w:ascii="宋体" w:hAnsi="宋体" w:eastAsia="宋体" w:cs="宋体"/>
          <w:b w:val="0"/>
          <w:bCs w:val="0"/>
        </w:rPr>
      </w:pPr>
    </w:p>
    <w:p w14:paraId="60D175D4">
      <w:pPr>
        <w:jc w:val="center"/>
        <w:rPr>
          <w:rFonts w:hint="eastAsia" w:ascii="宋体" w:hAnsi="宋体" w:eastAsia="宋体" w:cs="宋体"/>
          <w:b w:val="0"/>
          <w:bCs w:val="0"/>
        </w:rPr>
      </w:pPr>
    </w:p>
    <w:p w14:paraId="6A90DC9A">
      <w:pPr>
        <w:jc w:val="center"/>
        <w:rPr>
          <w:rFonts w:hint="eastAsia" w:ascii="宋体" w:hAnsi="宋体" w:eastAsia="宋体" w:cs="宋体"/>
          <w:b w:val="0"/>
          <w:bCs w:val="0"/>
        </w:rPr>
      </w:pPr>
    </w:p>
    <w:p w14:paraId="2EE74900">
      <w:pPr>
        <w:jc w:val="center"/>
        <w:rPr>
          <w:rFonts w:hint="eastAsia" w:ascii="宋体" w:hAnsi="宋体" w:eastAsia="宋体" w:cs="宋体"/>
          <w:b w:val="0"/>
          <w:bCs w:val="0"/>
        </w:rPr>
      </w:pPr>
    </w:p>
    <w:p w14:paraId="3B9170B4">
      <w:pPr>
        <w:jc w:val="center"/>
        <w:rPr>
          <w:rFonts w:hint="eastAsia" w:ascii="宋体" w:hAnsi="宋体" w:eastAsia="宋体" w:cs="宋体"/>
          <w:b w:val="0"/>
          <w:bCs w:val="0"/>
        </w:rPr>
      </w:pPr>
    </w:p>
    <w:p w14:paraId="690796AD">
      <w:pPr>
        <w:jc w:val="center"/>
        <w:rPr>
          <w:rFonts w:hint="eastAsia" w:ascii="宋体" w:hAnsi="宋体" w:eastAsia="宋体" w:cs="宋体"/>
          <w:b w:val="0"/>
          <w:bCs w:val="0"/>
        </w:rPr>
      </w:pPr>
      <w:r>
        <w:rPr>
          <w:rFonts w:hint="eastAsia" w:ascii="宋体" w:hAnsi="宋体" w:cs="宋体"/>
          <w:b w:val="0"/>
          <w:bCs w:val="0"/>
          <w:lang w:val="en-US" w:eastAsia="zh-CN"/>
        </w:rPr>
        <w:t>收入决算表</w:t>
      </w:r>
    </w:p>
    <w:p w14:paraId="2F3930FB">
      <w:pPr>
        <w:jc w:val="center"/>
        <w:rPr>
          <w:rFonts w:hint="eastAsia" w:ascii="宋体" w:hAnsi="宋体" w:eastAsia="宋体" w:cs="宋体"/>
          <w:b w:val="0"/>
          <w:bCs w:val="0"/>
        </w:rPr>
      </w:pPr>
      <w:r>
        <w:object>
          <v:shape id="_x0000_i1025" o:spt="75" type="#_x0000_t75" style="height:374.9pt;width:670.95pt;" o:ole="t" filled="f" o:preferrelative="t" stroked="f" coordsize="21600,21600">
            <v:path/>
            <v:fill on="f" focussize="0,0"/>
            <v:stroke on="f"/>
            <v:imagedata r:id="rId6" o:title=""/>
            <o:lock v:ext="edit" aspectratio="f"/>
            <w10:wrap type="none"/>
            <w10:anchorlock/>
          </v:shape>
          <o:OLEObject Type="Embed" ProgID="Excel.Sheet.12" ShapeID="_x0000_i1025" DrawAspect="Content" ObjectID="_1468075725" r:id="rId5">
            <o:LockedField>false</o:LockedField>
          </o:OLEObject>
        </w:object>
      </w:r>
    </w:p>
    <w:p w14:paraId="484D6CDA">
      <w:pPr>
        <w:jc w:val="center"/>
        <w:rPr>
          <w:rFonts w:hint="default" w:ascii="宋体" w:hAnsi="宋体" w:eastAsia="宋体" w:cs="宋体"/>
          <w:b w:val="0"/>
          <w:bCs w:val="0"/>
          <w:lang w:val="en-US" w:eastAsia="zh-CN"/>
        </w:rPr>
      </w:pPr>
      <w:r>
        <w:rPr>
          <w:rFonts w:hint="eastAsia" w:ascii="宋体" w:hAnsi="宋体" w:cs="宋体"/>
          <w:b w:val="0"/>
          <w:bCs w:val="0"/>
          <w:lang w:val="en-US" w:eastAsia="zh-CN"/>
        </w:rPr>
        <w:t>支出决算表</w:t>
      </w:r>
    </w:p>
    <w:p w14:paraId="031A215B">
      <w:pPr>
        <w:jc w:val="center"/>
        <w:rPr>
          <w:rFonts w:hint="eastAsia" w:ascii="宋体" w:hAnsi="宋体" w:eastAsia="宋体" w:cs="宋体"/>
          <w:b w:val="0"/>
          <w:bCs w:val="0"/>
        </w:rPr>
      </w:pPr>
      <w:r>
        <w:object>
          <v:shape id="_x0000_i1027" o:spt="75" type="#_x0000_t75" style="height:388.25pt;width:689pt;" o:ole="t" filled="f" o:preferrelative="t" stroked="f" coordsize="21600,21600">
            <v:path/>
            <v:fill on="f" focussize="0,0"/>
            <v:stroke on="f"/>
            <v:imagedata r:id="rId8" o:title=""/>
            <o:lock v:ext="edit" aspectratio="f"/>
            <w10:wrap type="none"/>
            <w10:anchorlock/>
          </v:shape>
          <o:OLEObject Type="Embed" ProgID="Excel.Sheet.12" ShapeID="_x0000_i1027" DrawAspect="Content" ObjectID="_1468075726" r:id="rId7">
            <o:LockedField>false</o:LockedField>
          </o:OLEObject>
        </w:object>
      </w:r>
    </w:p>
    <w:p w14:paraId="51D40B44">
      <w:pPr>
        <w:jc w:val="center"/>
        <w:rPr>
          <w:rFonts w:hint="eastAsia" w:ascii="宋体" w:hAnsi="宋体" w:eastAsia="宋体" w:cs="宋体"/>
          <w:b w:val="0"/>
          <w:bCs w:val="0"/>
        </w:rPr>
      </w:pPr>
      <w:r>
        <w:rPr>
          <w:rFonts w:ascii="Times New Roman" w:hAnsi="Times New Roman" w:eastAsia="黑体" w:cs="Times New Roman"/>
          <w:color w:val="000000"/>
          <w:kern w:val="0"/>
          <w:sz w:val="36"/>
          <w:szCs w:val="36"/>
          <w:lang w:bidi="ar"/>
        </w:rPr>
        <w:t>财政拨款收入支出决算总表</w:t>
      </w:r>
    </w:p>
    <w:p w14:paraId="049E45E0">
      <w:pPr>
        <w:jc w:val="center"/>
        <w:rPr>
          <w:rFonts w:hint="eastAsia" w:ascii="宋体" w:hAnsi="宋体" w:eastAsia="宋体" w:cs="宋体"/>
          <w:b w:val="0"/>
          <w:bCs w:val="0"/>
          <w:lang w:val="en-US" w:eastAsia="zh-CN"/>
        </w:rPr>
      </w:pPr>
      <w:r>
        <w:rPr>
          <w:rFonts w:hint="eastAsia" w:ascii="宋体" w:hAnsi="宋体" w:eastAsia="宋体" w:cs="宋体"/>
          <w:b w:val="0"/>
          <w:bCs w:val="0"/>
        </w:rPr>
        <w:object>
          <v:shape id="_x0000_i1029" o:spt="75" type="#_x0000_t75" style="height:368.35pt;width:631.3pt;" o:ole="t" filled="f" o:preferrelative="t" stroked="f" coordsize="21600,21600">
            <v:path/>
            <v:fill on="f" focussize="0,0"/>
            <v:stroke on="f"/>
            <v:imagedata r:id="rId10" o:title=""/>
            <o:lock v:ext="edit" aspectratio="f"/>
            <w10:wrap type="none"/>
            <w10:anchorlock/>
          </v:shape>
          <o:OLEObject Type="Embed" ProgID="Excel.Sheet.12" ShapeID="_x0000_i1029" DrawAspect="Content" ObjectID="_1468075727" r:id="rId9">
            <o:LockedField>false</o:LockedField>
          </o:OLEObject>
        </w:object>
      </w:r>
    </w:p>
    <w:p w14:paraId="2051D39E">
      <w:pPr>
        <w:jc w:val="center"/>
      </w:pPr>
      <w:r>
        <w:rPr>
          <w:rFonts w:ascii="Times New Roman" w:hAnsi="Times New Roman" w:eastAsia="黑体" w:cs="Times New Roman"/>
          <w:color w:val="000000"/>
          <w:kern w:val="0"/>
          <w:sz w:val="36"/>
          <w:szCs w:val="36"/>
          <w:lang w:bidi="ar"/>
        </w:rPr>
        <w:t>一般公共预算财政拨款支出决算表</w:t>
      </w:r>
    </w:p>
    <w:p w14:paraId="072A8571">
      <w:pPr>
        <w:jc w:val="center"/>
        <w:rPr>
          <w:rFonts w:hint="eastAsia" w:ascii="宋体" w:hAnsi="宋体" w:eastAsia="宋体" w:cs="宋体"/>
          <w:b w:val="0"/>
          <w:bCs w:val="0"/>
        </w:rPr>
      </w:pPr>
    </w:p>
    <w:p w14:paraId="36206301">
      <w:pPr>
        <w:jc w:val="both"/>
        <w:rPr>
          <w:rFonts w:hint="eastAsia" w:ascii="宋体" w:hAnsi="宋体" w:eastAsia="宋体" w:cs="宋体"/>
          <w:b w:val="0"/>
          <w:bCs w:val="0"/>
        </w:rPr>
      </w:pPr>
      <w:r>
        <w:object>
          <v:shape id="_x0000_i1031" o:spt="75" type="#_x0000_t75" style="height:356.15pt;width:678.4pt;" o:ole="t" filled="f" o:preferrelative="t" stroked="f" coordsize="21600,21600">
            <v:path/>
            <v:fill on="f" focussize="0,0"/>
            <v:stroke on="f"/>
            <v:imagedata r:id="rId12" o:title=""/>
            <o:lock v:ext="edit" aspectratio="f"/>
            <w10:wrap type="none"/>
            <w10:anchorlock/>
          </v:shape>
          <o:OLEObject Type="Embed" ProgID="Excel.Sheet.12" ShapeID="_x0000_i1031" DrawAspect="Content" ObjectID="_1468075728" r:id="rId11">
            <o:LockedField>false</o:LockedField>
          </o:OLEObject>
        </w:object>
      </w:r>
    </w:p>
    <w:p w14:paraId="228CBF1C">
      <w:pPr>
        <w:widowControl/>
        <w:spacing w:after="120"/>
        <w:jc w:val="center"/>
        <w:textAlignment w:val="center"/>
        <w:rPr>
          <w:rFonts w:hint="eastAsia" w:ascii="宋体" w:hAnsi="宋体" w:eastAsia="宋体" w:cs="宋体"/>
          <w:b w:val="0"/>
          <w:bCs w:val="0"/>
        </w:rPr>
      </w:pPr>
      <w:bookmarkStart w:id="0" w:name="RANGE!A1:I34"/>
      <w:r>
        <w:rPr>
          <w:rFonts w:ascii="Times New Roman" w:hAnsi="Times New Roman" w:eastAsia="黑体" w:cs="Times New Roman"/>
          <w:color w:val="000000"/>
          <w:kern w:val="0"/>
          <w:sz w:val="36"/>
          <w:szCs w:val="36"/>
          <w:lang w:bidi="ar"/>
        </w:rPr>
        <w:t>一般公共预算财政拨款基本支出决算明细表</w:t>
      </w:r>
      <w:bookmarkEnd w:id="0"/>
    </w:p>
    <w:p w14:paraId="02B7DBE6">
      <w:pPr>
        <w:jc w:val="both"/>
        <w:rPr>
          <w:rFonts w:hint="eastAsia" w:ascii="宋体" w:hAnsi="宋体" w:eastAsia="宋体" w:cs="宋体"/>
          <w:b w:val="0"/>
          <w:bCs w:val="0"/>
        </w:rPr>
      </w:pPr>
      <w:r>
        <w:rPr>
          <w:rFonts w:hint="eastAsia" w:ascii="宋体" w:hAnsi="宋体" w:eastAsia="宋体" w:cs="宋体"/>
          <w:b w:val="0"/>
          <w:bCs w:val="0"/>
        </w:rPr>
        <w:object>
          <v:shape id="_x0000_i1032" o:spt="75" type="#_x0000_t75" style="height:360.5pt;width:689.4pt;" o:ole="t" filled="f" o:preferrelative="t" stroked="f" coordsize="21600,21600">
            <v:path/>
            <v:fill on="f" focussize="0,0"/>
            <v:stroke on="f"/>
            <v:imagedata r:id="rId14" o:title=""/>
            <o:lock v:ext="edit" aspectratio="f"/>
            <w10:wrap type="none"/>
            <w10:anchorlock/>
          </v:shape>
          <o:OLEObject Type="Embed" ProgID="Excel.Sheet.12" ShapeID="_x0000_i1032" DrawAspect="Content" ObjectID="_1468075729" r:id="rId13">
            <o:LockedField>false</o:LockedField>
          </o:OLEObject>
        </w:object>
      </w:r>
    </w:p>
    <w:p w14:paraId="07A7FA59">
      <w:pPr>
        <w:jc w:val="center"/>
        <w:rPr>
          <w:rFonts w:hint="eastAsia" w:ascii="宋体" w:hAnsi="宋体" w:eastAsia="宋体" w:cs="宋体"/>
          <w:b w:val="0"/>
          <w:bCs w:val="0"/>
        </w:rPr>
      </w:pPr>
      <w:r>
        <w:rPr>
          <w:rFonts w:ascii="Times New Roman" w:hAnsi="Times New Roman" w:eastAsia="黑体" w:cs="Times New Roman"/>
          <w:color w:val="000000"/>
          <w:kern w:val="0"/>
          <w:sz w:val="36"/>
          <w:szCs w:val="36"/>
          <w:lang w:bidi="ar"/>
        </w:rPr>
        <w:t>政府性基金预算财政拨款收入支出决算表</w:t>
      </w:r>
    </w:p>
    <w:p w14:paraId="07780E89">
      <w:pPr>
        <w:jc w:val="both"/>
        <w:rPr>
          <w:rFonts w:hint="eastAsia" w:ascii="宋体" w:hAnsi="宋体" w:eastAsia="宋体" w:cs="宋体"/>
          <w:b w:val="0"/>
          <w:bCs w:val="0"/>
        </w:rPr>
      </w:pPr>
      <w:r>
        <w:rPr>
          <w:rFonts w:hint="eastAsia" w:ascii="宋体" w:hAnsi="宋体" w:eastAsia="宋体" w:cs="宋体"/>
          <w:b w:val="0"/>
          <w:bCs w:val="0"/>
        </w:rPr>
        <w:object>
          <v:shape id="_x0000_i1033" o:spt="75" type="#_x0000_t75" style="height:141.15pt;width:706.4pt;" o:ole="t" filled="f" o:preferrelative="t" stroked="f" coordsize="21600,21600">
            <v:path/>
            <v:fill on="f" focussize="0,0"/>
            <v:stroke on="f"/>
            <v:imagedata r:id="rId16" o:title=""/>
            <o:lock v:ext="edit" aspectratio="f"/>
            <w10:wrap type="none"/>
            <w10:anchorlock/>
          </v:shape>
          <o:OLEObject Type="Embed" ProgID="Excel.Sheet.12" ShapeID="_x0000_i1033" DrawAspect="Content" ObjectID="_1468075730" r:id="rId15">
            <o:LockedField>false</o:LockedField>
          </o:OLEObject>
        </w:object>
      </w:r>
    </w:p>
    <w:p w14:paraId="74FC374F">
      <w:pPr>
        <w:jc w:val="center"/>
        <w:rPr>
          <w:rFonts w:hint="eastAsia" w:ascii="宋体" w:hAnsi="宋体" w:eastAsia="宋体" w:cs="宋体"/>
          <w:b w:val="0"/>
          <w:bCs w:val="0"/>
        </w:rPr>
      </w:pPr>
    </w:p>
    <w:p w14:paraId="0346F7FF">
      <w:pPr>
        <w:jc w:val="center"/>
        <w:rPr>
          <w:rFonts w:hint="eastAsia" w:ascii="宋体" w:hAnsi="宋体" w:eastAsia="宋体" w:cs="宋体"/>
          <w:b w:val="0"/>
          <w:bCs w:val="0"/>
        </w:rPr>
      </w:pPr>
    </w:p>
    <w:p w14:paraId="4969CA22">
      <w:pPr>
        <w:jc w:val="center"/>
        <w:rPr>
          <w:rFonts w:hint="eastAsia" w:ascii="宋体" w:hAnsi="宋体" w:eastAsia="宋体" w:cs="宋体"/>
          <w:b w:val="0"/>
          <w:bCs w:val="0"/>
        </w:rPr>
      </w:pPr>
    </w:p>
    <w:p w14:paraId="1371BF59">
      <w:pPr>
        <w:jc w:val="center"/>
        <w:rPr>
          <w:rFonts w:hint="eastAsia" w:ascii="宋体" w:hAnsi="宋体" w:eastAsia="宋体" w:cs="宋体"/>
          <w:b w:val="0"/>
          <w:bCs w:val="0"/>
        </w:rPr>
      </w:pPr>
    </w:p>
    <w:p w14:paraId="7F83350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5D7B9E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1C8B6F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CA0BE9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59BA16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EE6BB58">
      <w:pPr>
        <w:jc w:val="center"/>
        <w:rPr>
          <w:rFonts w:hint="eastAsia" w:ascii="宋体" w:hAnsi="宋体" w:eastAsia="宋体" w:cs="宋体"/>
          <w:b w:val="0"/>
          <w:bCs w:val="0"/>
        </w:rPr>
      </w:pPr>
    </w:p>
    <w:p w14:paraId="3216534A">
      <w:pPr>
        <w:jc w:val="center"/>
        <w:rPr>
          <w:rFonts w:hint="eastAsia" w:ascii="宋体" w:hAnsi="宋体" w:eastAsia="宋体" w:cs="宋体"/>
          <w:b w:val="0"/>
          <w:bCs w:val="0"/>
        </w:rPr>
      </w:pPr>
      <w:r>
        <w:rPr>
          <w:rFonts w:hint="eastAsia" w:ascii="宋体" w:hAnsi="宋体" w:eastAsia="宋体" w:cs="宋体"/>
          <w:b w:val="0"/>
          <w:bCs w:val="0"/>
        </w:rPr>
        <w:object>
          <v:shape id="_x0000_i1034" o:spt="75" type="#_x0000_t75" style="height:167.2pt;width:708.6pt;" o:ole="t" filled="f" o:preferrelative="t" stroked="f" coordsize="21600,21600">
            <v:path/>
            <v:fill on="f" focussize="0,0"/>
            <v:stroke on="f"/>
            <v:imagedata r:id="rId18" o:title=""/>
            <o:lock v:ext="edit" aspectratio="f"/>
            <w10:wrap type="none"/>
            <w10:anchorlock/>
          </v:shape>
          <o:OLEObject Type="Embed" ProgID="Excel.Sheet.12" ShapeID="_x0000_i1034" DrawAspect="Content" ObjectID="_1468075731" r:id="rId17">
            <o:LockedField>false</o:LockedField>
          </o:OLEObject>
        </w:object>
      </w:r>
    </w:p>
    <w:p w14:paraId="4B7B911C">
      <w:pPr>
        <w:jc w:val="center"/>
        <w:rPr>
          <w:rFonts w:hint="eastAsia" w:ascii="宋体" w:hAnsi="宋体" w:eastAsia="宋体" w:cs="宋体"/>
          <w:b w:val="0"/>
          <w:bCs w:val="0"/>
        </w:rPr>
      </w:pPr>
    </w:p>
    <w:p w14:paraId="3A51AB10">
      <w:pPr>
        <w:jc w:val="center"/>
        <w:rPr>
          <w:rFonts w:ascii="Times New Roman" w:hAnsi="Times New Roman" w:eastAsia="黑体" w:cs="Times New Roman"/>
          <w:color w:val="000000"/>
          <w:kern w:val="0"/>
          <w:sz w:val="36"/>
          <w:szCs w:val="36"/>
          <w:lang w:bidi="ar"/>
        </w:rPr>
      </w:pPr>
    </w:p>
    <w:p w14:paraId="1BADB510">
      <w:pPr>
        <w:jc w:val="center"/>
        <w:rPr>
          <w:rFonts w:ascii="Times New Roman" w:hAnsi="Times New Roman" w:eastAsia="黑体" w:cs="Times New Roman"/>
          <w:color w:val="000000"/>
          <w:kern w:val="0"/>
          <w:sz w:val="36"/>
          <w:szCs w:val="36"/>
          <w:lang w:bidi="ar"/>
        </w:rPr>
      </w:pPr>
    </w:p>
    <w:p w14:paraId="47A1748F">
      <w:pPr>
        <w:jc w:val="center"/>
        <w:rPr>
          <w:rFonts w:ascii="Times New Roman" w:hAnsi="Times New Roman" w:eastAsia="黑体" w:cs="Times New Roman"/>
          <w:color w:val="000000"/>
          <w:kern w:val="0"/>
          <w:sz w:val="36"/>
          <w:szCs w:val="36"/>
          <w:lang w:bidi="ar"/>
        </w:rPr>
      </w:pPr>
    </w:p>
    <w:p w14:paraId="5664E1DC">
      <w:pPr>
        <w:jc w:val="center"/>
        <w:rPr>
          <w:rFonts w:ascii="Times New Roman" w:hAnsi="Times New Roman" w:eastAsia="黑体" w:cs="Times New Roman"/>
          <w:color w:val="000000"/>
          <w:kern w:val="0"/>
          <w:sz w:val="36"/>
          <w:szCs w:val="36"/>
          <w:lang w:bidi="ar"/>
        </w:rPr>
      </w:pPr>
    </w:p>
    <w:p w14:paraId="410E4B7A">
      <w:pPr>
        <w:jc w:val="center"/>
        <w:rPr>
          <w:rFonts w:ascii="Times New Roman" w:hAnsi="Times New Roman" w:eastAsia="黑体" w:cs="Times New Roman"/>
          <w:color w:val="000000"/>
          <w:kern w:val="0"/>
          <w:sz w:val="36"/>
          <w:szCs w:val="36"/>
          <w:lang w:bidi="ar"/>
        </w:rPr>
      </w:pPr>
    </w:p>
    <w:p w14:paraId="3BF42032">
      <w:pPr>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6366DBB">
      <w:pPr>
        <w:jc w:val="center"/>
        <w:rPr>
          <w:rFonts w:hint="eastAsia" w:ascii="Times New Roman" w:hAnsi="Times New Roman" w:eastAsia="黑体" w:cs="Times New Roman"/>
          <w:color w:val="000000"/>
          <w:kern w:val="0"/>
          <w:sz w:val="36"/>
          <w:szCs w:val="36"/>
          <w:lang w:bidi="ar"/>
        </w:rPr>
      </w:pPr>
    </w:p>
    <w:p w14:paraId="2F091029">
      <w:pPr>
        <w:jc w:val="center"/>
        <w:rPr>
          <w:rFonts w:hint="eastAsia" w:ascii="宋体" w:hAnsi="宋体" w:eastAsia="宋体" w:cs="宋体"/>
          <w:b w:val="0"/>
          <w:bCs w:val="0"/>
        </w:rPr>
      </w:pPr>
      <w:r>
        <w:rPr>
          <w:rFonts w:hint="eastAsia" w:ascii="宋体" w:hAnsi="宋体" w:eastAsia="宋体" w:cs="宋体"/>
          <w:b w:val="0"/>
          <w:bCs w:val="0"/>
        </w:rPr>
        <w:object>
          <v:shape id="_x0000_i1035" o:spt="75" type="#_x0000_t75" style="height:178.65pt;width:708.9pt;" o:ole="t" filled="f" o:preferrelative="t" stroked="f" coordsize="21600,21600">
            <v:path/>
            <v:fill on="f" focussize="0,0"/>
            <v:stroke on="f"/>
            <v:imagedata r:id="rId20" o:title=""/>
            <o:lock v:ext="edit" aspectratio="f"/>
            <w10:wrap type="none"/>
            <w10:anchorlock/>
          </v:shape>
          <o:OLEObject Type="Embed" ProgID="Excel.Sheet.12" ShapeID="_x0000_i1035" DrawAspect="Content" ObjectID="_1468075732" r:id="rId19">
            <o:LockedField>false</o:LockedField>
          </o:OLEObject>
        </w:object>
      </w:r>
    </w:p>
    <w:p w14:paraId="152BEA1D">
      <w:pPr>
        <w:jc w:val="center"/>
        <w:rPr>
          <w:rFonts w:hint="eastAsia" w:ascii="宋体" w:hAnsi="宋体" w:eastAsia="宋体" w:cs="宋体"/>
          <w:b w:val="0"/>
          <w:bCs w:val="0"/>
        </w:rPr>
      </w:pPr>
    </w:p>
    <w:p w14:paraId="52483807">
      <w:pPr>
        <w:jc w:val="center"/>
        <w:rPr>
          <w:rFonts w:hint="eastAsia" w:ascii="宋体" w:hAnsi="宋体" w:eastAsia="宋体" w:cs="宋体"/>
          <w:b w:val="0"/>
          <w:bCs w:val="0"/>
        </w:rPr>
      </w:pPr>
    </w:p>
    <w:p w14:paraId="337FCEA0">
      <w:pPr>
        <w:jc w:val="center"/>
        <w:rPr>
          <w:rFonts w:hint="eastAsia" w:ascii="宋体" w:hAnsi="宋体" w:eastAsia="宋体" w:cs="宋体"/>
          <w:b w:val="0"/>
          <w:bCs w:val="0"/>
        </w:rPr>
      </w:pPr>
    </w:p>
    <w:p w14:paraId="651CF415">
      <w:pPr>
        <w:jc w:val="center"/>
        <w:rPr>
          <w:rFonts w:hint="eastAsia" w:ascii="宋体" w:hAnsi="宋体" w:eastAsia="宋体" w:cs="宋体"/>
          <w:b w:val="0"/>
          <w:bCs w:val="0"/>
        </w:rPr>
      </w:pPr>
    </w:p>
    <w:p w14:paraId="68EA2CC4">
      <w:pPr>
        <w:jc w:val="center"/>
        <w:rPr>
          <w:rFonts w:hint="eastAsia" w:ascii="宋体" w:hAnsi="宋体" w:eastAsia="宋体" w:cs="宋体"/>
          <w:b w:val="0"/>
          <w:bCs w:val="0"/>
        </w:rPr>
      </w:pPr>
    </w:p>
    <w:p w14:paraId="220D0B2C">
      <w:pPr>
        <w:jc w:val="center"/>
        <w:rPr>
          <w:rFonts w:hint="eastAsia" w:ascii="宋体" w:hAnsi="宋体" w:eastAsia="宋体" w:cs="宋体"/>
          <w:b w:val="0"/>
          <w:bCs w:val="0"/>
        </w:rPr>
      </w:pPr>
    </w:p>
    <w:p w14:paraId="24967A96">
      <w:pPr>
        <w:jc w:val="center"/>
        <w:rPr>
          <w:rFonts w:hint="eastAsia" w:ascii="宋体" w:hAnsi="宋体" w:eastAsia="宋体" w:cs="宋体"/>
          <w:b w:val="0"/>
          <w:bCs w:val="0"/>
        </w:rPr>
      </w:pPr>
    </w:p>
    <w:p w14:paraId="16030D62">
      <w:pPr>
        <w:jc w:val="center"/>
        <w:rPr>
          <w:rFonts w:hint="eastAsia" w:ascii="宋体" w:hAnsi="宋体" w:eastAsia="宋体" w:cs="宋体"/>
          <w:b w:val="0"/>
          <w:bCs w:val="0"/>
        </w:rPr>
      </w:pPr>
    </w:p>
    <w:p w14:paraId="1A99D18D">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14:paraId="1D5E1BC8">
      <w:pPr>
        <w:pStyle w:val="14"/>
        <w:rPr>
          <w:sz w:val="72"/>
          <w:szCs w:val="72"/>
        </w:rPr>
      </w:pPr>
      <w:r>
        <w:rPr>
          <w:rFonts w:ascii="Times New Roman" w:hAnsi="Times New Roman" w:eastAsia="黑体"/>
          <w:bCs/>
          <w:kern w:val="0"/>
          <w:sz w:val="32"/>
          <w:szCs w:val="32"/>
        </w:rPr>
        <w:t xml:space="preserve"> </w:t>
      </w:r>
    </w:p>
    <w:p w14:paraId="3B0A2F30">
      <w:pPr>
        <w:pStyle w:val="14"/>
        <w:jc w:val="center"/>
        <w:rPr>
          <w:sz w:val="52"/>
          <w:szCs w:val="52"/>
        </w:rPr>
      </w:pPr>
      <w:r>
        <w:rPr>
          <w:rFonts w:hint="eastAsia"/>
          <w:sz w:val="52"/>
          <w:szCs w:val="52"/>
        </w:rPr>
        <w:t>第三部分</w:t>
      </w:r>
      <w:r>
        <w:rPr>
          <w:sz w:val="52"/>
          <w:szCs w:val="52"/>
        </w:rPr>
        <w:t>202</w:t>
      </w:r>
      <w:r>
        <w:rPr>
          <w:rFonts w:hint="eastAsia"/>
          <w:sz w:val="52"/>
          <w:szCs w:val="52"/>
          <w:lang w:val="en-US" w:eastAsia="zh-CN"/>
        </w:rPr>
        <w:t>4</w:t>
      </w:r>
      <w:r>
        <w:rPr>
          <w:rFonts w:hint="eastAsia"/>
          <w:sz w:val="52"/>
          <w:szCs w:val="52"/>
        </w:rPr>
        <w:t>年度部门决算情况说明</w:t>
      </w:r>
    </w:p>
    <w:p w14:paraId="1C8570AD">
      <w:pPr>
        <w:pStyle w:val="14"/>
        <w:rPr>
          <w:rFonts w:hAnsi="黑体"/>
          <w:b/>
          <w:sz w:val="32"/>
          <w:szCs w:val="32"/>
        </w:rPr>
      </w:pPr>
    </w:p>
    <w:p w14:paraId="49B4F1AA">
      <w:pPr>
        <w:pStyle w:val="14"/>
        <w:rPr>
          <w:rFonts w:hAnsi="黑体"/>
          <w:b/>
          <w:sz w:val="32"/>
          <w:szCs w:val="32"/>
        </w:rPr>
      </w:pPr>
      <w:r>
        <w:rPr>
          <w:rFonts w:hint="eastAsia" w:hAnsi="黑体"/>
          <w:b/>
          <w:sz w:val="32"/>
          <w:szCs w:val="32"/>
        </w:rPr>
        <w:t>一、收入支出决算总体情况说明</w:t>
      </w:r>
    </w:p>
    <w:p w14:paraId="1E39AA6D">
      <w:pPr>
        <w:pStyle w:val="8"/>
        <w:keepNext w:val="0"/>
        <w:keepLines w:val="0"/>
        <w:widowControl/>
        <w:suppressLineNumbers w:val="0"/>
        <w:autoSpaceDE w:val="0"/>
        <w:autoSpaceDN w:val="0"/>
        <w:spacing w:before="0" w:beforeAutospacing="0" w:after="0" w:afterAutospacing="0" w:line="600" w:lineRule="atLeast"/>
        <w:ind w:left="0" w:right="0" w:firstLine="640"/>
        <w:rPr>
          <w:rFonts w:ascii="宋体" w:hAnsi="宋体" w:eastAsia="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年度本年收入</w:t>
      </w:r>
      <w:r>
        <w:rPr>
          <w:rFonts w:hint="eastAsia" w:ascii="宋体" w:hAnsi="宋体" w:eastAsia="宋体" w:cs="宋体"/>
          <w:sz w:val="32"/>
          <w:szCs w:val="32"/>
          <w:lang w:val="en-US" w:eastAsia="zh-CN"/>
        </w:rPr>
        <w:t>1633.79</w:t>
      </w:r>
      <w:r>
        <w:rPr>
          <w:rFonts w:hint="eastAsia" w:ascii="宋体" w:hAnsi="宋体" w:eastAsia="宋体" w:cs="宋体"/>
          <w:sz w:val="32"/>
          <w:szCs w:val="32"/>
        </w:rPr>
        <w:t>元</w:t>
      </w:r>
      <w:r>
        <w:rPr>
          <w:rFonts w:hint="eastAsia" w:ascii="宋体" w:hAnsi="宋体" w:eastAsia="宋体" w:cs="宋体"/>
          <w:b w:val="0"/>
          <w:bCs w:val="0"/>
          <w:color w:val="000000"/>
          <w:sz w:val="32"/>
          <w:szCs w:val="32"/>
        </w:rPr>
        <w:t>（含年末结转和结余资金0万元）</w:t>
      </w:r>
      <w:r>
        <w:rPr>
          <w:rFonts w:hint="eastAsia" w:ascii="宋体" w:hAnsi="宋体" w:eastAsia="宋体" w:cs="宋体"/>
          <w:sz w:val="32"/>
          <w:szCs w:val="32"/>
        </w:rPr>
        <w:t>。与上年相比，增加</w:t>
      </w:r>
      <w:r>
        <w:rPr>
          <w:rFonts w:hint="eastAsia" w:ascii="宋体" w:hAnsi="宋体" w:eastAsia="宋体" w:cs="宋体"/>
          <w:sz w:val="32"/>
          <w:szCs w:val="32"/>
          <w:lang w:val="en-US" w:eastAsia="zh-CN"/>
        </w:rPr>
        <w:t>238.53</w:t>
      </w:r>
      <w:r>
        <w:rPr>
          <w:rFonts w:hint="eastAsia" w:ascii="宋体" w:hAnsi="宋体" w:eastAsia="宋体" w:cs="宋体"/>
          <w:sz w:val="32"/>
          <w:szCs w:val="32"/>
        </w:rPr>
        <w:t>万元，增长</w:t>
      </w:r>
      <w:r>
        <w:rPr>
          <w:rFonts w:hint="eastAsia" w:ascii="宋体" w:hAnsi="宋体" w:eastAsia="宋体" w:cs="宋体"/>
          <w:sz w:val="32"/>
          <w:szCs w:val="32"/>
          <w:lang w:val="en-US" w:eastAsia="zh-CN"/>
        </w:rPr>
        <w:t>17.09</w:t>
      </w:r>
      <w:r>
        <w:rPr>
          <w:rFonts w:hint="eastAsia" w:ascii="宋体" w:hAnsi="宋体" w:eastAsia="宋体" w:cs="宋体"/>
          <w:sz w:val="32"/>
          <w:szCs w:val="32"/>
        </w:rPr>
        <w:t>%，</w:t>
      </w:r>
      <w:r>
        <w:rPr>
          <w:rFonts w:hint="eastAsia" w:ascii="宋体" w:hAnsi="宋体" w:eastAsia="宋体" w:cs="宋体"/>
          <w:color w:val="000000"/>
          <w:sz w:val="32"/>
          <w:szCs w:val="32"/>
        </w:rPr>
        <w:t>主要是因为</w:t>
      </w:r>
      <w:r>
        <w:rPr>
          <w:rFonts w:hint="eastAsia" w:ascii="宋体" w:hAnsi="宋体" w:eastAsia="宋体" w:cs="宋体"/>
          <w:color w:val="000000"/>
          <w:sz w:val="32"/>
          <w:szCs w:val="32"/>
          <w:lang w:eastAsia="zh-CN"/>
        </w:rPr>
        <w:t>一般公共预算财政拨款收入和政府性基金预算财政拨款收入都有所增加。</w:t>
      </w:r>
    </w:p>
    <w:p w14:paraId="08F4BB16">
      <w:pPr>
        <w:pStyle w:val="14"/>
        <w:rPr>
          <w:rFonts w:hAnsi="黑体"/>
          <w:b/>
          <w:color w:val="C00000"/>
          <w:sz w:val="52"/>
          <w:szCs w:val="52"/>
        </w:rPr>
      </w:pPr>
      <w:r>
        <w:rPr>
          <w:rFonts w:hint="eastAsia" w:hAnsi="黑体"/>
          <w:b/>
          <w:sz w:val="32"/>
          <w:szCs w:val="32"/>
        </w:rPr>
        <w:t xml:space="preserve">二、收入决算情况说明 </w:t>
      </w:r>
    </w:p>
    <w:p w14:paraId="57065136">
      <w:pPr>
        <w:pStyle w:val="14"/>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rPr>
        <w:t>本年收入合计</w:t>
      </w:r>
      <w:r>
        <w:rPr>
          <w:rFonts w:hint="eastAsia" w:ascii="宋体" w:hAnsi="宋体" w:eastAsia="宋体" w:cs="宋体"/>
          <w:sz w:val="32"/>
          <w:szCs w:val="32"/>
          <w:lang w:val="en-US" w:eastAsia="zh-CN"/>
        </w:rPr>
        <w:t>1633.79</w:t>
      </w:r>
      <w:r>
        <w:rPr>
          <w:rFonts w:hint="eastAsia" w:ascii="宋体" w:hAnsi="宋体" w:eastAsia="宋体" w:cs="宋体"/>
          <w:sz w:val="32"/>
          <w:szCs w:val="32"/>
        </w:rPr>
        <w:t>万元，其中：一般公共拨预算财政拨款收入</w:t>
      </w:r>
      <w:r>
        <w:rPr>
          <w:rFonts w:hint="eastAsia" w:ascii="宋体" w:hAnsi="宋体" w:eastAsia="宋体" w:cs="宋体"/>
          <w:sz w:val="32"/>
          <w:szCs w:val="32"/>
          <w:lang w:val="en-US" w:eastAsia="zh-CN"/>
        </w:rPr>
        <w:t>1610.85</w:t>
      </w:r>
      <w:r>
        <w:rPr>
          <w:rFonts w:hint="eastAsia" w:ascii="宋体" w:hAnsi="宋体" w:eastAsia="宋体" w:cs="宋体"/>
          <w:sz w:val="32"/>
          <w:szCs w:val="32"/>
        </w:rPr>
        <w:t>万元，占</w:t>
      </w:r>
      <w:r>
        <w:rPr>
          <w:rFonts w:hint="eastAsia" w:ascii="宋体" w:hAnsi="宋体" w:eastAsia="宋体" w:cs="宋体"/>
          <w:sz w:val="32"/>
          <w:szCs w:val="32"/>
          <w:lang w:val="en-US" w:eastAsia="zh-CN"/>
        </w:rPr>
        <w:t>98.59</w:t>
      </w:r>
      <w:r>
        <w:rPr>
          <w:rFonts w:hint="eastAsia" w:ascii="宋体" w:hAnsi="宋体" w:eastAsia="宋体" w:cs="宋体"/>
          <w:sz w:val="32"/>
          <w:szCs w:val="32"/>
        </w:rPr>
        <w:t>%；政府性基金预算财政拨款收入</w:t>
      </w:r>
      <w:r>
        <w:rPr>
          <w:rFonts w:hint="eastAsia" w:ascii="宋体" w:hAnsi="宋体" w:eastAsia="宋体" w:cs="宋体"/>
          <w:sz w:val="32"/>
          <w:szCs w:val="32"/>
          <w:lang w:val="en-US" w:eastAsia="zh-CN"/>
        </w:rPr>
        <w:t>14.88</w:t>
      </w:r>
      <w:r>
        <w:rPr>
          <w:rFonts w:hint="eastAsia" w:ascii="宋体" w:hAnsi="宋体" w:eastAsia="宋体" w:cs="宋体"/>
          <w:sz w:val="32"/>
          <w:szCs w:val="32"/>
        </w:rPr>
        <w:t>万元，占</w:t>
      </w:r>
      <w:r>
        <w:rPr>
          <w:rFonts w:hint="eastAsia" w:ascii="宋体" w:hAnsi="宋体" w:eastAsia="宋体" w:cs="宋体"/>
          <w:sz w:val="32"/>
          <w:szCs w:val="32"/>
          <w:lang w:val="en-US" w:eastAsia="zh-CN"/>
        </w:rPr>
        <w:t>0.91</w:t>
      </w:r>
      <w:r>
        <w:rPr>
          <w:rFonts w:hint="eastAsia" w:ascii="宋体" w:hAnsi="宋体" w:eastAsia="宋体" w:cs="宋体"/>
          <w:sz w:val="32"/>
          <w:szCs w:val="32"/>
        </w:rPr>
        <w:t>%；上级补助收入0；事业收入</w:t>
      </w:r>
      <w:r>
        <w:rPr>
          <w:rFonts w:hint="eastAsia" w:ascii="宋体" w:hAnsi="宋体" w:eastAsia="宋体" w:cs="宋体"/>
          <w:sz w:val="32"/>
          <w:szCs w:val="32"/>
          <w:lang w:val="en-US" w:eastAsia="zh-CN"/>
        </w:rPr>
        <w:t>2.5</w:t>
      </w:r>
      <w:r>
        <w:rPr>
          <w:rFonts w:hint="eastAsia" w:ascii="宋体" w:hAnsi="宋体" w:eastAsia="宋体" w:cs="宋体"/>
          <w:sz w:val="32"/>
          <w:szCs w:val="32"/>
        </w:rPr>
        <w:t>万元，占</w:t>
      </w:r>
      <w:r>
        <w:rPr>
          <w:rFonts w:hint="eastAsia" w:ascii="宋体" w:hAnsi="宋体" w:eastAsia="宋体" w:cs="宋体"/>
          <w:sz w:val="32"/>
          <w:szCs w:val="32"/>
          <w:lang w:val="en-US" w:eastAsia="zh-CN"/>
        </w:rPr>
        <w:t>0.15</w:t>
      </w:r>
      <w:r>
        <w:rPr>
          <w:rFonts w:hint="eastAsia" w:ascii="宋体" w:hAnsi="宋体" w:eastAsia="宋体" w:cs="宋体"/>
          <w:sz w:val="32"/>
          <w:szCs w:val="32"/>
        </w:rPr>
        <w:t>%；经营收入0；附属单位上缴收入0；其他收入</w:t>
      </w:r>
      <w:r>
        <w:rPr>
          <w:rFonts w:hint="eastAsia" w:ascii="宋体" w:hAnsi="宋体" w:eastAsia="宋体" w:cs="宋体"/>
          <w:sz w:val="32"/>
          <w:szCs w:val="32"/>
          <w:lang w:val="en-US" w:eastAsia="zh-CN"/>
        </w:rPr>
        <w:t>5.5万元，占0.33</w:t>
      </w:r>
      <w:r>
        <w:rPr>
          <w:rFonts w:hint="eastAsia" w:ascii="宋体" w:hAnsi="宋体" w:eastAsia="宋体" w:cs="宋体"/>
          <w:sz w:val="32"/>
          <w:szCs w:val="32"/>
        </w:rPr>
        <w:t>%</w:t>
      </w:r>
      <w:r>
        <w:rPr>
          <w:rFonts w:hint="eastAsia" w:ascii="宋体" w:hAnsi="宋体" w:eastAsia="宋体" w:cs="宋体"/>
          <w:color w:val="000000"/>
          <w:sz w:val="32"/>
          <w:szCs w:val="32"/>
          <w:lang w:eastAsia="zh-CN"/>
        </w:rPr>
        <w:t>。</w:t>
      </w:r>
    </w:p>
    <w:p w14:paraId="036EE7DC">
      <w:pPr>
        <w:pStyle w:val="14"/>
        <w:rPr>
          <w:rFonts w:hAnsi="黑体"/>
          <w:b/>
          <w:sz w:val="32"/>
          <w:szCs w:val="32"/>
        </w:rPr>
      </w:pPr>
      <w:r>
        <w:rPr>
          <w:rFonts w:hint="eastAsia" w:hAnsi="黑体"/>
          <w:b/>
          <w:sz w:val="32"/>
          <w:szCs w:val="32"/>
        </w:rPr>
        <w:t>三、支出决算情况说明</w:t>
      </w:r>
    </w:p>
    <w:p w14:paraId="5C27462D">
      <w:pPr>
        <w:pStyle w:val="14"/>
        <w:ind w:firstLine="640" w:firstLineChars="200"/>
        <w:rPr>
          <w:rFonts w:hint="eastAsia" w:ascii="宋体" w:hAnsi="宋体" w:eastAsia="宋体" w:cs="宋体"/>
          <w:sz w:val="32"/>
          <w:szCs w:val="32"/>
        </w:rPr>
      </w:pPr>
      <w:r>
        <w:rPr>
          <w:rFonts w:hint="eastAsia" w:ascii="宋体" w:hAnsi="宋体" w:eastAsia="宋体" w:cs="宋体"/>
          <w:sz w:val="32"/>
          <w:szCs w:val="32"/>
        </w:rPr>
        <w:t>本年支出合计</w:t>
      </w:r>
      <w:r>
        <w:rPr>
          <w:rFonts w:hint="eastAsia" w:ascii="宋体" w:hAnsi="宋体" w:eastAsia="宋体" w:cs="宋体"/>
          <w:sz w:val="32"/>
          <w:szCs w:val="32"/>
          <w:lang w:val="en-US" w:eastAsia="zh-CN"/>
        </w:rPr>
        <w:t>1633.79</w:t>
      </w:r>
      <w:r>
        <w:rPr>
          <w:rFonts w:hint="eastAsia" w:ascii="宋体" w:hAnsi="宋体" w:eastAsia="宋体" w:cs="宋体"/>
          <w:sz w:val="32"/>
          <w:szCs w:val="32"/>
        </w:rPr>
        <w:t>万元，其中：基本支出</w:t>
      </w:r>
      <w:r>
        <w:rPr>
          <w:rFonts w:hint="eastAsia" w:ascii="宋体" w:hAnsi="宋体" w:eastAsia="宋体" w:cs="宋体"/>
          <w:sz w:val="32"/>
          <w:szCs w:val="32"/>
          <w:lang w:val="en-US" w:eastAsia="zh-CN"/>
        </w:rPr>
        <w:t>626.76</w:t>
      </w:r>
      <w:r>
        <w:rPr>
          <w:rFonts w:hint="eastAsia" w:ascii="宋体" w:hAnsi="宋体" w:eastAsia="宋体" w:cs="宋体"/>
          <w:sz w:val="32"/>
          <w:szCs w:val="32"/>
        </w:rPr>
        <w:t>万元，占</w:t>
      </w:r>
      <w:r>
        <w:rPr>
          <w:rFonts w:hint="eastAsia" w:ascii="宋体" w:hAnsi="宋体" w:eastAsia="宋体" w:cs="宋体"/>
          <w:sz w:val="32"/>
          <w:szCs w:val="32"/>
          <w:lang w:val="en-US" w:eastAsia="zh-CN"/>
        </w:rPr>
        <w:t>38.36</w:t>
      </w:r>
      <w:r>
        <w:rPr>
          <w:rFonts w:hint="eastAsia" w:ascii="宋体" w:hAnsi="宋体" w:eastAsia="宋体" w:cs="宋体"/>
          <w:sz w:val="32"/>
          <w:szCs w:val="32"/>
        </w:rPr>
        <w:t>%；项目支出</w:t>
      </w:r>
      <w:r>
        <w:rPr>
          <w:rFonts w:hint="eastAsia" w:ascii="宋体" w:hAnsi="宋体" w:eastAsia="宋体" w:cs="宋体"/>
          <w:sz w:val="32"/>
          <w:szCs w:val="32"/>
          <w:lang w:val="en-US" w:eastAsia="zh-CN"/>
        </w:rPr>
        <w:t>1007.2</w:t>
      </w:r>
      <w:r>
        <w:rPr>
          <w:rFonts w:hint="eastAsia" w:ascii="宋体" w:hAnsi="宋体" w:eastAsia="宋体" w:cs="宋体"/>
          <w:sz w:val="32"/>
          <w:szCs w:val="32"/>
        </w:rPr>
        <w:t>万元，占</w:t>
      </w:r>
      <w:r>
        <w:rPr>
          <w:rFonts w:hint="eastAsia" w:ascii="宋体" w:hAnsi="宋体" w:eastAsia="宋体" w:cs="宋体"/>
          <w:sz w:val="32"/>
          <w:szCs w:val="32"/>
          <w:lang w:val="en-US" w:eastAsia="zh-CN"/>
        </w:rPr>
        <w:t>61.65</w:t>
      </w:r>
      <w:r>
        <w:rPr>
          <w:rFonts w:hint="eastAsia" w:ascii="宋体" w:hAnsi="宋体" w:eastAsia="宋体" w:cs="宋体"/>
          <w:sz w:val="32"/>
          <w:szCs w:val="32"/>
        </w:rPr>
        <w:t>%；上缴上级支出0；经营支出0；对附属单位补助支出0。</w:t>
      </w:r>
    </w:p>
    <w:p w14:paraId="0D75FAD2">
      <w:pPr>
        <w:pStyle w:val="14"/>
        <w:rPr>
          <w:rFonts w:hAnsi="黑体"/>
          <w:b/>
          <w:sz w:val="32"/>
          <w:szCs w:val="32"/>
        </w:rPr>
      </w:pPr>
      <w:r>
        <w:rPr>
          <w:rFonts w:hint="eastAsia" w:hAnsi="黑体"/>
          <w:b/>
          <w:sz w:val="32"/>
          <w:szCs w:val="32"/>
        </w:rPr>
        <w:t>四、财政拨款收入支出决算总体情况说明</w:t>
      </w:r>
    </w:p>
    <w:p w14:paraId="7F44AA0B">
      <w:pPr>
        <w:pStyle w:val="8"/>
        <w:keepNext w:val="0"/>
        <w:keepLines w:val="0"/>
        <w:widowControl/>
        <w:suppressLineNumbers w:val="0"/>
        <w:autoSpaceDE w:val="0"/>
        <w:autoSpaceDN w:val="0"/>
        <w:spacing w:before="0" w:beforeAutospacing="0" w:after="0" w:afterAutospacing="0" w:line="600" w:lineRule="atLeast"/>
        <w:ind w:left="0" w:right="0" w:firstLine="640"/>
        <w:rPr>
          <w:rFonts w:hint="default" w:ascii="宋体" w:hAnsi="宋体" w:eastAsia="宋体"/>
          <w:sz w:val="32"/>
          <w:szCs w:val="32"/>
          <w:lang w:val="en-US" w:eastAsia="zh-CN"/>
        </w:rPr>
      </w:pP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年度本年</w:t>
      </w:r>
      <w:r>
        <w:rPr>
          <w:rFonts w:hint="eastAsia" w:ascii="宋体" w:hAnsi="宋体" w:eastAsia="宋体" w:cs="宋体"/>
          <w:sz w:val="32"/>
          <w:szCs w:val="32"/>
          <w:lang w:eastAsia="zh-CN"/>
        </w:rPr>
        <w:t>财政拨款</w:t>
      </w:r>
      <w:r>
        <w:rPr>
          <w:rFonts w:hint="eastAsia" w:ascii="宋体" w:hAnsi="宋体" w:eastAsia="宋体" w:cs="宋体"/>
          <w:sz w:val="32"/>
          <w:szCs w:val="32"/>
        </w:rPr>
        <w:t>收入</w:t>
      </w:r>
      <w:r>
        <w:rPr>
          <w:rFonts w:hint="eastAsia" w:ascii="宋体" w:hAnsi="宋体" w:eastAsia="宋体" w:cs="宋体"/>
          <w:sz w:val="32"/>
          <w:szCs w:val="32"/>
          <w:lang w:val="en-US" w:eastAsia="zh-CN"/>
        </w:rPr>
        <w:t>1625.74万元</w:t>
      </w:r>
      <w:r>
        <w:rPr>
          <w:rFonts w:hint="eastAsia" w:ascii="宋体" w:hAnsi="宋体" w:eastAsia="宋体" w:cs="宋体"/>
          <w:sz w:val="32"/>
          <w:szCs w:val="32"/>
        </w:rPr>
        <w:t>。</w:t>
      </w:r>
      <w:r>
        <w:rPr>
          <w:rFonts w:hint="eastAsia" w:ascii="宋体" w:hAnsi="宋体" w:eastAsia="宋体" w:cs="宋体"/>
          <w:sz w:val="32"/>
          <w:szCs w:val="32"/>
          <w:lang w:eastAsia="zh-CN"/>
        </w:rPr>
        <w:t>其中一般公共预算财政拨款</w:t>
      </w:r>
      <w:r>
        <w:rPr>
          <w:rFonts w:hint="eastAsia" w:ascii="宋体" w:hAnsi="宋体" w:eastAsia="宋体" w:cs="宋体"/>
          <w:sz w:val="32"/>
          <w:szCs w:val="32"/>
          <w:lang w:val="en-US" w:eastAsia="zh-CN"/>
        </w:rPr>
        <w:t>1010.85万元，政府性基金预算财政拨款14.89万元。支出1625.74万元。</w:t>
      </w:r>
    </w:p>
    <w:p w14:paraId="6A2BB252">
      <w:pPr>
        <w:pStyle w:val="14"/>
        <w:rPr>
          <w:rFonts w:hAnsi="黑体"/>
          <w:b/>
          <w:sz w:val="32"/>
          <w:szCs w:val="32"/>
        </w:rPr>
      </w:pPr>
      <w:r>
        <w:rPr>
          <w:rFonts w:hint="eastAsia" w:hAnsi="黑体"/>
          <w:b/>
          <w:sz w:val="32"/>
          <w:szCs w:val="32"/>
        </w:rPr>
        <w:t>五、一般公共预算财政拨款支出决算情况说明</w:t>
      </w:r>
    </w:p>
    <w:p w14:paraId="7C23CB73">
      <w:pPr>
        <w:pStyle w:val="14"/>
        <w:ind w:firstLine="640" w:firstLineChars="200"/>
        <w:rPr>
          <w:rFonts w:ascii="宋体" w:hAnsi="宋体" w:eastAsia="宋体"/>
          <w:b/>
          <w:sz w:val="32"/>
          <w:szCs w:val="32"/>
        </w:rPr>
      </w:pPr>
      <w:r>
        <w:rPr>
          <w:rFonts w:hint="eastAsia" w:ascii="宋体" w:hAnsi="宋体" w:eastAsia="宋体"/>
          <w:b/>
          <w:sz w:val="32"/>
          <w:szCs w:val="32"/>
        </w:rPr>
        <w:t>（一）财政拨款支出决算总体情况</w:t>
      </w:r>
    </w:p>
    <w:p w14:paraId="6F04C350">
      <w:pPr>
        <w:pStyle w:val="14"/>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年度财政拨款支出</w:t>
      </w:r>
      <w:r>
        <w:rPr>
          <w:rFonts w:hint="eastAsia" w:ascii="宋体" w:hAnsi="宋体" w:eastAsia="宋体" w:cs="宋体"/>
          <w:sz w:val="32"/>
          <w:szCs w:val="32"/>
          <w:lang w:val="en-US" w:eastAsia="zh-CN"/>
        </w:rPr>
        <w:t>1610.85</w:t>
      </w:r>
      <w:r>
        <w:rPr>
          <w:rFonts w:hint="eastAsia" w:ascii="宋体" w:hAnsi="宋体" w:eastAsia="宋体" w:cs="宋体"/>
          <w:sz w:val="32"/>
          <w:szCs w:val="32"/>
        </w:rPr>
        <w:t>万元，占本年支出合计的</w:t>
      </w:r>
      <w:r>
        <w:rPr>
          <w:rFonts w:hint="eastAsia" w:ascii="宋体" w:hAnsi="宋体" w:eastAsia="宋体" w:cs="宋体"/>
          <w:sz w:val="32"/>
          <w:szCs w:val="32"/>
          <w:lang w:val="en-US" w:eastAsia="zh-CN"/>
        </w:rPr>
        <w:t>99.08</w:t>
      </w:r>
      <w:r>
        <w:rPr>
          <w:rFonts w:hint="eastAsia" w:ascii="宋体" w:hAnsi="宋体" w:eastAsia="宋体" w:cs="宋体"/>
          <w:sz w:val="32"/>
          <w:szCs w:val="32"/>
        </w:rPr>
        <w:t>%，</w:t>
      </w:r>
      <w:r>
        <w:rPr>
          <w:rFonts w:hint="eastAsia" w:ascii="宋体" w:hAnsi="宋体" w:eastAsia="宋体" w:cs="宋体"/>
          <w:sz w:val="32"/>
          <w:szCs w:val="32"/>
          <w:lang w:eastAsia="zh-CN"/>
        </w:rPr>
        <w:t>基本支出</w:t>
      </w:r>
      <w:r>
        <w:rPr>
          <w:rFonts w:hint="eastAsia" w:ascii="宋体" w:hAnsi="宋体" w:eastAsia="宋体" w:cs="宋体"/>
          <w:sz w:val="32"/>
          <w:szCs w:val="32"/>
          <w:lang w:val="en-US" w:eastAsia="zh-CN"/>
        </w:rPr>
        <w:t>608.71万元，占本年支出的37.78%,项目支出1002.14万元，占本年支出的62.22%。</w:t>
      </w:r>
    </w:p>
    <w:p w14:paraId="60B98303">
      <w:pPr>
        <w:pStyle w:val="14"/>
        <w:ind w:firstLine="480" w:firstLineChars="150"/>
        <w:rPr>
          <w:rFonts w:ascii="宋体" w:hAnsi="宋体" w:eastAsia="宋体"/>
          <w:b/>
          <w:sz w:val="32"/>
          <w:szCs w:val="32"/>
        </w:rPr>
      </w:pPr>
      <w:r>
        <w:rPr>
          <w:rFonts w:hint="eastAsia" w:ascii="宋体" w:hAnsi="宋体" w:eastAsia="宋体"/>
          <w:b/>
          <w:sz w:val="32"/>
          <w:szCs w:val="32"/>
        </w:rPr>
        <w:t>（二）财政拨款支出决算结构情况</w:t>
      </w:r>
    </w:p>
    <w:p w14:paraId="0E7615DE">
      <w:pPr>
        <w:pStyle w:val="14"/>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年度财政拨款支出</w:t>
      </w:r>
      <w:r>
        <w:rPr>
          <w:rFonts w:hint="eastAsia" w:ascii="宋体" w:hAnsi="宋体" w:eastAsia="宋体" w:cs="宋体"/>
          <w:sz w:val="32"/>
          <w:szCs w:val="32"/>
          <w:lang w:val="en-US" w:eastAsia="zh-CN"/>
        </w:rPr>
        <w:t>1610.85</w:t>
      </w:r>
      <w:r>
        <w:rPr>
          <w:rFonts w:hint="eastAsia" w:ascii="宋体" w:hAnsi="宋体" w:eastAsia="宋体" w:cs="宋体"/>
          <w:sz w:val="32"/>
          <w:szCs w:val="32"/>
        </w:rPr>
        <w:t>万元，主要用于以下方面</w:t>
      </w:r>
      <w:r>
        <w:rPr>
          <w:rFonts w:hint="eastAsia" w:ascii="宋体" w:hAnsi="宋体" w:eastAsia="宋体" w:cs="宋体"/>
          <w:sz w:val="32"/>
          <w:szCs w:val="32"/>
          <w:lang w:val="en-US" w:eastAsia="zh-CN"/>
        </w:rPr>
        <w:t>:行政运行1.8万元，占0.11%，，其他普通教育支出30万，占1.86%，行政单位离退休10.76万元，占0.67%，基本养老保险缴费支出36.2万，占2.25%，死亡抚恤0.82万，0.005%，其他财政对社会保险基金的补助1.2万，占0.07%，其他基层医疗卫生机构支出32.5万，占2.01%，疾病预防控制机构1064万，占66.05%，基本公共卫生服务支出126.26万，占7.8%，重大公共卫生服务支出286万，占17.7%，其他城乡社区管理事务支出5.5万，占0.34%。</w:t>
      </w:r>
    </w:p>
    <w:p w14:paraId="5E5846CF">
      <w:pPr>
        <w:pStyle w:val="14"/>
        <w:ind w:firstLine="800" w:firstLineChars="250"/>
        <w:rPr>
          <w:rFonts w:ascii="宋体" w:hAnsi="宋体" w:eastAsia="宋体"/>
          <w:b/>
          <w:sz w:val="32"/>
          <w:szCs w:val="32"/>
        </w:rPr>
      </w:pPr>
      <w:r>
        <w:rPr>
          <w:rFonts w:hint="eastAsia" w:ascii="宋体" w:hAnsi="宋体" w:eastAsia="宋体"/>
          <w:b/>
          <w:sz w:val="32"/>
          <w:szCs w:val="32"/>
        </w:rPr>
        <w:t>（三）财政拨款支出决算具体情况</w:t>
      </w:r>
    </w:p>
    <w:p w14:paraId="3F139476">
      <w:pPr>
        <w:pStyle w:val="14"/>
        <w:ind w:firstLine="800" w:firstLineChars="250"/>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年度财政拨款支出年初预算数为</w:t>
      </w:r>
      <w:r>
        <w:rPr>
          <w:rFonts w:hint="eastAsia" w:ascii="宋体" w:hAnsi="宋体" w:eastAsia="宋体" w:cs="宋体"/>
          <w:sz w:val="32"/>
          <w:szCs w:val="32"/>
          <w:lang w:val="en-US" w:eastAsia="zh-CN"/>
        </w:rPr>
        <w:t>1279.43</w:t>
      </w:r>
      <w:r>
        <w:rPr>
          <w:rFonts w:hint="eastAsia" w:ascii="宋体" w:hAnsi="宋体" w:eastAsia="宋体" w:cs="宋体"/>
          <w:sz w:val="32"/>
          <w:szCs w:val="32"/>
        </w:rPr>
        <w:t>万元，支出决算数为</w:t>
      </w:r>
      <w:r>
        <w:rPr>
          <w:rFonts w:hint="eastAsia" w:ascii="宋体" w:hAnsi="宋体" w:eastAsia="宋体" w:cs="宋体"/>
          <w:sz w:val="32"/>
          <w:szCs w:val="32"/>
          <w:lang w:val="en-US" w:eastAsia="zh-CN"/>
        </w:rPr>
        <w:t>1610.85</w:t>
      </w:r>
      <w:r>
        <w:rPr>
          <w:rFonts w:hint="eastAsia" w:ascii="宋体" w:hAnsi="宋体" w:eastAsia="宋体" w:cs="宋体"/>
          <w:sz w:val="32"/>
          <w:szCs w:val="32"/>
        </w:rPr>
        <w:t>万元，完成年初预算的</w:t>
      </w:r>
      <w:r>
        <w:rPr>
          <w:rFonts w:hint="eastAsia" w:ascii="宋体" w:hAnsi="宋体" w:eastAsia="宋体" w:cs="宋体"/>
          <w:sz w:val="32"/>
          <w:szCs w:val="32"/>
          <w:lang w:val="en-US" w:eastAsia="zh-CN"/>
        </w:rPr>
        <w:t>125.9</w:t>
      </w:r>
      <w:r>
        <w:rPr>
          <w:rFonts w:hint="eastAsia" w:ascii="宋体" w:hAnsi="宋体" w:eastAsia="宋体" w:cs="宋体"/>
          <w:sz w:val="32"/>
          <w:szCs w:val="32"/>
        </w:rPr>
        <w:t>%，其中：</w:t>
      </w:r>
    </w:p>
    <w:p w14:paraId="55DD3774">
      <w:pPr>
        <w:pStyle w:val="14"/>
        <w:ind w:left="840"/>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sz w:val="32"/>
          <w:szCs w:val="32"/>
          <w:lang w:eastAsia="zh-CN"/>
        </w:rPr>
        <w:t>行政运行，去年决算</w:t>
      </w:r>
      <w:r>
        <w:rPr>
          <w:rFonts w:hint="eastAsia" w:ascii="宋体" w:hAnsi="宋体" w:eastAsia="宋体" w:cs="宋体"/>
          <w:sz w:val="32"/>
          <w:szCs w:val="32"/>
          <w:lang w:val="en-US" w:eastAsia="zh-CN"/>
        </w:rPr>
        <w:t>9.2万，本年决算1.8万，</w:t>
      </w:r>
      <w:r>
        <w:rPr>
          <w:rFonts w:hint="eastAsia" w:ascii="宋体" w:hAnsi="宋体" w:eastAsia="宋体" w:cs="宋体"/>
          <w:sz w:val="32"/>
          <w:szCs w:val="32"/>
        </w:rPr>
        <w:t>决算数</w:t>
      </w:r>
      <w:r>
        <w:rPr>
          <w:rFonts w:hint="eastAsia" w:ascii="宋体" w:hAnsi="宋体" w:eastAsia="宋体" w:cs="宋体"/>
          <w:sz w:val="32"/>
          <w:szCs w:val="32"/>
          <w:lang w:eastAsia="zh-CN"/>
        </w:rPr>
        <w:t>小</w:t>
      </w:r>
      <w:r>
        <w:rPr>
          <w:rFonts w:hint="eastAsia" w:ascii="宋体" w:hAnsi="宋体" w:eastAsia="宋体" w:cs="宋体"/>
          <w:sz w:val="32"/>
          <w:szCs w:val="32"/>
        </w:rPr>
        <w:t>于去年决算数的主要原因是厉行节约，压减支出。</w:t>
      </w:r>
    </w:p>
    <w:p w14:paraId="50B9E84F">
      <w:pPr>
        <w:pStyle w:val="14"/>
        <w:ind w:left="840"/>
        <w:rPr>
          <w:rFonts w:hint="eastAsia" w:ascii="宋体" w:hAnsi="宋体" w:eastAsia="宋体" w:cs="宋体"/>
          <w:sz w:val="32"/>
          <w:szCs w:val="32"/>
        </w:rPr>
      </w:pPr>
      <w:r>
        <w:rPr>
          <w:rFonts w:hint="eastAsia" w:ascii="宋体" w:hAnsi="宋体" w:eastAsia="宋体" w:cs="宋体"/>
          <w:sz w:val="32"/>
          <w:szCs w:val="32"/>
        </w:rPr>
        <w:t>2、社会保障和就业（类）财政对其他社会保险基金的补助（款）其他财政对其他社会保险基金的补助（项）。</w:t>
      </w:r>
    </w:p>
    <w:p w14:paraId="725BCC94">
      <w:pPr>
        <w:pStyle w:val="14"/>
        <w:ind w:firstLine="800" w:firstLineChars="250"/>
        <w:rPr>
          <w:rFonts w:hint="eastAsia" w:ascii="宋体" w:hAnsi="宋体" w:eastAsia="宋体" w:cs="宋体"/>
          <w:sz w:val="32"/>
          <w:szCs w:val="32"/>
        </w:rPr>
      </w:pPr>
      <w:r>
        <w:rPr>
          <w:rFonts w:hint="eastAsia" w:ascii="宋体" w:hAnsi="宋体" w:eastAsia="宋体" w:cs="宋体"/>
          <w:sz w:val="32"/>
          <w:szCs w:val="32"/>
        </w:rPr>
        <w:t>去年决算为</w:t>
      </w:r>
      <w:r>
        <w:rPr>
          <w:rFonts w:hint="eastAsia" w:ascii="宋体" w:hAnsi="宋体" w:eastAsia="宋体" w:cs="宋体"/>
          <w:sz w:val="32"/>
          <w:szCs w:val="32"/>
          <w:lang w:val="en-US" w:eastAsia="zh-CN"/>
        </w:rPr>
        <w:t>43</w:t>
      </w:r>
      <w:r>
        <w:rPr>
          <w:rFonts w:hint="eastAsia" w:ascii="宋体" w:hAnsi="宋体" w:eastAsia="宋体" w:cs="宋体"/>
          <w:sz w:val="32"/>
          <w:szCs w:val="32"/>
        </w:rPr>
        <w:t>，本年决算为</w:t>
      </w:r>
      <w:r>
        <w:rPr>
          <w:rFonts w:hint="eastAsia" w:ascii="宋体" w:hAnsi="宋体" w:eastAsia="宋体" w:cs="宋体"/>
          <w:sz w:val="32"/>
          <w:szCs w:val="32"/>
          <w:lang w:val="en-US" w:eastAsia="zh-CN"/>
        </w:rPr>
        <w:t>36.2</w:t>
      </w:r>
      <w:r>
        <w:rPr>
          <w:rFonts w:hint="eastAsia" w:ascii="宋体" w:hAnsi="宋体" w:eastAsia="宋体" w:cs="宋体"/>
          <w:sz w:val="32"/>
          <w:szCs w:val="32"/>
        </w:rPr>
        <w:t>万元，决算数</w:t>
      </w:r>
      <w:r>
        <w:rPr>
          <w:rFonts w:hint="eastAsia" w:ascii="宋体" w:hAnsi="宋体" w:eastAsia="宋体" w:cs="宋体"/>
          <w:sz w:val="32"/>
          <w:szCs w:val="32"/>
          <w:lang w:eastAsia="zh-CN"/>
        </w:rPr>
        <w:t>小</w:t>
      </w:r>
      <w:r>
        <w:rPr>
          <w:rFonts w:hint="eastAsia" w:ascii="宋体" w:hAnsi="宋体" w:eastAsia="宋体" w:cs="宋体"/>
          <w:sz w:val="32"/>
          <w:szCs w:val="32"/>
        </w:rPr>
        <w:t>于去年决算数的主要原因是：新增养</w:t>
      </w:r>
      <w:r>
        <w:rPr>
          <w:rFonts w:hint="eastAsia" w:ascii="宋体" w:hAnsi="宋体" w:eastAsia="宋体" w:cs="宋体"/>
          <w:sz w:val="32"/>
          <w:szCs w:val="32"/>
          <w:lang w:val="en-US" w:eastAsia="zh-CN"/>
        </w:rPr>
        <w:t>退休人员减少了单位部分保险的支出</w:t>
      </w:r>
      <w:r>
        <w:rPr>
          <w:rFonts w:hint="eastAsia" w:ascii="宋体" w:hAnsi="宋体" w:eastAsia="宋体" w:cs="宋体"/>
          <w:sz w:val="32"/>
          <w:szCs w:val="32"/>
        </w:rPr>
        <w:t>。</w:t>
      </w:r>
    </w:p>
    <w:p w14:paraId="3E61FD80">
      <w:pPr>
        <w:pStyle w:val="14"/>
        <w:ind w:left="840"/>
        <w:rPr>
          <w:rFonts w:hint="eastAsia" w:ascii="宋体" w:hAnsi="宋体" w:eastAsia="宋体" w:cs="宋体"/>
          <w:sz w:val="32"/>
          <w:szCs w:val="32"/>
        </w:rPr>
      </w:pPr>
      <w:r>
        <w:rPr>
          <w:rFonts w:hint="eastAsia" w:ascii="宋体" w:hAnsi="宋体" w:eastAsia="宋体" w:cs="宋体"/>
          <w:sz w:val="32"/>
          <w:szCs w:val="32"/>
        </w:rPr>
        <w:t>3、卫生健康（类）公共卫生（款）疾病预防控制机构（项）。</w:t>
      </w:r>
    </w:p>
    <w:p w14:paraId="4465A3DC">
      <w:pPr>
        <w:pStyle w:val="14"/>
        <w:ind w:firstLine="800" w:firstLineChars="250"/>
        <w:rPr>
          <w:rFonts w:hint="eastAsia" w:ascii="宋体" w:hAnsi="宋体" w:eastAsia="宋体" w:cs="宋体"/>
          <w:sz w:val="32"/>
          <w:szCs w:val="32"/>
        </w:rPr>
      </w:pPr>
      <w:r>
        <w:rPr>
          <w:rFonts w:hint="eastAsia" w:ascii="宋体" w:hAnsi="宋体" w:eastAsia="宋体" w:cs="宋体"/>
          <w:sz w:val="32"/>
          <w:szCs w:val="32"/>
        </w:rPr>
        <w:t>去年决算为</w:t>
      </w:r>
      <w:r>
        <w:rPr>
          <w:rFonts w:hint="eastAsia" w:ascii="宋体" w:hAnsi="宋体" w:eastAsia="宋体" w:cs="宋体"/>
          <w:sz w:val="32"/>
          <w:szCs w:val="32"/>
          <w:lang w:val="en-US" w:eastAsia="zh-CN"/>
        </w:rPr>
        <w:t>1085.81</w:t>
      </w:r>
      <w:r>
        <w:rPr>
          <w:rFonts w:hint="eastAsia" w:ascii="宋体" w:hAnsi="宋体" w:eastAsia="宋体" w:cs="宋体"/>
          <w:sz w:val="32"/>
          <w:szCs w:val="32"/>
        </w:rPr>
        <w:t>万元，本年决算为</w:t>
      </w:r>
      <w:r>
        <w:rPr>
          <w:rFonts w:hint="eastAsia" w:ascii="宋体" w:hAnsi="宋体" w:eastAsia="宋体" w:cs="宋体"/>
          <w:sz w:val="32"/>
          <w:szCs w:val="32"/>
          <w:lang w:val="en-US" w:eastAsia="zh-CN"/>
        </w:rPr>
        <w:t>1064</w:t>
      </w:r>
      <w:r>
        <w:rPr>
          <w:rFonts w:hint="eastAsia" w:ascii="宋体" w:hAnsi="宋体" w:eastAsia="宋体" w:cs="宋体"/>
          <w:sz w:val="32"/>
          <w:szCs w:val="32"/>
        </w:rPr>
        <w:t>万元，决算数</w:t>
      </w:r>
      <w:r>
        <w:rPr>
          <w:rFonts w:hint="eastAsia" w:ascii="宋体" w:hAnsi="宋体" w:eastAsia="宋体" w:cs="宋体"/>
          <w:sz w:val="32"/>
          <w:szCs w:val="32"/>
          <w:lang w:eastAsia="zh-CN"/>
        </w:rPr>
        <w:t>小</w:t>
      </w:r>
      <w:r>
        <w:rPr>
          <w:rFonts w:hint="eastAsia" w:ascii="宋体" w:hAnsi="宋体" w:eastAsia="宋体" w:cs="宋体"/>
          <w:sz w:val="32"/>
          <w:szCs w:val="32"/>
        </w:rPr>
        <w:t>于去年决算数的主要原因是：疾病预防控制机构支出略</w:t>
      </w:r>
      <w:r>
        <w:rPr>
          <w:rFonts w:hint="eastAsia" w:ascii="宋体" w:hAnsi="宋体" w:eastAsia="宋体" w:cs="宋体"/>
          <w:sz w:val="32"/>
          <w:szCs w:val="32"/>
          <w:lang w:eastAsia="zh-CN"/>
        </w:rPr>
        <w:t>减</w:t>
      </w:r>
      <w:r>
        <w:rPr>
          <w:rFonts w:hint="eastAsia" w:ascii="宋体" w:hAnsi="宋体" w:eastAsia="宋体" w:cs="宋体"/>
          <w:sz w:val="32"/>
          <w:szCs w:val="32"/>
        </w:rPr>
        <w:t>。</w:t>
      </w:r>
    </w:p>
    <w:p w14:paraId="20A7A3B6">
      <w:pPr>
        <w:pStyle w:val="14"/>
        <w:ind w:left="840"/>
        <w:rPr>
          <w:rFonts w:hint="eastAsia" w:ascii="宋体" w:hAnsi="宋体" w:eastAsia="宋体" w:cs="宋体"/>
          <w:sz w:val="32"/>
          <w:szCs w:val="32"/>
        </w:rPr>
      </w:pPr>
      <w:r>
        <w:rPr>
          <w:rFonts w:hint="eastAsia" w:ascii="宋体" w:hAnsi="宋体" w:eastAsia="宋体" w:cs="宋体"/>
          <w:sz w:val="32"/>
          <w:szCs w:val="32"/>
        </w:rPr>
        <w:t>4卫生健康（类）公共卫生（款）重大公共卫生服务（项）。</w:t>
      </w:r>
    </w:p>
    <w:p w14:paraId="4D2A0BB9">
      <w:pPr>
        <w:pStyle w:val="14"/>
        <w:ind w:firstLine="800" w:firstLineChars="250"/>
        <w:rPr>
          <w:rFonts w:hint="eastAsia" w:ascii="宋体" w:hAnsi="宋体" w:eastAsia="宋体" w:cs="宋体"/>
          <w:sz w:val="32"/>
          <w:szCs w:val="32"/>
        </w:rPr>
      </w:pPr>
      <w:r>
        <w:rPr>
          <w:rFonts w:hint="eastAsia" w:ascii="宋体" w:hAnsi="宋体" w:eastAsia="宋体" w:cs="宋体"/>
          <w:sz w:val="32"/>
          <w:szCs w:val="32"/>
        </w:rPr>
        <w:t>去年决算为</w:t>
      </w:r>
      <w:r>
        <w:rPr>
          <w:rFonts w:hint="eastAsia" w:ascii="宋体" w:hAnsi="宋体" w:eastAsia="宋体" w:cs="宋体"/>
          <w:sz w:val="32"/>
          <w:szCs w:val="32"/>
          <w:lang w:val="en-US" w:eastAsia="zh-CN"/>
        </w:rPr>
        <w:t>42.25</w:t>
      </w:r>
      <w:r>
        <w:rPr>
          <w:rFonts w:hint="eastAsia" w:ascii="宋体" w:hAnsi="宋体" w:eastAsia="宋体" w:cs="宋体"/>
          <w:sz w:val="32"/>
          <w:szCs w:val="32"/>
        </w:rPr>
        <w:t>万元，本年决算为</w:t>
      </w:r>
      <w:r>
        <w:rPr>
          <w:rFonts w:hint="eastAsia" w:ascii="宋体" w:hAnsi="宋体" w:eastAsia="宋体" w:cs="宋体"/>
          <w:sz w:val="32"/>
          <w:szCs w:val="32"/>
          <w:lang w:val="en-US" w:eastAsia="zh-CN"/>
        </w:rPr>
        <w:t>286</w:t>
      </w:r>
      <w:r>
        <w:rPr>
          <w:rFonts w:hint="eastAsia" w:ascii="宋体" w:hAnsi="宋体" w:eastAsia="宋体" w:cs="宋体"/>
          <w:sz w:val="32"/>
          <w:szCs w:val="32"/>
        </w:rPr>
        <w:t>万元，决算数</w:t>
      </w:r>
      <w:r>
        <w:rPr>
          <w:rFonts w:hint="eastAsia" w:ascii="宋体" w:hAnsi="宋体" w:eastAsia="宋体" w:cs="宋体"/>
          <w:sz w:val="32"/>
          <w:szCs w:val="32"/>
          <w:lang w:eastAsia="zh-CN"/>
        </w:rPr>
        <w:t>大于</w:t>
      </w:r>
      <w:r>
        <w:rPr>
          <w:rFonts w:hint="eastAsia" w:ascii="宋体" w:hAnsi="宋体" w:eastAsia="宋体" w:cs="宋体"/>
          <w:sz w:val="32"/>
          <w:szCs w:val="32"/>
        </w:rPr>
        <w:t>去年决算数的主要原因是：</w:t>
      </w:r>
      <w:r>
        <w:rPr>
          <w:rFonts w:hint="eastAsia" w:ascii="宋体" w:hAnsi="宋体" w:eastAsia="宋体" w:cs="宋体"/>
          <w:sz w:val="32"/>
          <w:szCs w:val="32"/>
          <w:lang w:eastAsia="zh-CN"/>
        </w:rPr>
        <w:t>新增重大公共卫生服务项目</w:t>
      </w:r>
      <w:r>
        <w:rPr>
          <w:rFonts w:hint="eastAsia" w:ascii="宋体" w:hAnsi="宋体" w:eastAsia="宋体" w:cs="宋体"/>
          <w:sz w:val="32"/>
          <w:szCs w:val="32"/>
        </w:rPr>
        <w:t>。</w:t>
      </w:r>
    </w:p>
    <w:p w14:paraId="5045564F">
      <w:pPr>
        <w:pStyle w:val="14"/>
        <w:numPr>
          <w:ilvl w:val="0"/>
          <w:numId w:val="2"/>
        </w:numPr>
        <w:ind w:firstLine="800"/>
        <w:rPr>
          <w:rFonts w:hint="eastAsia" w:ascii="宋体" w:hAnsi="宋体" w:eastAsia="宋体" w:cs="宋体"/>
          <w:sz w:val="32"/>
          <w:szCs w:val="32"/>
        </w:rPr>
      </w:pPr>
      <w:r>
        <w:rPr>
          <w:rFonts w:hint="eastAsia" w:ascii="宋体" w:hAnsi="宋体" w:eastAsia="宋体" w:cs="宋体"/>
          <w:sz w:val="32"/>
          <w:szCs w:val="32"/>
        </w:rPr>
        <w:t>卫生健康（类）公共卫生（款）其他公共卫生支出（项）。</w:t>
      </w:r>
    </w:p>
    <w:p w14:paraId="6AEBF7EE">
      <w:pPr>
        <w:pStyle w:val="14"/>
        <w:ind w:firstLine="800" w:firstLineChars="250"/>
        <w:rPr>
          <w:rFonts w:hint="eastAsia" w:ascii="宋体" w:hAnsi="宋体" w:eastAsia="宋体" w:cs="宋体"/>
          <w:sz w:val="32"/>
          <w:szCs w:val="32"/>
        </w:rPr>
      </w:pPr>
      <w:r>
        <w:rPr>
          <w:rFonts w:hint="eastAsia" w:ascii="宋体" w:hAnsi="宋体" w:eastAsia="宋体" w:cs="宋体"/>
          <w:sz w:val="32"/>
          <w:szCs w:val="32"/>
        </w:rPr>
        <w:t>去年决算为</w:t>
      </w:r>
      <w:r>
        <w:rPr>
          <w:rFonts w:hint="eastAsia" w:ascii="宋体" w:hAnsi="宋体" w:eastAsia="宋体" w:cs="宋体"/>
          <w:sz w:val="32"/>
          <w:szCs w:val="32"/>
          <w:lang w:val="en-US" w:eastAsia="zh-CN"/>
        </w:rPr>
        <w:t>4.3</w:t>
      </w:r>
      <w:r>
        <w:rPr>
          <w:rFonts w:hint="eastAsia" w:ascii="宋体" w:hAnsi="宋体" w:eastAsia="宋体" w:cs="宋体"/>
          <w:sz w:val="32"/>
          <w:szCs w:val="32"/>
        </w:rPr>
        <w:t>万元，本年决算为</w:t>
      </w:r>
      <w:r>
        <w:rPr>
          <w:rFonts w:hint="eastAsia" w:ascii="宋体" w:hAnsi="宋体" w:eastAsia="宋体" w:cs="宋体"/>
          <w:sz w:val="32"/>
          <w:szCs w:val="32"/>
          <w:lang w:val="en-US" w:eastAsia="zh-CN"/>
        </w:rPr>
        <w:t>126.2</w:t>
      </w:r>
      <w:r>
        <w:rPr>
          <w:rFonts w:hint="eastAsia" w:ascii="宋体" w:hAnsi="宋体" w:eastAsia="宋体" w:cs="宋体"/>
          <w:sz w:val="32"/>
          <w:szCs w:val="32"/>
        </w:rPr>
        <w:t>万元，决算数</w:t>
      </w:r>
      <w:r>
        <w:rPr>
          <w:rFonts w:hint="eastAsia" w:ascii="宋体" w:hAnsi="宋体" w:eastAsia="宋体" w:cs="宋体"/>
          <w:sz w:val="32"/>
          <w:szCs w:val="32"/>
          <w:lang w:eastAsia="zh-CN"/>
        </w:rPr>
        <w:t>大</w:t>
      </w:r>
      <w:r>
        <w:rPr>
          <w:rFonts w:hint="eastAsia" w:ascii="宋体" w:hAnsi="宋体" w:eastAsia="宋体" w:cs="宋体"/>
          <w:sz w:val="32"/>
          <w:szCs w:val="32"/>
        </w:rPr>
        <w:t>于去年决算数的主要原因是：</w:t>
      </w:r>
      <w:r>
        <w:rPr>
          <w:rFonts w:hint="eastAsia" w:ascii="宋体" w:hAnsi="宋体" w:eastAsia="宋体" w:cs="宋体"/>
          <w:sz w:val="32"/>
          <w:szCs w:val="32"/>
          <w:lang w:eastAsia="zh-CN"/>
        </w:rPr>
        <w:t>新增基本公共卫生服务项目</w:t>
      </w:r>
      <w:r>
        <w:rPr>
          <w:rFonts w:hint="eastAsia" w:ascii="宋体" w:hAnsi="宋体" w:eastAsia="宋体" w:cs="宋体"/>
          <w:sz w:val="32"/>
          <w:szCs w:val="32"/>
        </w:rPr>
        <w:t>。</w:t>
      </w:r>
    </w:p>
    <w:p w14:paraId="589B9F79">
      <w:pPr>
        <w:pStyle w:val="14"/>
        <w:numPr>
          <w:ilvl w:val="0"/>
          <w:numId w:val="2"/>
        </w:numPr>
        <w:ind w:firstLine="800"/>
        <w:rPr>
          <w:rFonts w:hint="eastAsia" w:ascii="宋体" w:hAnsi="宋体" w:eastAsia="宋体" w:cs="宋体"/>
          <w:sz w:val="32"/>
          <w:szCs w:val="32"/>
        </w:rPr>
      </w:pPr>
      <w:r>
        <w:rPr>
          <w:rFonts w:hint="eastAsia" w:ascii="宋体" w:hAnsi="宋体" w:eastAsia="宋体" w:cs="宋体"/>
          <w:sz w:val="32"/>
          <w:szCs w:val="32"/>
        </w:rPr>
        <w:t>农林水（类）扶贫（款）其他扶贫支出（项）。</w:t>
      </w:r>
    </w:p>
    <w:p w14:paraId="2F733EC2">
      <w:pPr>
        <w:pStyle w:val="14"/>
        <w:ind w:firstLine="640" w:firstLineChars="200"/>
        <w:rPr>
          <w:rFonts w:hint="eastAsia" w:ascii="宋体" w:hAnsi="宋体" w:eastAsia="宋体" w:cs="宋体"/>
          <w:sz w:val="32"/>
          <w:szCs w:val="32"/>
        </w:rPr>
      </w:pPr>
      <w:r>
        <w:rPr>
          <w:rFonts w:hint="eastAsia" w:ascii="宋体" w:hAnsi="宋体" w:eastAsia="宋体" w:cs="宋体"/>
          <w:sz w:val="32"/>
          <w:szCs w:val="32"/>
        </w:rPr>
        <w:t>去年决算为</w:t>
      </w:r>
      <w:r>
        <w:rPr>
          <w:rFonts w:hint="eastAsia" w:ascii="宋体" w:hAnsi="宋体" w:eastAsia="宋体" w:cs="宋体"/>
          <w:sz w:val="32"/>
          <w:szCs w:val="32"/>
          <w:lang w:val="en-US" w:eastAsia="zh-CN"/>
        </w:rPr>
        <w:t>44</w:t>
      </w:r>
      <w:r>
        <w:rPr>
          <w:rFonts w:hint="eastAsia" w:ascii="宋体" w:hAnsi="宋体" w:eastAsia="宋体" w:cs="宋体"/>
          <w:sz w:val="32"/>
          <w:szCs w:val="32"/>
        </w:rPr>
        <w:t>万元，本年决算为</w:t>
      </w:r>
      <w:r>
        <w:rPr>
          <w:rFonts w:hint="eastAsia" w:ascii="宋体" w:hAnsi="宋体" w:eastAsia="宋体" w:cs="宋体"/>
          <w:sz w:val="32"/>
          <w:szCs w:val="32"/>
          <w:lang w:val="en-US" w:eastAsia="zh-CN"/>
        </w:rPr>
        <w:t>0</w:t>
      </w:r>
      <w:r>
        <w:rPr>
          <w:rFonts w:hint="eastAsia" w:ascii="宋体" w:hAnsi="宋体" w:eastAsia="宋体" w:cs="宋体"/>
          <w:sz w:val="32"/>
          <w:szCs w:val="32"/>
        </w:rPr>
        <w:t>万元，决算数</w:t>
      </w:r>
      <w:r>
        <w:rPr>
          <w:rFonts w:hint="eastAsia" w:ascii="宋体" w:hAnsi="宋体" w:eastAsia="宋体" w:cs="宋体"/>
          <w:sz w:val="32"/>
          <w:szCs w:val="32"/>
          <w:lang w:eastAsia="zh-CN"/>
        </w:rPr>
        <w:t>小</w:t>
      </w:r>
      <w:r>
        <w:rPr>
          <w:rFonts w:hint="eastAsia" w:ascii="宋体" w:hAnsi="宋体" w:eastAsia="宋体" w:cs="宋体"/>
          <w:sz w:val="32"/>
          <w:szCs w:val="32"/>
        </w:rPr>
        <w:t>去年决算数的主要原因是：</w:t>
      </w:r>
      <w:r>
        <w:rPr>
          <w:rFonts w:hint="eastAsia" w:ascii="宋体" w:hAnsi="宋体" w:eastAsia="宋体" w:cs="宋体"/>
          <w:sz w:val="32"/>
          <w:szCs w:val="32"/>
          <w:lang w:eastAsia="zh-CN"/>
        </w:rPr>
        <w:t>无此项支出</w:t>
      </w:r>
      <w:r>
        <w:rPr>
          <w:rFonts w:hint="eastAsia" w:ascii="宋体" w:hAnsi="宋体" w:eastAsia="宋体" w:cs="宋体"/>
          <w:sz w:val="32"/>
          <w:szCs w:val="32"/>
        </w:rPr>
        <w:t>。</w:t>
      </w:r>
    </w:p>
    <w:p w14:paraId="08AFA5A5">
      <w:pPr>
        <w:pStyle w:val="14"/>
        <w:numPr>
          <w:ilvl w:val="0"/>
          <w:numId w:val="2"/>
        </w:numPr>
        <w:ind w:left="40" w:leftChars="0" w:firstLine="80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用于体育事业的彩票公益金支出</w:t>
      </w:r>
    </w:p>
    <w:p w14:paraId="3F5D4931">
      <w:pPr>
        <w:pStyle w:val="14"/>
        <w:numPr>
          <w:ilvl w:val="0"/>
          <w:numId w:val="0"/>
        </w:numPr>
        <w:ind w:left="840" w:leftChars="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去年决算为9.1万元，本年决算为0万，</w:t>
      </w:r>
      <w:r>
        <w:rPr>
          <w:rFonts w:hint="eastAsia" w:ascii="宋体" w:hAnsi="宋体" w:eastAsia="宋体" w:cs="宋体"/>
          <w:sz w:val="32"/>
          <w:szCs w:val="32"/>
        </w:rPr>
        <w:t>决算数</w:t>
      </w:r>
      <w:r>
        <w:rPr>
          <w:rFonts w:hint="eastAsia" w:ascii="宋体" w:hAnsi="宋体" w:eastAsia="宋体" w:cs="宋体"/>
          <w:sz w:val="32"/>
          <w:szCs w:val="32"/>
          <w:lang w:eastAsia="zh-CN"/>
        </w:rPr>
        <w:t>小</w:t>
      </w:r>
      <w:r>
        <w:rPr>
          <w:rFonts w:hint="eastAsia" w:ascii="宋体" w:hAnsi="宋体" w:eastAsia="宋体" w:cs="宋体"/>
          <w:sz w:val="32"/>
          <w:szCs w:val="32"/>
        </w:rPr>
        <w:t>去年决算数的主要原因是：</w:t>
      </w:r>
      <w:r>
        <w:rPr>
          <w:rFonts w:hint="eastAsia" w:ascii="宋体" w:hAnsi="宋体" w:eastAsia="宋体" w:cs="宋体"/>
          <w:sz w:val="32"/>
          <w:szCs w:val="32"/>
          <w:lang w:eastAsia="zh-CN"/>
        </w:rPr>
        <w:t>无此项支出</w:t>
      </w:r>
      <w:r>
        <w:rPr>
          <w:rFonts w:hint="eastAsia" w:ascii="宋体" w:hAnsi="宋体" w:eastAsia="宋体" w:cs="宋体"/>
          <w:sz w:val="32"/>
          <w:szCs w:val="32"/>
        </w:rPr>
        <w:t>。</w:t>
      </w:r>
    </w:p>
    <w:p w14:paraId="4A329A21">
      <w:pPr>
        <w:pStyle w:val="14"/>
        <w:rPr>
          <w:rFonts w:hAnsi="黑体"/>
          <w:b/>
          <w:sz w:val="32"/>
          <w:szCs w:val="32"/>
        </w:rPr>
      </w:pPr>
      <w:r>
        <w:rPr>
          <w:rFonts w:hint="eastAsia" w:hAnsi="黑体"/>
          <w:b/>
          <w:sz w:val="32"/>
          <w:szCs w:val="32"/>
        </w:rPr>
        <w:t>六、一般公共预算财政拨款基本支出决算情况说明</w:t>
      </w:r>
    </w:p>
    <w:p w14:paraId="73A6BE47">
      <w:pPr>
        <w:pStyle w:val="14"/>
        <w:ind w:firstLine="640" w:firstLineChars="200"/>
        <w:rPr>
          <w:rFonts w:ascii="宋体" w:hAnsi="宋体" w:eastAsia="宋体"/>
          <w:sz w:val="32"/>
          <w:szCs w:val="32"/>
        </w:rPr>
      </w:pPr>
      <w:r>
        <w:rPr>
          <w:rFonts w:ascii="宋体" w:hAnsi="宋体" w:eastAsia="宋体"/>
          <w:sz w:val="32"/>
          <w:szCs w:val="32"/>
        </w:rPr>
        <w:t>202</w:t>
      </w:r>
      <w:r>
        <w:rPr>
          <w:rFonts w:hint="eastAsia" w:ascii="宋体" w:hAnsi="宋体" w:eastAsia="宋体"/>
          <w:sz w:val="32"/>
          <w:szCs w:val="32"/>
          <w:lang w:val="en-US" w:eastAsia="zh-CN"/>
        </w:rPr>
        <w:t>4</w:t>
      </w:r>
      <w:r>
        <w:rPr>
          <w:rFonts w:hint="eastAsia" w:ascii="宋体" w:hAnsi="宋体" w:eastAsia="宋体"/>
          <w:sz w:val="32"/>
          <w:szCs w:val="32"/>
        </w:rPr>
        <w:t>年度财政拨款基本支出</w:t>
      </w:r>
      <w:r>
        <w:rPr>
          <w:rFonts w:hint="eastAsia" w:ascii="宋体" w:hAnsi="宋体" w:eastAsia="宋体"/>
          <w:sz w:val="32"/>
          <w:szCs w:val="32"/>
          <w:lang w:val="en-US" w:eastAsia="zh-CN"/>
        </w:rPr>
        <w:t>608.71</w:t>
      </w:r>
      <w:r>
        <w:rPr>
          <w:rFonts w:hint="eastAsia" w:ascii="宋体" w:hAnsi="宋体" w:eastAsia="宋体"/>
          <w:sz w:val="32"/>
          <w:szCs w:val="32"/>
        </w:rPr>
        <w:t>万元，其中：人员经费</w:t>
      </w:r>
      <w:r>
        <w:rPr>
          <w:rFonts w:hint="eastAsia" w:ascii="宋体" w:hAnsi="宋体" w:eastAsia="宋体"/>
          <w:sz w:val="32"/>
          <w:szCs w:val="32"/>
          <w:lang w:val="en-US" w:eastAsia="zh-CN"/>
        </w:rPr>
        <w:t>405.46</w:t>
      </w:r>
      <w:r>
        <w:rPr>
          <w:rFonts w:hint="eastAsia" w:ascii="宋体" w:hAnsi="宋体" w:eastAsia="宋体"/>
          <w:sz w:val="32"/>
          <w:szCs w:val="32"/>
        </w:rPr>
        <w:t>万元，占基本支出的</w:t>
      </w:r>
      <w:r>
        <w:rPr>
          <w:rFonts w:hint="eastAsia" w:ascii="宋体" w:hAnsi="宋体" w:eastAsia="宋体"/>
          <w:sz w:val="32"/>
          <w:szCs w:val="32"/>
          <w:lang w:val="en-US" w:eastAsia="zh-CN"/>
        </w:rPr>
        <w:t>66.66</w:t>
      </w:r>
      <w:r>
        <w:rPr>
          <w:rFonts w:ascii="宋体" w:hAnsi="宋体" w:eastAsia="宋体"/>
          <w:sz w:val="32"/>
          <w:szCs w:val="32"/>
        </w:rPr>
        <w:t>%,</w:t>
      </w:r>
      <w:r>
        <w:rPr>
          <w:rFonts w:hint="eastAsia" w:ascii="宋体" w:hAnsi="宋体" w:eastAsia="宋体"/>
          <w:sz w:val="32"/>
          <w:szCs w:val="32"/>
        </w:rPr>
        <w:t>主要包括基本工资、津贴补贴、奖金、伙食补助费等；公用经费</w:t>
      </w:r>
      <w:r>
        <w:rPr>
          <w:rFonts w:hint="eastAsia" w:ascii="宋体" w:hAnsi="宋体" w:eastAsia="宋体"/>
          <w:sz w:val="32"/>
          <w:szCs w:val="32"/>
          <w:lang w:val="en-US" w:eastAsia="zh-CN"/>
        </w:rPr>
        <w:t>203.25</w:t>
      </w:r>
      <w:r>
        <w:rPr>
          <w:rFonts w:hint="eastAsia" w:ascii="宋体" w:hAnsi="宋体" w:eastAsia="宋体"/>
          <w:sz w:val="32"/>
          <w:szCs w:val="32"/>
        </w:rPr>
        <w:t>万元，占基本支出的</w:t>
      </w:r>
      <w:r>
        <w:rPr>
          <w:rFonts w:hint="eastAsia" w:ascii="宋体" w:hAnsi="宋体" w:eastAsia="宋体"/>
          <w:sz w:val="32"/>
          <w:szCs w:val="32"/>
          <w:lang w:val="en-US" w:eastAsia="zh-CN"/>
        </w:rPr>
        <w:t>33.34</w:t>
      </w:r>
      <w:r>
        <w:rPr>
          <w:rFonts w:ascii="宋体" w:hAnsi="宋体" w:eastAsia="宋体"/>
          <w:sz w:val="32"/>
          <w:szCs w:val="32"/>
        </w:rPr>
        <w:t>%,</w:t>
      </w:r>
      <w:r>
        <w:rPr>
          <w:rFonts w:hint="eastAsia" w:ascii="宋体" w:hAnsi="宋体" w:eastAsia="宋体"/>
          <w:sz w:val="32"/>
          <w:szCs w:val="32"/>
        </w:rPr>
        <w:t>主要包括办公费、印刷费、咨询费、手续费等等。</w:t>
      </w:r>
    </w:p>
    <w:p w14:paraId="6CCFF075">
      <w:pPr>
        <w:pStyle w:val="14"/>
        <w:rPr>
          <w:rFonts w:hAnsi="黑体"/>
          <w:b/>
          <w:sz w:val="32"/>
          <w:szCs w:val="32"/>
        </w:rPr>
      </w:pPr>
      <w:r>
        <w:rPr>
          <w:rFonts w:hint="eastAsia" w:hAnsi="黑体"/>
          <w:b/>
          <w:sz w:val="32"/>
          <w:szCs w:val="32"/>
        </w:rPr>
        <w:t>七、一般公共预算财政拨款三公经费支出决算情况说明</w:t>
      </w:r>
    </w:p>
    <w:p w14:paraId="1FD61170">
      <w:pPr>
        <w:pStyle w:val="14"/>
        <w:rPr>
          <w:rFonts w:ascii="宋体" w:hAnsi="宋体" w:eastAsia="宋体"/>
          <w:b/>
          <w:sz w:val="32"/>
          <w:szCs w:val="32"/>
        </w:rPr>
      </w:pPr>
      <w:r>
        <w:rPr>
          <w:rFonts w:hint="eastAsia" w:ascii="宋体" w:hAnsi="宋体" w:eastAsia="宋体"/>
          <w:b/>
          <w:sz w:val="32"/>
          <w:szCs w:val="32"/>
        </w:rPr>
        <w:t>（一）“三公”经费财政拨款支出决算总体情况说明</w:t>
      </w:r>
    </w:p>
    <w:p w14:paraId="24BB4968">
      <w:pPr>
        <w:pStyle w:val="14"/>
        <w:ind w:firstLine="800" w:firstLineChars="250"/>
        <w:rPr>
          <w:rFonts w:ascii="宋体" w:hAnsi="宋体" w:eastAsia="宋体"/>
          <w:sz w:val="32"/>
          <w:szCs w:val="32"/>
        </w:rPr>
      </w:pPr>
      <w:r>
        <w:rPr>
          <w:rFonts w:hint="eastAsia" w:ascii="宋体" w:hAnsi="宋体" w:eastAsia="宋体"/>
          <w:sz w:val="32"/>
          <w:szCs w:val="32"/>
        </w:rPr>
        <w:t>“三公”经费财政拨款支出预算为</w:t>
      </w:r>
      <w:r>
        <w:rPr>
          <w:rFonts w:hint="eastAsia" w:ascii="宋体" w:hAnsi="宋体" w:eastAsia="宋体"/>
          <w:sz w:val="32"/>
          <w:szCs w:val="32"/>
          <w:lang w:val="en-US" w:eastAsia="zh-CN"/>
        </w:rPr>
        <w:t>30.29</w:t>
      </w:r>
      <w:r>
        <w:rPr>
          <w:rFonts w:hint="eastAsia" w:ascii="宋体" w:hAnsi="宋体" w:eastAsia="宋体"/>
          <w:sz w:val="32"/>
          <w:szCs w:val="32"/>
        </w:rPr>
        <w:t>万元，支出决算为</w:t>
      </w:r>
      <w:r>
        <w:rPr>
          <w:rFonts w:hint="eastAsia" w:ascii="宋体" w:hAnsi="宋体" w:eastAsia="宋体"/>
          <w:sz w:val="32"/>
          <w:szCs w:val="32"/>
          <w:lang w:val="en-US" w:eastAsia="zh-CN"/>
        </w:rPr>
        <w:t>30.29</w:t>
      </w:r>
      <w:r>
        <w:rPr>
          <w:rFonts w:hint="eastAsia" w:ascii="宋体" w:hAnsi="宋体" w:eastAsia="宋体"/>
          <w:sz w:val="32"/>
          <w:szCs w:val="32"/>
        </w:rPr>
        <w:t>万元，完成预算的100</w:t>
      </w:r>
      <w:r>
        <w:rPr>
          <w:rFonts w:ascii="宋体" w:hAnsi="宋体" w:eastAsia="宋体"/>
          <w:sz w:val="32"/>
          <w:szCs w:val="32"/>
        </w:rPr>
        <w:t>%</w:t>
      </w:r>
      <w:r>
        <w:rPr>
          <w:rFonts w:hint="eastAsia" w:ascii="宋体" w:hAnsi="宋体" w:eastAsia="宋体"/>
          <w:sz w:val="32"/>
          <w:szCs w:val="32"/>
        </w:rPr>
        <w:t>，其中：</w:t>
      </w:r>
    </w:p>
    <w:p w14:paraId="3FA0E7E5">
      <w:pPr>
        <w:pStyle w:val="14"/>
        <w:ind w:firstLine="800" w:firstLineChars="250"/>
        <w:rPr>
          <w:rFonts w:ascii="宋体" w:hAnsi="宋体" w:eastAsia="宋体"/>
          <w:sz w:val="32"/>
          <w:szCs w:val="32"/>
        </w:rPr>
      </w:pPr>
      <w:r>
        <w:rPr>
          <w:rFonts w:hint="eastAsia" w:ascii="宋体" w:hAnsi="宋体" w:eastAsia="宋体"/>
          <w:sz w:val="32"/>
          <w:szCs w:val="32"/>
        </w:rPr>
        <w:t>因公出国（境）费支出预算为0，支出决算为0，主要原因是本单位无因公出国（境）费支出，与上年一致。</w:t>
      </w:r>
    </w:p>
    <w:p w14:paraId="2A4C0F15">
      <w:pPr>
        <w:pStyle w:val="14"/>
        <w:ind w:firstLine="640" w:firstLineChars="200"/>
        <w:rPr>
          <w:rFonts w:ascii="宋体" w:hAnsi="宋体" w:eastAsia="宋体"/>
          <w:sz w:val="32"/>
          <w:szCs w:val="32"/>
        </w:rPr>
      </w:pPr>
      <w:r>
        <w:rPr>
          <w:rFonts w:hint="eastAsia" w:ascii="宋体" w:hAnsi="宋体" w:eastAsia="宋体"/>
          <w:sz w:val="32"/>
          <w:szCs w:val="32"/>
        </w:rPr>
        <w:t>公务接待费支出预算为</w:t>
      </w:r>
      <w:r>
        <w:rPr>
          <w:rFonts w:hint="eastAsia" w:ascii="宋体" w:hAnsi="宋体" w:eastAsia="宋体"/>
          <w:sz w:val="32"/>
          <w:szCs w:val="32"/>
          <w:lang w:val="en-US" w:eastAsia="zh-CN"/>
        </w:rPr>
        <w:t>3.11</w:t>
      </w:r>
      <w:r>
        <w:rPr>
          <w:rFonts w:hint="eastAsia" w:ascii="宋体" w:hAnsi="宋体" w:eastAsia="宋体"/>
          <w:sz w:val="32"/>
          <w:szCs w:val="32"/>
        </w:rPr>
        <w:t>万元，支出决算为</w:t>
      </w:r>
      <w:r>
        <w:rPr>
          <w:rFonts w:hint="eastAsia" w:ascii="宋体" w:hAnsi="宋体" w:eastAsia="宋体"/>
          <w:sz w:val="32"/>
          <w:szCs w:val="32"/>
          <w:lang w:val="en-US" w:eastAsia="zh-CN"/>
        </w:rPr>
        <w:t>3.11</w:t>
      </w:r>
      <w:r>
        <w:rPr>
          <w:rFonts w:hint="eastAsia" w:ascii="宋体" w:hAnsi="宋体" w:eastAsia="宋体"/>
          <w:sz w:val="32"/>
          <w:szCs w:val="32"/>
        </w:rPr>
        <w:t>万元，完成预算的100</w:t>
      </w:r>
      <w:r>
        <w:rPr>
          <w:rFonts w:ascii="宋体" w:hAnsi="宋体" w:eastAsia="宋体"/>
          <w:sz w:val="32"/>
          <w:szCs w:val="32"/>
        </w:rPr>
        <w:t>%</w:t>
      </w:r>
      <w:r>
        <w:rPr>
          <w:rFonts w:hint="eastAsia" w:ascii="宋体" w:hAnsi="宋体" w:eastAsia="宋体"/>
          <w:sz w:val="32"/>
          <w:szCs w:val="32"/>
        </w:rPr>
        <w:t>，决算数等于预算数的主要原因是严控支出，与上年相比</w:t>
      </w:r>
      <w:r>
        <w:rPr>
          <w:rFonts w:hint="eastAsia" w:ascii="宋体" w:hAnsi="宋体" w:eastAsia="宋体"/>
          <w:sz w:val="32"/>
          <w:szCs w:val="32"/>
          <w:lang w:eastAsia="zh-CN"/>
        </w:rPr>
        <w:t>增加</w:t>
      </w:r>
      <w:r>
        <w:rPr>
          <w:rFonts w:hint="eastAsia" w:ascii="宋体" w:hAnsi="宋体" w:eastAsia="宋体"/>
          <w:sz w:val="32"/>
          <w:szCs w:val="32"/>
          <w:lang w:val="en-US" w:eastAsia="zh-CN"/>
        </w:rPr>
        <w:t>2</w:t>
      </w:r>
      <w:r>
        <w:rPr>
          <w:rFonts w:hint="eastAsia" w:ascii="宋体" w:hAnsi="宋体" w:eastAsia="宋体"/>
          <w:sz w:val="32"/>
          <w:szCs w:val="32"/>
        </w:rPr>
        <w:t>万元，</w:t>
      </w:r>
      <w:r>
        <w:rPr>
          <w:rFonts w:hint="eastAsia" w:ascii="宋体" w:hAnsi="宋体" w:eastAsia="宋体"/>
          <w:sz w:val="32"/>
          <w:szCs w:val="32"/>
          <w:lang w:eastAsia="zh-CN"/>
        </w:rPr>
        <w:t>增加</w:t>
      </w:r>
      <w:r>
        <w:rPr>
          <w:rFonts w:hint="eastAsia" w:ascii="宋体" w:hAnsi="宋体" w:eastAsia="宋体"/>
          <w:sz w:val="32"/>
          <w:szCs w:val="32"/>
          <w:lang w:val="en-US" w:eastAsia="zh-CN"/>
        </w:rPr>
        <w:t>188</w:t>
      </w:r>
      <w:r>
        <w:rPr>
          <w:rFonts w:ascii="宋体" w:hAnsi="宋体" w:eastAsia="宋体"/>
          <w:sz w:val="32"/>
          <w:szCs w:val="32"/>
        </w:rPr>
        <w:t>%,</w:t>
      </w:r>
      <w:r>
        <w:rPr>
          <w:rFonts w:hint="eastAsia" w:ascii="宋体" w:hAnsi="宋体" w:eastAsia="宋体"/>
          <w:sz w:val="32"/>
          <w:szCs w:val="32"/>
          <w:lang w:eastAsia="zh-CN"/>
        </w:rPr>
        <w:t>增加</w:t>
      </w:r>
      <w:r>
        <w:rPr>
          <w:rFonts w:hint="eastAsia" w:ascii="宋体" w:hAnsi="宋体" w:eastAsia="宋体"/>
          <w:sz w:val="32"/>
          <w:szCs w:val="32"/>
        </w:rPr>
        <w:t>的主要原因是</w:t>
      </w:r>
      <w:r>
        <w:rPr>
          <w:rFonts w:hint="eastAsia" w:ascii="宋体" w:hAnsi="宋体" w:eastAsia="宋体"/>
          <w:sz w:val="32"/>
          <w:szCs w:val="32"/>
          <w:lang w:eastAsia="zh-CN"/>
        </w:rPr>
        <w:t>上级领导对疾病预防督导增加</w:t>
      </w:r>
      <w:r>
        <w:rPr>
          <w:rFonts w:hint="eastAsia" w:ascii="宋体" w:hAnsi="宋体" w:eastAsia="宋体"/>
          <w:sz w:val="32"/>
          <w:szCs w:val="32"/>
        </w:rPr>
        <w:t>。</w:t>
      </w:r>
    </w:p>
    <w:p w14:paraId="476701C7">
      <w:pPr>
        <w:pStyle w:val="14"/>
        <w:ind w:firstLine="800" w:firstLineChars="250"/>
        <w:rPr>
          <w:rFonts w:ascii="宋体" w:hAnsi="宋体" w:eastAsia="宋体"/>
          <w:sz w:val="32"/>
          <w:szCs w:val="32"/>
        </w:rPr>
      </w:pPr>
      <w:r>
        <w:rPr>
          <w:rFonts w:hint="eastAsia" w:ascii="宋体" w:hAnsi="宋体" w:eastAsia="宋体"/>
          <w:sz w:val="32"/>
          <w:szCs w:val="32"/>
        </w:rPr>
        <w:t>。</w:t>
      </w:r>
    </w:p>
    <w:p w14:paraId="3ABCFAB5">
      <w:pPr>
        <w:pStyle w:val="14"/>
        <w:ind w:firstLine="640" w:firstLineChars="200"/>
        <w:rPr>
          <w:rFonts w:ascii="宋体" w:hAnsi="宋体" w:eastAsia="宋体"/>
          <w:sz w:val="32"/>
          <w:szCs w:val="32"/>
        </w:rPr>
      </w:pPr>
      <w:r>
        <w:rPr>
          <w:rFonts w:hint="eastAsia" w:ascii="宋体" w:hAnsi="宋体" w:eastAsia="宋体"/>
          <w:sz w:val="32"/>
          <w:szCs w:val="32"/>
        </w:rPr>
        <w:t>公务用车购置费及运行维护费支出预算为</w:t>
      </w:r>
      <w:r>
        <w:rPr>
          <w:rFonts w:hint="eastAsia" w:ascii="宋体" w:hAnsi="宋体" w:eastAsia="宋体"/>
          <w:sz w:val="32"/>
          <w:szCs w:val="32"/>
          <w:lang w:val="en-US" w:eastAsia="zh-CN"/>
        </w:rPr>
        <w:t>27.18</w:t>
      </w:r>
      <w:r>
        <w:rPr>
          <w:rFonts w:hint="eastAsia" w:ascii="宋体" w:hAnsi="宋体" w:eastAsia="宋体"/>
          <w:sz w:val="32"/>
          <w:szCs w:val="32"/>
        </w:rPr>
        <w:t>元，支出决算为</w:t>
      </w:r>
      <w:r>
        <w:rPr>
          <w:rFonts w:hint="eastAsia" w:ascii="宋体" w:hAnsi="宋体" w:eastAsia="宋体"/>
          <w:sz w:val="32"/>
          <w:szCs w:val="32"/>
          <w:lang w:val="en-US" w:eastAsia="zh-CN"/>
        </w:rPr>
        <w:t>27.18</w:t>
      </w:r>
      <w:r>
        <w:rPr>
          <w:rFonts w:hint="eastAsia" w:ascii="宋体" w:hAnsi="宋体" w:eastAsia="宋体"/>
          <w:sz w:val="32"/>
          <w:szCs w:val="32"/>
        </w:rPr>
        <w:t>万元，完成预算的100</w:t>
      </w:r>
      <w:r>
        <w:rPr>
          <w:rFonts w:ascii="宋体" w:hAnsi="宋体" w:eastAsia="宋体"/>
          <w:sz w:val="32"/>
          <w:szCs w:val="32"/>
        </w:rPr>
        <w:t>%</w:t>
      </w:r>
      <w:r>
        <w:rPr>
          <w:rFonts w:hint="eastAsia" w:ascii="宋体" w:hAnsi="宋体" w:eastAsia="宋体"/>
          <w:sz w:val="32"/>
          <w:szCs w:val="32"/>
        </w:rPr>
        <w:t>，决算数等于预算数的主要原因是严控支出，与上年相比</w:t>
      </w:r>
      <w:r>
        <w:rPr>
          <w:rFonts w:hint="eastAsia" w:ascii="宋体" w:hAnsi="宋体" w:eastAsia="宋体"/>
          <w:sz w:val="32"/>
          <w:szCs w:val="32"/>
          <w:lang w:eastAsia="zh-CN"/>
        </w:rPr>
        <w:t>增加</w:t>
      </w:r>
      <w:r>
        <w:rPr>
          <w:rFonts w:hint="eastAsia" w:ascii="宋体" w:hAnsi="宋体" w:eastAsia="宋体"/>
          <w:sz w:val="32"/>
          <w:szCs w:val="32"/>
          <w:lang w:val="en-US" w:eastAsia="zh-CN"/>
        </w:rPr>
        <w:t>17.18</w:t>
      </w:r>
      <w:r>
        <w:rPr>
          <w:rFonts w:hint="eastAsia" w:ascii="宋体" w:hAnsi="宋体" w:eastAsia="宋体"/>
          <w:sz w:val="32"/>
          <w:szCs w:val="32"/>
        </w:rPr>
        <w:t>万元，</w:t>
      </w:r>
      <w:r>
        <w:rPr>
          <w:rFonts w:hint="eastAsia" w:ascii="宋体" w:hAnsi="宋体" w:eastAsia="宋体"/>
          <w:sz w:val="32"/>
          <w:szCs w:val="32"/>
          <w:lang w:eastAsia="zh-CN"/>
        </w:rPr>
        <w:t>增加</w:t>
      </w:r>
      <w:r>
        <w:rPr>
          <w:rFonts w:hint="eastAsia" w:ascii="宋体" w:hAnsi="宋体" w:eastAsia="宋体"/>
          <w:sz w:val="32"/>
          <w:szCs w:val="32"/>
          <w:lang w:val="en-US" w:eastAsia="zh-CN"/>
        </w:rPr>
        <w:t>171</w:t>
      </w:r>
      <w:r>
        <w:rPr>
          <w:rFonts w:ascii="宋体" w:hAnsi="宋体" w:eastAsia="宋体"/>
          <w:sz w:val="32"/>
          <w:szCs w:val="32"/>
        </w:rPr>
        <w:t>%,</w:t>
      </w:r>
      <w:r>
        <w:rPr>
          <w:rFonts w:hint="eastAsia" w:ascii="宋体" w:hAnsi="宋体" w:eastAsia="宋体"/>
          <w:sz w:val="32"/>
          <w:szCs w:val="32"/>
          <w:lang w:val="en-US" w:eastAsia="zh-CN"/>
        </w:rPr>
        <w:t>增加</w:t>
      </w:r>
      <w:r>
        <w:rPr>
          <w:rFonts w:hint="eastAsia" w:ascii="宋体" w:hAnsi="宋体" w:eastAsia="宋体"/>
          <w:sz w:val="32"/>
          <w:szCs w:val="32"/>
        </w:rPr>
        <w:t>的主要原因是</w:t>
      </w:r>
      <w:r>
        <w:rPr>
          <w:rFonts w:hint="eastAsia" w:ascii="宋体" w:hAnsi="宋体" w:eastAsia="宋体"/>
          <w:sz w:val="32"/>
          <w:szCs w:val="32"/>
          <w:lang w:eastAsia="zh-CN"/>
        </w:rPr>
        <w:t>新增购买一台业务用车</w:t>
      </w:r>
      <w:r>
        <w:rPr>
          <w:rFonts w:hint="eastAsia" w:ascii="宋体" w:hAnsi="宋体" w:eastAsia="宋体"/>
          <w:sz w:val="32"/>
          <w:szCs w:val="32"/>
        </w:rPr>
        <w:t>。</w:t>
      </w:r>
    </w:p>
    <w:p w14:paraId="4C301835">
      <w:pPr>
        <w:pStyle w:val="14"/>
        <w:rPr>
          <w:rFonts w:ascii="宋体" w:hAnsi="宋体" w:eastAsia="宋体"/>
          <w:b/>
          <w:sz w:val="32"/>
          <w:szCs w:val="32"/>
        </w:rPr>
      </w:pPr>
      <w:r>
        <w:rPr>
          <w:rFonts w:hint="eastAsia" w:ascii="宋体" w:hAnsi="宋体" w:eastAsia="宋体"/>
          <w:b/>
          <w:sz w:val="32"/>
          <w:szCs w:val="32"/>
        </w:rPr>
        <w:t>（二）“三公”经费财政拨款支出决算具体情况说明</w:t>
      </w:r>
    </w:p>
    <w:p w14:paraId="1DD61DDB">
      <w:pPr>
        <w:pStyle w:val="14"/>
        <w:ind w:firstLine="640" w:firstLineChars="200"/>
        <w:rPr>
          <w:rFonts w:ascii="宋体" w:hAnsi="宋体" w:eastAsia="宋体"/>
          <w:sz w:val="32"/>
          <w:szCs w:val="32"/>
        </w:rPr>
      </w:pPr>
      <w:r>
        <w:rPr>
          <w:rFonts w:ascii="宋体" w:hAnsi="宋体" w:eastAsia="宋体"/>
          <w:sz w:val="32"/>
          <w:szCs w:val="32"/>
        </w:rPr>
        <w:t>202</w:t>
      </w:r>
      <w:r>
        <w:rPr>
          <w:rFonts w:hint="eastAsia" w:ascii="宋体" w:hAnsi="宋体" w:eastAsia="宋体"/>
          <w:sz w:val="32"/>
          <w:szCs w:val="32"/>
          <w:lang w:val="en-US" w:eastAsia="zh-CN"/>
        </w:rPr>
        <w:t>4</w:t>
      </w:r>
      <w:r>
        <w:rPr>
          <w:rFonts w:hint="eastAsia" w:ascii="宋体" w:hAnsi="宋体" w:eastAsia="宋体"/>
          <w:sz w:val="32"/>
          <w:szCs w:val="32"/>
        </w:rPr>
        <w:t>年度“三公”经费财政拨款支出决算中，公务接待费支出决算</w:t>
      </w:r>
      <w:r>
        <w:rPr>
          <w:rFonts w:hint="eastAsia" w:ascii="宋体" w:hAnsi="宋体" w:eastAsia="宋体"/>
          <w:sz w:val="32"/>
          <w:szCs w:val="32"/>
          <w:lang w:val="en-US" w:eastAsia="zh-CN"/>
        </w:rPr>
        <w:t>3.1</w:t>
      </w:r>
      <w:r>
        <w:rPr>
          <w:rFonts w:hint="eastAsia" w:ascii="宋体" w:hAnsi="宋体" w:eastAsia="宋体"/>
          <w:sz w:val="32"/>
          <w:szCs w:val="32"/>
        </w:rPr>
        <w:t>万元，占</w:t>
      </w:r>
      <w:r>
        <w:rPr>
          <w:rFonts w:hint="eastAsia" w:ascii="宋体" w:hAnsi="宋体" w:eastAsia="宋体"/>
          <w:sz w:val="32"/>
          <w:szCs w:val="32"/>
          <w:lang w:val="en-US" w:eastAsia="zh-CN"/>
        </w:rPr>
        <w:t>11.4</w:t>
      </w:r>
      <w:r>
        <w:rPr>
          <w:rFonts w:ascii="宋体" w:hAnsi="宋体" w:eastAsia="宋体"/>
          <w:sz w:val="32"/>
          <w:szCs w:val="32"/>
        </w:rPr>
        <w:t>%,</w:t>
      </w:r>
      <w:r>
        <w:rPr>
          <w:rFonts w:hint="eastAsia" w:ascii="宋体" w:hAnsi="宋体" w:eastAsia="宋体"/>
          <w:sz w:val="32"/>
          <w:szCs w:val="32"/>
        </w:rPr>
        <w:t>因公出国（境）费支出决算0，占0</w:t>
      </w:r>
      <w:r>
        <w:rPr>
          <w:rFonts w:ascii="宋体" w:hAnsi="宋体" w:eastAsia="宋体"/>
          <w:sz w:val="32"/>
          <w:szCs w:val="32"/>
        </w:rPr>
        <w:t>%,</w:t>
      </w:r>
      <w:r>
        <w:rPr>
          <w:rFonts w:hint="eastAsia" w:ascii="宋体" w:hAnsi="宋体" w:eastAsia="宋体"/>
          <w:sz w:val="32"/>
          <w:szCs w:val="32"/>
        </w:rPr>
        <w:t>公务用车购置费及运行维护费支出决算</w:t>
      </w:r>
      <w:r>
        <w:rPr>
          <w:rFonts w:hint="eastAsia" w:ascii="宋体" w:hAnsi="宋体" w:eastAsia="宋体"/>
          <w:sz w:val="32"/>
          <w:szCs w:val="32"/>
          <w:lang w:val="en-US" w:eastAsia="zh-CN"/>
        </w:rPr>
        <w:t>27.18</w:t>
      </w:r>
      <w:r>
        <w:rPr>
          <w:rFonts w:hint="eastAsia" w:ascii="宋体" w:hAnsi="宋体" w:eastAsia="宋体"/>
          <w:sz w:val="32"/>
          <w:szCs w:val="32"/>
        </w:rPr>
        <w:t>万元，占</w:t>
      </w:r>
      <w:r>
        <w:rPr>
          <w:rFonts w:hint="eastAsia" w:ascii="宋体" w:hAnsi="宋体" w:eastAsia="宋体"/>
          <w:sz w:val="32"/>
          <w:szCs w:val="32"/>
          <w:lang w:val="en-US" w:eastAsia="zh-CN"/>
        </w:rPr>
        <w:t>88.6</w:t>
      </w:r>
      <w:r>
        <w:rPr>
          <w:rFonts w:ascii="宋体" w:hAnsi="宋体" w:eastAsia="宋体"/>
          <w:sz w:val="32"/>
          <w:szCs w:val="32"/>
        </w:rPr>
        <w:t>%</w:t>
      </w:r>
      <w:r>
        <w:rPr>
          <w:rFonts w:hint="eastAsia" w:ascii="宋体" w:hAnsi="宋体" w:eastAsia="宋体"/>
          <w:sz w:val="32"/>
          <w:szCs w:val="32"/>
        </w:rPr>
        <w:t>。其中：</w:t>
      </w:r>
    </w:p>
    <w:p w14:paraId="75114800">
      <w:pPr>
        <w:pStyle w:val="14"/>
        <w:ind w:firstLine="640" w:firstLineChars="200"/>
        <w:rPr>
          <w:rFonts w:ascii="宋体" w:hAnsi="宋体" w:eastAsia="宋体"/>
          <w:b/>
          <w:sz w:val="32"/>
          <w:szCs w:val="32"/>
        </w:rPr>
      </w:pPr>
      <w:r>
        <w:rPr>
          <w:rFonts w:ascii="宋体" w:hAnsi="宋体" w:eastAsia="宋体"/>
          <w:sz w:val="32"/>
          <w:szCs w:val="32"/>
        </w:rPr>
        <w:t>1</w:t>
      </w:r>
      <w:r>
        <w:rPr>
          <w:rFonts w:hint="eastAsia" w:ascii="宋体" w:hAnsi="宋体" w:eastAsia="宋体"/>
          <w:sz w:val="32"/>
          <w:szCs w:val="32"/>
        </w:rPr>
        <w:t>、因公出国（境）费支出决算为0，全年安排因公出国（境）团组0个，累计0人次</w:t>
      </w:r>
      <w:r>
        <w:rPr>
          <w:rFonts w:ascii="宋体" w:hAnsi="宋体" w:eastAsia="宋体"/>
          <w:sz w:val="32"/>
          <w:szCs w:val="32"/>
        </w:rPr>
        <w:t>,</w:t>
      </w:r>
      <w:r>
        <w:rPr>
          <w:rFonts w:hint="eastAsia" w:ascii="宋体" w:hAnsi="宋体" w:eastAsia="宋体"/>
          <w:sz w:val="32"/>
          <w:szCs w:val="32"/>
        </w:rPr>
        <w:t>开支内容包括：</w:t>
      </w:r>
    </w:p>
    <w:p w14:paraId="31B696B6">
      <w:pPr>
        <w:pStyle w:val="14"/>
        <w:ind w:firstLine="640" w:firstLineChars="200"/>
        <w:rPr>
          <w:rFonts w:ascii="宋体" w:hAnsi="宋体" w:eastAsia="宋体"/>
          <w:color w:val="auto"/>
          <w:sz w:val="32"/>
          <w:szCs w:val="32"/>
        </w:rPr>
      </w:pPr>
      <w:r>
        <w:rPr>
          <w:rFonts w:ascii="宋体" w:hAnsi="宋体" w:eastAsia="宋体"/>
          <w:color w:val="auto"/>
          <w:sz w:val="32"/>
          <w:szCs w:val="32"/>
        </w:rPr>
        <w:t>2</w:t>
      </w:r>
      <w:r>
        <w:rPr>
          <w:rFonts w:hint="eastAsia" w:ascii="宋体" w:hAnsi="宋体" w:eastAsia="宋体"/>
          <w:color w:val="auto"/>
          <w:sz w:val="32"/>
          <w:szCs w:val="32"/>
        </w:rPr>
        <w:t>、公务接待费支出决算为</w:t>
      </w:r>
      <w:r>
        <w:rPr>
          <w:rFonts w:hint="eastAsia" w:ascii="宋体" w:hAnsi="宋体" w:eastAsia="宋体"/>
          <w:color w:val="auto"/>
          <w:sz w:val="32"/>
          <w:szCs w:val="32"/>
          <w:lang w:val="en-US" w:eastAsia="zh-CN"/>
        </w:rPr>
        <w:t>3.1</w:t>
      </w:r>
      <w:r>
        <w:rPr>
          <w:rFonts w:hint="eastAsia" w:ascii="宋体" w:hAnsi="宋体" w:eastAsia="宋体"/>
          <w:color w:val="auto"/>
          <w:sz w:val="32"/>
          <w:szCs w:val="32"/>
        </w:rPr>
        <w:t>万元，全年共接待来访团组2</w:t>
      </w:r>
      <w:r>
        <w:rPr>
          <w:rFonts w:hint="eastAsia" w:ascii="宋体" w:hAnsi="宋体" w:eastAsia="宋体"/>
          <w:color w:val="auto"/>
          <w:sz w:val="32"/>
          <w:szCs w:val="32"/>
          <w:lang w:val="en-US" w:eastAsia="zh-CN"/>
        </w:rPr>
        <w:t>6</w:t>
      </w:r>
      <w:r>
        <w:rPr>
          <w:rFonts w:hint="eastAsia" w:ascii="宋体" w:hAnsi="宋体" w:eastAsia="宋体"/>
          <w:color w:val="auto"/>
          <w:sz w:val="32"/>
          <w:szCs w:val="32"/>
        </w:rPr>
        <w:t>个、来宾2</w:t>
      </w:r>
      <w:r>
        <w:rPr>
          <w:rFonts w:hint="eastAsia" w:ascii="宋体" w:hAnsi="宋体" w:eastAsia="宋体"/>
          <w:color w:val="auto"/>
          <w:sz w:val="32"/>
          <w:szCs w:val="32"/>
          <w:lang w:val="en-US" w:eastAsia="zh-CN"/>
        </w:rPr>
        <w:t>40</w:t>
      </w:r>
      <w:r>
        <w:rPr>
          <w:rFonts w:hint="eastAsia" w:ascii="宋体" w:hAnsi="宋体" w:eastAsia="宋体"/>
          <w:color w:val="auto"/>
          <w:sz w:val="32"/>
          <w:szCs w:val="32"/>
        </w:rPr>
        <w:t>人次，主要是上级业务部门检查指导工作发生的接待支出。</w:t>
      </w:r>
    </w:p>
    <w:p w14:paraId="53BFA2AF">
      <w:pPr>
        <w:ind w:firstLine="800" w:firstLineChars="250"/>
        <w:rPr>
          <w:rFonts w:ascii="宋体" w:cs="黑体"/>
          <w:color w:val="000000"/>
          <w:kern w:val="0"/>
          <w:sz w:val="32"/>
          <w:szCs w:val="32"/>
        </w:rPr>
      </w:pPr>
      <w:r>
        <w:rPr>
          <w:rFonts w:ascii="宋体" w:hAnsi="宋体"/>
          <w:sz w:val="32"/>
          <w:szCs w:val="32"/>
        </w:rPr>
        <w:t>3</w:t>
      </w:r>
      <w:r>
        <w:rPr>
          <w:rFonts w:hint="eastAsia" w:ascii="宋体" w:hAnsi="宋体"/>
          <w:sz w:val="32"/>
          <w:szCs w:val="32"/>
        </w:rPr>
        <w:t>、公务用车购置费及运行维护费支出决算为</w:t>
      </w:r>
      <w:r>
        <w:rPr>
          <w:rFonts w:hint="eastAsia" w:ascii="宋体" w:hAnsi="宋体"/>
          <w:sz w:val="32"/>
          <w:szCs w:val="32"/>
          <w:lang w:val="en-US" w:eastAsia="zh-CN"/>
        </w:rPr>
        <w:t>27.18</w:t>
      </w:r>
      <w:r>
        <w:rPr>
          <w:rFonts w:hint="eastAsia" w:ascii="宋体" w:hAnsi="宋体"/>
          <w:sz w:val="32"/>
          <w:szCs w:val="32"/>
        </w:rPr>
        <w:t>万元，其中：公务用车购置费</w:t>
      </w:r>
      <w:r>
        <w:rPr>
          <w:rFonts w:hint="eastAsia" w:ascii="宋体" w:hAnsi="宋体"/>
          <w:sz w:val="32"/>
          <w:szCs w:val="32"/>
          <w:lang w:val="en-US" w:eastAsia="zh-CN"/>
        </w:rPr>
        <w:t>17.98，更新公务用车1辆</w:t>
      </w:r>
      <w:r>
        <w:rPr>
          <w:rFonts w:hint="eastAsia" w:ascii="宋体" w:hAnsi="宋体"/>
          <w:color w:val="000000"/>
          <w:sz w:val="32"/>
          <w:szCs w:val="32"/>
        </w:rPr>
        <w:t>。</w:t>
      </w:r>
      <w:r>
        <w:rPr>
          <w:rFonts w:hint="eastAsia" w:ascii="宋体" w:hAnsi="宋体"/>
          <w:sz w:val="32"/>
          <w:szCs w:val="32"/>
        </w:rPr>
        <w:t>公务用车运行维护费</w:t>
      </w:r>
      <w:r>
        <w:rPr>
          <w:rFonts w:hint="eastAsia" w:ascii="宋体" w:hAnsi="宋体"/>
          <w:sz w:val="32"/>
          <w:szCs w:val="32"/>
          <w:lang w:val="en-US" w:eastAsia="zh-CN"/>
        </w:rPr>
        <w:t>9.2</w:t>
      </w:r>
      <w:r>
        <w:rPr>
          <w:rFonts w:hint="eastAsia" w:ascii="宋体" w:hAnsi="宋体"/>
          <w:sz w:val="32"/>
          <w:szCs w:val="32"/>
        </w:rPr>
        <w:t>万元，主要是车辆运行维修支出，截止</w:t>
      </w:r>
      <w:r>
        <w:rPr>
          <w:rFonts w:ascii="宋体" w:hAnsi="宋体"/>
          <w:sz w:val="32"/>
          <w:szCs w:val="32"/>
        </w:rPr>
        <w:t>202</w:t>
      </w:r>
      <w:r>
        <w:rPr>
          <w:rFonts w:hint="eastAsia" w:ascii="宋体" w:hAnsi="宋体"/>
          <w:sz w:val="32"/>
          <w:szCs w:val="32"/>
          <w:lang w:val="en-US" w:eastAsia="zh-CN"/>
        </w:rPr>
        <w:t>4</w:t>
      </w:r>
      <w:r>
        <w:rPr>
          <w:rFonts w:hint="eastAsia" w:ascii="宋体" w:hAnsi="宋体"/>
          <w:sz w:val="32"/>
          <w:szCs w:val="32"/>
        </w:rPr>
        <w:t>年</w:t>
      </w:r>
      <w:r>
        <w:rPr>
          <w:rFonts w:ascii="宋体" w:hAnsi="宋体"/>
          <w:sz w:val="32"/>
          <w:szCs w:val="32"/>
        </w:rPr>
        <w:t>12</w:t>
      </w:r>
      <w:r>
        <w:rPr>
          <w:rFonts w:hint="eastAsia" w:ascii="宋体" w:hAnsi="宋体"/>
          <w:sz w:val="32"/>
          <w:szCs w:val="32"/>
        </w:rPr>
        <w:t>月</w:t>
      </w:r>
      <w:r>
        <w:rPr>
          <w:rFonts w:ascii="宋体" w:hAnsi="宋体"/>
          <w:sz w:val="32"/>
          <w:szCs w:val="32"/>
        </w:rPr>
        <w:t>31</w:t>
      </w:r>
      <w:r>
        <w:rPr>
          <w:rFonts w:hint="eastAsia" w:ascii="宋体" w:hAnsi="宋体"/>
          <w:sz w:val="32"/>
          <w:szCs w:val="32"/>
        </w:rPr>
        <w:t>日，我单位开支财政拨款的公务用车保有量为3辆。</w:t>
      </w:r>
      <w:r>
        <w:rPr>
          <w:rFonts w:hint="eastAsia" w:ascii="宋体" w:hAnsi="宋体" w:cs="黑体"/>
          <w:i/>
          <w:color w:val="FF0000"/>
          <w:kern w:val="0"/>
          <w:sz w:val="32"/>
          <w:szCs w:val="32"/>
        </w:rPr>
        <w:t xml:space="preserve"> </w:t>
      </w:r>
    </w:p>
    <w:p w14:paraId="68F72710">
      <w:pPr>
        <w:pStyle w:val="14"/>
        <w:rPr>
          <w:rFonts w:hAnsi="黑体"/>
          <w:b/>
          <w:sz w:val="32"/>
          <w:szCs w:val="32"/>
        </w:rPr>
      </w:pPr>
      <w:r>
        <w:rPr>
          <w:rFonts w:hint="eastAsia" w:hAnsi="黑体"/>
          <w:b/>
          <w:sz w:val="32"/>
          <w:szCs w:val="32"/>
        </w:rPr>
        <w:t>八、政府性基金预算收入支出决算情况</w:t>
      </w:r>
    </w:p>
    <w:p w14:paraId="5AD90630">
      <w:pPr>
        <w:pStyle w:val="14"/>
        <w:rPr>
          <w:rFonts w:ascii="宋体" w:hAnsi="宋体" w:eastAsia="宋体"/>
          <w:sz w:val="32"/>
          <w:szCs w:val="32"/>
        </w:rPr>
      </w:pPr>
      <w:r>
        <w:rPr>
          <w:rFonts w:ascii="宋体" w:hAnsi="宋体" w:eastAsia="宋体"/>
          <w:sz w:val="32"/>
          <w:szCs w:val="32"/>
        </w:rPr>
        <w:t xml:space="preserve">  202</w:t>
      </w:r>
      <w:r>
        <w:rPr>
          <w:rFonts w:hint="eastAsia" w:ascii="宋体" w:hAnsi="宋体" w:eastAsia="宋体"/>
          <w:sz w:val="32"/>
          <w:szCs w:val="32"/>
          <w:lang w:val="en-US" w:eastAsia="zh-CN"/>
        </w:rPr>
        <w:t>4</w:t>
      </w:r>
      <w:r>
        <w:rPr>
          <w:rFonts w:hint="eastAsia" w:ascii="宋体" w:hAnsi="宋体" w:eastAsia="宋体"/>
          <w:sz w:val="32"/>
          <w:szCs w:val="32"/>
        </w:rPr>
        <w:t>年度政府性基金预算财政拨款收入</w:t>
      </w:r>
      <w:r>
        <w:rPr>
          <w:rFonts w:hint="eastAsia" w:ascii="宋体" w:hAnsi="宋体" w:eastAsia="宋体"/>
          <w:sz w:val="32"/>
          <w:szCs w:val="32"/>
          <w:lang w:val="en-US" w:eastAsia="zh-CN"/>
        </w:rPr>
        <w:t>14.89</w:t>
      </w:r>
      <w:r>
        <w:rPr>
          <w:rFonts w:hint="eastAsia" w:ascii="宋体" w:hAnsi="宋体" w:eastAsia="宋体"/>
          <w:sz w:val="32"/>
          <w:szCs w:val="32"/>
        </w:rPr>
        <w:t>万元；年初结转和结余0；支出</w:t>
      </w:r>
      <w:r>
        <w:rPr>
          <w:rFonts w:hint="eastAsia" w:ascii="宋体" w:hAnsi="宋体" w:eastAsia="宋体"/>
          <w:sz w:val="32"/>
          <w:szCs w:val="32"/>
          <w:lang w:val="en-US" w:eastAsia="zh-CN"/>
        </w:rPr>
        <w:t>14.89</w:t>
      </w:r>
      <w:r>
        <w:rPr>
          <w:rFonts w:hint="eastAsia" w:ascii="宋体" w:hAnsi="宋体" w:eastAsia="宋体"/>
          <w:sz w:val="32"/>
          <w:szCs w:val="32"/>
        </w:rPr>
        <w:t>万元，其中基本支出</w:t>
      </w:r>
      <w:r>
        <w:rPr>
          <w:rFonts w:hint="eastAsia" w:ascii="宋体" w:hAnsi="宋体" w:eastAsia="宋体"/>
          <w:sz w:val="32"/>
          <w:szCs w:val="32"/>
          <w:lang w:val="en-US" w:eastAsia="zh-CN"/>
        </w:rPr>
        <w:t>10</w:t>
      </w:r>
      <w:r>
        <w:rPr>
          <w:rFonts w:hint="eastAsia" w:ascii="宋体" w:hAnsi="宋体" w:eastAsia="宋体"/>
          <w:sz w:val="32"/>
          <w:szCs w:val="32"/>
        </w:rPr>
        <w:t>，项目支出</w:t>
      </w:r>
      <w:r>
        <w:rPr>
          <w:rFonts w:hint="eastAsia" w:ascii="宋体" w:hAnsi="宋体" w:eastAsia="宋体"/>
          <w:sz w:val="32"/>
          <w:szCs w:val="32"/>
          <w:lang w:val="en-US" w:eastAsia="zh-CN"/>
        </w:rPr>
        <w:t>4.89</w:t>
      </w:r>
      <w:r>
        <w:rPr>
          <w:rFonts w:hint="eastAsia" w:ascii="宋体" w:hAnsi="宋体" w:eastAsia="宋体"/>
          <w:sz w:val="32"/>
          <w:szCs w:val="32"/>
        </w:rPr>
        <w:t>万元；年末结转和结余0。</w:t>
      </w:r>
    </w:p>
    <w:p w14:paraId="12DD4628">
      <w:pPr>
        <w:pStyle w:val="14"/>
        <w:rPr>
          <w:rFonts w:hAnsi="黑体"/>
          <w:b/>
          <w:sz w:val="32"/>
          <w:szCs w:val="32"/>
        </w:rPr>
      </w:pPr>
      <w:r>
        <w:rPr>
          <w:rFonts w:hint="eastAsia" w:hAnsi="黑体"/>
          <w:b/>
          <w:sz w:val="32"/>
          <w:szCs w:val="32"/>
        </w:rPr>
        <w:t xml:space="preserve">九、关于机关运行经费支出说明 </w:t>
      </w:r>
    </w:p>
    <w:p w14:paraId="5ED0CFD3">
      <w:pPr>
        <w:pStyle w:val="14"/>
        <w:ind w:firstLine="640" w:firstLineChars="200"/>
        <w:rPr>
          <w:rFonts w:ascii="宋体" w:hAnsi="宋体" w:eastAsia="宋体"/>
          <w:sz w:val="32"/>
          <w:szCs w:val="32"/>
        </w:rPr>
      </w:pPr>
      <w:r>
        <w:rPr>
          <w:rFonts w:hint="eastAsia" w:ascii="宋体" w:hAnsi="宋体" w:eastAsia="宋体"/>
          <w:sz w:val="32"/>
          <w:szCs w:val="32"/>
        </w:rPr>
        <w:t>本部门</w:t>
      </w:r>
      <w:r>
        <w:rPr>
          <w:rFonts w:ascii="宋体" w:hAnsi="宋体" w:eastAsia="宋体"/>
          <w:sz w:val="32"/>
          <w:szCs w:val="32"/>
        </w:rPr>
        <w:t>202</w:t>
      </w:r>
      <w:r>
        <w:rPr>
          <w:rFonts w:hint="eastAsia" w:ascii="宋体" w:hAnsi="宋体" w:eastAsia="宋体"/>
          <w:sz w:val="32"/>
          <w:szCs w:val="32"/>
          <w:lang w:val="en-US" w:eastAsia="zh-CN"/>
        </w:rPr>
        <w:t>4</w:t>
      </w:r>
      <w:r>
        <w:rPr>
          <w:rFonts w:hint="eastAsia" w:ascii="宋体" w:hAnsi="宋体" w:eastAsia="宋体"/>
          <w:sz w:val="32"/>
          <w:szCs w:val="32"/>
        </w:rPr>
        <w:t>年度机关运行经费支出</w:t>
      </w:r>
      <w:r>
        <w:rPr>
          <w:rFonts w:hint="eastAsia" w:ascii="宋体" w:hAnsi="宋体" w:eastAsia="宋体"/>
          <w:sz w:val="32"/>
          <w:szCs w:val="32"/>
          <w:lang w:val="en-US" w:eastAsia="zh-CN"/>
        </w:rPr>
        <w:t>608.71</w:t>
      </w:r>
      <w:r>
        <w:rPr>
          <w:rFonts w:hint="eastAsia" w:ascii="宋体" w:hAnsi="宋体" w:eastAsia="宋体"/>
          <w:sz w:val="32"/>
          <w:szCs w:val="32"/>
        </w:rPr>
        <w:t>万元，比年初预算数</w:t>
      </w:r>
      <w:r>
        <w:rPr>
          <w:rFonts w:hint="eastAsia" w:ascii="宋体" w:hAnsi="宋体" w:eastAsia="宋体"/>
          <w:sz w:val="32"/>
          <w:szCs w:val="32"/>
          <w:lang w:val="en-US" w:eastAsia="zh-CN"/>
        </w:rPr>
        <w:t>292.67</w:t>
      </w:r>
      <w:r>
        <w:rPr>
          <w:rFonts w:hint="eastAsia" w:ascii="宋体" w:hAnsi="宋体" w:eastAsia="宋体"/>
          <w:sz w:val="32"/>
          <w:szCs w:val="32"/>
        </w:rPr>
        <w:t>万元增加219.67万元，增长</w:t>
      </w:r>
      <w:r>
        <w:rPr>
          <w:rFonts w:hint="eastAsia" w:ascii="宋体" w:hAnsi="宋体" w:eastAsia="宋体"/>
          <w:sz w:val="32"/>
          <w:szCs w:val="32"/>
          <w:lang w:val="en-US" w:eastAsia="zh-CN"/>
        </w:rPr>
        <w:t>207.98</w:t>
      </w:r>
      <w:r>
        <w:rPr>
          <w:rFonts w:hint="eastAsia" w:ascii="宋体" w:hAnsi="宋体" w:eastAsia="宋体"/>
          <w:sz w:val="32"/>
          <w:szCs w:val="32"/>
        </w:rPr>
        <w:t>%。主要原因是：增加专用材料费（疫苗款）支出1</w:t>
      </w:r>
      <w:r>
        <w:rPr>
          <w:rFonts w:hint="eastAsia" w:ascii="宋体" w:hAnsi="宋体" w:eastAsia="宋体"/>
          <w:sz w:val="32"/>
          <w:szCs w:val="32"/>
          <w:lang w:val="en-US" w:eastAsia="zh-CN"/>
        </w:rPr>
        <w:t>3</w:t>
      </w:r>
      <w:r>
        <w:rPr>
          <w:rFonts w:hint="eastAsia" w:ascii="宋体" w:hAnsi="宋体" w:eastAsia="宋体"/>
          <w:sz w:val="32"/>
          <w:szCs w:val="32"/>
        </w:rPr>
        <w:t>0.27万元。</w:t>
      </w:r>
    </w:p>
    <w:p w14:paraId="327B12DA">
      <w:pPr>
        <w:pStyle w:val="14"/>
        <w:rPr>
          <w:rFonts w:hAnsi="黑体"/>
          <w:b/>
          <w:sz w:val="32"/>
          <w:szCs w:val="32"/>
        </w:rPr>
      </w:pPr>
      <w:r>
        <w:rPr>
          <w:rFonts w:hint="eastAsia" w:hAnsi="黑体"/>
          <w:b/>
          <w:sz w:val="32"/>
          <w:szCs w:val="32"/>
        </w:rPr>
        <w:t>十、一般性支出情况</w:t>
      </w:r>
    </w:p>
    <w:p w14:paraId="4BFEE5B6">
      <w:pPr>
        <w:pStyle w:val="14"/>
        <w:ind w:firstLine="640" w:firstLineChars="200"/>
        <w:rPr>
          <w:rFonts w:ascii="宋体" w:hAnsi="宋体" w:eastAsia="宋体"/>
          <w:color w:val="auto"/>
          <w:sz w:val="32"/>
          <w:szCs w:val="32"/>
        </w:rPr>
      </w:pPr>
      <w:r>
        <w:rPr>
          <w:rFonts w:ascii="宋体" w:hAnsi="宋体" w:eastAsia="宋体"/>
          <w:color w:val="auto"/>
          <w:sz w:val="32"/>
          <w:szCs w:val="32"/>
        </w:rPr>
        <w:t>202</w:t>
      </w:r>
      <w:r>
        <w:rPr>
          <w:rFonts w:hint="eastAsia" w:ascii="宋体" w:hAnsi="宋体" w:eastAsia="宋体"/>
          <w:color w:val="auto"/>
          <w:sz w:val="32"/>
          <w:szCs w:val="32"/>
          <w:lang w:val="en-US" w:eastAsia="zh-CN"/>
        </w:rPr>
        <w:t>4</w:t>
      </w:r>
      <w:r>
        <w:rPr>
          <w:rFonts w:hint="eastAsia" w:ascii="宋体" w:hAnsi="宋体" w:eastAsia="宋体"/>
          <w:color w:val="auto"/>
          <w:sz w:val="32"/>
          <w:szCs w:val="32"/>
        </w:rPr>
        <w:t>年本部门开支会议费</w:t>
      </w:r>
      <w:r>
        <w:rPr>
          <w:rFonts w:hint="eastAsia" w:ascii="宋体" w:hAnsi="宋体" w:eastAsia="宋体"/>
          <w:color w:val="auto"/>
          <w:sz w:val="32"/>
          <w:szCs w:val="32"/>
          <w:lang w:val="en-US" w:eastAsia="zh-CN"/>
        </w:rPr>
        <w:t>4.2</w:t>
      </w:r>
      <w:r>
        <w:rPr>
          <w:rFonts w:hint="eastAsia" w:ascii="宋体" w:hAnsi="宋体" w:eastAsia="宋体"/>
          <w:color w:val="auto"/>
          <w:sz w:val="32"/>
          <w:szCs w:val="32"/>
        </w:rPr>
        <w:t>万元，用于召开会议，人数</w:t>
      </w:r>
      <w:r>
        <w:rPr>
          <w:rFonts w:hint="eastAsia" w:ascii="宋体" w:hAnsi="宋体" w:eastAsia="宋体"/>
          <w:color w:val="auto"/>
          <w:sz w:val="32"/>
          <w:szCs w:val="32"/>
          <w:lang w:val="en-US" w:eastAsia="zh-CN"/>
        </w:rPr>
        <w:t>120</w:t>
      </w:r>
      <w:r>
        <w:rPr>
          <w:rFonts w:hint="eastAsia" w:ascii="宋体" w:hAnsi="宋体" w:eastAsia="宋体"/>
          <w:color w:val="auto"/>
          <w:sz w:val="32"/>
          <w:szCs w:val="32"/>
        </w:rPr>
        <w:t>人，内容为培训专干；开支培训费</w:t>
      </w:r>
      <w:r>
        <w:rPr>
          <w:rFonts w:hint="eastAsia" w:ascii="宋体" w:hAnsi="宋体" w:eastAsia="宋体"/>
          <w:color w:val="auto"/>
          <w:sz w:val="32"/>
          <w:szCs w:val="32"/>
          <w:lang w:val="en-US" w:eastAsia="zh-CN"/>
        </w:rPr>
        <w:t>1.2</w:t>
      </w:r>
      <w:r>
        <w:rPr>
          <w:rFonts w:hint="eastAsia" w:ascii="宋体" w:hAnsi="宋体" w:eastAsia="宋体"/>
          <w:color w:val="auto"/>
          <w:sz w:val="32"/>
          <w:szCs w:val="32"/>
        </w:rPr>
        <w:t>万元，用于开展计划免疫、碘盐监测培训，人数300人，内容为宣传周等活动。</w:t>
      </w:r>
    </w:p>
    <w:p w14:paraId="2BB04508">
      <w:pPr>
        <w:pStyle w:val="14"/>
        <w:rPr>
          <w:rFonts w:hAnsi="黑体"/>
          <w:b/>
          <w:sz w:val="32"/>
          <w:szCs w:val="32"/>
        </w:rPr>
      </w:pPr>
      <w:r>
        <w:rPr>
          <w:rFonts w:hint="eastAsia" w:hAnsi="黑体"/>
          <w:b/>
          <w:sz w:val="32"/>
          <w:szCs w:val="32"/>
        </w:rPr>
        <w:t>十一、关于政府采购支出说明</w:t>
      </w:r>
    </w:p>
    <w:p w14:paraId="2A5CA440">
      <w:pPr>
        <w:pStyle w:val="14"/>
        <w:ind w:firstLine="640" w:firstLineChars="200"/>
        <w:rPr>
          <w:rFonts w:ascii="宋体" w:hAnsi="宋体" w:eastAsia="宋体"/>
          <w:sz w:val="32"/>
          <w:szCs w:val="32"/>
        </w:rPr>
      </w:pPr>
      <w:r>
        <w:rPr>
          <w:rFonts w:hint="eastAsia" w:ascii="宋体" w:hAnsi="宋体" w:eastAsia="宋体"/>
          <w:sz w:val="32"/>
          <w:szCs w:val="32"/>
        </w:rPr>
        <w:t>本部门</w:t>
      </w:r>
      <w:r>
        <w:rPr>
          <w:rFonts w:ascii="宋体" w:hAnsi="宋体" w:eastAsia="宋体"/>
          <w:sz w:val="32"/>
          <w:szCs w:val="32"/>
        </w:rPr>
        <w:t>202</w:t>
      </w:r>
      <w:r>
        <w:rPr>
          <w:rFonts w:hint="eastAsia" w:ascii="宋体" w:hAnsi="宋体" w:eastAsia="宋体"/>
          <w:sz w:val="32"/>
          <w:szCs w:val="32"/>
          <w:lang w:val="en-US" w:eastAsia="zh-CN"/>
        </w:rPr>
        <w:t>4</w:t>
      </w:r>
      <w:r>
        <w:rPr>
          <w:rFonts w:hint="eastAsia" w:ascii="宋体" w:hAnsi="宋体" w:eastAsia="宋体"/>
          <w:sz w:val="32"/>
          <w:szCs w:val="32"/>
        </w:rPr>
        <w:t>年度政府采购支出总额</w:t>
      </w:r>
      <w:r>
        <w:rPr>
          <w:rFonts w:hint="eastAsia" w:ascii="宋体" w:hAnsi="宋体" w:eastAsia="宋体"/>
          <w:sz w:val="32"/>
          <w:szCs w:val="32"/>
          <w:lang w:val="en-US" w:eastAsia="zh-CN"/>
        </w:rPr>
        <w:t>0</w:t>
      </w:r>
      <w:r>
        <w:rPr>
          <w:rFonts w:hint="eastAsia" w:ascii="宋体" w:hAnsi="宋体" w:eastAsia="宋体"/>
          <w:sz w:val="32"/>
          <w:szCs w:val="32"/>
        </w:rPr>
        <w:t>万元，其中：政府采购货物支出</w:t>
      </w:r>
      <w:r>
        <w:rPr>
          <w:rFonts w:hint="eastAsia" w:ascii="宋体" w:hAnsi="宋体" w:eastAsia="宋体"/>
          <w:sz w:val="32"/>
          <w:szCs w:val="32"/>
          <w:lang w:val="en-US" w:eastAsia="zh-CN"/>
        </w:rPr>
        <w:t>0</w:t>
      </w:r>
      <w:r>
        <w:rPr>
          <w:rFonts w:hint="eastAsia" w:ascii="宋体" w:hAnsi="宋体" w:eastAsia="宋体"/>
          <w:sz w:val="32"/>
          <w:szCs w:val="32"/>
        </w:rPr>
        <w:t>万元、政府采购工程支出0、政府采购服务支出0。授予中小企业合同金额0万元，</w:t>
      </w:r>
      <w:r>
        <w:rPr>
          <w:rFonts w:hint="eastAsia" w:ascii="宋体" w:hAnsi="宋体" w:eastAsia="宋体"/>
          <w:sz w:val="32"/>
          <w:szCs w:val="32"/>
          <w:lang w:val="en-US" w:eastAsia="zh-CN"/>
        </w:rPr>
        <w:t>由于政府采购总额为0</w:t>
      </w:r>
      <w:r>
        <w:rPr>
          <w:rFonts w:hint="eastAsia" w:ascii="宋体" w:hAnsi="宋体" w:eastAsia="宋体"/>
          <w:sz w:val="32"/>
          <w:szCs w:val="32"/>
        </w:rPr>
        <w:t>，</w:t>
      </w:r>
      <w:r>
        <w:rPr>
          <w:rFonts w:hint="eastAsia" w:ascii="宋体" w:hAnsi="宋体" w:eastAsia="宋体"/>
          <w:sz w:val="32"/>
          <w:szCs w:val="32"/>
          <w:lang w:val="en-US" w:eastAsia="zh-CN"/>
        </w:rPr>
        <w:t>无法计算百分比，</w:t>
      </w:r>
      <w:r>
        <w:rPr>
          <w:rFonts w:hint="eastAsia" w:ascii="宋体" w:hAnsi="宋体" w:eastAsia="宋体"/>
          <w:sz w:val="32"/>
          <w:szCs w:val="32"/>
        </w:rPr>
        <w:t>其中：授予小微企业合同金额0万元，</w:t>
      </w:r>
      <w:r>
        <w:rPr>
          <w:rFonts w:hint="eastAsia" w:ascii="宋体" w:hAnsi="宋体" w:eastAsia="宋体"/>
          <w:sz w:val="32"/>
          <w:szCs w:val="32"/>
          <w:lang w:val="en-US" w:eastAsia="zh-CN"/>
        </w:rPr>
        <w:t>由于</w:t>
      </w:r>
      <w:r>
        <w:rPr>
          <w:rFonts w:hint="eastAsia" w:ascii="宋体" w:hAnsi="宋体" w:eastAsia="宋体"/>
          <w:sz w:val="32"/>
          <w:szCs w:val="32"/>
        </w:rPr>
        <w:t>授予中小企业合同金额</w:t>
      </w:r>
      <w:r>
        <w:rPr>
          <w:rFonts w:hint="eastAsia" w:ascii="宋体" w:hAnsi="宋体" w:eastAsia="宋体"/>
          <w:sz w:val="32"/>
          <w:szCs w:val="32"/>
          <w:lang w:val="en-US" w:eastAsia="zh-CN"/>
        </w:rPr>
        <w:t>为0</w:t>
      </w:r>
      <w:r>
        <w:rPr>
          <w:rFonts w:hint="eastAsia" w:ascii="宋体" w:hAnsi="宋体" w:eastAsia="宋体"/>
          <w:sz w:val="32"/>
          <w:szCs w:val="32"/>
        </w:rPr>
        <w:t>，</w:t>
      </w:r>
      <w:r>
        <w:rPr>
          <w:rFonts w:hint="eastAsia" w:ascii="宋体" w:hAnsi="宋体" w:eastAsia="宋体"/>
          <w:sz w:val="32"/>
          <w:szCs w:val="32"/>
          <w:lang w:val="en-US" w:eastAsia="zh-CN"/>
        </w:rPr>
        <w:t>无法计算百分比</w:t>
      </w:r>
      <w:r>
        <w:rPr>
          <w:rFonts w:hint="eastAsia" w:ascii="宋体" w:hAnsi="宋体" w:eastAsia="宋体"/>
          <w:sz w:val="32"/>
          <w:szCs w:val="32"/>
        </w:rPr>
        <w:t>。</w:t>
      </w:r>
    </w:p>
    <w:p w14:paraId="125B6C09">
      <w:pPr>
        <w:pStyle w:val="14"/>
        <w:rPr>
          <w:rFonts w:hAnsi="黑体"/>
          <w:b/>
          <w:sz w:val="32"/>
          <w:szCs w:val="32"/>
        </w:rPr>
      </w:pPr>
      <w:r>
        <w:rPr>
          <w:rFonts w:hint="eastAsia" w:hAnsi="黑体"/>
          <w:b/>
          <w:sz w:val="32"/>
          <w:szCs w:val="32"/>
        </w:rPr>
        <w:t>十二、关于国有资产占用情况说明</w:t>
      </w:r>
    </w:p>
    <w:p w14:paraId="4C2F153E">
      <w:pPr>
        <w:pStyle w:val="14"/>
        <w:ind w:firstLine="640" w:firstLineChars="200"/>
        <w:rPr>
          <w:rFonts w:ascii="宋体" w:hAnsi="宋体" w:eastAsia="宋体"/>
          <w:sz w:val="32"/>
          <w:szCs w:val="32"/>
        </w:rPr>
      </w:pPr>
      <w:r>
        <w:rPr>
          <w:rFonts w:hint="eastAsia" w:ascii="宋体" w:hAnsi="宋体" w:eastAsia="宋体"/>
          <w:sz w:val="32"/>
          <w:szCs w:val="32"/>
        </w:rPr>
        <w:t>截至</w:t>
      </w:r>
      <w:r>
        <w:rPr>
          <w:rFonts w:ascii="宋体" w:hAnsi="宋体" w:eastAsia="宋体"/>
          <w:sz w:val="32"/>
          <w:szCs w:val="32"/>
        </w:rPr>
        <w:t>202</w:t>
      </w:r>
      <w:r>
        <w:rPr>
          <w:rFonts w:hint="eastAsia" w:ascii="宋体" w:hAnsi="宋体" w:eastAsia="宋体"/>
          <w:sz w:val="32"/>
          <w:szCs w:val="32"/>
          <w:lang w:val="en-US" w:eastAsia="zh-CN"/>
        </w:rPr>
        <w:t>4</w:t>
      </w:r>
      <w:r>
        <w:rPr>
          <w:rFonts w:hint="eastAsia" w:ascii="宋体" w:hAnsi="宋体" w:eastAsia="宋体"/>
          <w:sz w:val="32"/>
          <w:szCs w:val="32"/>
        </w:rPr>
        <w:t>年</w:t>
      </w:r>
      <w:r>
        <w:rPr>
          <w:rFonts w:ascii="宋体" w:hAnsi="宋体" w:eastAsia="宋体"/>
          <w:sz w:val="32"/>
          <w:szCs w:val="32"/>
        </w:rPr>
        <w:t>12</w:t>
      </w:r>
      <w:r>
        <w:rPr>
          <w:rFonts w:hint="eastAsia" w:ascii="宋体" w:hAnsi="宋体" w:eastAsia="宋体"/>
          <w:sz w:val="32"/>
          <w:szCs w:val="32"/>
        </w:rPr>
        <w:t>月</w:t>
      </w:r>
      <w:r>
        <w:rPr>
          <w:rFonts w:ascii="宋体" w:hAnsi="宋体" w:eastAsia="宋体"/>
          <w:sz w:val="32"/>
          <w:szCs w:val="32"/>
        </w:rPr>
        <w:t>31</w:t>
      </w:r>
      <w:r>
        <w:rPr>
          <w:rFonts w:hint="eastAsia" w:ascii="宋体" w:hAnsi="宋体" w:eastAsia="宋体"/>
          <w:sz w:val="32"/>
          <w:szCs w:val="32"/>
        </w:rPr>
        <w:t>日，本单位共有车辆3辆，其中</w:t>
      </w:r>
      <w:r>
        <w:rPr>
          <w:rFonts w:hint="eastAsia" w:ascii="宋体" w:hAnsi="宋体" w:eastAsia="宋体"/>
          <w:sz w:val="32"/>
          <w:szCs w:val="32"/>
          <w:lang w:eastAsia="zh-CN"/>
        </w:rPr>
        <w:t>业务用车</w:t>
      </w:r>
      <w:r>
        <w:rPr>
          <w:rFonts w:hint="eastAsia" w:ascii="宋体" w:hAnsi="宋体" w:eastAsia="宋体"/>
          <w:sz w:val="32"/>
          <w:szCs w:val="32"/>
        </w:rPr>
        <w:t>2辆，机要通信用车0辆、应急保障用车0辆、执法执勤用车</w:t>
      </w:r>
      <w:r>
        <w:rPr>
          <w:rFonts w:hint="eastAsia" w:ascii="宋体" w:hAnsi="宋体" w:eastAsia="宋体"/>
          <w:sz w:val="32"/>
          <w:szCs w:val="32"/>
          <w:lang w:val="en-US" w:eastAsia="zh-CN"/>
        </w:rPr>
        <w:t>0</w:t>
      </w:r>
      <w:r>
        <w:rPr>
          <w:rFonts w:hint="eastAsia" w:ascii="宋体" w:hAnsi="宋体" w:eastAsia="宋体"/>
          <w:sz w:val="32"/>
          <w:szCs w:val="32"/>
        </w:rPr>
        <w:t>辆、特种专业技术用车0辆、其他用车1辆，</w:t>
      </w:r>
      <w:r>
        <w:rPr>
          <w:rFonts w:hint="eastAsia" w:ascii="宋体" w:hAnsi="宋体" w:eastAsia="宋体"/>
          <w:color w:val="auto"/>
          <w:sz w:val="32"/>
          <w:szCs w:val="32"/>
        </w:rPr>
        <w:t>其他用车主要是疫苗冷链运输车</w:t>
      </w:r>
      <w:r>
        <w:rPr>
          <w:rFonts w:hint="eastAsia" w:ascii="宋体" w:hAnsi="宋体" w:eastAsia="宋体"/>
          <w:sz w:val="32"/>
          <w:szCs w:val="32"/>
        </w:rPr>
        <w:t>；单位价值</w:t>
      </w:r>
      <w:r>
        <w:rPr>
          <w:rFonts w:ascii="宋体" w:hAnsi="宋体" w:eastAsia="宋体"/>
          <w:sz w:val="32"/>
          <w:szCs w:val="32"/>
        </w:rPr>
        <w:t>50</w:t>
      </w:r>
      <w:r>
        <w:rPr>
          <w:rFonts w:hint="eastAsia" w:ascii="宋体" w:hAnsi="宋体" w:eastAsia="宋体"/>
          <w:sz w:val="32"/>
          <w:szCs w:val="32"/>
        </w:rPr>
        <w:t>万元以上通用设备0台（套）；单位价值</w:t>
      </w:r>
      <w:r>
        <w:rPr>
          <w:rFonts w:ascii="宋体" w:hAnsi="宋体" w:eastAsia="宋体"/>
          <w:sz w:val="32"/>
          <w:szCs w:val="32"/>
        </w:rPr>
        <w:t>100</w:t>
      </w:r>
      <w:r>
        <w:rPr>
          <w:rFonts w:hint="eastAsia" w:ascii="宋体" w:hAnsi="宋体" w:eastAsia="宋体"/>
          <w:sz w:val="32"/>
          <w:szCs w:val="32"/>
        </w:rPr>
        <w:t>万元以上专用设备0台（套）。</w:t>
      </w:r>
    </w:p>
    <w:p w14:paraId="407FEE61">
      <w:pPr>
        <w:pStyle w:val="14"/>
        <w:rPr>
          <w:rFonts w:hAnsi="黑体"/>
          <w:b/>
          <w:sz w:val="32"/>
          <w:szCs w:val="32"/>
        </w:rPr>
      </w:pPr>
      <w:r>
        <w:rPr>
          <w:rFonts w:hint="eastAsia" w:hAnsi="黑体"/>
          <w:b/>
          <w:sz w:val="32"/>
          <w:szCs w:val="32"/>
        </w:rPr>
        <w:t>十三、关于</w:t>
      </w:r>
      <w:r>
        <w:rPr>
          <w:rFonts w:hAnsi="黑体"/>
          <w:b/>
          <w:sz w:val="32"/>
          <w:szCs w:val="32"/>
        </w:rPr>
        <w:t>202</w:t>
      </w:r>
      <w:r>
        <w:rPr>
          <w:rFonts w:hint="eastAsia" w:hAnsi="黑体"/>
          <w:b/>
          <w:sz w:val="32"/>
          <w:szCs w:val="32"/>
          <w:lang w:val="en-US" w:eastAsia="zh-CN"/>
        </w:rPr>
        <w:t>4</w:t>
      </w:r>
      <w:r>
        <w:rPr>
          <w:rFonts w:hint="eastAsia" w:hAnsi="黑体"/>
          <w:b/>
          <w:sz w:val="32"/>
          <w:szCs w:val="32"/>
        </w:rPr>
        <w:t>年度预算绩效情况的说明</w:t>
      </w:r>
    </w:p>
    <w:p w14:paraId="7F9E363C">
      <w:pPr>
        <w:spacing w:line="560" w:lineRule="exact"/>
        <w:ind w:firstLine="640" w:firstLineChars="200"/>
        <w:rPr>
          <w:rFonts w:ascii="宋体" w:hAnsi="仿宋_GB2312" w:cs="仿宋_GB2312"/>
          <w:color w:val="000000"/>
          <w:sz w:val="32"/>
          <w:szCs w:val="32"/>
        </w:rPr>
      </w:pPr>
      <w:r>
        <w:rPr>
          <w:rFonts w:hint="eastAsia" w:ascii="宋体" w:hAnsi="仿宋_GB2312" w:cs="仿宋_GB2312"/>
          <w:color w:val="000000"/>
          <w:sz w:val="32"/>
          <w:szCs w:val="32"/>
        </w:rPr>
        <w:t>202</w:t>
      </w:r>
      <w:r>
        <w:rPr>
          <w:rFonts w:hint="eastAsia" w:ascii="宋体" w:hAnsi="仿宋_GB2312" w:cs="仿宋_GB2312"/>
          <w:color w:val="000000"/>
          <w:sz w:val="32"/>
          <w:szCs w:val="32"/>
          <w:lang w:val="en-US" w:eastAsia="zh-CN"/>
        </w:rPr>
        <w:t>4</w:t>
      </w:r>
      <w:r>
        <w:rPr>
          <w:rFonts w:hint="eastAsia" w:ascii="宋体" w:hAnsi="仿宋_GB2312" w:cs="仿宋_GB2312"/>
          <w:color w:val="000000"/>
          <w:sz w:val="32"/>
          <w:szCs w:val="32"/>
        </w:rPr>
        <w:t>年度县本级安排年初预算收入</w:t>
      </w:r>
      <w:r>
        <w:rPr>
          <w:rFonts w:hint="eastAsia" w:ascii="宋体" w:hAnsi="仿宋_GB2312" w:cs="仿宋_GB2312"/>
          <w:color w:val="000000"/>
          <w:sz w:val="32"/>
          <w:szCs w:val="32"/>
          <w:lang w:val="en-US" w:eastAsia="zh-CN"/>
        </w:rPr>
        <w:t>316.67</w:t>
      </w:r>
      <w:r>
        <w:rPr>
          <w:rFonts w:hint="eastAsia" w:ascii="宋体" w:hAnsi="仿宋_GB2312" w:cs="仿宋_GB2312"/>
          <w:color w:val="000000"/>
          <w:sz w:val="32"/>
          <w:szCs w:val="32"/>
        </w:rPr>
        <w:t>万元，其中工资性支出</w:t>
      </w:r>
      <w:r>
        <w:rPr>
          <w:rFonts w:hint="eastAsia" w:ascii="宋体" w:hAnsi="仿宋_GB2312" w:cs="仿宋_GB2312"/>
          <w:color w:val="000000"/>
          <w:sz w:val="32"/>
          <w:szCs w:val="32"/>
          <w:lang w:val="en-US" w:eastAsia="zh-CN"/>
        </w:rPr>
        <w:t>241.67</w:t>
      </w:r>
      <w:r>
        <w:rPr>
          <w:rFonts w:hint="eastAsia" w:ascii="宋体" w:hAnsi="仿宋_GB2312" w:cs="仿宋_GB2312"/>
          <w:color w:val="000000"/>
          <w:sz w:val="32"/>
          <w:szCs w:val="32"/>
        </w:rPr>
        <w:t>万元，公用经费</w:t>
      </w:r>
      <w:r>
        <w:rPr>
          <w:rFonts w:hint="eastAsia" w:ascii="宋体" w:hAnsi="仿宋_GB2312" w:cs="仿宋_GB2312"/>
          <w:color w:val="000000"/>
          <w:sz w:val="32"/>
          <w:szCs w:val="32"/>
          <w:lang w:val="en-US" w:eastAsia="zh-CN"/>
        </w:rPr>
        <w:t>51</w:t>
      </w:r>
      <w:r>
        <w:rPr>
          <w:rFonts w:hint="eastAsia" w:ascii="宋体" w:hAnsi="仿宋_GB2312" w:cs="仿宋_GB2312"/>
          <w:color w:val="000000"/>
          <w:sz w:val="32"/>
          <w:szCs w:val="32"/>
        </w:rPr>
        <w:t>万元，基本支出占预算总额的</w:t>
      </w:r>
      <w:r>
        <w:rPr>
          <w:rFonts w:hint="eastAsia" w:ascii="宋体" w:hAnsi="仿宋_GB2312" w:cs="仿宋_GB2312"/>
          <w:color w:val="000000"/>
          <w:sz w:val="32"/>
          <w:szCs w:val="32"/>
          <w:lang w:val="en-US" w:eastAsia="zh-CN"/>
        </w:rPr>
        <w:t>92.42</w:t>
      </w:r>
      <w:r>
        <w:rPr>
          <w:rFonts w:hint="eastAsia" w:ascii="宋体" w:hAnsi="仿宋_GB2312" w:cs="仿宋_GB2312"/>
          <w:color w:val="000000"/>
          <w:sz w:val="32"/>
          <w:szCs w:val="32"/>
        </w:rPr>
        <w:t>%; 项目支出</w:t>
      </w:r>
      <w:r>
        <w:rPr>
          <w:rFonts w:hint="eastAsia" w:ascii="宋体" w:hAnsi="仿宋_GB2312" w:cs="仿宋_GB2312"/>
          <w:color w:val="000000"/>
          <w:sz w:val="32"/>
          <w:szCs w:val="32"/>
          <w:lang w:val="en-US" w:eastAsia="zh-CN"/>
        </w:rPr>
        <w:t>24</w:t>
      </w:r>
      <w:r>
        <w:rPr>
          <w:rFonts w:hint="eastAsia" w:ascii="宋体" w:hAnsi="仿宋_GB2312" w:cs="仿宋_GB2312"/>
          <w:color w:val="000000"/>
          <w:sz w:val="32"/>
          <w:szCs w:val="32"/>
        </w:rPr>
        <w:t>万元，项目支出占预算总额的</w:t>
      </w:r>
      <w:r>
        <w:rPr>
          <w:rFonts w:hint="eastAsia" w:ascii="宋体" w:hAnsi="仿宋_GB2312" w:cs="仿宋_GB2312"/>
          <w:color w:val="000000"/>
          <w:sz w:val="32"/>
          <w:szCs w:val="32"/>
          <w:lang w:val="en-US" w:eastAsia="zh-CN"/>
        </w:rPr>
        <w:t>7.58</w:t>
      </w:r>
      <w:r>
        <w:rPr>
          <w:rFonts w:hint="eastAsia" w:ascii="宋体" w:hAnsi="仿宋_GB2312" w:cs="仿宋_GB2312"/>
          <w:color w:val="000000"/>
          <w:sz w:val="32"/>
          <w:szCs w:val="32"/>
        </w:rPr>
        <w:t>%。主要围绕疾病预防控制工作进行安排（其中疾病预防控制项目（含儿童免疫）</w:t>
      </w:r>
      <w:r>
        <w:rPr>
          <w:rFonts w:hint="eastAsia" w:ascii="宋体" w:hAnsi="仿宋_GB2312" w:cs="仿宋_GB2312"/>
          <w:color w:val="000000"/>
          <w:sz w:val="32"/>
          <w:szCs w:val="32"/>
          <w:lang w:val="en-US" w:eastAsia="zh-CN"/>
        </w:rPr>
        <w:t>16</w:t>
      </w:r>
      <w:r>
        <w:rPr>
          <w:rFonts w:hint="eastAsia" w:ascii="宋体" w:hAnsi="仿宋_GB2312" w:cs="仿宋_GB2312"/>
          <w:color w:val="000000"/>
          <w:sz w:val="32"/>
          <w:szCs w:val="32"/>
        </w:rPr>
        <w:t>万元；水质监测项目8万元），基本能够保障县疾控中心履行主要工作职责。</w:t>
      </w:r>
    </w:p>
    <w:p w14:paraId="5DB5370A">
      <w:pPr>
        <w:pStyle w:val="14"/>
        <w:jc w:val="both"/>
        <w:rPr>
          <w:sz w:val="52"/>
          <w:szCs w:val="52"/>
        </w:rPr>
      </w:pPr>
    </w:p>
    <w:p w14:paraId="7B8E8914">
      <w:pPr>
        <w:pStyle w:val="14"/>
        <w:jc w:val="center"/>
        <w:rPr>
          <w:sz w:val="52"/>
          <w:szCs w:val="52"/>
        </w:rPr>
      </w:pPr>
      <w:r>
        <w:rPr>
          <w:rFonts w:hint="eastAsia"/>
          <w:sz w:val="52"/>
          <w:szCs w:val="52"/>
        </w:rPr>
        <w:t>第四部分名词解释</w:t>
      </w:r>
    </w:p>
    <w:p w14:paraId="6F1C4618">
      <w:pPr>
        <w:widowControl/>
        <w:ind w:firstLine="640" w:firstLineChars="200"/>
        <w:jc w:val="left"/>
        <w:rPr>
          <w:rFonts w:ascii="宋体" w:cs="黑体"/>
          <w:color w:val="000000"/>
          <w:kern w:val="0"/>
          <w:sz w:val="32"/>
          <w:szCs w:val="32"/>
        </w:rPr>
      </w:pPr>
    </w:p>
    <w:p w14:paraId="0FFCE535">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w:t>
      </w:r>
      <w:r>
        <w:rPr>
          <w:rFonts w:hint="eastAsia" w:ascii="宋体" w:hAnsi="宋体"/>
          <w:color w:val="333333"/>
          <w:kern w:val="0"/>
          <w:sz w:val="32"/>
          <w:szCs w:val="32"/>
          <w:shd w:val="clear" w:color="auto" w:fill="FFFFFF"/>
        </w:rPr>
        <w:t>财政拨款收入：指市级财政当年拨付的资金。</w:t>
      </w:r>
    </w:p>
    <w:p w14:paraId="1A01DCB1">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2.</w:t>
      </w:r>
      <w:r>
        <w:rPr>
          <w:rFonts w:hint="eastAsia" w:ascii="宋体" w:hAnsi="宋体"/>
          <w:color w:val="333333"/>
          <w:kern w:val="0"/>
          <w:sz w:val="32"/>
          <w:szCs w:val="32"/>
          <w:shd w:val="clear" w:color="auto" w:fill="FFFFFF"/>
        </w:rPr>
        <w:t>上级补助收入：指单位从主管部门和上级单位取得的非财政性补助收入。</w:t>
      </w:r>
    </w:p>
    <w:p w14:paraId="550C4004">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3.</w:t>
      </w:r>
      <w:r>
        <w:rPr>
          <w:rFonts w:hint="eastAsia" w:ascii="宋体" w:hAnsi="宋体"/>
          <w:color w:val="333333"/>
          <w:kern w:val="0"/>
          <w:sz w:val="32"/>
          <w:szCs w:val="32"/>
          <w:shd w:val="clear" w:color="auto" w:fill="FFFFFF"/>
        </w:rPr>
        <w:t>事业收入：指事业单位开展专业业务活动及辅助活动所取得的收入。</w:t>
      </w:r>
    </w:p>
    <w:p w14:paraId="6E78FDB6">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4.</w:t>
      </w:r>
      <w:r>
        <w:rPr>
          <w:rFonts w:hint="eastAsia" w:ascii="宋体" w:hAnsi="宋体"/>
          <w:color w:val="333333"/>
          <w:kern w:val="0"/>
          <w:sz w:val="32"/>
          <w:szCs w:val="32"/>
          <w:shd w:val="clear" w:color="auto" w:fill="FFFFFF"/>
        </w:rPr>
        <w:t>经营收入：指事业单位在专业业务活动及辅助活动之外开展非独立核算经营活动取得的收入。</w:t>
      </w:r>
    </w:p>
    <w:p w14:paraId="4CBFEE7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5.</w:t>
      </w:r>
      <w:r>
        <w:rPr>
          <w:rFonts w:hint="eastAsia" w:ascii="宋体" w:hAnsi="宋体"/>
          <w:color w:val="333333"/>
          <w:kern w:val="0"/>
          <w:sz w:val="32"/>
          <w:szCs w:val="32"/>
          <w:shd w:val="clear" w:color="auto" w:fill="FFFFFF"/>
        </w:rPr>
        <w:t>附属单位上缴收入：指单位附属的独立核算单位按照上缴的收入。</w:t>
      </w:r>
    </w:p>
    <w:p w14:paraId="0DFF40A0">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6.</w:t>
      </w:r>
      <w:r>
        <w:rPr>
          <w:rFonts w:hint="eastAsia" w:ascii="宋体" w:hAnsi="宋体"/>
          <w:color w:val="333333"/>
          <w:kern w:val="0"/>
          <w:sz w:val="32"/>
          <w:szCs w:val="32"/>
          <w:shd w:val="clear" w:color="auto" w:fill="FFFFFF"/>
        </w:rPr>
        <w:t>其他收入：指除上述“财政拨款收入”、“上级补助收入”、“事业收入”、“经营收入”、“附属单位上缴收入”等以外的收入。</w:t>
      </w:r>
    </w:p>
    <w:p w14:paraId="076D4906">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7.</w:t>
      </w:r>
      <w:r>
        <w:rPr>
          <w:rFonts w:hint="eastAsia" w:ascii="宋体" w:hAnsi="宋体"/>
          <w:color w:val="333333"/>
          <w:kern w:val="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329D02DF">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8.</w:t>
      </w:r>
      <w:r>
        <w:rPr>
          <w:rFonts w:hint="eastAsia" w:ascii="宋体" w:hAnsi="宋体"/>
          <w:color w:val="333333"/>
          <w:kern w:val="0"/>
          <w:sz w:val="32"/>
          <w:szCs w:val="32"/>
          <w:shd w:val="clear" w:color="auto" w:fill="FFFFFF"/>
        </w:rPr>
        <w:t>上年结转和结余：指以前年度尚未完成、结转到本年按有关规定继续使用的资金。</w:t>
      </w:r>
    </w:p>
    <w:p w14:paraId="6EBFC068">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9.</w:t>
      </w:r>
      <w:r>
        <w:rPr>
          <w:rFonts w:hint="eastAsia" w:ascii="宋体" w:hAnsi="宋体"/>
          <w:color w:val="333333"/>
          <w:kern w:val="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14:paraId="59FBDF32">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10.</w:t>
      </w:r>
      <w:r>
        <w:rPr>
          <w:rFonts w:hint="eastAsia" w:ascii="宋体" w:hAnsi="宋体"/>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14:paraId="3D3645B2">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11.</w:t>
      </w:r>
      <w:r>
        <w:rPr>
          <w:rFonts w:hint="eastAsia" w:ascii="宋体" w:hAnsi="宋体"/>
          <w:color w:val="333333"/>
          <w:kern w:val="0"/>
          <w:sz w:val="32"/>
          <w:szCs w:val="32"/>
          <w:shd w:val="clear" w:color="auto" w:fill="FFFFFF"/>
        </w:rPr>
        <w:t>基本支出：指保障机构正常运转、完成支日常工作任务而发生的人员支出和公用支出。</w:t>
      </w:r>
    </w:p>
    <w:p w14:paraId="03043641">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12.</w:t>
      </w:r>
      <w:r>
        <w:rPr>
          <w:rFonts w:hint="eastAsia" w:ascii="宋体" w:hAnsi="宋体"/>
          <w:color w:val="333333"/>
          <w:kern w:val="0"/>
          <w:sz w:val="32"/>
          <w:szCs w:val="32"/>
          <w:shd w:val="clear" w:color="auto" w:fill="FFFFFF"/>
        </w:rPr>
        <w:t>项目支出：指在基本支出之外为完成特定行政任务和事业发展目标所发生的支出。</w:t>
      </w:r>
    </w:p>
    <w:p w14:paraId="62CC25D0">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13.</w:t>
      </w:r>
      <w:r>
        <w:rPr>
          <w:rFonts w:hint="eastAsia" w:ascii="宋体" w:hAnsi="宋体"/>
          <w:color w:val="333333"/>
          <w:kern w:val="0"/>
          <w:sz w:val="32"/>
          <w:szCs w:val="32"/>
          <w:shd w:val="clear" w:color="auto" w:fill="FFFFFF"/>
        </w:rPr>
        <w:t>经营支出：指事业单位在专业业务活动及其辅助活动之外开展非独立核算经营活动发生的支出。</w:t>
      </w:r>
    </w:p>
    <w:p w14:paraId="556D032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14</w:t>
      </w:r>
      <w:r>
        <w:rPr>
          <w:rFonts w:hint="eastAsia" w:ascii="宋体" w:hAnsi="宋体"/>
          <w:color w:val="333333"/>
          <w:kern w:val="0"/>
          <w:sz w:val="32"/>
          <w:szCs w:val="32"/>
          <w:shd w:val="clear" w:color="auto" w:fill="FFFFFF"/>
        </w:rPr>
        <w:t>、上缴上级支出：指事业单位按照财政部门和主管部门的规定上缴上级单位的支出。（可结合部门实际支出情况举例说明）</w:t>
      </w:r>
    </w:p>
    <w:p w14:paraId="2FC28308">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15</w:t>
      </w:r>
      <w:r>
        <w:rPr>
          <w:rFonts w:hint="eastAsia" w:ascii="宋体" w:hAnsi="宋体"/>
          <w:color w:val="333333"/>
          <w:kern w:val="0"/>
          <w:sz w:val="32"/>
          <w:szCs w:val="32"/>
          <w:shd w:val="clear" w:color="auto" w:fill="FFFFFF"/>
        </w:rPr>
        <w:t>、对附属单位补助支出：指事业单位用财政补助收入之外的收入对附属单位补助发生的支出</w:t>
      </w:r>
    </w:p>
    <w:p w14:paraId="33A77BFC">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16.</w:t>
      </w:r>
      <w:r>
        <w:rPr>
          <w:rFonts w:hint="eastAsia" w:ascii="宋体" w:hAnsi="宋体"/>
          <w:color w:val="333333"/>
          <w:kern w:val="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11A5EC0">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17.</w:t>
      </w:r>
      <w:r>
        <w:rPr>
          <w:rFonts w:hint="eastAsia" w:ascii="宋体" w:hAnsi="宋体"/>
          <w:color w:val="333333"/>
          <w:kern w:val="0"/>
          <w:sz w:val="32"/>
          <w:szCs w:val="32"/>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6FB0BAC8">
      <w:pPr>
        <w:widowControl/>
        <w:shd w:val="clear" w:color="auto" w:fill="FFFFFF"/>
        <w:spacing w:after="335" w:line="300" w:lineRule="atLeast"/>
        <w:ind w:firstLine="703"/>
        <w:jc w:val="left"/>
        <w:rPr>
          <w:rFonts w:hint="eastAsia" w:ascii="宋体" w:hAnsi="宋体"/>
          <w:color w:val="333333"/>
          <w:kern w:val="0"/>
          <w:sz w:val="32"/>
          <w:szCs w:val="32"/>
          <w:shd w:val="clear" w:color="auto" w:fill="FFFFFF"/>
        </w:rPr>
      </w:pPr>
      <w:r>
        <w:rPr>
          <w:rFonts w:ascii="宋体" w:hAnsi="宋体"/>
          <w:color w:val="333333"/>
          <w:kern w:val="0"/>
          <w:sz w:val="32"/>
          <w:szCs w:val="32"/>
          <w:shd w:val="clear" w:color="auto" w:fill="FFFFFF"/>
        </w:rPr>
        <w:t>18.</w:t>
      </w:r>
      <w:r>
        <w:rPr>
          <w:rFonts w:hint="eastAsia" w:ascii="宋体" w:hAnsi="宋体"/>
          <w:color w:val="333333"/>
          <w:kern w:val="0"/>
          <w:sz w:val="32"/>
          <w:szCs w:val="32"/>
          <w:shd w:val="clear" w:color="auto" w:fill="FFFFFF"/>
        </w:rPr>
        <w:t>政府采购</w:t>
      </w:r>
      <w:r>
        <w:rPr>
          <w:rFonts w:ascii="宋体" w:hAnsi="宋体"/>
          <w:color w:val="333333"/>
          <w:kern w:val="0"/>
          <w:sz w:val="32"/>
          <w:szCs w:val="32"/>
          <w:shd w:val="clear" w:color="auto" w:fill="FFFFFF"/>
        </w:rPr>
        <w:t xml:space="preserve"> </w:t>
      </w:r>
      <w:r>
        <w:rPr>
          <w:rFonts w:hint="eastAsia" w:ascii="宋体" w:hAnsi="宋体"/>
          <w:color w:val="333333"/>
          <w:kern w:val="0"/>
          <w:sz w:val="32"/>
          <w:szCs w:val="32"/>
          <w:shd w:val="clear" w:color="auto" w:fill="FFFFFF"/>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43CC52EF">
      <w:pPr>
        <w:pStyle w:val="3"/>
        <w:rPr>
          <w:rFonts w:hint="eastAsia" w:ascii="宋体" w:hAnsi="宋体"/>
          <w:color w:val="333333"/>
          <w:kern w:val="0"/>
          <w:sz w:val="32"/>
          <w:szCs w:val="32"/>
          <w:shd w:val="clear" w:color="auto" w:fill="FFFFFF"/>
        </w:rPr>
      </w:pPr>
    </w:p>
    <w:p w14:paraId="451E7C8F">
      <w:pPr>
        <w:pStyle w:val="4"/>
        <w:rPr>
          <w:rFonts w:hint="eastAsia" w:ascii="宋体" w:hAnsi="宋体"/>
          <w:color w:val="333333"/>
          <w:kern w:val="0"/>
          <w:sz w:val="32"/>
          <w:szCs w:val="32"/>
          <w:shd w:val="clear" w:color="auto" w:fill="FFFFFF"/>
        </w:rPr>
      </w:pPr>
    </w:p>
    <w:p w14:paraId="63B46C8B">
      <w:pPr>
        <w:rPr>
          <w:rFonts w:hint="eastAsia" w:ascii="宋体" w:hAnsi="宋体"/>
          <w:color w:val="333333"/>
          <w:kern w:val="0"/>
          <w:sz w:val="32"/>
          <w:szCs w:val="32"/>
          <w:shd w:val="clear" w:color="auto" w:fill="FFFFFF"/>
        </w:rPr>
      </w:pPr>
    </w:p>
    <w:p w14:paraId="3579B498">
      <w:pPr>
        <w:pStyle w:val="3"/>
        <w:rPr>
          <w:rFonts w:hint="eastAsia" w:ascii="宋体" w:hAnsi="宋体"/>
          <w:color w:val="333333"/>
          <w:kern w:val="0"/>
          <w:sz w:val="32"/>
          <w:szCs w:val="32"/>
          <w:shd w:val="clear" w:color="auto" w:fill="FFFFFF"/>
        </w:rPr>
      </w:pPr>
    </w:p>
    <w:p w14:paraId="665682A8">
      <w:pPr>
        <w:pStyle w:val="4"/>
        <w:rPr>
          <w:rFonts w:hint="eastAsia" w:ascii="宋体" w:hAnsi="宋体"/>
          <w:color w:val="333333"/>
          <w:kern w:val="0"/>
          <w:sz w:val="32"/>
          <w:szCs w:val="32"/>
          <w:shd w:val="clear" w:color="auto" w:fill="FFFFFF"/>
        </w:rPr>
      </w:pPr>
    </w:p>
    <w:p w14:paraId="259BA377">
      <w:pPr>
        <w:rPr>
          <w:rFonts w:hint="eastAsia" w:ascii="宋体" w:hAnsi="宋体"/>
          <w:color w:val="333333"/>
          <w:kern w:val="0"/>
          <w:sz w:val="32"/>
          <w:szCs w:val="32"/>
          <w:shd w:val="clear" w:color="auto" w:fill="FFFFFF"/>
        </w:rPr>
      </w:pPr>
    </w:p>
    <w:p w14:paraId="3CD452C0">
      <w:pPr>
        <w:pStyle w:val="3"/>
        <w:rPr>
          <w:rFonts w:hint="eastAsia" w:ascii="宋体" w:hAnsi="宋体"/>
          <w:color w:val="333333"/>
          <w:kern w:val="0"/>
          <w:sz w:val="32"/>
          <w:szCs w:val="32"/>
          <w:shd w:val="clear" w:color="auto" w:fill="FFFFFF"/>
        </w:rPr>
      </w:pPr>
    </w:p>
    <w:p w14:paraId="57DD87C1">
      <w:pPr>
        <w:pStyle w:val="4"/>
        <w:rPr>
          <w:rFonts w:hint="eastAsia" w:ascii="宋体" w:hAnsi="宋体"/>
          <w:color w:val="333333"/>
          <w:kern w:val="0"/>
          <w:sz w:val="32"/>
          <w:szCs w:val="32"/>
          <w:shd w:val="clear" w:color="auto" w:fill="FFFFFF"/>
        </w:rPr>
      </w:pPr>
    </w:p>
    <w:p w14:paraId="3E86ADB9">
      <w:pPr>
        <w:rPr>
          <w:rFonts w:hint="eastAsia" w:ascii="宋体" w:hAnsi="宋体"/>
          <w:color w:val="333333"/>
          <w:kern w:val="0"/>
          <w:sz w:val="32"/>
          <w:szCs w:val="32"/>
          <w:shd w:val="clear" w:color="auto" w:fill="FFFFFF"/>
        </w:rPr>
      </w:pPr>
    </w:p>
    <w:p w14:paraId="4F45C5C7">
      <w:pPr>
        <w:pStyle w:val="3"/>
        <w:rPr>
          <w:rFonts w:hint="eastAsia" w:ascii="宋体" w:hAnsi="宋体"/>
          <w:color w:val="333333"/>
          <w:kern w:val="0"/>
          <w:sz w:val="32"/>
          <w:szCs w:val="32"/>
          <w:shd w:val="clear" w:color="auto" w:fill="FFFFFF"/>
        </w:rPr>
      </w:pPr>
    </w:p>
    <w:p w14:paraId="75BBB60A">
      <w:pPr>
        <w:pStyle w:val="4"/>
        <w:rPr>
          <w:rFonts w:hint="eastAsia" w:ascii="宋体" w:hAnsi="宋体"/>
          <w:color w:val="333333"/>
          <w:kern w:val="0"/>
          <w:sz w:val="32"/>
          <w:szCs w:val="32"/>
          <w:shd w:val="clear" w:color="auto" w:fill="FFFFFF"/>
        </w:rPr>
      </w:pPr>
    </w:p>
    <w:p w14:paraId="1E60634D"/>
    <w:p w14:paraId="3C42183A">
      <w:pPr>
        <w:pStyle w:val="14"/>
        <w:jc w:val="center"/>
        <w:rPr>
          <w:sz w:val="72"/>
          <w:szCs w:val="72"/>
        </w:rPr>
      </w:pPr>
    </w:p>
    <w:p w14:paraId="2C8974EB">
      <w:pPr>
        <w:pStyle w:val="14"/>
        <w:jc w:val="center"/>
        <w:rPr>
          <w:sz w:val="52"/>
          <w:szCs w:val="52"/>
        </w:rPr>
      </w:pPr>
      <w:r>
        <w:rPr>
          <w:rFonts w:hint="eastAsia"/>
          <w:sz w:val="52"/>
          <w:szCs w:val="52"/>
        </w:rPr>
        <w:t>第五部分附件</w:t>
      </w:r>
    </w:p>
    <w:p w14:paraId="65C08A67">
      <w:pPr>
        <w:jc w:val="center"/>
        <w:rPr>
          <w:rFonts w:hint="eastAsia" w:ascii="宋体" w:hAnsi="宋体" w:cs="宋体"/>
          <w:b/>
          <w:sz w:val="44"/>
          <w:szCs w:val="44"/>
        </w:rPr>
      </w:pPr>
      <w:r>
        <w:rPr>
          <w:rFonts w:hint="eastAsia" w:ascii="宋体" w:hAnsi="宋体" w:cs="宋体"/>
          <w:b/>
          <w:sz w:val="44"/>
          <w:szCs w:val="44"/>
        </w:rPr>
        <w:t>会同县疾病预防控制中心</w:t>
      </w:r>
    </w:p>
    <w:p w14:paraId="6D26B9BB">
      <w:pPr>
        <w:jc w:val="center"/>
        <w:rPr>
          <w:rFonts w:hint="eastAsia" w:ascii="宋体" w:hAnsi="宋体" w:cs="宋体"/>
          <w:b/>
          <w:sz w:val="44"/>
          <w:szCs w:val="44"/>
        </w:rPr>
      </w:pPr>
      <w:r>
        <w:rPr>
          <w:rFonts w:hint="eastAsia" w:ascii="宋体" w:hAnsi="宋体" w:cs="宋体"/>
          <w:b/>
          <w:sz w:val="44"/>
          <w:szCs w:val="44"/>
        </w:rPr>
        <w:t>202</w:t>
      </w:r>
      <w:r>
        <w:rPr>
          <w:rFonts w:hint="eastAsia" w:ascii="宋体" w:hAnsi="宋体" w:cs="宋体"/>
          <w:b/>
          <w:sz w:val="44"/>
          <w:szCs w:val="44"/>
          <w:lang w:val="en-US" w:eastAsia="zh-CN"/>
        </w:rPr>
        <w:t>4</w:t>
      </w:r>
      <w:r>
        <w:rPr>
          <w:rFonts w:hint="eastAsia" w:ascii="宋体" w:hAnsi="宋体" w:cs="宋体"/>
          <w:b/>
          <w:sz w:val="44"/>
          <w:szCs w:val="44"/>
        </w:rPr>
        <w:t>年度整体绩效和项目绩效自评情况</w:t>
      </w:r>
    </w:p>
    <w:p w14:paraId="32775DAB">
      <w:pPr>
        <w:jc w:val="center"/>
        <w:rPr>
          <w:rFonts w:hint="eastAsia" w:ascii="宋体" w:hAnsi="宋体" w:cs="宋体"/>
          <w:b/>
          <w:sz w:val="44"/>
          <w:szCs w:val="44"/>
        </w:rPr>
      </w:pPr>
      <w:r>
        <w:rPr>
          <w:rFonts w:hint="eastAsia" w:ascii="宋体" w:hAnsi="宋体" w:cs="宋体"/>
          <w:b/>
          <w:sz w:val="44"/>
          <w:szCs w:val="44"/>
        </w:rPr>
        <w:t>公开</w:t>
      </w:r>
    </w:p>
    <w:p w14:paraId="1668C813">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为加强预算绩效管理，强化预算支出绩效责任，提高财政资金使用效益，根据上级相关文件相关要求，会同县疾病预防控制中心坚持以执行预算为中心，节约费用为重点，抓好单位财务管理工作，现就2024年整体、项目支出绩效自评如下：</w:t>
      </w:r>
    </w:p>
    <w:p w14:paraId="1AB0F1EF">
      <w:pPr>
        <w:numPr>
          <w:ilvl w:val="0"/>
          <w:numId w:val="3"/>
        </w:numPr>
        <w:ind w:firstLine="640" w:firstLineChars="200"/>
        <w:rPr>
          <w:rFonts w:hint="eastAsia" w:ascii="宋体" w:hAnsi="宋体" w:eastAsia="宋体" w:cs="宋体"/>
          <w:b/>
          <w:bCs/>
          <w:color w:val="000000"/>
          <w:kern w:val="2"/>
          <w:sz w:val="32"/>
          <w:szCs w:val="32"/>
          <w:lang w:val="en-US" w:eastAsia="zh-CN" w:bidi="ar-SA"/>
        </w:rPr>
      </w:pPr>
      <w:r>
        <w:rPr>
          <w:rFonts w:hint="eastAsia" w:ascii="宋体" w:hAnsi="宋体" w:eastAsia="宋体" w:cs="宋体"/>
          <w:b/>
          <w:bCs/>
          <w:color w:val="000000"/>
          <w:kern w:val="2"/>
          <w:sz w:val="32"/>
          <w:szCs w:val="32"/>
          <w:lang w:val="en-US" w:eastAsia="zh-CN" w:bidi="ar-SA"/>
        </w:rPr>
        <w:t>基本情况</w:t>
      </w:r>
    </w:p>
    <w:p w14:paraId="1F0D898A">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（一）单位基本情况：</w:t>
      </w:r>
      <w:r>
        <w:rPr>
          <w:rFonts w:hint="eastAsia" w:ascii="仿宋_GB2312" w:hAnsi="仿宋_GB2312" w:eastAsia="仿宋_GB2312" w:cs="仿宋_GB2312"/>
          <w:color w:val="000000"/>
          <w:sz w:val="32"/>
          <w:szCs w:val="32"/>
        </w:rPr>
        <w:t>现有全额拨款事业编制3</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个，自收自支事业编0个，实有在职人数3</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人，离、退休人员</w:t>
      </w:r>
      <w:r>
        <w:rPr>
          <w:rFonts w:hint="eastAsia" w:ascii="仿宋_GB2312" w:hAnsi="仿宋_GB2312" w:eastAsia="仿宋_GB2312" w:cs="仿宋_GB2312"/>
          <w:color w:val="000000"/>
          <w:sz w:val="32"/>
          <w:szCs w:val="32"/>
          <w:lang w:val="en-US" w:eastAsia="zh-CN"/>
        </w:rPr>
        <w:t xml:space="preserve">29 </w:t>
      </w:r>
      <w:r>
        <w:rPr>
          <w:rFonts w:hint="eastAsia" w:ascii="仿宋_GB2312" w:hAnsi="仿宋_GB2312" w:eastAsia="仿宋_GB2312" w:cs="仿宋_GB2312"/>
          <w:color w:val="000000"/>
          <w:sz w:val="32"/>
          <w:szCs w:val="32"/>
        </w:rPr>
        <w:t>人。有车辆3台，实有在职人数与编制数相符。</w:t>
      </w:r>
    </w:p>
    <w:p w14:paraId="1C25DFBE">
      <w:pPr>
        <w:numPr>
          <w:ilvl w:val="0"/>
          <w:numId w:val="0"/>
        </w:numPr>
        <w:ind w:firstLine="642"/>
        <w:rPr>
          <w:rFonts w:hint="eastAsia" w:ascii="仿宋_GB2312" w:hAnsi="仿宋_GB2312" w:eastAsia="仿宋_GB2312" w:cs="仿宋_GB2312"/>
          <w:color w:val="000000"/>
          <w:sz w:val="32"/>
          <w:szCs w:val="32"/>
        </w:rPr>
      </w:pPr>
      <w:r>
        <w:rPr>
          <w:rFonts w:hint="eastAsia" w:ascii="宋体" w:hAnsi="宋体" w:eastAsia="宋体" w:cs="宋体"/>
          <w:b/>
          <w:bCs/>
          <w:color w:val="000000"/>
          <w:kern w:val="2"/>
          <w:sz w:val="32"/>
          <w:szCs w:val="32"/>
          <w:lang w:val="en-US" w:eastAsia="zh-CN" w:bidi="ar-SA"/>
        </w:rPr>
        <w:t>二、主要职责及绩效目标：</w:t>
      </w:r>
      <w:r>
        <w:rPr>
          <w:rFonts w:hint="eastAsia" w:ascii="仿宋_GB2312" w:hAnsi="仿宋_GB2312" w:eastAsia="仿宋_GB2312" w:cs="仿宋_GB2312"/>
          <w:color w:val="000000"/>
          <w:sz w:val="32"/>
          <w:szCs w:val="32"/>
        </w:rPr>
        <w:t>1.完成上级下达的疾病预防控制任务，负责辖区内疾病预防控制具体工作的管理和落实，负责辖区内疫苗使用管理，组织实施免疫、消毒、控制病媒生物的危害。2.负责辖区内突发公共卫生事件的监测调查与信息收集、报告，落实具体控制措施。3.开展病原微生物常规检验和常见污染物的检验。4.承担卫生行政部门委托的与卫生监督执法相关的检验监测任务。主要工作任务及目标是：完成上级下达的疾病预防控制任务。</w:t>
      </w:r>
    </w:p>
    <w:p w14:paraId="3CB6B0F3">
      <w:pPr>
        <w:pStyle w:val="8"/>
        <w:numPr>
          <w:ilvl w:val="0"/>
          <w:numId w:val="4"/>
        </w:numPr>
        <w:shd w:val="clear" w:color="auto" w:fill="FFFFFF"/>
        <w:spacing w:before="0" w:beforeAutospacing="0" w:after="225" w:afterAutospacing="0" w:line="450" w:lineRule="atLeast"/>
        <w:ind w:firstLine="645"/>
        <w:rPr>
          <w:rFonts w:hint="eastAsia" w:ascii="仿宋" w:hAnsi="仿宋" w:eastAsia="仿宋" w:cs="仿宋"/>
          <w:spacing w:val="0"/>
          <w:sz w:val="32"/>
          <w:szCs w:val="32"/>
          <w:highlight w:val="none"/>
        </w:rPr>
      </w:pPr>
      <w:r>
        <w:rPr>
          <w:rFonts w:hint="eastAsia" w:ascii="仿宋" w:hAnsi="仿宋" w:eastAsia="仿宋" w:cs="仿宋"/>
          <w:b/>
          <w:sz w:val="32"/>
          <w:szCs w:val="32"/>
        </w:rPr>
        <w:t>年初预算安排情况</w:t>
      </w:r>
    </w:p>
    <w:p w14:paraId="5C869C3C">
      <w:pPr>
        <w:pStyle w:val="8"/>
        <w:numPr>
          <w:ilvl w:val="0"/>
          <w:numId w:val="0"/>
        </w:numPr>
        <w:shd w:val="clear" w:color="auto" w:fill="FFFFFF"/>
        <w:spacing w:before="0" w:beforeAutospacing="0" w:after="225" w:afterAutospacing="0" w:line="450" w:lineRule="atLeast"/>
        <w:ind w:left="645" w:leftChars="0" w:right="0" w:rightChars="0"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县本级安排疾病预防控制中心预算收入1279.43万元。一般公共预算安排1279.43万元，其中</w:t>
      </w:r>
      <w:r>
        <w:rPr>
          <w:rFonts w:hint="eastAsia" w:ascii="仿宋" w:hAnsi="仿宋" w:eastAsia="仿宋" w:cs="仿宋"/>
          <w:sz w:val="32"/>
          <w:szCs w:val="32"/>
          <w:highlight w:val="none"/>
          <w:lang w:eastAsia="zh-CN"/>
        </w:rPr>
        <w:t>基本支出收入</w:t>
      </w:r>
      <w:r>
        <w:rPr>
          <w:rFonts w:hint="eastAsia" w:ascii="仿宋" w:hAnsi="仿宋" w:eastAsia="仿宋" w:cs="仿宋"/>
          <w:sz w:val="32"/>
          <w:szCs w:val="32"/>
          <w:highlight w:val="none"/>
          <w:lang w:val="en-US" w:eastAsia="zh-CN"/>
        </w:rPr>
        <w:t>292.67</w:t>
      </w:r>
      <w:r>
        <w:rPr>
          <w:rFonts w:hint="eastAsia" w:ascii="仿宋" w:hAnsi="仿宋" w:eastAsia="仿宋" w:cs="仿宋"/>
          <w:sz w:val="32"/>
          <w:szCs w:val="32"/>
          <w:highlight w:val="none"/>
          <w:lang w:eastAsia="zh-CN"/>
        </w:rPr>
        <w:t>万元，占县本级年初预算安排收入的</w:t>
      </w:r>
      <w:r>
        <w:rPr>
          <w:rFonts w:hint="eastAsia" w:ascii="仿宋" w:hAnsi="仿宋" w:eastAsia="仿宋" w:cs="仿宋"/>
          <w:sz w:val="32"/>
          <w:szCs w:val="32"/>
          <w:highlight w:val="none"/>
          <w:lang w:val="en-US" w:eastAsia="zh-CN"/>
        </w:rPr>
        <w:t>22.87%（</w:t>
      </w:r>
      <w:r>
        <w:rPr>
          <w:rFonts w:hint="eastAsia" w:ascii="仿宋" w:hAnsi="仿宋" w:eastAsia="仿宋" w:cs="仿宋"/>
          <w:sz w:val="32"/>
          <w:szCs w:val="32"/>
          <w:highlight w:val="none"/>
          <w:lang w:eastAsia="zh-CN"/>
        </w:rPr>
        <w:t>工资福利性支出</w:t>
      </w:r>
      <w:r>
        <w:rPr>
          <w:rFonts w:hint="eastAsia" w:ascii="仿宋" w:hAnsi="仿宋" w:eastAsia="仿宋" w:cs="仿宋"/>
          <w:sz w:val="32"/>
          <w:szCs w:val="32"/>
          <w:highlight w:val="none"/>
          <w:lang w:val="en-US" w:eastAsia="zh-CN"/>
        </w:rPr>
        <w:t>239.69万</w:t>
      </w:r>
      <w:r>
        <w:rPr>
          <w:rFonts w:hint="eastAsia" w:ascii="仿宋" w:hAnsi="仿宋" w:eastAsia="仿宋" w:cs="仿宋"/>
          <w:sz w:val="32"/>
          <w:szCs w:val="32"/>
          <w:highlight w:val="none"/>
          <w:lang w:eastAsia="zh-CN"/>
        </w:rPr>
        <w:t>元、公用经费</w:t>
      </w:r>
      <w:r>
        <w:rPr>
          <w:rFonts w:hint="eastAsia" w:ascii="仿宋" w:hAnsi="仿宋" w:eastAsia="仿宋" w:cs="仿宋"/>
          <w:sz w:val="32"/>
          <w:szCs w:val="32"/>
          <w:highlight w:val="none"/>
          <w:lang w:val="en-US" w:eastAsia="zh-CN"/>
        </w:rPr>
        <w:t>51</w:t>
      </w:r>
      <w:r>
        <w:rPr>
          <w:rFonts w:hint="eastAsia" w:ascii="仿宋" w:hAnsi="仿宋" w:eastAsia="仿宋" w:cs="仿宋"/>
          <w:sz w:val="32"/>
          <w:szCs w:val="32"/>
          <w:highlight w:val="none"/>
          <w:lang w:eastAsia="zh-CN"/>
        </w:rPr>
        <w:t>万元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。项目支出</w:t>
      </w:r>
      <w:r>
        <w:rPr>
          <w:rFonts w:hint="eastAsia" w:ascii="仿宋" w:hAnsi="仿宋" w:eastAsia="仿宋" w:cs="仿宋"/>
          <w:sz w:val="32"/>
          <w:szCs w:val="32"/>
          <w:highlight w:val="none"/>
          <w:lang w:val="en-US" w:eastAsia="zh-CN"/>
        </w:rPr>
        <w:t>986.76万</w:t>
      </w:r>
      <w:r>
        <w:rPr>
          <w:rFonts w:hint="eastAsia" w:ascii="仿宋" w:hAnsi="仿宋" w:eastAsia="仿宋" w:cs="仿宋"/>
          <w:sz w:val="32"/>
          <w:szCs w:val="32"/>
          <w:highlight w:val="none"/>
          <w:lang w:eastAsia="zh-CN"/>
        </w:rPr>
        <w:t>元，占县本级年初预算安排收入</w:t>
      </w:r>
      <w:r>
        <w:rPr>
          <w:rFonts w:hint="eastAsia" w:ascii="仿宋" w:hAnsi="仿宋" w:eastAsia="仿宋" w:cs="仿宋"/>
          <w:sz w:val="32"/>
          <w:szCs w:val="32"/>
          <w:highlight w:val="none"/>
          <w:lang w:val="en-US" w:eastAsia="zh-CN"/>
        </w:rPr>
        <w:t>77.13%，</w:t>
      </w:r>
      <w:r>
        <w:rPr>
          <w:rFonts w:hint="eastAsia" w:ascii="仿宋" w:hAnsi="仿宋" w:eastAsia="仿宋" w:cs="仿宋"/>
          <w:sz w:val="32"/>
          <w:szCs w:val="32"/>
          <w:highlight w:val="none"/>
        </w:rPr>
        <w:t>主要围绕</w:t>
      </w:r>
      <w:r>
        <w:rPr>
          <w:rFonts w:hint="eastAsia" w:ascii="仿宋" w:hAnsi="仿宋" w:eastAsia="仿宋" w:cs="仿宋"/>
          <w:sz w:val="32"/>
          <w:szCs w:val="32"/>
          <w:highlight w:val="none"/>
          <w:lang w:eastAsia="zh-CN"/>
        </w:rPr>
        <w:t>疾控中心职工的的基本工资及相关保险保障。</w:t>
      </w:r>
    </w:p>
    <w:p w14:paraId="68E05FAB">
      <w:pPr>
        <w:pStyle w:val="8"/>
        <w:numPr>
          <w:ilvl w:val="0"/>
          <w:numId w:val="0"/>
        </w:numPr>
        <w:shd w:val="clear" w:color="auto" w:fill="FFFFFF"/>
        <w:spacing w:before="0" w:beforeAutospacing="0" w:after="225" w:afterAutospacing="0" w:line="450" w:lineRule="atLeast"/>
        <w:ind w:left="645" w:leftChars="0" w:right="0" w:righ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rPr>
        <w:t>度“三公经费”预算</w:t>
      </w:r>
      <w:r>
        <w:rPr>
          <w:rFonts w:hint="eastAsia" w:ascii="仿宋" w:hAnsi="仿宋" w:eastAsia="仿宋" w:cs="仿宋"/>
          <w:sz w:val="32"/>
          <w:szCs w:val="32"/>
          <w:highlight w:val="none"/>
          <w:lang w:val="en-US" w:eastAsia="zh-CN"/>
        </w:rPr>
        <w:t>14万元，其中</w:t>
      </w:r>
      <w:r>
        <w:rPr>
          <w:rFonts w:hint="eastAsia" w:ascii="仿宋" w:hAnsi="仿宋" w:eastAsia="仿宋" w:cs="仿宋"/>
          <w:sz w:val="32"/>
          <w:szCs w:val="32"/>
          <w:highlight w:val="none"/>
        </w:rPr>
        <w:t>公务接待费为</w:t>
      </w:r>
      <w:r>
        <w:rPr>
          <w:rFonts w:hint="eastAsia" w:ascii="仿宋" w:hAnsi="仿宋" w:eastAsia="仿宋" w:cs="仿宋"/>
          <w:sz w:val="32"/>
          <w:szCs w:val="32"/>
          <w:highlight w:val="none"/>
          <w:lang w:val="en-US" w:eastAsia="zh-CN"/>
        </w:rPr>
        <w:t>4万</w:t>
      </w:r>
      <w:r>
        <w:rPr>
          <w:rFonts w:hint="eastAsia" w:ascii="仿宋" w:hAnsi="仿宋" w:eastAsia="仿宋" w:cs="仿宋"/>
          <w:sz w:val="32"/>
          <w:szCs w:val="32"/>
          <w:highlight w:val="none"/>
        </w:rPr>
        <w:t>元、公务用车购置及运行维护费为</w:t>
      </w:r>
      <w:r>
        <w:rPr>
          <w:rFonts w:hint="eastAsia" w:ascii="仿宋" w:hAnsi="仿宋" w:eastAsia="仿宋" w:cs="仿宋"/>
          <w:sz w:val="32"/>
          <w:szCs w:val="32"/>
          <w:highlight w:val="none"/>
          <w:lang w:val="en-US" w:eastAsia="zh-CN"/>
        </w:rPr>
        <w:t>10万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p>
    <w:p w14:paraId="33DBAAF6">
      <w:pPr>
        <w:spacing w:line="56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四、本年预算执行情况</w:t>
      </w:r>
    </w:p>
    <w:p w14:paraId="72686AA4">
      <w:pPr>
        <w:numPr>
          <w:ilvl w:val="0"/>
          <w:numId w:val="0"/>
        </w:numPr>
        <w:ind w:firstLine="640" w:firstLineChars="200"/>
        <w:rPr>
          <w:rFonts w:hint="eastAsia" w:ascii="宋体" w:hAnsi="宋体" w:cs="宋体"/>
          <w:b w:val="0"/>
          <w:bCs w:val="0"/>
          <w:color w:val="000000"/>
          <w:sz w:val="32"/>
          <w:szCs w:val="32"/>
          <w:lang w:eastAsia="zh-CN"/>
        </w:rPr>
      </w:pPr>
      <w:r>
        <w:rPr>
          <w:rFonts w:hint="eastAsia" w:ascii="宋体" w:hAnsi="宋体" w:cs="宋体"/>
          <w:b/>
          <w:bCs/>
          <w:color w:val="000000"/>
          <w:sz w:val="32"/>
          <w:szCs w:val="32"/>
          <w:lang w:eastAsia="zh-CN"/>
        </w:rPr>
        <w:t>（一）、</w:t>
      </w:r>
      <w:r>
        <w:rPr>
          <w:rFonts w:hint="eastAsia" w:ascii="宋体" w:hAnsi="宋体" w:cs="宋体"/>
          <w:b w:val="0"/>
          <w:bCs w:val="0"/>
          <w:color w:val="000000"/>
          <w:sz w:val="32"/>
          <w:szCs w:val="32"/>
          <w:lang w:eastAsia="zh-CN"/>
        </w:rPr>
        <w:t>基本支出情况</w:t>
      </w:r>
    </w:p>
    <w:p w14:paraId="08625C4E">
      <w:pPr>
        <w:numPr>
          <w:ilvl w:val="0"/>
          <w:numId w:val="0"/>
        </w:numPr>
        <w:ind w:firstLine="642"/>
        <w:rPr>
          <w:rFonts w:hint="eastAsia" w:ascii="宋体" w:hAnsi="宋体" w:cs="宋体"/>
          <w:b w:val="0"/>
          <w:bCs w:val="0"/>
          <w:color w:val="000000"/>
          <w:sz w:val="32"/>
          <w:szCs w:val="32"/>
          <w:lang w:val="en-US" w:eastAsia="zh-CN"/>
        </w:rPr>
      </w:pPr>
      <w:r>
        <w:rPr>
          <w:rFonts w:hint="eastAsia" w:ascii="宋体" w:hAnsi="宋体" w:cs="宋体"/>
          <w:b w:val="0"/>
          <w:bCs w:val="0"/>
          <w:color w:val="000000"/>
          <w:sz w:val="32"/>
          <w:szCs w:val="32"/>
          <w:lang w:val="en-US" w:eastAsia="zh-CN"/>
        </w:rPr>
        <w:t xml:space="preserve"> 本年度基本支出共计608.7万元，其中行政运行1.83万元，其他普通支出30万元，行政单位离退休10.18万元，基本养老保险支出36.21万元，死亡抚恤0.82万元，疾病预防控制435.72万元，基本公共卫生服务71.6万元，财政对其他社会保险基金补助1.06万元，对基本医疗保险基金补助15.6万元。</w:t>
      </w:r>
    </w:p>
    <w:p w14:paraId="61EA4853">
      <w:pPr>
        <w:numPr>
          <w:ilvl w:val="0"/>
          <w:numId w:val="5"/>
        </w:numPr>
        <w:ind w:firstLine="642"/>
        <w:rPr>
          <w:rFonts w:hint="eastAsia" w:ascii="宋体" w:hAnsi="宋体" w:cs="宋体"/>
          <w:b w:val="0"/>
          <w:bCs w:val="0"/>
          <w:color w:val="000000"/>
          <w:sz w:val="32"/>
          <w:szCs w:val="32"/>
          <w:lang w:val="en-US" w:eastAsia="zh-CN"/>
        </w:rPr>
      </w:pPr>
      <w:r>
        <w:rPr>
          <w:rFonts w:hint="eastAsia" w:ascii="宋体" w:hAnsi="宋体" w:cs="宋体"/>
          <w:b w:val="0"/>
          <w:bCs w:val="0"/>
          <w:color w:val="000000"/>
          <w:sz w:val="32"/>
          <w:szCs w:val="32"/>
          <w:lang w:val="en-US" w:eastAsia="zh-CN"/>
        </w:rPr>
        <w:t>、项目支出情况</w:t>
      </w:r>
    </w:p>
    <w:p w14:paraId="61026709">
      <w:pPr>
        <w:numPr>
          <w:ilvl w:val="0"/>
          <w:numId w:val="0"/>
        </w:numPr>
        <w:rPr>
          <w:rFonts w:hint="eastAsia" w:ascii="宋体" w:hAnsi="宋体" w:cs="宋体"/>
          <w:b w:val="0"/>
          <w:bCs w:val="0"/>
          <w:color w:val="000000"/>
          <w:sz w:val="32"/>
          <w:szCs w:val="32"/>
          <w:lang w:val="en-US" w:eastAsia="zh-CN"/>
        </w:rPr>
      </w:pPr>
      <w:r>
        <w:rPr>
          <w:rFonts w:hint="eastAsia" w:ascii="宋体" w:hAnsi="宋体" w:cs="宋体"/>
          <w:b w:val="0"/>
          <w:bCs w:val="0"/>
          <w:color w:val="000000"/>
          <w:sz w:val="32"/>
          <w:szCs w:val="32"/>
          <w:lang w:val="en-US" w:eastAsia="zh-CN"/>
        </w:rPr>
        <w:t xml:space="preserve">   本年度项目资金支出1002.14万元，其中基层医疗卫生机构支出32.53万元，疾病预防控制628.3万元，基本公共卫生服务54.58万元，重大公共卫生服务286万元。</w:t>
      </w:r>
    </w:p>
    <w:p w14:paraId="490A96E3">
      <w:pPr>
        <w:numPr>
          <w:ilvl w:val="0"/>
          <w:numId w:val="0"/>
        </w:numPr>
        <w:spacing w:line="560" w:lineRule="exact"/>
        <w:ind w:left="645" w:leftChars="0"/>
        <w:rPr>
          <w:rFonts w:hint="eastAsia" w:ascii="宋体" w:hAnsi="宋体" w:eastAsia="宋体" w:cs="宋体"/>
          <w:b/>
          <w:bCs/>
          <w:color w:val="343233"/>
          <w:kern w:val="0"/>
          <w:sz w:val="32"/>
          <w:szCs w:val="32"/>
          <w:highlight w:val="none"/>
        </w:rPr>
      </w:pPr>
      <w:r>
        <w:rPr>
          <w:rFonts w:hint="eastAsia" w:ascii="宋体" w:hAnsi="宋体" w:cs="宋体"/>
          <w:b/>
          <w:bCs/>
          <w:color w:val="343233"/>
          <w:kern w:val="0"/>
          <w:sz w:val="32"/>
          <w:szCs w:val="32"/>
          <w:highlight w:val="none"/>
          <w:lang w:eastAsia="zh-CN"/>
        </w:rPr>
        <w:t>五、</w:t>
      </w:r>
      <w:r>
        <w:rPr>
          <w:rFonts w:hint="eastAsia" w:ascii="宋体" w:hAnsi="宋体" w:eastAsia="宋体" w:cs="宋体"/>
          <w:b/>
          <w:bCs/>
          <w:color w:val="343233"/>
          <w:kern w:val="0"/>
          <w:sz w:val="32"/>
          <w:szCs w:val="32"/>
          <w:highlight w:val="none"/>
        </w:rPr>
        <w:t>目标</w:t>
      </w:r>
      <w:r>
        <w:rPr>
          <w:rFonts w:hint="eastAsia" w:ascii="宋体" w:hAnsi="宋体" w:cs="宋体"/>
          <w:b/>
          <w:bCs/>
          <w:color w:val="343233"/>
          <w:kern w:val="0"/>
          <w:sz w:val="32"/>
          <w:szCs w:val="32"/>
          <w:highlight w:val="none"/>
          <w:lang w:eastAsia="zh-CN"/>
        </w:rPr>
        <w:t>工作</w:t>
      </w:r>
      <w:r>
        <w:rPr>
          <w:rFonts w:hint="eastAsia" w:ascii="宋体" w:hAnsi="宋体" w:eastAsia="宋体" w:cs="宋体"/>
          <w:b/>
          <w:bCs/>
          <w:color w:val="343233"/>
          <w:kern w:val="0"/>
          <w:sz w:val="32"/>
          <w:szCs w:val="32"/>
          <w:highlight w:val="none"/>
        </w:rPr>
        <w:t>履职情况</w:t>
      </w:r>
    </w:p>
    <w:p w14:paraId="6ECFDF13">
      <w:pPr>
        <w:pStyle w:val="8"/>
        <w:spacing w:before="0" w:beforeAutospacing="0" w:after="0" w:afterAutospacing="0" w:line="560" w:lineRule="exact"/>
        <w:ind w:firstLine="480"/>
        <w:rPr>
          <w:rFonts w:hint="eastAsia" w:ascii="仿宋" w:hAnsi="仿宋" w:eastAsia="仿宋" w:cs="仿宋"/>
          <w:bCs/>
          <w:sz w:val="32"/>
          <w:szCs w:val="32"/>
          <w:highlight w:val="none"/>
        </w:rPr>
      </w:pPr>
      <w:r>
        <w:rPr>
          <w:rFonts w:hint="eastAsia" w:ascii="仿宋" w:hAnsi="仿宋" w:eastAsia="仿宋" w:cs="仿宋"/>
          <w:color w:val="343233"/>
          <w:kern w:val="0"/>
          <w:sz w:val="32"/>
          <w:szCs w:val="32"/>
          <w:highlight w:val="none"/>
        </w:rPr>
        <w:t>由于年初预算安排及</w:t>
      </w:r>
      <w:r>
        <w:rPr>
          <w:rFonts w:hint="eastAsia" w:ascii="仿宋" w:hAnsi="仿宋" w:eastAsia="仿宋" w:cs="仿宋"/>
          <w:color w:val="343233"/>
          <w:kern w:val="0"/>
          <w:sz w:val="32"/>
          <w:szCs w:val="32"/>
          <w:highlight w:val="none"/>
          <w:lang w:eastAsia="zh-CN"/>
        </w:rPr>
        <w:t>执行</w:t>
      </w:r>
      <w:r>
        <w:rPr>
          <w:rFonts w:hint="eastAsia" w:ascii="仿宋" w:hAnsi="仿宋" w:eastAsia="仿宋" w:cs="仿宋"/>
          <w:color w:val="343233"/>
          <w:kern w:val="0"/>
          <w:sz w:val="32"/>
          <w:szCs w:val="32"/>
          <w:highlight w:val="none"/>
        </w:rPr>
        <w:t>，有效的保障了</w:t>
      </w:r>
      <w:r>
        <w:rPr>
          <w:rFonts w:hint="eastAsia" w:ascii="仿宋" w:hAnsi="仿宋" w:eastAsia="仿宋" w:cs="仿宋"/>
          <w:bCs/>
          <w:sz w:val="32"/>
          <w:szCs w:val="32"/>
          <w:highlight w:val="none"/>
        </w:rPr>
        <w:t>各项业务工作顺利开展，反映良好，主要表现在：</w:t>
      </w:r>
    </w:p>
    <w:p w14:paraId="2A52CA72">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2024</w:t>
      </w:r>
      <w:r>
        <w:rPr>
          <w:rFonts w:hint="eastAsia" w:ascii="仿宋" w:hAnsi="仿宋" w:eastAsia="仿宋" w:cs="仿宋"/>
          <w:color w:val="000000" w:themeColor="text1"/>
          <w:sz w:val="32"/>
          <w:szCs w:val="32"/>
          <w14:textFill>
            <w14:solidFill>
              <w14:schemeClr w14:val="tx1"/>
            </w14:solidFill>
          </w14:textFill>
        </w:rPr>
        <w:t>年度，</w:t>
      </w:r>
      <w:r>
        <w:rPr>
          <w:rFonts w:hint="eastAsia" w:ascii="仿宋" w:hAnsi="仿宋" w:eastAsia="仿宋" w:cs="仿宋"/>
          <w:color w:val="000000" w:themeColor="text1"/>
          <w:sz w:val="32"/>
          <w:szCs w:val="32"/>
          <w:lang w:eastAsia="zh-CN"/>
          <w14:textFill>
            <w14:solidFill>
              <w14:schemeClr w14:val="tx1"/>
            </w14:solidFill>
          </w14:textFill>
        </w:rPr>
        <w:t>会同县疾控中心</w:t>
      </w:r>
      <w:r>
        <w:rPr>
          <w:rFonts w:hint="eastAsia" w:ascii="仿宋" w:hAnsi="仿宋" w:eastAsia="仿宋" w:cs="仿宋"/>
          <w:color w:val="000000" w:themeColor="text1"/>
          <w:sz w:val="32"/>
          <w:szCs w:val="32"/>
          <w14:textFill>
            <w14:solidFill>
              <w14:schemeClr w14:val="tx1"/>
            </w14:solidFill>
          </w14:textFill>
        </w:rPr>
        <w:t>在县卫健局</w:t>
      </w:r>
      <w:r>
        <w:rPr>
          <w:rFonts w:hint="eastAsia" w:ascii="仿宋" w:hAnsi="仿宋" w:eastAsia="仿宋" w:cs="仿宋"/>
          <w:color w:val="000000" w:themeColor="text1"/>
          <w:sz w:val="32"/>
          <w:szCs w:val="32"/>
          <w:lang w:eastAsia="zh-CN"/>
          <w14:textFill>
            <w14:solidFill>
              <w14:schemeClr w14:val="tx1"/>
            </w14:solidFill>
          </w14:textFill>
        </w:rPr>
        <w:t>党委的正确领导下，在</w:t>
      </w:r>
      <w:r>
        <w:rPr>
          <w:rFonts w:hint="eastAsia" w:ascii="仿宋" w:hAnsi="仿宋" w:eastAsia="仿宋" w:cs="仿宋"/>
          <w:color w:val="000000" w:themeColor="text1"/>
          <w:sz w:val="32"/>
          <w:szCs w:val="32"/>
          <w14:textFill>
            <w14:solidFill>
              <w14:schemeClr w14:val="tx1"/>
            </w14:solidFill>
          </w14:textFill>
        </w:rPr>
        <w:t>上级业务部门</w:t>
      </w:r>
      <w:r>
        <w:rPr>
          <w:rFonts w:hint="eastAsia" w:ascii="仿宋" w:hAnsi="仿宋" w:eastAsia="仿宋" w:cs="仿宋"/>
          <w:color w:val="000000" w:themeColor="text1"/>
          <w:sz w:val="32"/>
          <w:szCs w:val="32"/>
          <w:lang w:eastAsia="zh-CN"/>
          <w14:textFill>
            <w14:solidFill>
              <w14:schemeClr w14:val="tx1"/>
            </w14:solidFill>
          </w14:textFill>
        </w:rPr>
        <w:t>积极</w:t>
      </w:r>
      <w:r>
        <w:rPr>
          <w:rFonts w:hint="eastAsia" w:ascii="仿宋" w:hAnsi="仿宋" w:eastAsia="仿宋" w:cs="仿宋"/>
          <w:color w:val="000000" w:themeColor="text1"/>
          <w:sz w:val="32"/>
          <w:szCs w:val="32"/>
          <w14:textFill>
            <w14:solidFill>
              <w14:schemeClr w14:val="tx1"/>
            </w14:solidFill>
          </w14:textFill>
        </w:rPr>
        <w:t>指导下，</w:t>
      </w:r>
      <w:r>
        <w:rPr>
          <w:rFonts w:hint="eastAsia" w:ascii="仿宋" w:hAnsi="仿宋" w:eastAsia="仿宋" w:cs="仿宋"/>
          <w:color w:val="000000" w:themeColor="text1"/>
          <w:sz w:val="32"/>
          <w:szCs w:val="32"/>
          <w:lang w:eastAsia="zh-CN"/>
          <w14:textFill>
            <w14:solidFill>
              <w14:schemeClr w14:val="tx1"/>
            </w14:solidFill>
          </w14:textFill>
        </w:rPr>
        <w:t>发挥了传染病预防控制与疫情处置等主导作用，全面推进医防隔合、医防协同相结合，疾病预防控制工作取得了新的成效。全力抓好</w:t>
      </w:r>
      <w:r>
        <w:rPr>
          <w:rFonts w:hint="eastAsia" w:ascii="仿宋" w:hAnsi="仿宋" w:eastAsia="仿宋" w:cs="仿宋"/>
          <w:color w:val="000000" w:themeColor="text1"/>
          <w:sz w:val="32"/>
          <w:szCs w:val="32"/>
          <w:lang w:val="en-US" w:eastAsia="zh-CN"/>
          <w14:textFill>
            <w14:solidFill>
              <w14:schemeClr w14:val="tx1"/>
            </w14:solidFill>
          </w14:textFill>
        </w:rPr>
        <w:t>免疫规划和疫苗防控疾病</w:t>
      </w:r>
      <w:r>
        <w:rPr>
          <w:rFonts w:hint="eastAsia" w:ascii="仿宋" w:hAnsi="仿宋" w:eastAsia="仿宋" w:cs="仿宋"/>
          <w:color w:val="000000" w:themeColor="text1"/>
          <w:sz w:val="32"/>
          <w:szCs w:val="32"/>
          <w:lang w:eastAsia="zh-CN"/>
          <w14:textFill>
            <w14:solidFill>
              <w14:schemeClr w14:val="tx1"/>
            </w14:solidFill>
          </w14:textFill>
        </w:rPr>
        <w:t>监测</w:t>
      </w:r>
      <w:r>
        <w:rPr>
          <w:rFonts w:hint="eastAsia" w:ascii="仿宋" w:hAnsi="仿宋" w:eastAsia="仿宋" w:cs="仿宋"/>
          <w:color w:val="000000" w:themeColor="text1"/>
          <w:sz w:val="32"/>
          <w:szCs w:val="32"/>
          <w:lang w:val="en-US" w:eastAsia="zh-CN"/>
          <w14:textFill>
            <w14:solidFill>
              <w14:schemeClr w14:val="tx1"/>
            </w14:solidFill>
          </w14:textFill>
        </w:rPr>
        <w:t>、急性传染病监测处置、</w:t>
      </w:r>
      <w:r>
        <w:rPr>
          <w:rFonts w:hint="eastAsia" w:ascii="仿宋" w:hAnsi="仿宋" w:eastAsia="仿宋" w:cs="仿宋"/>
          <w:color w:val="000000" w:themeColor="text1"/>
          <w:sz w:val="32"/>
          <w:szCs w:val="32"/>
          <w14:textFill>
            <w14:solidFill>
              <w14:schemeClr w14:val="tx1"/>
            </w14:solidFill>
          </w14:textFill>
        </w:rPr>
        <w:t>结核病</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艾滋病</w:t>
      </w:r>
      <w:r>
        <w:rPr>
          <w:rFonts w:hint="eastAsia" w:ascii="仿宋" w:hAnsi="仿宋" w:eastAsia="仿宋" w:cs="仿宋"/>
          <w:color w:val="000000" w:themeColor="text1"/>
          <w:sz w:val="32"/>
          <w:szCs w:val="32"/>
          <w:lang w:val="en-US" w:eastAsia="zh-CN"/>
          <w14:textFill>
            <w14:solidFill>
              <w14:schemeClr w14:val="tx1"/>
            </w14:solidFill>
          </w14:textFill>
        </w:rPr>
        <w:t>先进重大传染病防控</w:t>
      </w:r>
      <w:r>
        <w:rPr>
          <w:rFonts w:hint="eastAsia" w:ascii="仿宋" w:hAnsi="仿宋" w:eastAsia="仿宋" w:cs="仿宋"/>
          <w:color w:val="000000" w:themeColor="text1"/>
          <w:sz w:val="32"/>
          <w:szCs w:val="32"/>
          <w:lang w:eastAsia="zh-CN"/>
          <w14:textFill>
            <w14:solidFill>
              <w14:schemeClr w14:val="tx1"/>
            </w14:solidFill>
          </w14:textFill>
        </w:rPr>
        <w:t>，稳</w:t>
      </w:r>
      <w:r>
        <w:rPr>
          <w:rFonts w:hint="eastAsia" w:ascii="仿宋" w:hAnsi="仿宋" w:eastAsia="仿宋" w:cs="仿宋"/>
          <w:color w:val="000000" w:themeColor="text1"/>
          <w:sz w:val="32"/>
          <w:szCs w:val="32"/>
          <w:lang w:val="en-US" w:eastAsia="zh-CN"/>
          <w14:textFill>
            <w14:solidFill>
              <w14:schemeClr w14:val="tx1"/>
            </w14:solidFill>
          </w14:textFill>
        </w:rPr>
        <w:t>步</w:t>
      </w:r>
      <w:r>
        <w:rPr>
          <w:rFonts w:hint="eastAsia" w:ascii="仿宋" w:hAnsi="仿宋" w:eastAsia="仿宋" w:cs="仿宋"/>
          <w:color w:val="000000" w:themeColor="text1"/>
          <w:sz w:val="32"/>
          <w:szCs w:val="32"/>
          <w:lang w:eastAsia="zh-CN"/>
          <w14:textFill>
            <w14:solidFill>
              <w14:schemeClr w14:val="tx1"/>
            </w14:solidFill>
          </w14:textFill>
        </w:rPr>
        <w:t>推进健康教育</w:t>
      </w:r>
      <w:r>
        <w:rPr>
          <w:rFonts w:hint="eastAsia" w:ascii="仿宋" w:hAnsi="仿宋" w:eastAsia="仿宋" w:cs="仿宋"/>
          <w:color w:val="000000" w:themeColor="text1"/>
          <w:sz w:val="32"/>
          <w:szCs w:val="32"/>
          <w:lang w:val="en-US" w:eastAsia="zh-CN"/>
          <w14:textFill>
            <w14:solidFill>
              <w14:schemeClr w14:val="tx1"/>
            </w14:solidFill>
          </w14:textFill>
        </w:rPr>
        <w:t>和慢病管理服务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职业危害因素</w:t>
      </w:r>
      <w:r>
        <w:rPr>
          <w:rFonts w:hint="eastAsia" w:ascii="仿宋" w:hAnsi="仿宋" w:eastAsia="仿宋" w:cs="仿宋"/>
          <w:color w:val="000000" w:themeColor="text1"/>
          <w:sz w:val="32"/>
          <w:szCs w:val="32"/>
          <w:lang w:eastAsia="zh-CN"/>
          <w14:textFill>
            <w14:solidFill>
              <w14:schemeClr w14:val="tx1"/>
            </w14:solidFill>
          </w14:textFill>
        </w:rPr>
        <w:t>和安全</w:t>
      </w:r>
      <w:r>
        <w:rPr>
          <w:rFonts w:hint="eastAsia" w:ascii="仿宋" w:hAnsi="仿宋" w:eastAsia="仿宋" w:cs="仿宋"/>
          <w:color w:val="000000" w:themeColor="text1"/>
          <w:sz w:val="32"/>
          <w:szCs w:val="32"/>
          <w14:textFill>
            <w14:solidFill>
              <w14:schemeClr w14:val="tx1"/>
            </w14:solidFill>
          </w14:textFill>
        </w:rPr>
        <w:t>饮用水检测</w:t>
      </w:r>
      <w:r>
        <w:rPr>
          <w:rFonts w:hint="eastAsia" w:ascii="仿宋" w:hAnsi="仿宋" w:eastAsia="仿宋" w:cs="仿宋"/>
          <w:color w:val="000000" w:themeColor="text1"/>
          <w:sz w:val="32"/>
          <w:szCs w:val="32"/>
          <w:lang w:eastAsia="zh-CN"/>
          <w14:textFill>
            <w14:solidFill>
              <w14:schemeClr w14:val="tx1"/>
            </w14:solidFill>
          </w14:textFill>
        </w:rPr>
        <w:t>工作，</w:t>
      </w:r>
      <w:r>
        <w:rPr>
          <w:rFonts w:hint="eastAsia" w:ascii="仿宋" w:hAnsi="仿宋" w:eastAsia="仿宋" w:cs="仿宋"/>
          <w:color w:val="000000" w:themeColor="text1"/>
          <w:sz w:val="32"/>
          <w:szCs w:val="32"/>
          <w:lang w:val="en-US" w:eastAsia="zh-CN"/>
          <w14:textFill>
            <w14:solidFill>
              <w14:schemeClr w14:val="tx1"/>
            </w14:solidFill>
          </w14:textFill>
        </w:rPr>
        <w:t>平稳交接</w:t>
      </w:r>
      <w:r>
        <w:rPr>
          <w:rFonts w:hint="eastAsia" w:ascii="仿宋" w:hAnsi="仿宋" w:eastAsia="仿宋" w:cs="仿宋"/>
          <w:color w:val="000000" w:themeColor="text1"/>
          <w:sz w:val="32"/>
          <w:szCs w:val="32"/>
          <w:lang w:eastAsia="zh-CN"/>
          <w14:textFill>
            <w14:solidFill>
              <w14:schemeClr w14:val="tx1"/>
            </w14:solidFill>
          </w14:textFill>
        </w:rPr>
        <w:t>精</w:t>
      </w:r>
      <w:r>
        <w:rPr>
          <w:rFonts w:hint="eastAsia" w:ascii="仿宋" w:hAnsi="仿宋" w:eastAsia="仿宋" w:cs="仿宋"/>
          <w:color w:val="000000" w:themeColor="text1"/>
          <w:sz w:val="32"/>
          <w:szCs w:val="32"/>
          <w:lang w:val="en-US" w:eastAsia="zh-CN"/>
          <w14:textFill>
            <w14:solidFill>
              <w14:schemeClr w14:val="tx1"/>
            </w14:solidFill>
          </w14:textFill>
        </w:rPr>
        <w:t>防工作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2024年荣获全国第九届“万步有约”健走激励大赛铜牌健走示范区、健走促进三等奖、百强健走示范区奖，2024年度全省慢病防控先进单位，2024年度怀化市艾滋病防治知识健康科普大赛团体三等奖、怀化市麻风病防治技能竞赛团体二等奖。全县基本公共卫生服务有序推进，无突发重大传染病疫情，健康生活方式行动不断深入人心。</w:t>
      </w:r>
    </w:p>
    <w:p w14:paraId="5196DF54">
      <w:pPr>
        <w:keepNext w:val="0"/>
        <w:keepLines w:val="0"/>
        <w:pageBreakBefore w:val="0"/>
        <w:numPr>
          <w:ilvl w:val="0"/>
          <w:numId w:val="0"/>
        </w:numPr>
        <w:kinsoku/>
        <w:wordWrap/>
        <w:overflowPunct/>
        <w:topLinePunct w:val="0"/>
        <w:autoSpaceDE/>
        <w:autoSpaceDN/>
        <w:bidi w:val="0"/>
        <w:adjustRightInd/>
        <w:spacing w:line="560" w:lineRule="exact"/>
        <w:ind w:left="630" w:leftChars="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一、强化理论学习，增强能力素质</w:t>
      </w:r>
    </w:p>
    <w:p w14:paraId="2ED6906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一是常态化坚持中心组学习活动。</w:t>
      </w:r>
      <w:r>
        <w:rPr>
          <w:rFonts w:hint="eastAsia" w:ascii="仿宋" w:hAnsi="仿宋" w:eastAsia="仿宋" w:cs="仿宋"/>
          <w:color w:val="000000" w:themeColor="text1"/>
          <w:sz w:val="32"/>
          <w:szCs w:val="32"/>
          <w:lang w:val="en-US" w:eastAsia="zh-CN"/>
          <w14:textFill>
            <w14:solidFill>
              <w14:schemeClr w14:val="tx1"/>
            </w14:solidFill>
          </w14:textFill>
        </w:rPr>
        <w:t>深入开展中心组各项学习活动，按年初计划开展定期学习，阶段性专题学习重要会议精神，做到规定动作不少，内容不缺，任务达标。</w:t>
      </w:r>
      <w:r>
        <w:rPr>
          <w:rFonts w:hint="eastAsia" w:ascii="楷体" w:hAnsi="楷体" w:eastAsia="楷体" w:cs="楷体"/>
          <w:color w:val="000000" w:themeColor="text1"/>
          <w:sz w:val="32"/>
          <w:szCs w:val="32"/>
          <w:lang w:val="en-US" w:eastAsia="zh-CN"/>
          <w14:textFill>
            <w14:solidFill>
              <w14:schemeClr w14:val="tx1"/>
            </w14:solidFill>
          </w14:textFill>
        </w:rPr>
        <w:t>二是全面开展干部理论知识大学习。</w:t>
      </w:r>
      <w:r>
        <w:rPr>
          <w:rFonts w:hint="eastAsia" w:ascii="仿宋" w:hAnsi="仿宋" w:eastAsia="仿宋" w:cs="仿宋"/>
          <w:color w:val="000000" w:themeColor="text1"/>
          <w:sz w:val="32"/>
          <w:szCs w:val="32"/>
          <w:lang w:val="en-US" w:eastAsia="zh-CN"/>
          <w14:textFill>
            <w14:solidFill>
              <w14:schemeClr w14:val="tx1"/>
            </w14:solidFill>
          </w14:textFill>
        </w:rPr>
        <w:t>邀请相关专家授课，集中收看直播，分散学习录播课，坚持党的政治理论学习不走样，专业技能学习有实效。</w:t>
      </w:r>
      <w:r>
        <w:rPr>
          <w:rFonts w:hint="eastAsia" w:ascii="楷体" w:hAnsi="楷体" w:eastAsia="楷体" w:cs="楷体"/>
          <w:color w:val="000000" w:themeColor="text1"/>
          <w:sz w:val="32"/>
          <w:szCs w:val="32"/>
          <w:lang w:val="en-US" w:eastAsia="zh-CN"/>
          <w14:textFill>
            <w14:solidFill>
              <w14:schemeClr w14:val="tx1"/>
            </w14:solidFill>
          </w14:textFill>
        </w:rPr>
        <w:t>三是开展专题学习教育活动。</w:t>
      </w:r>
      <w:r>
        <w:rPr>
          <w:rFonts w:hint="eastAsia" w:ascii="仿宋" w:hAnsi="仿宋" w:eastAsia="仿宋" w:cs="仿宋"/>
          <w:color w:val="000000" w:themeColor="text1"/>
          <w:sz w:val="32"/>
          <w:szCs w:val="32"/>
          <w:lang w:val="en-US" w:eastAsia="zh-CN"/>
          <w14:textFill>
            <w14:solidFill>
              <w14:schemeClr w14:val="tx1"/>
            </w14:solidFill>
          </w14:textFill>
        </w:rPr>
        <w:t>以学习贯彻习近平新时代中国特色社会主义思想主题教育为契机，全面组织党员干部学习教育活动。通过一月一课一片一实践等活动，延深学教活动实效，增强学习效果。</w:t>
      </w:r>
      <w:r>
        <w:rPr>
          <w:rFonts w:hint="eastAsia" w:ascii="楷体" w:hAnsi="楷体" w:eastAsia="楷体" w:cs="楷体"/>
          <w:color w:val="000000" w:themeColor="text1"/>
          <w:sz w:val="32"/>
          <w:szCs w:val="32"/>
          <w:lang w:val="en-US" w:eastAsia="zh-CN"/>
          <w14:textFill>
            <w14:solidFill>
              <w14:schemeClr w14:val="tx1"/>
            </w14:solidFill>
          </w14:textFill>
        </w:rPr>
        <w:t>四是学用结合，增强实效。</w:t>
      </w:r>
      <w:r>
        <w:rPr>
          <w:rFonts w:hint="eastAsia" w:ascii="仿宋" w:hAnsi="仿宋" w:eastAsia="仿宋" w:cs="仿宋"/>
          <w:color w:val="000000" w:themeColor="text1"/>
          <w:kern w:val="0"/>
          <w:sz w:val="32"/>
          <w:szCs w:val="32"/>
          <w:lang w:val="en-US" w:eastAsia="zh-CN"/>
          <w14:textFill>
            <w14:solidFill>
              <w14:schemeClr w14:val="tx1"/>
            </w14:solidFill>
          </w14:textFill>
        </w:rPr>
        <w:t>全年开展了中心组学习活动10次，学习教育活动2次，专题学习讨论8次，按要求撰写了高质量的学习心得和学习笔记，较好地完成了各项学习任务。着重</w:t>
      </w:r>
      <w:r>
        <w:rPr>
          <w:rFonts w:hint="eastAsia" w:ascii="仿宋" w:hAnsi="仿宋" w:eastAsia="仿宋" w:cs="仿宋"/>
          <w:color w:val="000000" w:themeColor="text1"/>
          <w:sz w:val="32"/>
          <w:szCs w:val="32"/>
          <w:lang w:val="en-US" w:eastAsia="zh-CN"/>
          <w14:textFill>
            <w14:solidFill>
              <w14:schemeClr w14:val="tx1"/>
            </w14:solidFill>
          </w14:textFill>
        </w:rPr>
        <w:t>学习了</w:t>
      </w:r>
      <w:r>
        <w:rPr>
          <w:rFonts w:hint="eastAsia" w:ascii="仿宋" w:hAnsi="仿宋" w:eastAsia="仿宋" w:cs="仿宋"/>
          <w:color w:val="000000" w:themeColor="text1"/>
          <w:kern w:val="0"/>
          <w:sz w:val="32"/>
          <w:szCs w:val="32"/>
          <w:lang w:eastAsia="zh-CN"/>
          <w14:textFill>
            <w14:solidFill>
              <w14:schemeClr w14:val="tx1"/>
            </w14:solidFill>
          </w14:textFill>
        </w:rPr>
        <w:t>党的二十大报告、《中国共产党纪律处分条例》、《习近平新时代中国特色社会主义思想专题摘编》、《习近平著作选读》、党的二十届三中全会精神等</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进一步增强了政治思想意识，凝聚了工作执行力和战斗力，使党员领导干部在</w:t>
      </w:r>
      <w:r>
        <w:rPr>
          <w:rFonts w:hint="eastAsia" w:ascii="仿宋" w:hAnsi="仿宋" w:eastAsia="仿宋" w:cs="仿宋"/>
          <w:color w:val="000000" w:themeColor="text1"/>
          <w:sz w:val="32"/>
          <w:szCs w:val="32"/>
          <w:lang w:val="en-US" w:eastAsia="zh-CN"/>
          <w14:textFill>
            <w14:solidFill>
              <w14:schemeClr w14:val="tx1"/>
            </w14:solidFill>
          </w14:textFill>
        </w:rPr>
        <w:t>政治上始终保持与党中央一致。</w:t>
      </w:r>
      <w:r>
        <w:rPr>
          <w:rFonts w:hint="eastAsia" w:ascii="仿宋" w:hAnsi="仿宋" w:eastAsia="仿宋" w:cs="仿宋"/>
          <w:color w:val="000000" w:themeColor="text1"/>
          <w:kern w:val="0"/>
          <w:sz w:val="32"/>
          <w:szCs w:val="32"/>
          <w:lang w:val="en-US" w:eastAsia="zh-CN"/>
          <w14:textFill>
            <w14:solidFill>
              <w14:schemeClr w14:val="tx1"/>
            </w14:solidFill>
          </w14:textFill>
        </w:rPr>
        <w:t>全体人员完成疾控系统平台“大学习”任务，专业技术人员全部在医博士完成25分继续教育，</w:t>
      </w:r>
      <w:r>
        <w:rPr>
          <w:rFonts w:hint="eastAsia" w:ascii="仿宋" w:hAnsi="仿宋" w:eastAsia="仿宋" w:cs="仿宋"/>
          <w:color w:val="000000" w:themeColor="text1"/>
          <w:kern w:val="0"/>
          <w:sz w:val="32"/>
          <w:szCs w:val="32"/>
          <w:lang w:eastAsia="zh-CN"/>
          <w14:textFill>
            <w14:solidFill>
              <w14:schemeClr w14:val="tx1"/>
            </w14:solidFill>
          </w14:textFill>
        </w:rPr>
        <w:t>积极参加省、市</w:t>
      </w:r>
      <w:r>
        <w:rPr>
          <w:rFonts w:hint="eastAsia" w:ascii="仿宋" w:hAnsi="仿宋" w:eastAsia="仿宋" w:cs="仿宋"/>
          <w:color w:val="000000" w:themeColor="text1"/>
          <w:kern w:val="0"/>
          <w:sz w:val="32"/>
          <w:szCs w:val="32"/>
          <w:lang w:val="en-US" w:eastAsia="zh-CN"/>
          <w14:textFill>
            <w14:solidFill>
              <w14:schemeClr w14:val="tx1"/>
            </w14:solidFill>
          </w14:textFill>
        </w:rPr>
        <w:t>和组织</w:t>
      </w:r>
      <w:r>
        <w:rPr>
          <w:rFonts w:hint="eastAsia" w:ascii="仿宋" w:hAnsi="仿宋" w:eastAsia="仿宋" w:cs="仿宋"/>
          <w:color w:val="000000" w:themeColor="text1"/>
          <w:kern w:val="0"/>
          <w:sz w:val="32"/>
          <w:szCs w:val="32"/>
          <w:lang w:eastAsia="zh-CN"/>
          <w14:textFill>
            <w14:solidFill>
              <w14:schemeClr w14:val="tx1"/>
            </w14:solidFill>
          </w14:textFill>
        </w:rPr>
        <w:t>县</w:t>
      </w:r>
      <w:r>
        <w:rPr>
          <w:rFonts w:hint="eastAsia" w:ascii="仿宋" w:hAnsi="仿宋" w:eastAsia="仿宋" w:cs="仿宋"/>
          <w:color w:val="000000" w:themeColor="text1"/>
          <w:kern w:val="0"/>
          <w:sz w:val="32"/>
          <w:szCs w:val="32"/>
          <w:lang w:val="en-US" w:eastAsia="zh-CN"/>
          <w14:textFill>
            <w14:solidFill>
              <w14:schemeClr w14:val="tx1"/>
            </w14:solidFill>
          </w14:textFill>
        </w:rPr>
        <w:t>相关人员专业</w:t>
      </w:r>
      <w:r>
        <w:rPr>
          <w:rFonts w:hint="eastAsia" w:ascii="仿宋" w:hAnsi="仿宋" w:eastAsia="仿宋" w:cs="仿宋"/>
          <w:color w:val="000000" w:themeColor="text1"/>
          <w:kern w:val="0"/>
          <w:sz w:val="32"/>
          <w:szCs w:val="32"/>
          <w:lang w:eastAsia="zh-CN"/>
          <w14:textFill>
            <w14:solidFill>
              <w14:schemeClr w14:val="tx1"/>
            </w14:solidFill>
          </w14:textFill>
        </w:rPr>
        <w:t>知识培训，不断</w:t>
      </w:r>
      <w:r>
        <w:rPr>
          <w:rFonts w:hint="eastAsia" w:ascii="仿宋" w:hAnsi="仿宋" w:eastAsia="仿宋" w:cs="仿宋"/>
          <w:color w:val="000000" w:themeColor="text1"/>
          <w:kern w:val="0"/>
          <w:sz w:val="32"/>
          <w:szCs w:val="32"/>
          <w:lang w:val="en-US" w:eastAsia="zh-CN"/>
          <w14:textFill>
            <w14:solidFill>
              <w14:schemeClr w14:val="tx1"/>
            </w14:solidFill>
          </w14:textFill>
        </w:rPr>
        <w:t>丰富</w:t>
      </w:r>
      <w:r>
        <w:rPr>
          <w:rFonts w:hint="eastAsia" w:ascii="仿宋" w:hAnsi="仿宋" w:eastAsia="仿宋" w:cs="仿宋"/>
          <w:color w:val="000000" w:themeColor="text1"/>
          <w:kern w:val="0"/>
          <w:sz w:val="32"/>
          <w:szCs w:val="32"/>
          <w:lang w:eastAsia="zh-CN"/>
          <w14:textFill>
            <w14:solidFill>
              <w14:schemeClr w14:val="tx1"/>
            </w14:solidFill>
          </w14:textFill>
        </w:rPr>
        <w:t>自己的知识，</w:t>
      </w:r>
      <w:r>
        <w:rPr>
          <w:rFonts w:hint="eastAsia" w:ascii="仿宋" w:hAnsi="仿宋" w:eastAsia="仿宋" w:cs="仿宋"/>
          <w:color w:val="000000" w:themeColor="text1"/>
          <w:kern w:val="0"/>
          <w:sz w:val="32"/>
          <w:szCs w:val="32"/>
          <w:lang w:val="en-US" w:eastAsia="zh-CN"/>
          <w14:textFill>
            <w14:solidFill>
              <w14:schemeClr w14:val="tx1"/>
            </w14:solidFill>
          </w14:textFill>
        </w:rPr>
        <w:t>提升</w:t>
      </w:r>
      <w:r>
        <w:rPr>
          <w:rFonts w:hint="eastAsia" w:ascii="仿宋" w:hAnsi="仿宋" w:eastAsia="仿宋" w:cs="仿宋"/>
          <w:color w:val="000000" w:themeColor="text1"/>
          <w:kern w:val="0"/>
          <w:sz w:val="32"/>
          <w:szCs w:val="32"/>
          <w:lang w:eastAsia="zh-CN"/>
          <w14:textFill>
            <w14:solidFill>
              <w14:schemeClr w14:val="tx1"/>
            </w14:solidFill>
          </w14:textFill>
        </w:rPr>
        <w:t>业务水平，为</w:t>
      </w:r>
      <w:r>
        <w:rPr>
          <w:rFonts w:hint="eastAsia" w:ascii="仿宋" w:hAnsi="仿宋" w:eastAsia="仿宋" w:cs="仿宋"/>
          <w:color w:val="000000" w:themeColor="text1"/>
          <w:kern w:val="0"/>
          <w:sz w:val="32"/>
          <w:szCs w:val="32"/>
          <w:lang w:val="en-US" w:eastAsia="zh-CN"/>
          <w14:textFill>
            <w14:solidFill>
              <w14:schemeClr w14:val="tx1"/>
            </w14:solidFill>
          </w14:textFill>
        </w:rPr>
        <w:t>有</w:t>
      </w:r>
      <w:r>
        <w:rPr>
          <w:rFonts w:hint="eastAsia" w:ascii="仿宋" w:hAnsi="仿宋" w:eastAsia="仿宋" w:cs="仿宋"/>
          <w:color w:val="000000" w:themeColor="text1"/>
          <w:kern w:val="0"/>
          <w:sz w:val="32"/>
          <w:szCs w:val="32"/>
          <w:lang w:eastAsia="zh-CN"/>
          <w14:textFill>
            <w14:solidFill>
              <w14:schemeClr w14:val="tx1"/>
            </w14:solidFill>
          </w14:textFill>
        </w:rPr>
        <w:t>效做好疾病预防控制工作增强保障。</w:t>
      </w:r>
    </w:p>
    <w:p w14:paraId="315C6B5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color w:val="000000" w:themeColor="text1"/>
          <w:sz w:val="32"/>
          <w:szCs w:val="32"/>
          <w:lang w:val="en-US"/>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w:t>
      </w:r>
      <w:r>
        <w:rPr>
          <w:rFonts w:hint="eastAsia" w:ascii="黑体" w:hAnsi="黑体" w:eastAsia="黑体" w:cs="黑体"/>
          <w:b w:val="0"/>
          <w:bCs/>
          <w:color w:val="000000" w:themeColor="text1"/>
          <w:sz w:val="32"/>
          <w:szCs w:val="32"/>
          <w:lang w:eastAsia="zh-CN"/>
          <w14:textFill>
            <w14:solidFill>
              <w14:schemeClr w14:val="tx1"/>
            </w14:solidFill>
          </w14:textFill>
        </w:rPr>
        <w:t>统筹兼顾</w:t>
      </w:r>
      <w:r>
        <w:rPr>
          <w:rFonts w:hint="eastAsia" w:ascii="黑体" w:hAnsi="黑体" w:eastAsia="黑体" w:cs="黑体"/>
          <w:b w:val="0"/>
          <w:bCs/>
          <w:color w:val="000000" w:themeColor="text1"/>
          <w:sz w:val="32"/>
          <w:szCs w:val="32"/>
          <w14:textFill>
            <w14:solidFill>
              <w14:schemeClr w14:val="tx1"/>
            </w14:solidFill>
          </w14:textFill>
        </w:rPr>
        <w:t>，</w:t>
      </w:r>
      <w:r>
        <w:rPr>
          <w:rFonts w:hint="eastAsia" w:ascii="黑体" w:hAnsi="黑体" w:eastAsia="黑体" w:cs="黑体"/>
          <w:b w:val="0"/>
          <w:bCs/>
          <w:color w:val="000000" w:themeColor="text1"/>
          <w:sz w:val="32"/>
          <w:szCs w:val="32"/>
          <w:lang w:val="en-US" w:eastAsia="zh-CN"/>
          <w14:textFill>
            <w14:solidFill>
              <w14:schemeClr w14:val="tx1"/>
            </w14:solidFill>
          </w14:textFill>
        </w:rPr>
        <w:t>有序有效推进</w:t>
      </w:r>
      <w:r>
        <w:rPr>
          <w:rFonts w:hint="eastAsia" w:ascii="黑体" w:hAnsi="黑体" w:eastAsia="黑体" w:cs="黑体"/>
          <w:b w:val="0"/>
          <w:bCs/>
          <w:color w:val="000000" w:themeColor="text1"/>
          <w:sz w:val="32"/>
          <w:szCs w:val="32"/>
          <w14:textFill>
            <w14:solidFill>
              <w14:schemeClr w14:val="tx1"/>
            </w14:solidFill>
          </w14:textFill>
        </w:rPr>
        <w:t>中心</w:t>
      </w:r>
      <w:r>
        <w:rPr>
          <w:rFonts w:hint="eastAsia" w:ascii="黑体" w:hAnsi="黑体" w:eastAsia="黑体" w:cs="黑体"/>
          <w:b w:val="0"/>
          <w:bCs/>
          <w:color w:val="000000" w:themeColor="text1"/>
          <w:sz w:val="32"/>
          <w:szCs w:val="32"/>
          <w:lang w:val="en-US" w:eastAsia="zh-CN"/>
          <w14:textFill>
            <w14:solidFill>
              <w14:schemeClr w14:val="tx1"/>
            </w14:solidFill>
          </w14:textFill>
        </w:rPr>
        <w:t>各项工作开展（</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截止11月底数据）</w:t>
      </w:r>
    </w:p>
    <w:p w14:paraId="0E21E662">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14:textFill>
            <w14:solidFill>
              <w14:schemeClr w14:val="tx1"/>
            </w14:solidFill>
          </w14:textFill>
        </w:rPr>
        <w:t>（</w:t>
      </w:r>
      <w:r>
        <w:rPr>
          <w:rFonts w:hint="eastAsia" w:ascii="楷体" w:hAnsi="楷体" w:eastAsia="楷体" w:cs="楷体"/>
          <w:b w:val="0"/>
          <w:bCs/>
          <w:color w:val="000000" w:themeColor="text1"/>
          <w:sz w:val="32"/>
          <w:szCs w:val="32"/>
          <w:lang w:eastAsia="zh-CN"/>
          <w14:textFill>
            <w14:solidFill>
              <w14:schemeClr w14:val="tx1"/>
            </w14:solidFill>
          </w14:textFill>
        </w:rPr>
        <w:t>一</w:t>
      </w:r>
      <w:r>
        <w:rPr>
          <w:rFonts w:hint="eastAsia" w:ascii="楷体" w:hAnsi="楷体" w:eastAsia="楷体" w:cs="楷体"/>
          <w:b w:val="0"/>
          <w:bCs/>
          <w:color w:val="000000" w:themeColor="text1"/>
          <w:sz w:val="32"/>
          <w:szCs w:val="32"/>
          <w14:textFill>
            <w14:solidFill>
              <w14:schemeClr w14:val="tx1"/>
            </w14:solidFill>
          </w14:textFill>
        </w:rPr>
        <w:t>）</w:t>
      </w:r>
      <w:r>
        <w:rPr>
          <w:rFonts w:hint="eastAsia" w:ascii="楷体" w:hAnsi="楷体" w:eastAsia="楷体" w:cs="楷体"/>
          <w:b w:val="0"/>
          <w:bCs/>
          <w:color w:val="000000" w:themeColor="text1"/>
          <w:sz w:val="32"/>
          <w:szCs w:val="32"/>
          <w:lang w:val="en-US" w:eastAsia="zh-CN"/>
          <w14:textFill>
            <w14:solidFill>
              <w14:schemeClr w14:val="tx1"/>
            </w14:solidFill>
          </w14:textFill>
        </w:rPr>
        <w:t>急性</w:t>
      </w:r>
      <w:r>
        <w:rPr>
          <w:rFonts w:hint="eastAsia" w:ascii="楷体" w:hAnsi="楷体" w:eastAsia="楷体" w:cs="楷体"/>
          <w:color w:val="000000" w:themeColor="text1"/>
          <w:sz w:val="32"/>
          <w:szCs w:val="32"/>
          <w:lang w:val="en-US" w:eastAsia="zh-CN"/>
          <w14:textFill>
            <w14:solidFill>
              <w14:schemeClr w14:val="tx1"/>
            </w14:solidFill>
          </w14:textFill>
        </w:rPr>
        <w:t>传染病防控</w:t>
      </w:r>
      <w:r>
        <w:rPr>
          <w:rFonts w:hint="eastAsia" w:ascii="楷体" w:hAnsi="楷体" w:eastAsia="楷体" w:cs="楷体"/>
          <w:b w:val="0"/>
          <w:bCs/>
          <w:color w:val="000000" w:themeColor="text1"/>
          <w:sz w:val="32"/>
          <w:szCs w:val="32"/>
          <w:lang w:val="en-US" w:eastAsia="zh-CN"/>
          <w14:textFill>
            <w14:solidFill>
              <w14:schemeClr w14:val="tx1"/>
            </w14:solidFill>
          </w14:textFill>
        </w:rPr>
        <w:t>扎实开展</w:t>
      </w:r>
      <w:r>
        <w:rPr>
          <w:rFonts w:hint="eastAsia" w:ascii="楷体" w:hAnsi="楷体" w:eastAsia="楷体" w:cs="楷体"/>
          <w:color w:val="000000" w:themeColor="text1"/>
          <w:sz w:val="32"/>
          <w:szCs w:val="32"/>
          <w:lang w:val="en-US"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疫情概况</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共报告（按发病时间）乙丙类法定传染病1883例，无甲类传染病报告。发病数居前5位的病种为流行性感冒887例、手足口424例、乙肝315例、其它传染病198、肺结核163例；</w:t>
      </w:r>
      <w:r>
        <w:rPr>
          <w:rFonts w:hint="eastAsia" w:ascii="仿宋" w:hAnsi="仿宋" w:eastAsia="仿宋" w:cs="仿宋"/>
          <w:color w:val="000000" w:themeColor="text1"/>
          <w:sz w:val="32"/>
          <w:szCs w:val="32"/>
          <w:lang w:eastAsia="zh-CN"/>
          <w14:textFill>
            <w14:solidFill>
              <w14:schemeClr w14:val="tx1"/>
            </w14:solidFill>
          </w14:textFill>
        </w:rPr>
        <w:t>全年未出现突发公共卫生事件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疫情</w:t>
      </w:r>
      <w:r>
        <w:rPr>
          <w:rFonts w:hint="eastAsia" w:ascii="楷体" w:hAnsi="楷体" w:eastAsia="楷体" w:cs="楷体"/>
          <w:b/>
          <w:bCs/>
          <w:color w:val="000000" w:themeColor="text1"/>
          <w:sz w:val="32"/>
          <w:szCs w:val="32"/>
          <w:lang w:eastAsia="zh-CN"/>
          <w14:textFill>
            <w14:solidFill>
              <w14:schemeClr w14:val="tx1"/>
            </w14:solidFill>
          </w14:textFill>
        </w:rPr>
        <w:t>监测</w:t>
      </w: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霍乱内外标本检索检测107份，未发现霍乱弧菌；新冠变异株监测采集符合测序样本8份，均为流行株；流感疫情经采取综合防控措施，从元月高峰期逐月下降；</w:t>
      </w:r>
      <w:r>
        <w:rPr>
          <w:rFonts w:hint="eastAsia" w:ascii="仿宋" w:hAnsi="仿宋" w:eastAsia="仿宋" w:cs="仿宋"/>
          <w:color w:val="000000" w:themeColor="text1"/>
          <w:sz w:val="32"/>
          <w:szCs w:val="32"/>
          <w:lang w:val="en-US" w:eastAsia="zh-CN"/>
          <w14:textFill>
            <w14:solidFill>
              <w14:schemeClr w14:val="tx1"/>
            </w14:solidFill>
          </w14:textFill>
        </w:rPr>
        <w:t>11月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蒲稳乡、坪村镇共4家</w:t>
      </w:r>
      <w:r>
        <w:rPr>
          <w:rFonts w:hint="eastAsia" w:ascii="仿宋" w:hAnsi="仿宋" w:eastAsia="仿宋" w:cs="仿宋"/>
          <w:color w:val="000000" w:themeColor="text1"/>
          <w:sz w:val="32"/>
          <w:szCs w:val="32"/>
          <w:lang w:val="en-US" w:eastAsia="zh-CN"/>
          <w14:textFill>
            <w14:solidFill>
              <w14:schemeClr w14:val="tx1"/>
            </w14:solidFill>
          </w14:textFill>
        </w:rPr>
        <w:t>幼儿园</w:t>
      </w:r>
      <w:r>
        <w:rPr>
          <w:rFonts w:hint="eastAsia" w:ascii="仿宋" w:hAnsi="仿宋" w:eastAsia="仿宋" w:cs="仿宋"/>
          <w:color w:val="000000" w:themeColor="text1"/>
          <w:sz w:val="32"/>
          <w:szCs w:val="32"/>
          <w:lang w:eastAsia="zh-CN"/>
          <w14:textFill>
            <w14:solidFill>
              <w14:schemeClr w14:val="tx1"/>
            </w14:solidFill>
          </w14:textFill>
        </w:rPr>
        <w:t>手足口病聚集性疫情，</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采集病例肛拭子样36份均为阳性，</w:t>
      </w:r>
      <w:r>
        <w:rPr>
          <w:rFonts w:hint="eastAsia" w:ascii="仿宋" w:hAnsi="仿宋" w:eastAsia="仿宋" w:cs="仿宋"/>
          <w:color w:val="000000" w:themeColor="text1"/>
          <w:sz w:val="32"/>
          <w:szCs w:val="32"/>
          <w:lang w:val="en-US" w:eastAsia="zh-CN"/>
          <w14:textFill>
            <w14:solidFill>
              <w14:schemeClr w14:val="tx1"/>
            </w14:solidFill>
          </w14:textFill>
        </w:rPr>
        <w:t>经联合</w:t>
      </w:r>
      <w:r>
        <w:rPr>
          <w:rFonts w:hint="eastAsia" w:ascii="仿宋" w:hAnsi="仿宋" w:eastAsia="仿宋" w:cs="仿宋"/>
          <w:color w:val="000000" w:themeColor="text1"/>
          <w:sz w:val="32"/>
          <w:szCs w:val="32"/>
          <w:lang w:eastAsia="zh-CN"/>
          <w14:textFill>
            <w14:solidFill>
              <w14:schemeClr w14:val="tx1"/>
            </w14:solidFill>
          </w14:textFill>
        </w:rPr>
        <w:t>现场处置，及时控制</w:t>
      </w:r>
      <w:r>
        <w:rPr>
          <w:rFonts w:hint="eastAsia" w:ascii="仿宋" w:hAnsi="仿宋" w:eastAsia="仿宋" w:cs="仿宋"/>
          <w:color w:val="000000" w:themeColor="text1"/>
          <w:sz w:val="32"/>
          <w:szCs w:val="32"/>
          <w:lang w:val="en-US" w:eastAsia="zh-CN"/>
          <w14:textFill>
            <w14:solidFill>
              <w14:schemeClr w14:val="tx1"/>
            </w14:solidFill>
          </w14:textFill>
        </w:rPr>
        <w:t>了</w:t>
      </w:r>
      <w:r>
        <w:rPr>
          <w:rFonts w:hint="eastAsia" w:ascii="仿宋" w:hAnsi="仿宋" w:eastAsia="仿宋" w:cs="仿宋"/>
          <w:color w:val="000000" w:themeColor="text1"/>
          <w:sz w:val="32"/>
          <w:szCs w:val="32"/>
          <w:lang w:eastAsia="zh-CN"/>
          <w14:textFill>
            <w14:solidFill>
              <w14:schemeClr w14:val="tx1"/>
            </w14:solidFill>
          </w14:textFill>
        </w:rPr>
        <w:t>疫情蔓延；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登革热传播媒介伊蚊监测24个点600户，布雷图指数超过暴发标准，经广泛健康科普，动员</w:t>
      </w:r>
      <w:r>
        <w:rPr>
          <w:rFonts w:hint="eastAsia" w:eastAsia="仿宋_GB2312"/>
          <w:color w:val="000000" w:themeColor="text1"/>
          <w:sz w:val="32"/>
          <w:szCs w:val="32"/>
          <w:lang w:val="en-US" w:eastAsia="zh-CN"/>
          <w14:textFill>
            <w14:solidFill>
              <w14:schemeClr w14:val="tx1"/>
            </w14:solidFill>
          </w14:textFill>
        </w:rPr>
        <w:t>处理</w:t>
      </w:r>
      <w:r>
        <w:rPr>
          <w:rFonts w:hint="eastAsia" w:eastAsia="仿宋_GB2312" w:cstheme="minorBidi"/>
          <w:color w:val="000000" w:themeColor="text1"/>
          <w:kern w:val="2"/>
          <w:sz w:val="32"/>
          <w:szCs w:val="32"/>
          <w14:textFill>
            <w14:solidFill>
              <w14:schemeClr w14:val="tx1"/>
            </w14:solidFill>
          </w14:textFill>
        </w:rPr>
        <w:t>孳生地</w:t>
      </w:r>
      <w:r>
        <w:rPr>
          <w:rFonts w:hint="eastAsia" w:eastAsia="仿宋_GB2312" w:cstheme="minorBidi"/>
          <w:color w:val="000000" w:themeColor="text1"/>
          <w:kern w:val="2"/>
          <w:sz w:val="32"/>
          <w:szCs w:val="32"/>
          <w:lang w:eastAsia="zh-CN"/>
          <w14:textFill>
            <w14:solidFill>
              <w14:schemeClr w14:val="tx1"/>
            </w14:solidFill>
          </w14:textFill>
        </w:rPr>
        <w:t>，</w:t>
      </w:r>
      <w:r>
        <w:rPr>
          <w:rFonts w:hint="eastAsia" w:eastAsia="仿宋_GB2312" w:cstheme="minorBidi"/>
          <w:color w:val="000000" w:themeColor="text1"/>
          <w:kern w:val="2"/>
          <w:sz w:val="32"/>
          <w:szCs w:val="32"/>
          <w:lang w:val="en-US" w:eastAsia="zh-CN"/>
          <w14:textFill>
            <w14:solidFill>
              <w14:schemeClr w14:val="tx1"/>
            </w14:solidFill>
          </w14:textFill>
        </w:rPr>
        <w:t>辖区无登革热病例报告；</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除岩头外的24个乡镇卫生院均能规范化开展动物咬伤暴露人群处置，报告2例疑似狂犬病病例，经采样送检排除。</w:t>
      </w:r>
    </w:p>
    <w:p w14:paraId="4CD5D5AE">
      <w:pPr>
        <w:keepNext w:val="0"/>
        <w:keepLines w:val="0"/>
        <w:pageBreakBefore w:val="0"/>
        <w:kinsoku/>
        <w:wordWrap/>
        <w:overflowPunct/>
        <w:topLinePunct w:val="0"/>
        <w:autoSpaceDE/>
        <w:autoSpaceDN/>
        <w:bidi w:val="0"/>
        <w:adjustRightInd/>
        <w:spacing w:line="560" w:lineRule="exact"/>
        <w:ind w:firstLine="640" w:firstLineChars="200"/>
        <w:contextualSpacing/>
        <w:jc w:val="left"/>
        <w:textAlignment w:val="auto"/>
        <w:rPr>
          <w:rFonts w:hint="eastAsia" w:ascii="楷体" w:hAnsi="楷体" w:eastAsia="楷体" w:cs="楷体"/>
          <w:b/>
          <w:color w:val="000000" w:themeColor="text1"/>
          <w:sz w:val="32"/>
          <w:szCs w:val="32"/>
          <w:lang w:val="en-US" w:eastAsia="zh-CN"/>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w:t>
      </w:r>
      <w:r>
        <w:rPr>
          <w:rFonts w:hint="eastAsia" w:ascii="楷体" w:hAnsi="楷体" w:eastAsia="楷体" w:cs="楷体"/>
          <w:b/>
          <w:color w:val="000000" w:themeColor="text1"/>
          <w:sz w:val="32"/>
          <w:szCs w:val="32"/>
          <w:lang w:val="en-US" w:eastAsia="zh-CN"/>
          <w14:textFill>
            <w14:solidFill>
              <w14:schemeClr w14:val="tx1"/>
            </w14:solidFill>
          </w14:textFill>
        </w:rPr>
        <w:t>二</w:t>
      </w:r>
      <w:r>
        <w:rPr>
          <w:rFonts w:hint="eastAsia" w:ascii="楷体" w:hAnsi="楷体" w:eastAsia="楷体" w:cs="楷体"/>
          <w:b/>
          <w:color w:val="000000" w:themeColor="text1"/>
          <w:sz w:val="32"/>
          <w:szCs w:val="32"/>
          <w14:textFill>
            <w14:solidFill>
              <w14:schemeClr w14:val="tx1"/>
            </w14:solidFill>
          </w14:textFill>
        </w:rPr>
        <w:t>）免疫规划</w:t>
      </w:r>
      <w:r>
        <w:rPr>
          <w:rFonts w:hint="eastAsia" w:ascii="楷体" w:hAnsi="楷体" w:eastAsia="楷体" w:cs="楷体"/>
          <w:b/>
          <w:color w:val="000000" w:themeColor="text1"/>
          <w:sz w:val="32"/>
          <w:szCs w:val="32"/>
          <w:lang w:val="en-US" w:eastAsia="zh-CN"/>
          <w14:textFill>
            <w14:solidFill>
              <w14:schemeClr w14:val="tx1"/>
            </w14:solidFill>
          </w14:textFill>
        </w:rPr>
        <w:t>工作积极推进</w:t>
      </w:r>
    </w:p>
    <w:p w14:paraId="4B7B4AB9">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制定了疫苗采购工作制度，规范采购流程，按需采购不浪费，及时运送不积压，确保乡镇卫生院各类疫苗及时供应。完成4轮冷链运转，共运转免疫规划疫苗卡介苗4000剂次，口服Ⅰ型Ⅲ型脊髓灰质炎减毒活疫苗滴剂7000剂次、糖丸2000剂次，无细胞百白破疫苗5700剂次、白破疫苗7000剂次，A群流脑6070剂次、A+C流脑5400剂次，乙脑疫苗4709剂次，麻腮风三联疫苗2700剂次，甲肝疫苗1600剂次、乙肝疫苗4600剂次。有序组织考核及重点区域免疫规划工作督查整改，确保疫苗妥善保管，有效接种。组织25个卫生院每月开展2-3个村免疫规划疫苗接种自查，共清查适龄儿童4500余名，共补种300人。对县人民医院、中医院开展AFP监测，发现2例AFP疑似病例，进行了个案调查处置。</w:t>
      </w:r>
    </w:p>
    <w:p w14:paraId="28F56C31">
      <w:pP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适时开展“4.25”儿童预防接种日、“4.26”疟疾防治宣传日、“5.15”防治碘缺乏病日、“7.28”世界肝炎日宣传活动，进行相关健康知识科普。</w:t>
      </w:r>
    </w:p>
    <w:p w14:paraId="312492BB">
      <w:pPr>
        <w:keepNext w:val="0"/>
        <w:keepLines w:val="0"/>
        <w:pageBreakBefore w:val="0"/>
        <w:numPr>
          <w:ilvl w:val="0"/>
          <w:numId w:val="0"/>
        </w:numPr>
        <w:tabs>
          <w:tab w:val="left" w:pos="550"/>
          <w:tab w:val="left" w:pos="915"/>
        </w:tabs>
        <w:kinsoku/>
        <w:wordWrap/>
        <w:overflowPunct/>
        <w:topLinePunct w:val="0"/>
        <w:bidi w:val="0"/>
        <w:spacing w:line="560" w:lineRule="exact"/>
        <w:ind w:firstLine="640" w:firstLineChars="200"/>
        <w:textAlignment w:val="auto"/>
        <w:rPr>
          <w:rFonts w:hint="eastAsia" w:ascii="仿宋" w:hAnsi="仿宋" w:eastAsia="仿宋" w:cs="仿宋"/>
          <w:bCs/>
          <w:color w:val="000000" w:themeColor="text1"/>
          <w:spacing w:val="2"/>
          <w:sz w:val="32"/>
          <w:szCs w:val="32"/>
          <w14:textFill>
            <w14:solidFill>
              <w14:schemeClr w14:val="tx1"/>
            </w14:solidFill>
          </w14:textFill>
        </w:rPr>
      </w:pPr>
      <w:r>
        <w:rPr>
          <w:rFonts w:hint="eastAsia" w:ascii="楷体" w:hAnsi="楷体" w:eastAsia="楷体" w:cs="楷体"/>
          <w:b/>
          <w:color w:val="000000" w:themeColor="text1"/>
          <w:sz w:val="32"/>
          <w:szCs w:val="32"/>
          <w:lang w:val="en-US" w:eastAsia="zh-CN"/>
          <w14:textFill>
            <w14:solidFill>
              <w14:schemeClr w14:val="tx1"/>
            </w14:solidFill>
          </w14:textFill>
        </w:rPr>
        <w:t>（三）慢性传染病防治有效推进</w:t>
      </w:r>
      <w:r>
        <w:rPr>
          <w:rFonts w:hint="eastAsia" w:ascii="楷体" w:hAnsi="楷体" w:eastAsia="楷体" w:cs="楷体"/>
          <w:b/>
          <w:color w:val="000000" w:themeColor="text1"/>
          <w:sz w:val="32"/>
          <w:szCs w:val="32"/>
          <w:lang w:eastAsia="zh-CN"/>
          <w14:textFill>
            <w14:solidFill>
              <w14:schemeClr w14:val="tx1"/>
            </w14:solidFill>
          </w14:textFill>
        </w:rPr>
        <w:t>。</w:t>
      </w:r>
      <w:r>
        <w:rPr>
          <w:rFonts w:hint="eastAsia" w:ascii="楷体" w:hAnsi="楷体" w:eastAsia="楷体" w:cs="楷体"/>
          <w:b/>
          <w:color w:val="000000" w:themeColor="text1"/>
          <w:sz w:val="32"/>
          <w:szCs w:val="32"/>
          <w14:textFill>
            <w14:solidFill>
              <w14:schemeClr w14:val="tx1"/>
            </w14:solidFill>
          </w14:textFill>
        </w:rPr>
        <w:t>结核病防治</w:t>
      </w:r>
      <w:r>
        <w:rPr>
          <w:rFonts w:hint="eastAsia" w:ascii="楷体" w:hAnsi="楷体" w:eastAsia="楷体" w:cs="楷体"/>
          <w:b/>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加强医疗机构结核病发现和治疗管理，共收治166例肺结核病人，患病者原学性阳性率72.3%，耐药筛查率97%；肺结核高危人群筛查率100%；</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联合开展了“3.24”结核病宣传活动。</w:t>
      </w:r>
      <w:r>
        <w:rPr>
          <w:rFonts w:hint="eastAsia" w:ascii="仿宋" w:hAnsi="仿宋" w:eastAsia="仿宋" w:cs="仿宋"/>
          <w:color w:val="000000" w:themeColor="text1"/>
          <w:sz w:val="32"/>
          <w:szCs w:val="32"/>
          <w:lang w:val="en-US" w:eastAsia="zh-CN"/>
          <w14:textFill>
            <w14:solidFill>
              <w14:schemeClr w14:val="tx1"/>
            </w14:solidFill>
          </w14:textFill>
        </w:rPr>
        <w:t>加强学校结核病防治，将新生结核病筛查经费纳入财政预算；全年</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处理学校结核病疫情6起</w:t>
      </w:r>
      <w:r>
        <w:rPr>
          <w:rFonts w:hint="eastAsia" w:ascii="仿宋" w:hAnsi="仿宋" w:eastAsia="仿宋" w:cs="仿宋"/>
          <w:color w:val="000000" w:themeColor="text1"/>
          <w:sz w:val="32"/>
          <w:szCs w:val="32"/>
          <w:lang w:val="en-US" w:eastAsia="zh-CN"/>
          <w14:textFill>
            <w14:solidFill>
              <w14:schemeClr w14:val="tx1"/>
            </w14:solidFill>
          </w14:textFill>
        </w:rPr>
        <w:t>；开展全县中小学入学新生和新入职教师结核病筛查，问卷</w:t>
      </w:r>
      <w:r>
        <w:rPr>
          <w:rFonts w:hint="eastAsia" w:ascii="仿宋" w:hAnsi="仿宋" w:eastAsia="仿宋" w:cs="仿宋"/>
          <w:color w:val="000000" w:themeColor="text1"/>
          <w:sz w:val="32"/>
          <w:szCs w:val="32"/>
          <w14:textFill>
            <w14:solidFill>
              <w14:schemeClr w14:val="tx1"/>
            </w14:solidFill>
          </w14:textFill>
        </w:rPr>
        <w:t>筛查</w:t>
      </w:r>
      <w:r>
        <w:rPr>
          <w:rFonts w:hint="eastAsia" w:ascii="仿宋" w:hAnsi="仿宋" w:eastAsia="仿宋" w:cs="仿宋"/>
          <w:color w:val="000000" w:themeColor="text1"/>
          <w:sz w:val="32"/>
          <w:szCs w:val="32"/>
          <w:lang w:val="en-US" w:eastAsia="zh-CN"/>
          <w14:textFill>
            <w14:solidFill>
              <w14:schemeClr w14:val="tx1"/>
            </w14:solidFill>
          </w14:textFill>
        </w:rPr>
        <w:t>88所学校</w:t>
      </w:r>
      <w:r>
        <w:rPr>
          <w:rFonts w:hint="eastAsia" w:ascii="仿宋" w:hAnsi="仿宋" w:eastAsia="仿宋" w:cs="仿宋"/>
          <w:color w:val="000000" w:themeColor="text1"/>
          <w:sz w:val="32"/>
          <w:szCs w:val="32"/>
          <w:lang w:val="zh-CN"/>
          <w14:textFill>
            <w14:solidFill>
              <w14:schemeClr w14:val="tx1"/>
            </w14:solidFill>
          </w14:textFill>
        </w:rPr>
        <w:t>新生</w:t>
      </w:r>
      <w:r>
        <w:rPr>
          <w:rFonts w:hint="eastAsia" w:ascii="仿宋" w:hAnsi="仿宋" w:eastAsia="仿宋" w:cs="仿宋"/>
          <w:color w:val="000000" w:themeColor="text1"/>
          <w:sz w:val="32"/>
          <w:szCs w:val="32"/>
          <w:lang w:val="en-US" w:eastAsia="zh-CN"/>
          <w14:textFill>
            <w14:solidFill>
              <w14:schemeClr w14:val="tx1"/>
            </w14:solidFill>
          </w14:textFill>
        </w:rPr>
        <w:t>13350</w:t>
      </w:r>
      <w:r>
        <w:rPr>
          <w:rFonts w:hint="eastAsia" w:ascii="仿宋" w:hAnsi="仿宋" w:eastAsia="仿宋" w:cs="仿宋"/>
          <w:color w:val="000000" w:themeColor="text1"/>
          <w:sz w:val="32"/>
          <w:szCs w:val="32"/>
          <w14:textFill>
            <w14:solidFill>
              <w14:schemeClr w14:val="tx1"/>
            </w14:solidFill>
          </w14:textFill>
        </w:rPr>
        <w:t>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筛查率</w:t>
      </w:r>
      <w:r>
        <w:rPr>
          <w:rFonts w:hint="eastAsia" w:ascii="仿宋" w:hAnsi="仿宋" w:eastAsia="仿宋" w:cs="仿宋"/>
          <w:color w:val="000000" w:themeColor="text1"/>
          <w:sz w:val="32"/>
          <w:szCs w:val="32"/>
          <w:lang w:val="en-US" w:eastAsia="zh-CN"/>
          <w14:textFill>
            <w14:solidFill>
              <w14:schemeClr w14:val="tx1"/>
            </w14:solidFill>
          </w14:textFill>
        </w:rPr>
        <w:t>97.9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napToGrid w:val="0"/>
          <w:color w:val="000000" w:themeColor="text1"/>
          <w:sz w:val="32"/>
          <w:szCs w:val="32"/>
          <w:shd w:val="clear" w:color="auto" w:fill="FFFFFF"/>
          <w14:textFill>
            <w14:solidFill>
              <w14:schemeClr w14:val="tx1"/>
            </w14:solidFill>
          </w14:textFill>
        </w:rPr>
        <w:t>宜卡</w:t>
      </w:r>
      <w:r>
        <w:rPr>
          <w:rFonts w:hint="eastAsia" w:ascii="仿宋" w:hAnsi="仿宋" w:eastAsia="仿宋" w:cs="仿宋"/>
          <w:snapToGrid w:val="0"/>
          <w:color w:val="000000" w:themeColor="text1"/>
          <w:sz w:val="32"/>
          <w:szCs w:val="32"/>
          <w:shd w:val="clear" w:color="auto" w:fill="FFFFFF"/>
          <w:lang w:eastAsia="zh-CN"/>
          <w14:textFill>
            <w14:solidFill>
              <w14:schemeClr w14:val="tx1"/>
            </w14:solidFill>
          </w14:textFill>
        </w:rPr>
        <w:t>皮肤</w:t>
      </w:r>
      <w:r>
        <w:rPr>
          <w:rFonts w:hint="eastAsia" w:ascii="仿宋" w:hAnsi="仿宋" w:eastAsia="仿宋" w:cs="仿宋"/>
          <w:snapToGrid w:val="0"/>
          <w:color w:val="000000" w:themeColor="text1"/>
          <w:sz w:val="32"/>
          <w:szCs w:val="32"/>
          <w:shd w:val="clear" w:color="auto" w:fill="FFFFFF"/>
          <w14:textFill>
            <w14:solidFill>
              <w14:schemeClr w14:val="tx1"/>
            </w14:solidFill>
          </w14:textFill>
        </w:rPr>
        <w:t>试验</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筛查</w:t>
      </w:r>
      <w:r>
        <w:rPr>
          <w:rFonts w:hint="eastAsia" w:ascii="仿宋" w:hAnsi="仿宋" w:eastAsia="仿宋" w:cs="仿宋"/>
          <w:color w:val="000000" w:themeColor="text1"/>
          <w:sz w:val="32"/>
          <w:szCs w:val="32"/>
          <w:lang w:val="en-US" w:eastAsia="zh-CN"/>
          <w14:textFill>
            <w14:solidFill>
              <w14:schemeClr w14:val="tx1"/>
            </w14:solidFill>
          </w14:textFill>
        </w:rPr>
        <w:t>学生7553人，检出阳性88人，</w:t>
      </w:r>
      <w:r>
        <w:rPr>
          <w:rFonts w:hint="eastAsia" w:ascii="仿宋" w:hAnsi="仿宋" w:eastAsia="仿宋" w:cs="仿宋"/>
          <w:color w:val="000000" w:themeColor="text1"/>
          <w:sz w:val="32"/>
          <w:szCs w:val="32"/>
          <w14:textFill>
            <w14:solidFill>
              <w14:schemeClr w14:val="tx1"/>
            </w14:solidFill>
          </w14:textFill>
        </w:rPr>
        <w:t>阳性率1.</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阳性</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DR复查，</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新</w:t>
      </w:r>
      <w:r>
        <w:rPr>
          <w:rFonts w:hint="eastAsia" w:ascii="仿宋" w:hAnsi="仿宋" w:eastAsia="仿宋" w:cs="仿宋"/>
          <w:color w:val="000000" w:themeColor="text1"/>
          <w:sz w:val="32"/>
          <w:szCs w:val="32"/>
          <w:lang w:eastAsia="zh-CN"/>
          <w14:textFill>
            <w14:solidFill>
              <w14:schemeClr w14:val="tx1"/>
            </w14:solidFill>
          </w14:textFill>
        </w:rPr>
        <w:t>发现肺结核病</w:t>
      </w:r>
      <w:r>
        <w:rPr>
          <w:rFonts w:hint="eastAsia" w:ascii="仿宋" w:hAnsi="仿宋" w:eastAsia="仿宋" w:cs="仿宋"/>
          <w:color w:val="000000" w:themeColor="text1"/>
          <w:sz w:val="32"/>
          <w:szCs w:val="32"/>
          <w:lang w:val="en-US" w:eastAsia="zh-CN"/>
          <w14:textFill>
            <w14:solidFill>
              <w14:schemeClr w14:val="tx1"/>
            </w14:solidFill>
          </w14:textFill>
        </w:rPr>
        <w:t>4例，经县定点医院住院治疗后休学治疗管理</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；124名</w:t>
      </w:r>
      <w:r>
        <w:rPr>
          <w:rFonts w:hint="eastAsia" w:ascii="仿宋" w:hAnsi="仿宋" w:eastAsia="仿宋" w:cs="仿宋"/>
          <w:color w:val="000000" w:themeColor="text1"/>
          <w:sz w:val="32"/>
          <w:szCs w:val="32"/>
          <w:lang w:val="en-US" w:eastAsia="zh-CN"/>
          <w14:textFill>
            <w14:solidFill>
              <w14:schemeClr w14:val="tx1"/>
            </w14:solidFill>
          </w14:textFill>
        </w:rPr>
        <w:t>新入职</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教师宜卡试剂皮肤试验筛查，发现阳性5人,DR复查</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未</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发现肺结核患者。</w:t>
      </w:r>
      <w:r>
        <w:rPr>
          <w:rFonts w:hint="eastAsia" w:ascii="楷体" w:hAnsi="楷体" w:eastAsia="楷体" w:cs="楷体"/>
          <w:b/>
          <w:color w:val="000000" w:themeColor="text1"/>
          <w:sz w:val="32"/>
          <w:szCs w:val="32"/>
          <w14:textFill>
            <w14:solidFill>
              <w14:schemeClr w14:val="tx1"/>
            </w14:solidFill>
          </w14:textFill>
        </w:rPr>
        <w:t>艾滋病防治</w:t>
      </w:r>
      <w:r>
        <w:rPr>
          <w:rFonts w:hint="eastAsia" w:ascii="楷体" w:hAnsi="楷体" w:eastAsia="楷体" w:cs="楷体"/>
          <w:b/>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全县实验室HIV抗体筛查</w:t>
      </w:r>
      <w:r>
        <w:rPr>
          <w:rFonts w:hint="eastAsia" w:ascii="仿宋" w:hAnsi="仿宋" w:eastAsia="仿宋" w:cs="仿宋"/>
          <w:color w:val="000000" w:themeColor="text1"/>
          <w:sz w:val="32"/>
          <w:szCs w:val="32"/>
          <w:lang w:val="en-US" w:eastAsia="zh-CN"/>
          <w14:textFill>
            <w14:solidFill>
              <w14:schemeClr w14:val="tx1"/>
            </w14:solidFill>
          </w14:textFill>
        </w:rPr>
        <w:t>78534</w:t>
      </w:r>
      <w:r>
        <w:rPr>
          <w:rFonts w:hint="eastAsia" w:ascii="仿宋" w:hAnsi="仿宋" w:eastAsia="仿宋" w:cs="仿宋"/>
          <w:color w:val="000000" w:themeColor="text1"/>
          <w:sz w:val="32"/>
          <w:szCs w:val="32"/>
          <w:lang w:eastAsia="zh-CN"/>
          <w14:textFill>
            <w14:solidFill>
              <w14:schemeClr w14:val="tx1"/>
            </w14:solidFill>
          </w14:textFill>
        </w:rPr>
        <w:t>人次，查</w:t>
      </w:r>
      <w:r>
        <w:rPr>
          <w:rFonts w:hint="eastAsia" w:ascii="仿宋" w:hAnsi="仿宋" w:eastAsia="仿宋" w:cs="仿宋"/>
          <w:color w:val="000000" w:themeColor="text1"/>
          <w:sz w:val="32"/>
          <w:szCs w:val="32"/>
          <w:lang w:val="en-US" w:eastAsia="zh-CN"/>
          <w14:textFill>
            <w14:solidFill>
              <w14:schemeClr w14:val="tx1"/>
            </w14:solidFill>
          </w14:textFill>
        </w:rPr>
        <w:t>出</w:t>
      </w:r>
      <w:r>
        <w:rPr>
          <w:rFonts w:hint="eastAsia" w:ascii="仿宋" w:hAnsi="仿宋" w:eastAsia="仿宋" w:cs="仿宋"/>
          <w:color w:val="000000" w:themeColor="text1"/>
          <w:sz w:val="32"/>
          <w:szCs w:val="32"/>
          <w:lang w:eastAsia="zh-CN"/>
          <w14:textFill>
            <w14:solidFill>
              <w14:schemeClr w14:val="tx1"/>
            </w14:solidFill>
          </w14:textFill>
        </w:rPr>
        <w:t>阳性</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lang w:eastAsia="zh-CN"/>
          <w14:textFill>
            <w14:solidFill>
              <w14:schemeClr w14:val="tx1"/>
            </w14:solidFill>
          </w14:textFill>
        </w:rPr>
        <w:t>人，对艾滋病病毒感染者开展随访和</w:t>
      </w:r>
      <w:r>
        <w:rPr>
          <w:rFonts w:hint="eastAsia" w:ascii="仿宋" w:hAnsi="仿宋" w:eastAsia="仿宋" w:cs="仿宋"/>
          <w:color w:val="000000" w:themeColor="text1"/>
          <w:sz w:val="32"/>
          <w:szCs w:val="32"/>
          <w:lang w:val="en-US" w:eastAsia="zh-CN"/>
          <w14:textFill>
            <w14:solidFill>
              <w14:schemeClr w14:val="tx1"/>
            </w14:solidFill>
          </w14:textFill>
        </w:rPr>
        <w:t>治疗</w:t>
      </w:r>
      <w:r>
        <w:rPr>
          <w:rFonts w:hint="eastAsia" w:ascii="仿宋" w:hAnsi="仿宋" w:eastAsia="仿宋" w:cs="仿宋"/>
          <w:color w:val="000000" w:themeColor="text1"/>
          <w:sz w:val="32"/>
          <w:szCs w:val="32"/>
          <w:lang w:eastAsia="zh-CN"/>
          <w14:textFill>
            <w14:solidFill>
              <w14:schemeClr w14:val="tx1"/>
            </w14:solidFill>
          </w14:textFill>
        </w:rPr>
        <w:t>管理，</w:t>
      </w:r>
      <w:r>
        <w:rPr>
          <w:rFonts w:hint="eastAsia" w:ascii="仿宋" w:hAnsi="仿宋" w:eastAsia="仿宋" w:cs="仿宋"/>
          <w:color w:val="000000" w:themeColor="text1"/>
          <w:sz w:val="32"/>
          <w:szCs w:val="32"/>
          <w:lang w:val="en-US" w:eastAsia="zh-CN"/>
          <w14:textFill>
            <w14:solidFill>
              <w14:schemeClr w14:val="tx1"/>
            </w14:solidFill>
          </w14:textFill>
        </w:rPr>
        <w:t>在治患者管理率100%。开展</w:t>
      </w:r>
      <w:r>
        <w:rPr>
          <w:rFonts w:hint="eastAsia" w:ascii="仿宋" w:hAnsi="仿宋" w:eastAsia="仿宋" w:cs="仿宋"/>
          <w:color w:val="000000" w:themeColor="text1"/>
          <w:sz w:val="32"/>
          <w:szCs w:val="32"/>
          <w:lang w:eastAsia="zh-CN"/>
          <w14:textFill>
            <w14:solidFill>
              <w14:schemeClr w14:val="tx1"/>
            </w14:solidFill>
          </w14:textFill>
        </w:rPr>
        <w:t>重点人群</w:t>
      </w:r>
      <w:r>
        <w:rPr>
          <w:rFonts w:hint="eastAsia" w:ascii="仿宋" w:hAnsi="仿宋" w:eastAsia="仿宋" w:cs="仿宋"/>
          <w:color w:val="000000" w:themeColor="text1"/>
          <w:sz w:val="32"/>
          <w:szCs w:val="32"/>
          <w:lang w:val="en-US" w:eastAsia="zh-CN"/>
          <w14:textFill>
            <w14:solidFill>
              <w14:schemeClr w14:val="tx1"/>
            </w14:solidFill>
          </w14:textFill>
        </w:rPr>
        <w:t>HIV</w:t>
      </w:r>
      <w:r>
        <w:rPr>
          <w:rFonts w:hint="eastAsia" w:ascii="仿宋" w:hAnsi="仿宋" w:eastAsia="仿宋" w:cs="仿宋"/>
          <w:color w:val="000000" w:themeColor="text1"/>
          <w:sz w:val="32"/>
          <w:szCs w:val="32"/>
          <w:lang w:eastAsia="zh-CN"/>
          <w14:textFill>
            <w14:solidFill>
              <w14:schemeClr w14:val="tx1"/>
            </w14:solidFill>
          </w14:textFill>
        </w:rPr>
        <w:t>监测</w:t>
      </w:r>
      <w:r>
        <w:rPr>
          <w:rFonts w:hint="eastAsia" w:ascii="仿宋" w:hAnsi="仿宋" w:eastAsia="仿宋" w:cs="仿宋"/>
          <w:color w:val="000000" w:themeColor="text1"/>
          <w:sz w:val="32"/>
          <w:szCs w:val="32"/>
          <w:lang w:val="en-US" w:eastAsia="zh-CN"/>
          <w14:textFill>
            <w14:solidFill>
              <w14:schemeClr w14:val="tx1"/>
            </w14:solidFill>
          </w14:textFill>
        </w:rPr>
        <w:t>2534人次，在性病人群中发现1例阳性；2004年来既往丙肝病例688人，随访核酸检测172人，发现并转介丙肝核酸阳性者50人，实际参加治疗35人，治愈25人，在治10人</w:t>
      </w:r>
      <w:r>
        <w:rPr>
          <w:rFonts w:hint="eastAsia" w:ascii="仿宋" w:hAnsi="仿宋" w:eastAsia="仿宋" w:cs="仿宋"/>
          <w:color w:val="000000" w:themeColor="text1"/>
          <w:kern w:val="0"/>
          <w:sz w:val="32"/>
          <w:szCs w:val="32"/>
          <w:lang w:val="en-US" w:eastAsia="zh-CN"/>
          <w14:textFill>
            <w14:solidFill>
              <w14:schemeClr w14:val="tx1"/>
            </w14:solidFill>
          </w14:textFill>
        </w:rPr>
        <w:t>。联合开展第37个世界艾滋病日“社会共治，终结艾滋，共享健康”主题宣传咨询活动，接受咨询500余人，共发放宣传资料100000余份，安全套5000余份。10月份参加</w:t>
      </w:r>
      <w:r>
        <w:rPr>
          <w:rFonts w:hint="eastAsia" w:ascii="仿宋" w:hAnsi="仿宋" w:eastAsia="仿宋" w:cs="仿宋"/>
          <w:color w:val="000000" w:themeColor="text1"/>
          <w:sz w:val="32"/>
          <w:szCs w:val="32"/>
          <w:lang w:val="en-US" w:eastAsia="zh-CN"/>
          <w14:textFill>
            <w14:solidFill>
              <w14:schemeClr w14:val="tx1"/>
            </w14:solidFill>
          </w14:textFill>
        </w:rPr>
        <w:t>2024年度怀化市艾滋病防治知识健康科普大赛，获得团体三等奖。</w:t>
      </w:r>
      <w:r>
        <w:rPr>
          <w:rFonts w:hint="eastAsia" w:ascii="楷体" w:hAnsi="楷体" w:eastAsia="楷体" w:cs="楷体"/>
          <w:b/>
          <w:color w:val="000000" w:themeColor="text1"/>
          <w:sz w:val="32"/>
          <w:szCs w:val="32"/>
          <w14:textFill>
            <w14:solidFill>
              <w14:schemeClr w14:val="tx1"/>
            </w14:solidFill>
          </w14:textFill>
        </w:rPr>
        <w:t>麻风病防治</w:t>
      </w:r>
      <w:r>
        <w:rPr>
          <w:rFonts w:hint="eastAsia" w:ascii="楷体" w:hAnsi="楷体" w:eastAsia="楷体" w:cs="楷体"/>
          <w:b/>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管理驻村病人</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人</w:t>
      </w:r>
      <w:r>
        <w:rPr>
          <w:rFonts w:hint="eastAsia" w:ascii="仿宋" w:hAnsi="仿宋" w:eastAsia="仿宋" w:cs="仿宋"/>
          <w:color w:val="000000" w:themeColor="text1"/>
          <w:sz w:val="32"/>
          <w:szCs w:val="32"/>
          <w:lang w:eastAsia="zh-CN"/>
          <w14:textFill>
            <w14:solidFill>
              <w14:schemeClr w14:val="tx1"/>
            </w14:solidFill>
          </w14:textFill>
        </w:rPr>
        <w:t>，对居家</w:t>
      </w:r>
      <w:r>
        <w:rPr>
          <w:rFonts w:hint="eastAsia" w:ascii="仿宋" w:hAnsi="仿宋" w:eastAsia="仿宋" w:cs="仿宋"/>
          <w:color w:val="000000" w:themeColor="text1"/>
          <w:sz w:val="32"/>
          <w:szCs w:val="32"/>
          <w:lang w:val="en-US" w:eastAsia="zh-CN"/>
          <w14:textFill>
            <w14:solidFill>
              <w14:schemeClr w14:val="tx1"/>
            </w14:solidFill>
          </w14:textFill>
        </w:rPr>
        <w:t>愈后麻风病后遗症者进行了随访、慰问；</w:t>
      </w:r>
      <w:r>
        <w:rPr>
          <w:rFonts w:hint="eastAsia" w:ascii="仿宋" w:hAnsi="仿宋" w:eastAsia="仿宋" w:cs="仿宋"/>
          <w:color w:val="000000" w:themeColor="text1"/>
          <w:sz w:val="32"/>
          <w:szCs w:val="32"/>
          <w14:textFill>
            <w14:solidFill>
              <w14:schemeClr w14:val="tx1"/>
            </w14:solidFill>
          </w14:textFill>
        </w:rPr>
        <w:t>可疑</w:t>
      </w:r>
      <w:r>
        <w:rPr>
          <w:rFonts w:hint="eastAsia" w:ascii="仿宋" w:hAnsi="仿宋" w:eastAsia="仿宋" w:cs="仿宋"/>
          <w:color w:val="000000" w:themeColor="text1"/>
          <w:sz w:val="32"/>
          <w:szCs w:val="32"/>
          <w:lang w:val="en-US" w:eastAsia="zh-CN"/>
          <w14:textFill>
            <w14:solidFill>
              <w14:schemeClr w14:val="tx1"/>
            </w14:solidFill>
          </w14:textFill>
        </w:rPr>
        <w:t>麻风</w:t>
      </w:r>
      <w:r>
        <w:rPr>
          <w:rFonts w:hint="eastAsia" w:ascii="仿宋" w:hAnsi="仿宋" w:eastAsia="仿宋" w:cs="仿宋"/>
          <w:color w:val="000000" w:themeColor="text1"/>
          <w:sz w:val="32"/>
          <w:szCs w:val="32"/>
          <w14:textFill>
            <w14:solidFill>
              <w14:schemeClr w14:val="tx1"/>
            </w14:solidFill>
          </w14:textFill>
        </w:rPr>
        <w:t>症状者筛查</w:t>
      </w:r>
      <w:r>
        <w:rPr>
          <w:rFonts w:hint="eastAsia" w:ascii="仿宋" w:hAnsi="仿宋" w:eastAsia="仿宋" w:cs="仿宋"/>
          <w:color w:val="000000" w:themeColor="text1"/>
          <w:sz w:val="32"/>
          <w:szCs w:val="32"/>
          <w:lang w:val="en-US" w:eastAsia="zh-CN"/>
          <w14:textFill>
            <w14:solidFill>
              <w14:schemeClr w14:val="tx1"/>
            </w14:solidFill>
          </w14:textFill>
        </w:rPr>
        <w:t>87</w:t>
      </w:r>
      <w:r>
        <w:rPr>
          <w:rFonts w:hint="eastAsia" w:ascii="仿宋" w:hAnsi="仿宋" w:eastAsia="仿宋" w:cs="仿宋"/>
          <w:color w:val="000000" w:themeColor="text1"/>
          <w:sz w:val="32"/>
          <w:szCs w:val="32"/>
          <w14:textFill>
            <w14:solidFill>
              <w14:schemeClr w14:val="tx1"/>
            </w14:solidFill>
          </w14:textFill>
        </w:rPr>
        <w:t>例，</w:t>
      </w:r>
      <w:r>
        <w:rPr>
          <w:rFonts w:hint="eastAsia" w:ascii="仿宋" w:hAnsi="仿宋" w:eastAsia="仿宋" w:cs="仿宋"/>
          <w:color w:val="000000" w:themeColor="text1"/>
          <w:sz w:val="32"/>
          <w:szCs w:val="32"/>
          <w:lang w:val="en-US" w:eastAsia="zh-CN"/>
          <w14:textFill>
            <w14:solidFill>
              <w14:schemeClr w14:val="tx1"/>
            </w14:solidFill>
          </w14:textFill>
        </w:rPr>
        <w:t>未发现新病例；</w:t>
      </w:r>
      <w:r>
        <w:rPr>
          <w:rFonts w:hint="eastAsia" w:ascii="仿宋" w:hAnsi="仿宋" w:eastAsia="仿宋" w:cs="仿宋"/>
          <w:color w:val="000000" w:themeColor="text1"/>
          <w:sz w:val="32"/>
          <w:szCs w:val="32"/>
          <w14:textFill>
            <w14:solidFill>
              <w14:schemeClr w14:val="tx1"/>
            </w14:solidFill>
          </w14:textFill>
        </w:rPr>
        <w:t>学生、居民麻风病知识调查</w:t>
      </w:r>
      <w:r>
        <w:rPr>
          <w:rFonts w:hint="eastAsia" w:ascii="仿宋" w:hAnsi="仿宋" w:eastAsia="仿宋" w:cs="仿宋"/>
          <w:color w:val="000000" w:themeColor="text1"/>
          <w:sz w:val="32"/>
          <w:szCs w:val="32"/>
          <w:lang w:val="en-US" w:eastAsia="zh-CN"/>
          <w14:textFill>
            <w14:solidFill>
              <w14:schemeClr w14:val="tx1"/>
            </w14:solidFill>
          </w14:textFill>
        </w:rPr>
        <w:t>280</w:t>
      </w:r>
      <w:r>
        <w:rPr>
          <w:rFonts w:hint="eastAsia" w:ascii="仿宋" w:hAnsi="仿宋" w:eastAsia="仿宋" w:cs="仿宋"/>
          <w:color w:val="000000" w:themeColor="text1"/>
          <w:sz w:val="32"/>
          <w:szCs w:val="32"/>
          <w14:textFill>
            <w14:solidFill>
              <w14:schemeClr w14:val="tx1"/>
            </w14:solidFill>
          </w14:textFill>
        </w:rPr>
        <w:t>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知晓率为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w:t>
      </w:r>
    </w:p>
    <w:p w14:paraId="0C446BF2">
      <w:pPr>
        <w:keepNext w:val="0"/>
        <w:keepLines w:val="0"/>
        <w:pageBreakBefore w:val="0"/>
        <w:tabs>
          <w:tab w:val="left" w:pos="550"/>
          <w:tab w:val="left" w:pos="915"/>
        </w:tabs>
        <w:kinsoku/>
        <w:wordWrap/>
        <w:overflowPunct/>
        <w:topLinePunct w:val="0"/>
        <w:bidi w:val="0"/>
        <w:spacing w:line="560" w:lineRule="exact"/>
        <w:ind w:firstLine="640" w:firstLineChars="200"/>
        <w:textAlignment w:val="auto"/>
        <w:rPr>
          <w:rFonts w:hint="default" w:ascii="仿宋" w:hAnsi="仿宋" w:eastAsia="仿宋" w:cs="仿宋"/>
          <w:bCs/>
          <w:color w:val="000000" w:themeColor="text1"/>
          <w:spacing w:val="2"/>
          <w:sz w:val="32"/>
          <w:szCs w:val="32"/>
          <w:lang w:val="en-US" w:eastAsia="zh-CN"/>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w:t>
      </w:r>
      <w:r>
        <w:rPr>
          <w:rFonts w:hint="eastAsia" w:ascii="楷体" w:hAnsi="楷体" w:eastAsia="楷体" w:cs="楷体"/>
          <w:b/>
          <w:color w:val="000000" w:themeColor="text1"/>
          <w:sz w:val="32"/>
          <w:szCs w:val="32"/>
          <w:lang w:val="en-US" w:eastAsia="zh-CN"/>
          <w14:textFill>
            <w14:solidFill>
              <w14:schemeClr w14:val="tx1"/>
            </w14:solidFill>
          </w14:textFill>
        </w:rPr>
        <w:t>四</w:t>
      </w:r>
      <w:r>
        <w:rPr>
          <w:rFonts w:hint="eastAsia" w:ascii="楷体" w:hAnsi="楷体" w:eastAsia="楷体" w:cs="楷体"/>
          <w:b/>
          <w:color w:val="000000" w:themeColor="text1"/>
          <w:sz w:val="32"/>
          <w:szCs w:val="32"/>
          <w14:textFill>
            <w14:solidFill>
              <w14:schemeClr w14:val="tx1"/>
            </w14:solidFill>
          </w14:textFill>
        </w:rPr>
        <w:t>）慢性</w:t>
      </w:r>
      <w:r>
        <w:rPr>
          <w:rFonts w:hint="eastAsia" w:ascii="楷体" w:hAnsi="楷体" w:eastAsia="楷体" w:cs="楷体"/>
          <w:b/>
          <w:color w:val="000000" w:themeColor="text1"/>
          <w:sz w:val="32"/>
          <w:szCs w:val="32"/>
          <w:lang w:val="en-US" w:eastAsia="zh-CN"/>
          <w14:textFill>
            <w14:solidFill>
              <w14:schemeClr w14:val="tx1"/>
            </w14:solidFill>
          </w14:textFill>
        </w:rPr>
        <w:t>非传染性疾</w:t>
      </w:r>
      <w:r>
        <w:rPr>
          <w:rFonts w:hint="eastAsia" w:ascii="楷体" w:hAnsi="楷体" w:eastAsia="楷体" w:cs="楷体"/>
          <w:b/>
          <w:color w:val="000000" w:themeColor="text1"/>
          <w:sz w:val="32"/>
          <w:szCs w:val="32"/>
          <w14:textFill>
            <w14:solidFill>
              <w14:schemeClr w14:val="tx1"/>
            </w14:solidFill>
          </w14:textFill>
        </w:rPr>
        <w:t>病</w:t>
      </w:r>
      <w:r>
        <w:rPr>
          <w:rFonts w:hint="eastAsia" w:ascii="楷体" w:hAnsi="楷体" w:eastAsia="楷体" w:cs="楷体"/>
          <w:b/>
          <w:color w:val="000000" w:themeColor="text1"/>
          <w:sz w:val="32"/>
          <w:szCs w:val="32"/>
          <w:lang w:val="en-US" w:eastAsia="zh-CN"/>
          <w14:textFill>
            <w14:solidFill>
              <w14:schemeClr w14:val="tx1"/>
            </w14:solidFill>
          </w14:textFill>
        </w:rPr>
        <w:t>防控大力推进。</w:t>
      </w:r>
      <w:r>
        <w:rPr>
          <w:rFonts w:hint="eastAsia" w:ascii="仿宋" w:hAnsi="仿宋" w:eastAsia="仿宋" w:cs="仿宋"/>
          <w:b/>
          <w:bCs w:val="0"/>
          <w:color w:val="000000" w:themeColor="text1"/>
          <w:spacing w:val="2"/>
          <w:sz w:val="32"/>
          <w:szCs w:val="32"/>
          <w14:textFill>
            <w14:solidFill>
              <w14:schemeClr w14:val="tx1"/>
            </w14:solidFill>
          </w14:textFill>
        </w:rPr>
        <w:t>居民健康档案</w:t>
      </w:r>
      <w:r>
        <w:rPr>
          <w:rFonts w:hint="eastAsia" w:ascii="仿宋" w:hAnsi="仿宋" w:eastAsia="仿宋" w:cs="仿宋"/>
          <w:b/>
          <w:bCs w:val="0"/>
          <w:color w:val="000000" w:themeColor="text1"/>
          <w:spacing w:val="2"/>
          <w:sz w:val="32"/>
          <w:szCs w:val="32"/>
          <w:lang w:eastAsia="zh-CN"/>
          <w14:textFill>
            <w14:solidFill>
              <w14:schemeClr w14:val="tx1"/>
            </w14:solidFill>
          </w14:textFill>
        </w:rPr>
        <w:t>：</w:t>
      </w:r>
      <w:r>
        <w:rPr>
          <w:rFonts w:hint="eastAsia" w:ascii="仿宋" w:hAnsi="仿宋" w:eastAsia="仿宋" w:cs="仿宋"/>
          <w:bCs/>
          <w:color w:val="000000" w:themeColor="text1"/>
          <w:spacing w:val="2"/>
          <w:sz w:val="32"/>
          <w:szCs w:val="32"/>
          <w14:textFill>
            <w14:solidFill>
              <w14:schemeClr w14:val="tx1"/>
            </w14:solidFill>
          </w14:textFill>
        </w:rPr>
        <w:t>辖区内常住居民</w:t>
      </w:r>
      <w:r>
        <w:rPr>
          <w:rFonts w:hint="eastAsia" w:ascii="仿宋" w:hAnsi="仿宋" w:eastAsia="仿宋" w:cs="仿宋"/>
          <w:bCs/>
          <w:color w:val="000000" w:themeColor="text1"/>
          <w:spacing w:val="2"/>
          <w:sz w:val="32"/>
          <w:szCs w:val="32"/>
          <w:lang w:val="en-US" w:eastAsia="zh-CN"/>
          <w14:textFill>
            <w14:solidFill>
              <w14:schemeClr w14:val="tx1"/>
            </w14:solidFill>
          </w14:textFill>
        </w:rPr>
        <w:t>建立</w:t>
      </w:r>
      <w:r>
        <w:rPr>
          <w:rFonts w:hint="eastAsia" w:ascii="仿宋" w:hAnsi="仿宋" w:eastAsia="仿宋" w:cs="仿宋"/>
          <w:bCs/>
          <w:color w:val="000000" w:themeColor="text1"/>
          <w:spacing w:val="2"/>
          <w:sz w:val="32"/>
          <w:szCs w:val="32"/>
          <w14:textFill>
            <w14:solidFill>
              <w14:schemeClr w14:val="tx1"/>
            </w14:solidFill>
          </w14:textFill>
        </w:rPr>
        <w:t>健康档案建档</w:t>
      </w:r>
      <w:r>
        <w:rPr>
          <w:rFonts w:hint="eastAsia" w:ascii="仿宋" w:hAnsi="仿宋" w:eastAsia="仿宋" w:cs="仿宋"/>
          <w:bCs/>
          <w:color w:val="000000" w:themeColor="text1"/>
          <w:spacing w:val="2"/>
          <w:sz w:val="32"/>
          <w:szCs w:val="32"/>
          <w:lang w:val="en-US" w:eastAsia="zh-CN"/>
          <w14:textFill>
            <w14:solidFill>
              <w14:schemeClr w14:val="tx1"/>
            </w14:solidFill>
          </w14:textFill>
        </w:rPr>
        <w:t>任务完成</w:t>
      </w:r>
      <w:r>
        <w:rPr>
          <w:rFonts w:hint="eastAsia" w:ascii="仿宋" w:hAnsi="仿宋" w:eastAsia="仿宋" w:cs="仿宋"/>
          <w:bCs/>
          <w:color w:val="000000" w:themeColor="text1"/>
          <w:spacing w:val="2"/>
          <w:sz w:val="32"/>
          <w:szCs w:val="32"/>
          <w14:textFill>
            <w14:solidFill>
              <w14:schemeClr w14:val="tx1"/>
            </w14:solidFill>
          </w14:textFill>
        </w:rPr>
        <w:t>率</w:t>
      </w:r>
      <w:r>
        <w:rPr>
          <w:rFonts w:hint="eastAsia" w:ascii="仿宋" w:hAnsi="仿宋" w:eastAsia="仿宋" w:cs="仿宋"/>
          <w:bCs/>
          <w:color w:val="000000" w:themeColor="text1"/>
          <w:spacing w:val="2"/>
          <w:sz w:val="32"/>
          <w:szCs w:val="32"/>
          <w:lang w:val="en-US" w:eastAsia="zh-CN"/>
          <w14:textFill>
            <w14:solidFill>
              <w14:schemeClr w14:val="tx1"/>
            </w14:solidFill>
          </w14:textFill>
        </w:rPr>
        <w:t>112.99%</w:t>
      </w:r>
      <w:r>
        <w:rPr>
          <w:rFonts w:hint="eastAsia" w:ascii="仿宋" w:hAnsi="仿宋" w:eastAsia="仿宋" w:cs="仿宋"/>
          <w:bCs/>
          <w:color w:val="000000" w:themeColor="text1"/>
          <w:spacing w:val="2"/>
          <w:sz w:val="32"/>
          <w:szCs w:val="32"/>
          <w:lang w:eastAsia="zh-CN"/>
          <w14:textFill>
            <w14:solidFill>
              <w14:schemeClr w14:val="tx1"/>
            </w14:solidFill>
          </w14:textFill>
        </w:rPr>
        <w:t>，</w:t>
      </w:r>
      <w:r>
        <w:rPr>
          <w:rFonts w:hint="eastAsia" w:ascii="仿宋" w:hAnsi="仿宋" w:eastAsia="仿宋" w:cs="仿宋"/>
          <w:bCs/>
          <w:color w:val="000000" w:themeColor="text1"/>
          <w:spacing w:val="2"/>
          <w:sz w:val="32"/>
          <w:szCs w:val="32"/>
          <w14:textFill>
            <w14:solidFill>
              <w14:schemeClr w14:val="tx1"/>
            </w14:solidFill>
          </w14:textFill>
        </w:rPr>
        <w:t>健康档案使用率</w:t>
      </w:r>
      <w:r>
        <w:rPr>
          <w:rFonts w:hint="eastAsia" w:ascii="仿宋" w:hAnsi="仿宋" w:eastAsia="仿宋" w:cs="仿宋"/>
          <w:bCs/>
          <w:color w:val="000000" w:themeColor="text1"/>
          <w:spacing w:val="2"/>
          <w:sz w:val="32"/>
          <w:szCs w:val="32"/>
          <w:lang w:eastAsia="zh-CN"/>
          <w14:textFill>
            <w14:solidFill>
              <w14:schemeClr w14:val="tx1"/>
            </w14:solidFill>
          </w14:textFill>
        </w:rPr>
        <w:t>91.</w:t>
      </w:r>
      <w:r>
        <w:rPr>
          <w:rFonts w:hint="eastAsia" w:ascii="仿宋" w:hAnsi="仿宋" w:eastAsia="仿宋" w:cs="仿宋"/>
          <w:bCs/>
          <w:color w:val="000000" w:themeColor="text1"/>
          <w:spacing w:val="2"/>
          <w:sz w:val="32"/>
          <w:szCs w:val="32"/>
          <w:lang w:val="en-US" w:eastAsia="zh-CN"/>
          <w14:textFill>
            <w14:solidFill>
              <w14:schemeClr w14:val="tx1"/>
            </w14:solidFill>
          </w14:textFill>
        </w:rPr>
        <w:t>72</w:t>
      </w:r>
      <w:r>
        <w:rPr>
          <w:rFonts w:hint="eastAsia" w:ascii="仿宋" w:hAnsi="仿宋" w:eastAsia="仿宋" w:cs="仿宋"/>
          <w:bCs/>
          <w:color w:val="000000" w:themeColor="text1"/>
          <w:spacing w:val="2"/>
          <w:sz w:val="32"/>
          <w:szCs w:val="32"/>
          <w14:textFill>
            <w14:solidFill>
              <w14:schemeClr w14:val="tx1"/>
            </w14:solidFill>
          </w14:textFill>
        </w:rPr>
        <w:t>%</w:t>
      </w:r>
      <w:r>
        <w:rPr>
          <w:rFonts w:hint="eastAsia" w:ascii="仿宋" w:hAnsi="仿宋" w:eastAsia="仿宋" w:cs="仿宋"/>
          <w:bCs/>
          <w:color w:val="000000" w:themeColor="text1"/>
          <w:spacing w:val="2"/>
          <w:sz w:val="32"/>
          <w:szCs w:val="32"/>
          <w:lang w:eastAsia="zh-CN"/>
          <w14:textFill>
            <w14:solidFill>
              <w14:schemeClr w14:val="tx1"/>
            </w14:solidFill>
          </w14:textFill>
        </w:rPr>
        <w:t>；</w:t>
      </w:r>
      <w:r>
        <w:rPr>
          <w:rFonts w:hint="eastAsia" w:ascii="仿宋" w:hAnsi="仿宋" w:eastAsia="仿宋" w:cs="仿宋"/>
          <w:b/>
          <w:color w:val="000000" w:themeColor="text1"/>
          <w:spacing w:val="2"/>
          <w:sz w:val="32"/>
          <w:szCs w:val="32"/>
          <w:lang w:val="en-US" w:eastAsia="zh-CN"/>
          <w14:textFill>
            <w14:solidFill>
              <w14:schemeClr w14:val="tx1"/>
            </w14:solidFill>
          </w14:textFill>
        </w:rPr>
        <w:t>老年人</w:t>
      </w:r>
      <w:r>
        <w:rPr>
          <w:rFonts w:hint="eastAsia" w:ascii="仿宋" w:hAnsi="仿宋" w:eastAsia="仿宋" w:cs="仿宋"/>
          <w:b/>
          <w:color w:val="000000" w:themeColor="text1"/>
          <w:spacing w:val="2"/>
          <w:sz w:val="32"/>
          <w:szCs w:val="32"/>
          <w14:textFill>
            <w14:solidFill>
              <w14:schemeClr w14:val="tx1"/>
            </w14:solidFill>
          </w14:textFill>
        </w:rPr>
        <w:t>健康管理</w:t>
      </w:r>
      <w:r>
        <w:rPr>
          <w:rFonts w:hint="eastAsia" w:ascii="仿宋" w:hAnsi="仿宋" w:eastAsia="仿宋" w:cs="仿宋"/>
          <w:bCs/>
          <w:color w:val="000000" w:themeColor="text1"/>
          <w:spacing w:val="2"/>
          <w:sz w:val="32"/>
          <w:szCs w:val="32"/>
          <w14:textFill>
            <w14:solidFill>
              <w14:schemeClr w14:val="tx1"/>
            </w14:solidFill>
          </w14:textFill>
        </w:rPr>
        <w:t>：</w:t>
      </w:r>
      <w:r>
        <w:rPr>
          <w:rFonts w:hint="eastAsia" w:ascii="仿宋" w:hAnsi="仿宋" w:eastAsia="仿宋" w:cs="仿宋"/>
          <w:bCs/>
          <w:color w:val="000000" w:themeColor="text1"/>
          <w:spacing w:val="2"/>
          <w:sz w:val="32"/>
          <w:szCs w:val="32"/>
          <w:lang w:val="en-US" w:eastAsia="zh-CN"/>
          <w14:textFill>
            <w14:solidFill>
              <w14:schemeClr w14:val="tx1"/>
            </w14:solidFill>
          </w14:textFill>
        </w:rPr>
        <w:t>建档</w:t>
      </w:r>
      <w:r>
        <w:rPr>
          <w:rFonts w:hint="eastAsia" w:ascii="仿宋" w:hAnsi="仿宋" w:eastAsia="仿宋" w:cs="仿宋"/>
          <w:bCs/>
          <w:color w:val="000000" w:themeColor="text1"/>
          <w:spacing w:val="2"/>
          <w:sz w:val="32"/>
          <w:szCs w:val="32"/>
          <w14:textFill>
            <w14:solidFill>
              <w14:schemeClr w14:val="tx1"/>
            </w14:solidFill>
          </w14:textFill>
        </w:rPr>
        <w:t>65岁及以上老年人体检率</w:t>
      </w:r>
      <w:r>
        <w:rPr>
          <w:rFonts w:hint="eastAsia" w:ascii="仿宋" w:hAnsi="仿宋" w:eastAsia="仿宋" w:cs="仿宋"/>
          <w:b w:val="0"/>
          <w:bCs/>
          <w:color w:val="000000" w:themeColor="text1"/>
          <w:kern w:val="0"/>
          <w:sz w:val="32"/>
          <w:szCs w:val="32"/>
          <w:lang w:val="en-US" w:eastAsia="zh-CN"/>
          <w14:textFill>
            <w14:solidFill>
              <w14:schemeClr w14:val="tx1"/>
            </w14:solidFill>
          </w14:textFill>
        </w:rPr>
        <w:t>85.13</w:t>
      </w:r>
      <w:r>
        <w:rPr>
          <w:rFonts w:hint="eastAsia" w:ascii="仿宋" w:hAnsi="仿宋" w:eastAsia="仿宋" w:cs="仿宋"/>
          <w:b w:val="0"/>
          <w:bCs/>
          <w:color w:val="000000" w:themeColor="text1"/>
          <w:kern w:val="0"/>
          <w:sz w:val="32"/>
          <w:szCs w:val="32"/>
          <w14:textFill>
            <w14:solidFill>
              <w14:schemeClr w14:val="tx1"/>
            </w14:solidFill>
          </w14:textFill>
        </w:rPr>
        <w:t>%</w:t>
      </w:r>
      <w:r>
        <w:rPr>
          <w:rFonts w:hint="eastAsia" w:ascii="仿宋" w:hAnsi="仿宋" w:eastAsia="仿宋" w:cs="仿宋"/>
          <w:bCs/>
          <w:color w:val="000000" w:themeColor="text1"/>
          <w:spacing w:val="2"/>
          <w:sz w:val="32"/>
          <w:szCs w:val="32"/>
          <w14:textFill>
            <w14:solidFill>
              <w14:schemeClr w14:val="tx1"/>
            </w14:solidFill>
          </w14:textFill>
        </w:rPr>
        <w:t>，体检表完整率</w:t>
      </w:r>
      <w:r>
        <w:rPr>
          <w:rFonts w:hint="eastAsia" w:ascii="仿宋" w:hAnsi="仿宋" w:eastAsia="仿宋" w:cs="仿宋"/>
          <w:bCs/>
          <w:color w:val="000000" w:themeColor="text1"/>
          <w:spacing w:val="2"/>
          <w:sz w:val="32"/>
          <w:szCs w:val="32"/>
          <w:lang w:val="en-US" w:eastAsia="zh-CN"/>
          <w14:textFill>
            <w14:solidFill>
              <w14:schemeClr w14:val="tx1"/>
            </w14:solidFill>
          </w14:textFill>
        </w:rPr>
        <w:t>99.38</w:t>
      </w:r>
      <w:r>
        <w:rPr>
          <w:rFonts w:hint="eastAsia" w:ascii="仿宋" w:hAnsi="仿宋" w:eastAsia="仿宋" w:cs="仿宋"/>
          <w:bCs/>
          <w:color w:val="000000" w:themeColor="text1"/>
          <w:spacing w:val="2"/>
          <w:sz w:val="32"/>
          <w:szCs w:val="32"/>
          <w14:textFill>
            <w14:solidFill>
              <w14:schemeClr w14:val="tx1"/>
            </w14:solidFill>
          </w14:textFill>
        </w:rPr>
        <w:t>%</w:t>
      </w:r>
      <w:r>
        <w:rPr>
          <w:rFonts w:hint="eastAsia" w:ascii="仿宋" w:hAnsi="仿宋" w:eastAsia="仿宋" w:cs="仿宋"/>
          <w:bCs/>
          <w:color w:val="000000" w:themeColor="text1"/>
          <w:spacing w:val="2"/>
          <w:sz w:val="32"/>
          <w:szCs w:val="32"/>
          <w:lang w:eastAsia="zh-CN"/>
          <w14:textFill>
            <w14:solidFill>
              <w14:schemeClr w14:val="tx1"/>
            </w14:solidFill>
          </w14:textFill>
        </w:rPr>
        <w:t>；</w:t>
      </w:r>
      <w:r>
        <w:rPr>
          <w:rFonts w:hint="eastAsia" w:ascii="仿宋" w:hAnsi="仿宋" w:eastAsia="仿宋" w:cs="仿宋"/>
          <w:b/>
          <w:color w:val="000000" w:themeColor="text1"/>
          <w:spacing w:val="2"/>
          <w:sz w:val="32"/>
          <w:szCs w:val="32"/>
          <w14:textFill>
            <w14:solidFill>
              <w14:schemeClr w14:val="tx1"/>
            </w14:solidFill>
          </w14:textFill>
        </w:rPr>
        <w:t>高血压患者健康管理</w:t>
      </w:r>
      <w:r>
        <w:rPr>
          <w:rFonts w:hint="eastAsia" w:ascii="仿宋" w:hAnsi="仿宋" w:eastAsia="仿宋" w:cs="仿宋"/>
          <w:bCs/>
          <w:color w:val="000000" w:themeColor="text1"/>
          <w:spacing w:val="2"/>
          <w:sz w:val="32"/>
          <w:szCs w:val="32"/>
          <w14:textFill>
            <w14:solidFill>
              <w14:schemeClr w14:val="tx1"/>
            </w14:solidFill>
          </w14:textFill>
        </w:rPr>
        <w:t>：</w:t>
      </w:r>
      <w:r>
        <w:rPr>
          <w:rFonts w:hint="eastAsia" w:ascii="仿宋" w:hAnsi="仿宋" w:eastAsia="仿宋" w:cs="仿宋"/>
          <w:bCs/>
          <w:color w:val="000000" w:themeColor="text1"/>
          <w:spacing w:val="2"/>
          <w:sz w:val="32"/>
          <w:szCs w:val="32"/>
          <w:lang w:val="en-US" w:eastAsia="zh-CN"/>
          <w14:textFill>
            <w14:solidFill>
              <w14:schemeClr w14:val="tx1"/>
            </w14:solidFill>
          </w14:textFill>
        </w:rPr>
        <w:t>建档管理</w:t>
      </w:r>
      <w:r>
        <w:rPr>
          <w:rFonts w:hint="eastAsia" w:ascii="仿宋" w:hAnsi="仿宋" w:eastAsia="仿宋" w:cs="仿宋"/>
          <w:bCs/>
          <w:color w:val="000000" w:themeColor="text1"/>
          <w:spacing w:val="2"/>
          <w:sz w:val="32"/>
          <w:szCs w:val="32"/>
          <w14:textFill>
            <w14:solidFill>
              <w14:schemeClr w14:val="tx1"/>
            </w14:solidFill>
          </w14:textFill>
        </w:rPr>
        <w:t>高血压患者</w:t>
      </w:r>
      <w:r>
        <w:rPr>
          <w:rFonts w:hint="eastAsia" w:ascii="仿宋" w:hAnsi="仿宋" w:eastAsia="仿宋" w:cs="仿宋"/>
          <w:bCs/>
          <w:color w:val="000000" w:themeColor="text1"/>
          <w:spacing w:val="2"/>
          <w:kern w:val="0"/>
          <w:sz w:val="32"/>
          <w:szCs w:val="32"/>
          <w:lang w:val="en-US" w:eastAsia="zh-CN" w:bidi="ar-SA"/>
          <w14:textFill>
            <w14:solidFill>
              <w14:schemeClr w14:val="tx1"/>
            </w14:solidFill>
          </w14:textFill>
        </w:rPr>
        <w:t>27092</w:t>
      </w:r>
      <w:r>
        <w:rPr>
          <w:rFonts w:hint="eastAsia" w:ascii="仿宋" w:hAnsi="仿宋" w:eastAsia="仿宋" w:cs="仿宋"/>
          <w:bCs/>
          <w:color w:val="000000" w:themeColor="text1"/>
          <w:spacing w:val="2"/>
          <w:sz w:val="32"/>
          <w:szCs w:val="32"/>
          <w14:textFill>
            <w14:solidFill>
              <w14:schemeClr w14:val="tx1"/>
            </w14:solidFill>
          </w14:textFill>
        </w:rPr>
        <w:t>人，规范管理率</w:t>
      </w:r>
      <w:r>
        <w:rPr>
          <w:rFonts w:hint="eastAsia" w:ascii="仿宋" w:hAnsi="仿宋" w:eastAsia="仿宋" w:cs="仿宋"/>
          <w:bCs/>
          <w:color w:val="000000" w:themeColor="text1"/>
          <w:spacing w:val="2"/>
          <w:kern w:val="0"/>
          <w:sz w:val="32"/>
          <w:szCs w:val="32"/>
          <w:lang w:val="en-US" w:eastAsia="zh-CN" w:bidi="ar-SA"/>
          <w14:textFill>
            <w14:solidFill>
              <w14:schemeClr w14:val="tx1"/>
            </w14:solidFill>
          </w14:textFill>
        </w:rPr>
        <w:t>91.55%</w:t>
      </w:r>
      <w:r>
        <w:rPr>
          <w:rFonts w:hint="eastAsia" w:ascii="仿宋" w:hAnsi="仿宋" w:eastAsia="仿宋" w:cs="仿宋"/>
          <w:bCs/>
          <w:color w:val="000000" w:themeColor="text1"/>
          <w:spacing w:val="2"/>
          <w:sz w:val="32"/>
          <w:szCs w:val="32"/>
          <w14:textFill>
            <w14:solidFill>
              <w14:schemeClr w14:val="tx1"/>
            </w14:solidFill>
          </w14:textFill>
        </w:rPr>
        <w:t>；最近一次随访血压达标率</w:t>
      </w:r>
      <w:r>
        <w:rPr>
          <w:rFonts w:hint="eastAsia" w:ascii="仿宋" w:hAnsi="仿宋" w:eastAsia="仿宋" w:cs="仿宋"/>
          <w:bCs/>
          <w:color w:val="000000" w:themeColor="text1"/>
          <w:spacing w:val="2"/>
          <w:sz w:val="32"/>
          <w:szCs w:val="32"/>
          <w:lang w:val="en-US" w:eastAsia="zh-CN"/>
          <w14:textFill>
            <w14:solidFill>
              <w14:schemeClr w14:val="tx1"/>
            </w14:solidFill>
          </w14:textFill>
        </w:rPr>
        <w:t>73.53</w:t>
      </w:r>
      <w:r>
        <w:rPr>
          <w:rFonts w:hint="eastAsia" w:ascii="仿宋" w:hAnsi="仿宋" w:eastAsia="仿宋" w:cs="仿宋"/>
          <w:bCs/>
          <w:color w:val="000000" w:themeColor="text1"/>
          <w:spacing w:val="2"/>
          <w:sz w:val="32"/>
          <w:szCs w:val="32"/>
          <w14:textFill>
            <w14:solidFill>
              <w14:schemeClr w14:val="tx1"/>
            </w14:solidFill>
          </w14:textFill>
        </w:rPr>
        <w:t>%。</w:t>
      </w:r>
      <w:r>
        <w:rPr>
          <w:rFonts w:hint="eastAsia" w:ascii="仿宋" w:hAnsi="仿宋" w:eastAsia="仿宋" w:cs="仿宋"/>
          <w:b/>
          <w:color w:val="000000" w:themeColor="text1"/>
          <w:spacing w:val="2"/>
          <w:sz w:val="32"/>
          <w:szCs w:val="32"/>
          <w14:textFill>
            <w14:solidFill>
              <w14:schemeClr w14:val="tx1"/>
            </w14:solidFill>
          </w14:textFill>
        </w:rPr>
        <w:t>2型糖尿病患者健康管理</w:t>
      </w:r>
      <w:r>
        <w:rPr>
          <w:rFonts w:hint="eastAsia" w:ascii="仿宋" w:hAnsi="仿宋" w:eastAsia="仿宋" w:cs="仿宋"/>
          <w:bCs/>
          <w:color w:val="000000" w:themeColor="text1"/>
          <w:spacing w:val="2"/>
          <w:sz w:val="32"/>
          <w:szCs w:val="32"/>
          <w14:textFill>
            <w14:solidFill>
              <w14:schemeClr w14:val="tx1"/>
            </w14:solidFill>
          </w14:textFill>
        </w:rPr>
        <w:t>：</w:t>
      </w:r>
      <w:r>
        <w:rPr>
          <w:rFonts w:hint="eastAsia" w:ascii="仿宋" w:hAnsi="仿宋" w:eastAsia="仿宋" w:cs="仿宋"/>
          <w:bCs/>
          <w:color w:val="000000" w:themeColor="text1"/>
          <w:spacing w:val="2"/>
          <w:sz w:val="32"/>
          <w:szCs w:val="32"/>
          <w:lang w:val="en-US" w:eastAsia="zh-CN"/>
          <w14:textFill>
            <w14:solidFill>
              <w14:schemeClr w14:val="tx1"/>
            </w14:solidFill>
          </w14:textFill>
        </w:rPr>
        <w:t>建档管理</w:t>
      </w:r>
      <w:r>
        <w:rPr>
          <w:rFonts w:hint="eastAsia" w:ascii="仿宋" w:hAnsi="仿宋" w:eastAsia="仿宋" w:cs="仿宋"/>
          <w:bCs/>
          <w:color w:val="000000" w:themeColor="text1"/>
          <w:spacing w:val="2"/>
          <w:sz w:val="32"/>
          <w:szCs w:val="32"/>
          <w14:textFill>
            <w14:solidFill>
              <w14:schemeClr w14:val="tx1"/>
            </w14:solidFill>
          </w14:textFill>
        </w:rPr>
        <w:t>2型糖尿病患者</w:t>
      </w:r>
      <w:r>
        <w:rPr>
          <w:rFonts w:hint="eastAsia" w:ascii="仿宋" w:hAnsi="仿宋" w:eastAsia="仿宋" w:cs="仿宋"/>
          <w:b w:val="0"/>
          <w:bCs/>
          <w:color w:val="000000" w:themeColor="text1"/>
          <w:kern w:val="0"/>
          <w:sz w:val="32"/>
          <w:szCs w:val="32"/>
          <w:lang w:val="en-US" w:eastAsia="zh-CN"/>
          <w14:textFill>
            <w14:solidFill>
              <w14:schemeClr w14:val="tx1"/>
            </w14:solidFill>
          </w14:textFill>
        </w:rPr>
        <w:t>9216</w:t>
      </w:r>
      <w:r>
        <w:rPr>
          <w:rFonts w:hint="eastAsia" w:ascii="仿宋" w:hAnsi="仿宋" w:eastAsia="仿宋" w:cs="仿宋"/>
          <w:bCs/>
          <w:color w:val="000000" w:themeColor="text1"/>
          <w:spacing w:val="2"/>
          <w:sz w:val="32"/>
          <w:szCs w:val="32"/>
          <w14:textFill>
            <w14:solidFill>
              <w14:schemeClr w14:val="tx1"/>
            </w14:solidFill>
          </w14:textFill>
        </w:rPr>
        <w:t>人，规范管理率</w:t>
      </w:r>
      <w:r>
        <w:rPr>
          <w:rFonts w:hint="eastAsia" w:ascii="仿宋" w:hAnsi="仿宋" w:eastAsia="仿宋" w:cs="仿宋"/>
          <w:b w:val="0"/>
          <w:bCs/>
          <w:color w:val="000000" w:themeColor="text1"/>
          <w:kern w:val="0"/>
          <w:sz w:val="32"/>
          <w:szCs w:val="32"/>
          <w:lang w:val="en-US" w:eastAsia="zh-CN"/>
          <w14:textFill>
            <w14:solidFill>
              <w14:schemeClr w14:val="tx1"/>
            </w14:solidFill>
          </w14:textFill>
        </w:rPr>
        <w:t>91.2</w:t>
      </w:r>
      <w:r>
        <w:rPr>
          <w:rFonts w:hint="eastAsia" w:ascii="仿宋" w:hAnsi="仿宋" w:eastAsia="仿宋" w:cs="仿宋"/>
          <w:bCs/>
          <w:color w:val="000000" w:themeColor="text1"/>
          <w:spacing w:val="2"/>
          <w:sz w:val="32"/>
          <w:szCs w:val="32"/>
          <w14:textFill>
            <w14:solidFill>
              <w14:schemeClr w14:val="tx1"/>
            </w14:solidFill>
          </w14:textFill>
        </w:rPr>
        <w:t>%</w:t>
      </w:r>
      <w:r>
        <w:rPr>
          <w:rFonts w:hint="eastAsia" w:ascii="仿宋" w:hAnsi="仿宋" w:eastAsia="仿宋" w:cs="仿宋"/>
          <w:bCs/>
          <w:color w:val="000000" w:themeColor="text1"/>
          <w:spacing w:val="2"/>
          <w:sz w:val="32"/>
          <w:szCs w:val="32"/>
          <w:lang w:eastAsia="zh-CN"/>
          <w14:textFill>
            <w14:solidFill>
              <w14:schemeClr w14:val="tx1"/>
            </w14:solidFill>
          </w14:textFill>
        </w:rPr>
        <w:t>，</w:t>
      </w:r>
      <w:r>
        <w:rPr>
          <w:rFonts w:hint="eastAsia" w:ascii="仿宋" w:hAnsi="仿宋" w:eastAsia="仿宋" w:cs="仿宋"/>
          <w:bCs/>
          <w:color w:val="000000" w:themeColor="text1"/>
          <w:spacing w:val="2"/>
          <w:sz w:val="32"/>
          <w:szCs w:val="32"/>
          <w14:textFill>
            <w14:solidFill>
              <w14:schemeClr w14:val="tx1"/>
            </w14:solidFill>
          </w14:textFill>
        </w:rPr>
        <w:t>最近一次随访血糖达标率</w:t>
      </w:r>
      <w:r>
        <w:rPr>
          <w:rFonts w:hint="eastAsia" w:ascii="仿宋" w:hAnsi="仿宋" w:eastAsia="仿宋" w:cs="仿宋"/>
          <w:bCs/>
          <w:color w:val="000000" w:themeColor="text1"/>
          <w:spacing w:val="2"/>
          <w:sz w:val="32"/>
          <w:szCs w:val="32"/>
          <w:lang w:val="en-US" w:eastAsia="zh-CN"/>
          <w14:textFill>
            <w14:solidFill>
              <w14:schemeClr w14:val="tx1"/>
            </w14:solidFill>
          </w14:textFill>
        </w:rPr>
        <w:t>76.38</w:t>
      </w:r>
      <w:r>
        <w:rPr>
          <w:rFonts w:hint="eastAsia" w:ascii="仿宋" w:hAnsi="仿宋" w:eastAsia="仿宋" w:cs="仿宋"/>
          <w:bCs/>
          <w:color w:val="000000" w:themeColor="text1"/>
          <w:spacing w:val="2"/>
          <w:sz w:val="32"/>
          <w:szCs w:val="32"/>
          <w14:textFill>
            <w14:solidFill>
              <w14:schemeClr w14:val="tx1"/>
            </w14:solidFill>
          </w14:textFill>
        </w:rPr>
        <w:t>%。</w:t>
      </w:r>
      <w:r>
        <w:rPr>
          <w:rFonts w:hint="eastAsia" w:ascii="仿宋" w:hAnsi="仿宋" w:eastAsia="仿宋" w:cs="仿宋"/>
          <w:b/>
          <w:color w:val="000000" w:themeColor="text1"/>
          <w:spacing w:val="2"/>
          <w:sz w:val="32"/>
          <w:szCs w:val="32"/>
          <w:lang w:eastAsia="zh-CN"/>
          <w14:textFill>
            <w14:solidFill>
              <w14:schemeClr w14:val="tx1"/>
            </w14:solidFill>
          </w14:textFill>
        </w:rPr>
        <w:t>医防融合：</w:t>
      </w:r>
      <w:r>
        <w:rPr>
          <w:rFonts w:hint="eastAsia" w:ascii="仿宋" w:hAnsi="仿宋" w:eastAsia="仿宋" w:cs="仿宋"/>
          <w:bCs/>
          <w:color w:val="000000" w:themeColor="text1"/>
          <w:spacing w:val="2"/>
          <w:sz w:val="32"/>
          <w:szCs w:val="32"/>
          <w:lang w:eastAsia="zh-CN"/>
          <w14:textFill>
            <w14:solidFill>
              <w14:schemeClr w14:val="tx1"/>
            </w14:solidFill>
          </w14:textFill>
        </w:rPr>
        <w:t>脑卒中患者应管</w:t>
      </w:r>
      <w:r>
        <w:rPr>
          <w:rFonts w:hint="eastAsia" w:ascii="仿宋" w:hAnsi="仿宋" w:eastAsia="仿宋" w:cs="仿宋"/>
          <w:bCs/>
          <w:color w:val="000000" w:themeColor="text1"/>
          <w:spacing w:val="2"/>
          <w:sz w:val="32"/>
          <w:szCs w:val="32"/>
          <w:lang w:val="en-US" w:eastAsia="zh-CN"/>
          <w14:textFill>
            <w14:solidFill>
              <w14:schemeClr w14:val="tx1"/>
            </w14:solidFill>
          </w14:textFill>
        </w:rPr>
        <w:t>1669人，建档率63.69%，管理率90.59%，高血压特殊门诊备案1038人，建档管理率82.27%，糖尿病特殊门诊备案1297人，建档管理率86.12%。</w:t>
      </w:r>
      <w:r>
        <w:rPr>
          <w:rFonts w:hint="eastAsia" w:ascii="仿宋" w:hAnsi="仿宋" w:eastAsia="仿宋" w:cs="仿宋"/>
          <w:b/>
          <w:bCs w:val="0"/>
          <w:color w:val="000000" w:themeColor="text1"/>
          <w:spacing w:val="2"/>
          <w:sz w:val="32"/>
          <w:szCs w:val="32"/>
          <w:lang w:val="en-US" w:eastAsia="zh-CN"/>
          <w14:textFill>
            <w14:solidFill>
              <w14:schemeClr w14:val="tx1"/>
            </w14:solidFill>
          </w14:textFill>
        </w:rPr>
        <w:t>其它慢病健康管理</w:t>
      </w:r>
      <w:r>
        <w:rPr>
          <w:rFonts w:hint="eastAsia" w:ascii="仿宋" w:hAnsi="仿宋" w:eastAsia="仿宋" w:cs="仿宋"/>
          <w:b/>
          <w:bCs w:val="0"/>
          <w:color w:val="000000" w:themeColor="text1"/>
          <w:spacing w:val="2"/>
          <w:sz w:val="32"/>
          <w:szCs w:val="32"/>
          <w:lang w:eastAsia="zh-CN"/>
          <w14:textFill>
            <w14:solidFill>
              <w14:schemeClr w14:val="tx1"/>
            </w14:solidFill>
          </w14:textFill>
        </w:rPr>
        <w:t>：</w:t>
      </w:r>
      <w:r>
        <w:rPr>
          <w:rFonts w:hint="eastAsia" w:ascii="仿宋" w:hAnsi="仿宋" w:eastAsia="仿宋" w:cs="仿宋"/>
          <w:bCs/>
          <w:color w:val="000000" w:themeColor="text1"/>
          <w:spacing w:val="2"/>
          <w:sz w:val="32"/>
          <w:szCs w:val="32"/>
          <w:lang w:eastAsia="zh-CN"/>
          <w14:textFill>
            <w14:solidFill>
              <w14:schemeClr w14:val="tx1"/>
            </w14:solidFill>
          </w14:textFill>
        </w:rPr>
        <w:t>开展了肿瘤防治周宣传活动</w:t>
      </w:r>
      <w:r>
        <w:rPr>
          <w:rFonts w:hint="eastAsia" w:ascii="仿宋" w:hAnsi="仿宋" w:eastAsia="仿宋" w:cs="仿宋"/>
          <w:bCs/>
          <w:color w:val="000000" w:themeColor="text1"/>
          <w:spacing w:val="2"/>
          <w:sz w:val="32"/>
          <w:szCs w:val="32"/>
          <w:lang w:val="en-US" w:eastAsia="zh-CN"/>
          <w14:textFill>
            <w14:solidFill>
              <w14:schemeClr w14:val="tx1"/>
            </w14:solidFill>
          </w14:textFill>
        </w:rPr>
        <w:t>，收集整理近五年医保部门、县直医疗保健机构肿瘤登记信息和</w:t>
      </w:r>
      <w:r>
        <w:rPr>
          <w:rFonts w:hint="eastAsia" w:ascii="仿宋" w:hAnsi="仿宋" w:eastAsia="仿宋" w:cs="仿宋"/>
          <w:bCs/>
          <w:color w:val="000000" w:themeColor="text1"/>
          <w:spacing w:val="2"/>
          <w:sz w:val="32"/>
          <w:szCs w:val="32"/>
          <w14:textFill>
            <w14:solidFill>
              <w14:schemeClr w14:val="tx1"/>
            </w14:solidFill>
          </w14:textFill>
        </w:rPr>
        <w:t>死因监测系统肿瘤数据并上报省肿瘤防办</w:t>
      </w:r>
      <w:r>
        <w:rPr>
          <w:rFonts w:hint="eastAsia" w:ascii="仿宋" w:hAnsi="仿宋" w:eastAsia="仿宋" w:cs="仿宋"/>
          <w:bCs/>
          <w:color w:val="000000" w:themeColor="text1"/>
          <w:spacing w:val="2"/>
          <w:sz w:val="32"/>
          <w:szCs w:val="32"/>
          <w:lang w:eastAsia="zh-CN"/>
          <w14:textFill>
            <w14:solidFill>
              <w14:schemeClr w14:val="tx1"/>
            </w14:solidFill>
          </w14:textFill>
        </w:rPr>
        <w:t>；</w:t>
      </w:r>
      <w:r>
        <w:rPr>
          <w:rFonts w:hint="eastAsia" w:ascii="仿宋" w:hAnsi="仿宋" w:eastAsia="仿宋" w:cs="仿宋"/>
          <w:bCs/>
          <w:color w:val="000000" w:themeColor="text1"/>
          <w:spacing w:val="2"/>
          <w:sz w:val="32"/>
          <w:szCs w:val="32"/>
          <w:lang w:val="en-US" w:eastAsia="zh-CN"/>
          <w14:textFill>
            <w14:solidFill>
              <w14:schemeClr w14:val="tx1"/>
            </w14:solidFill>
          </w14:textFill>
        </w:rPr>
        <w:t>公卫系统登记管理冠心病、脑卒中、慢阻肺、肿瘤等其它慢性病4002例。</w:t>
      </w:r>
      <w:r>
        <w:rPr>
          <w:rFonts w:hint="eastAsia" w:ascii="仿宋" w:hAnsi="仿宋" w:eastAsia="仿宋" w:cs="仿宋"/>
          <w:b/>
          <w:color w:val="000000" w:themeColor="text1"/>
          <w:kern w:val="0"/>
          <w:sz w:val="32"/>
          <w:szCs w:val="32"/>
          <w:lang w:eastAsia="zh-CN"/>
          <w14:textFill>
            <w14:solidFill>
              <w14:schemeClr w14:val="tx1"/>
            </w14:solidFill>
          </w14:textFill>
        </w:rPr>
        <w:t>居民</w:t>
      </w:r>
      <w:r>
        <w:rPr>
          <w:rFonts w:hint="eastAsia" w:ascii="仿宋" w:hAnsi="仿宋" w:eastAsia="仿宋" w:cs="仿宋"/>
          <w:b/>
          <w:color w:val="000000" w:themeColor="text1"/>
          <w:kern w:val="0"/>
          <w:sz w:val="32"/>
          <w:szCs w:val="32"/>
          <w14:textFill>
            <w14:solidFill>
              <w14:schemeClr w14:val="tx1"/>
            </w14:solidFill>
          </w14:textFill>
        </w:rPr>
        <w:t>死因监测</w:t>
      </w:r>
      <w:r>
        <w:rPr>
          <w:rFonts w:hint="eastAsia" w:ascii="仿宋" w:hAnsi="仿宋" w:eastAsia="仿宋" w:cs="仿宋"/>
          <w:b/>
          <w:color w:val="000000" w:themeColor="text1"/>
          <w:kern w:val="0"/>
          <w:sz w:val="32"/>
          <w:szCs w:val="32"/>
          <w:lang w:eastAsia="zh-CN"/>
          <w14:textFill>
            <w14:solidFill>
              <w14:schemeClr w14:val="tx1"/>
            </w14:solidFill>
          </w14:textFill>
        </w:rPr>
        <w:t>：</w:t>
      </w:r>
      <w:r>
        <w:rPr>
          <w:rFonts w:hint="eastAsia" w:ascii="仿宋" w:hAnsi="仿宋" w:eastAsia="仿宋" w:cs="仿宋"/>
          <w:bCs/>
          <w:color w:val="000000" w:themeColor="text1"/>
          <w:spacing w:val="2"/>
          <w:sz w:val="32"/>
          <w:szCs w:val="32"/>
          <w:lang w:val="en-US" w:eastAsia="zh-CN"/>
          <w14:textFill>
            <w14:solidFill>
              <w14:schemeClr w14:val="tx1"/>
            </w14:solidFill>
          </w14:textFill>
        </w:rPr>
        <w:t>共</w:t>
      </w:r>
      <w:r>
        <w:rPr>
          <w:rFonts w:hint="eastAsia" w:ascii="仿宋" w:hAnsi="仿宋" w:eastAsia="仿宋" w:cs="仿宋"/>
          <w:bCs/>
          <w:color w:val="000000" w:themeColor="text1"/>
          <w:spacing w:val="2"/>
          <w:sz w:val="32"/>
          <w:szCs w:val="32"/>
          <w14:textFill>
            <w14:solidFill>
              <w14:schemeClr w14:val="tx1"/>
            </w14:solidFill>
          </w14:textFill>
        </w:rPr>
        <w:t>报告</w:t>
      </w:r>
      <w:r>
        <w:rPr>
          <w:rFonts w:hint="eastAsia" w:ascii="仿宋" w:hAnsi="仿宋" w:eastAsia="仿宋" w:cs="仿宋"/>
          <w:bCs/>
          <w:color w:val="000000" w:themeColor="text1"/>
          <w:spacing w:val="2"/>
          <w:sz w:val="32"/>
          <w:szCs w:val="32"/>
          <w:lang w:eastAsia="zh-CN"/>
          <w14:textFill>
            <w14:solidFill>
              <w14:schemeClr w14:val="tx1"/>
            </w14:solidFill>
          </w14:textFill>
        </w:rPr>
        <w:t>死亡</w:t>
      </w:r>
      <w:r>
        <w:rPr>
          <w:rFonts w:hint="eastAsia" w:ascii="仿宋" w:hAnsi="仿宋" w:eastAsia="仿宋" w:cs="仿宋"/>
          <w:bCs/>
          <w:color w:val="000000" w:themeColor="text1"/>
          <w:spacing w:val="2"/>
          <w:sz w:val="32"/>
          <w:szCs w:val="32"/>
          <w14:textFill>
            <w14:solidFill>
              <w14:schemeClr w14:val="tx1"/>
            </w14:solidFill>
          </w14:textFill>
        </w:rPr>
        <w:t>2</w:t>
      </w:r>
      <w:r>
        <w:rPr>
          <w:rFonts w:hint="eastAsia" w:ascii="仿宋" w:hAnsi="仿宋" w:eastAsia="仿宋" w:cs="仿宋"/>
          <w:bCs/>
          <w:color w:val="000000" w:themeColor="text1"/>
          <w:spacing w:val="2"/>
          <w:sz w:val="32"/>
          <w:szCs w:val="32"/>
          <w:lang w:val="en-US" w:eastAsia="zh-CN"/>
          <w14:textFill>
            <w14:solidFill>
              <w14:schemeClr w14:val="tx1"/>
            </w14:solidFill>
          </w14:textFill>
        </w:rPr>
        <w:t>341</w:t>
      </w:r>
      <w:r>
        <w:rPr>
          <w:rFonts w:hint="eastAsia" w:ascii="仿宋" w:hAnsi="仿宋" w:eastAsia="仿宋" w:cs="仿宋"/>
          <w:bCs/>
          <w:color w:val="000000" w:themeColor="text1"/>
          <w:spacing w:val="2"/>
          <w:sz w:val="32"/>
          <w:szCs w:val="32"/>
          <w14:textFill>
            <w14:solidFill>
              <w14:schemeClr w14:val="tx1"/>
            </w14:solidFill>
          </w14:textFill>
        </w:rPr>
        <w:t>例</w:t>
      </w:r>
      <w:r>
        <w:rPr>
          <w:rFonts w:hint="eastAsia" w:ascii="仿宋" w:hAnsi="仿宋" w:eastAsia="仿宋" w:cs="仿宋"/>
          <w:bCs/>
          <w:color w:val="000000" w:themeColor="text1"/>
          <w:spacing w:val="2"/>
          <w:sz w:val="32"/>
          <w:szCs w:val="32"/>
          <w:lang w:eastAsia="zh-CN"/>
          <w14:textFill>
            <w14:solidFill>
              <w14:schemeClr w14:val="tx1"/>
            </w14:solidFill>
          </w14:textFill>
        </w:rPr>
        <w:t>，</w:t>
      </w:r>
      <w:r>
        <w:rPr>
          <w:rFonts w:hint="eastAsia" w:ascii="仿宋" w:hAnsi="仿宋" w:eastAsia="仿宋" w:cs="仿宋"/>
          <w:bCs/>
          <w:color w:val="000000" w:themeColor="text1"/>
          <w:spacing w:val="2"/>
          <w:sz w:val="32"/>
          <w:szCs w:val="32"/>
          <w:lang w:val="en-US" w:eastAsia="zh-CN"/>
          <w14:textFill>
            <w14:solidFill>
              <w14:schemeClr w14:val="tx1"/>
            </w14:solidFill>
          </w14:textFill>
        </w:rPr>
        <w:t>年</w:t>
      </w:r>
      <w:r>
        <w:rPr>
          <w:rFonts w:hint="eastAsia" w:ascii="仿宋" w:hAnsi="仿宋" w:eastAsia="仿宋" w:cs="仿宋"/>
          <w:bCs/>
          <w:color w:val="000000" w:themeColor="text1"/>
          <w:spacing w:val="2"/>
          <w:sz w:val="32"/>
          <w:szCs w:val="32"/>
          <w14:textFill>
            <w14:solidFill>
              <w14:schemeClr w14:val="tx1"/>
            </w14:solidFill>
          </w14:textFill>
        </w:rPr>
        <w:t>粗死亡报告率</w:t>
      </w:r>
      <w:r>
        <w:rPr>
          <w:rFonts w:hint="eastAsia" w:ascii="仿宋" w:hAnsi="仿宋" w:eastAsia="仿宋" w:cs="仿宋"/>
          <w:bCs/>
          <w:color w:val="000000" w:themeColor="text1"/>
          <w:spacing w:val="2"/>
          <w:sz w:val="32"/>
          <w:szCs w:val="32"/>
          <w:lang w:val="en-US" w:eastAsia="zh-CN"/>
          <w14:textFill>
            <w14:solidFill>
              <w14:schemeClr w14:val="tx1"/>
            </w14:solidFill>
          </w14:textFill>
        </w:rPr>
        <w:t>9.58</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"http://www.so.com/link?m=a4UgnPDesqA%2BluksSBno%2B3Kr8CeS%2BETTPqYvaESeZVKOlem0olOd5%2Fzm6n2fOWIQJqlHbTY1NE9LdQlt%2BtjA4Zt%2BpnuXkcOmzpPxrji4X576Jj4dkNnbgvYC1VpDtdGaqsxDmbXy5jQrojesQqmLzhiuZL64nteiF" \t "_blank"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pacing w:val="2"/>
          <w:sz w:val="32"/>
          <w:szCs w:val="32"/>
          <w14:textFill>
            <w14:solidFill>
              <w14:schemeClr w14:val="tx1"/>
            </w14:solidFill>
          </w14:textFill>
        </w:rPr>
        <w:t>‰</w:t>
      </w:r>
      <w:r>
        <w:rPr>
          <w:rFonts w:hint="eastAsia" w:ascii="仿宋" w:hAnsi="仿宋" w:eastAsia="仿宋" w:cs="仿宋"/>
          <w:bCs/>
          <w:color w:val="000000" w:themeColor="text1"/>
          <w:spacing w:val="2"/>
          <w:sz w:val="32"/>
          <w:szCs w:val="32"/>
          <w14:textFill>
            <w14:solidFill>
              <w14:schemeClr w14:val="tx1"/>
            </w14:solidFill>
          </w14:textFill>
        </w:rPr>
        <w:fldChar w:fldCharType="end"/>
      </w:r>
      <w:r>
        <w:rPr>
          <w:rFonts w:hint="eastAsia" w:ascii="仿宋" w:hAnsi="仿宋" w:eastAsia="仿宋" w:cs="仿宋"/>
          <w:bCs/>
          <w:color w:val="000000" w:themeColor="text1"/>
          <w:spacing w:val="2"/>
          <w:sz w:val="32"/>
          <w:szCs w:val="32"/>
          <w:lang w:eastAsia="zh-CN"/>
          <w14:textFill>
            <w14:solidFill>
              <w14:schemeClr w14:val="tx1"/>
            </w14:solidFill>
          </w14:textFill>
        </w:rPr>
        <w:t>；</w:t>
      </w:r>
      <w:r>
        <w:rPr>
          <w:rFonts w:hint="eastAsia" w:ascii="仿宋" w:hAnsi="仿宋" w:eastAsia="仿宋" w:cs="仿宋"/>
          <w:bCs/>
          <w:color w:val="000000" w:themeColor="text1"/>
          <w:spacing w:val="2"/>
          <w:sz w:val="32"/>
          <w:szCs w:val="32"/>
          <w:lang w:val="en-US" w:eastAsia="zh-CN"/>
          <w14:textFill>
            <w14:solidFill>
              <w14:schemeClr w14:val="tx1"/>
            </w14:solidFill>
          </w14:textFill>
        </w:rPr>
        <w:t>11月完成上年度</w:t>
      </w:r>
      <w:r>
        <w:rPr>
          <w:rFonts w:hint="eastAsia" w:ascii="仿宋" w:hAnsi="仿宋" w:eastAsia="仿宋" w:cs="仿宋"/>
          <w:bCs/>
          <w:color w:val="000000" w:themeColor="text1"/>
          <w:spacing w:val="2"/>
          <w:sz w:val="32"/>
          <w:szCs w:val="32"/>
          <w:lang w:eastAsia="zh-CN"/>
          <w14:textFill>
            <w14:solidFill>
              <w14:schemeClr w14:val="tx1"/>
            </w14:solidFill>
          </w14:textFill>
        </w:rPr>
        <w:t>死亡漏</w:t>
      </w:r>
      <w:r>
        <w:rPr>
          <w:rFonts w:hint="eastAsia" w:ascii="仿宋" w:hAnsi="仿宋" w:eastAsia="仿宋" w:cs="仿宋"/>
          <w:bCs/>
          <w:color w:val="000000" w:themeColor="text1"/>
          <w:spacing w:val="2"/>
          <w:sz w:val="32"/>
          <w:szCs w:val="32"/>
          <w:lang w:val="en-US" w:eastAsia="zh-CN"/>
          <w14:textFill>
            <w14:solidFill>
              <w14:schemeClr w14:val="tx1"/>
            </w14:solidFill>
          </w14:textFill>
        </w:rPr>
        <w:t>报调查，抽查乡镇漏报率5.26%。</w:t>
      </w:r>
      <w:r>
        <w:rPr>
          <w:rFonts w:hint="eastAsia" w:ascii="仿宋" w:hAnsi="仿宋" w:eastAsia="仿宋" w:cs="仿宋"/>
          <w:b/>
          <w:color w:val="000000" w:themeColor="text1"/>
          <w:sz w:val="32"/>
          <w:szCs w:val="32"/>
          <w:lang w:val="en-US" w:eastAsia="zh-CN"/>
          <w14:textFill>
            <w14:solidFill>
              <w14:schemeClr w14:val="tx1"/>
            </w14:solidFill>
          </w14:textFill>
        </w:rPr>
        <w:t>心血管病高危人群早期筛查与综合干预项目工作：</w:t>
      </w:r>
      <w:r>
        <w:rPr>
          <w:rFonts w:hint="eastAsia" w:ascii="仿宋" w:hAnsi="仿宋" w:eastAsia="仿宋" w:cs="仿宋"/>
          <w:bCs/>
          <w:color w:val="000000" w:themeColor="text1"/>
          <w:spacing w:val="2"/>
          <w:kern w:val="0"/>
          <w:sz w:val="32"/>
          <w:szCs w:val="32"/>
          <w:lang w:val="en-US" w:eastAsia="zh-CN" w:bidi="ar-SA"/>
          <w14:textFill>
            <w14:solidFill>
              <w14:schemeClr w14:val="tx1"/>
            </w14:solidFill>
          </w14:textFill>
        </w:rPr>
        <w:t>2024年会同县新纳入全国心血管病高危人群早期筛查与综合干预项目点，林城镇、堡子中心卫生院、团河中心卫生院为项目承担医院，共完成心血管病高危人群早期筛查任务完成率101.36%（5068/5000），高危人群检出率28.5%（1444人）；高危人群调查干预任务完成率101.84%（1273/1250）；高危人群短期随访任务完成率100.16%（1259/1250），面访率89.7%（1129/1259）。</w:t>
      </w:r>
    </w:p>
    <w:p w14:paraId="3B993953">
      <w:pPr>
        <w:pStyle w:val="8"/>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firstLine="648" w:firstLineChars="200"/>
        <w:jc w:val="both"/>
        <w:textAlignment w:val="auto"/>
        <w:rPr>
          <w:rFonts w:hint="eastAsia" w:ascii="仿宋" w:hAnsi="仿宋" w:eastAsia="仿宋" w:cs="仿宋"/>
          <w:bCs/>
          <w:color w:val="000000" w:themeColor="text1"/>
          <w:spacing w:val="2"/>
          <w:sz w:val="32"/>
          <w:szCs w:val="32"/>
          <w14:textFill>
            <w14:solidFill>
              <w14:schemeClr w14:val="tx1"/>
            </w14:solidFill>
          </w14:textFill>
        </w:rPr>
      </w:pPr>
      <w:r>
        <w:rPr>
          <w:rFonts w:hint="eastAsia" w:ascii="楷体" w:hAnsi="楷体" w:eastAsia="楷体" w:cs="楷体"/>
          <w:b/>
          <w:color w:val="000000" w:themeColor="text1"/>
          <w:spacing w:val="2"/>
          <w:sz w:val="32"/>
          <w:szCs w:val="32"/>
          <w:lang w:eastAsia="zh-CN"/>
          <w14:textFill>
            <w14:solidFill>
              <w14:schemeClr w14:val="tx1"/>
            </w14:solidFill>
          </w14:textFill>
        </w:rPr>
        <w:t>（</w:t>
      </w:r>
      <w:r>
        <w:rPr>
          <w:rFonts w:hint="eastAsia" w:ascii="楷体" w:hAnsi="楷体" w:eastAsia="楷体" w:cs="楷体"/>
          <w:b/>
          <w:color w:val="000000" w:themeColor="text1"/>
          <w:spacing w:val="2"/>
          <w:sz w:val="32"/>
          <w:szCs w:val="32"/>
          <w:lang w:val="en-US" w:eastAsia="zh-CN"/>
          <w14:textFill>
            <w14:solidFill>
              <w14:schemeClr w14:val="tx1"/>
            </w14:solidFill>
          </w14:textFill>
        </w:rPr>
        <w:t>五</w:t>
      </w:r>
      <w:r>
        <w:rPr>
          <w:rFonts w:hint="eastAsia" w:ascii="楷体" w:hAnsi="楷体" w:eastAsia="楷体" w:cs="楷体"/>
          <w:b/>
          <w:color w:val="000000" w:themeColor="text1"/>
          <w:spacing w:val="2"/>
          <w:sz w:val="32"/>
          <w:szCs w:val="32"/>
          <w:lang w:eastAsia="zh-CN"/>
          <w14:textFill>
            <w14:solidFill>
              <w14:schemeClr w14:val="tx1"/>
            </w14:solidFill>
          </w14:textFill>
        </w:rPr>
        <w:t>）</w:t>
      </w:r>
      <w:r>
        <w:rPr>
          <w:rFonts w:hint="eastAsia" w:ascii="楷体" w:hAnsi="楷体" w:eastAsia="楷体" w:cs="楷体"/>
          <w:b/>
          <w:color w:val="000000" w:themeColor="text1"/>
          <w:spacing w:val="2"/>
          <w:sz w:val="32"/>
          <w:szCs w:val="32"/>
          <w:lang w:val="en-US" w:eastAsia="zh-CN"/>
          <w14:textFill>
            <w14:solidFill>
              <w14:schemeClr w14:val="tx1"/>
            </w14:solidFill>
          </w14:textFill>
        </w:rPr>
        <w:t>精防中心工作平稳移交。</w:t>
      </w:r>
      <w:r>
        <w:rPr>
          <w:rFonts w:hint="eastAsia" w:ascii="仿宋" w:hAnsi="仿宋" w:eastAsia="仿宋" w:cs="仿宋"/>
          <w:bCs/>
          <w:color w:val="000000" w:themeColor="text1"/>
          <w:spacing w:val="2"/>
          <w:sz w:val="32"/>
          <w:szCs w:val="32"/>
          <w:lang w:val="en-US" w:eastAsia="zh-CN"/>
          <w14:textFill>
            <w14:solidFill>
              <w14:schemeClr w14:val="tx1"/>
            </w14:solidFill>
          </w14:textFill>
        </w:rPr>
        <w:t>2月下旬完成患者第三方责任保险名单核实，投保1949人；完成“以奖代补”监护人奖励资金审核，奖励395人845200元；完成一季度精防专项工作督导、半年考核和日常线上答疑，带教县人民医院精防人员2名，8月中旬精防中心正式移交县人民医院。</w:t>
      </w:r>
    </w:p>
    <w:p w14:paraId="1D00BDC9">
      <w:pPr>
        <w:keepNext w:val="0"/>
        <w:keepLines w:val="0"/>
        <w:pageBreakBefore w:val="0"/>
        <w:numPr>
          <w:ilvl w:val="0"/>
          <w:numId w:val="0"/>
        </w:numPr>
        <w:tabs>
          <w:tab w:val="left" w:pos="550"/>
          <w:tab w:val="left" w:pos="915"/>
        </w:tabs>
        <w:kinsoku/>
        <w:wordWrap/>
        <w:overflowPunct/>
        <w:topLinePunct w:val="0"/>
        <w:bidi w:val="0"/>
        <w:spacing w:line="560" w:lineRule="exact"/>
        <w:ind w:firstLine="640" w:firstLineChars="200"/>
        <w:textAlignment w:val="auto"/>
        <w:rPr>
          <w:rFonts w:hint="eastAsia" w:ascii="楷体" w:hAnsi="楷体" w:eastAsia="楷体" w:cs="楷体"/>
          <w:b/>
          <w:bCs/>
          <w:color w:val="000000" w:themeColor="text1"/>
          <w:sz w:val="32"/>
          <w:szCs w:val="32"/>
          <w:lang w:val="en-US" w:eastAsia="zh-CN"/>
          <w14:textFill>
            <w14:solidFill>
              <w14:schemeClr w14:val="tx1"/>
            </w14:solidFill>
          </w14:textFill>
        </w:rPr>
      </w:pPr>
      <w:bookmarkStart w:id="1" w:name="OLE_LINK14"/>
      <w:bookmarkStart w:id="2" w:name="OLE_LINK2"/>
      <w:r>
        <w:rPr>
          <w:rFonts w:hint="eastAsia" w:ascii="楷体" w:hAnsi="楷体" w:eastAsia="楷体" w:cs="楷体"/>
          <w:b/>
          <w:color w:val="000000" w:themeColor="text1"/>
          <w:sz w:val="32"/>
          <w:szCs w:val="32"/>
          <w14:textFill>
            <w14:solidFill>
              <w14:schemeClr w14:val="tx1"/>
            </w14:solidFill>
          </w14:textFill>
        </w:rPr>
        <w:t>（</w:t>
      </w:r>
      <w:r>
        <w:rPr>
          <w:rFonts w:hint="eastAsia" w:ascii="楷体" w:hAnsi="楷体" w:eastAsia="楷体" w:cs="楷体"/>
          <w:b/>
          <w:color w:val="000000" w:themeColor="text1"/>
          <w:sz w:val="32"/>
          <w:szCs w:val="32"/>
          <w:lang w:val="en-US" w:eastAsia="zh-CN"/>
          <w14:textFill>
            <w14:solidFill>
              <w14:schemeClr w14:val="tx1"/>
            </w14:solidFill>
          </w14:textFill>
        </w:rPr>
        <w:t>六</w:t>
      </w:r>
      <w:r>
        <w:rPr>
          <w:rFonts w:hint="eastAsia" w:ascii="楷体" w:hAnsi="楷体" w:eastAsia="楷体" w:cs="楷体"/>
          <w:b/>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地方病寄生虫病监测</w:t>
      </w:r>
    </w:p>
    <w:p w14:paraId="46DEEC3A">
      <w:pPr>
        <w:keepNext w:val="0"/>
        <w:keepLines w:val="0"/>
        <w:pageBreakBefore w:val="0"/>
        <w:numPr>
          <w:ilvl w:val="0"/>
          <w:numId w:val="0"/>
        </w:numPr>
        <w:tabs>
          <w:tab w:val="left" w:pos="550"/>
          <w:tab w:val="left" w:pos="915"/>
        </w:tabs>
        <w:kinsoku/>
        <w:wordWrap/>
        <w:overflowPunct/>
        <w:topLinePunct w:val="0"/>
        <w:bidi w:val="0"/>
        <w:spacing w:line="560" w:lineRule="exact"/>
        <w:ind w:firstLine="640" w:firstLineChars="200"/>
        <w:textAlignment w:val="auto"/>
        <w:rPr>
          <w:rFonts w:hint="eastAsia" w:ascii="仿宋" w:hAnsi="仿宋" w:eastAsia="仿宋" w:cs="仿宋"/>
          <w:b/>
          <w:bCs/>
          <w:color w:val="7030A0"/>
          <w:kern w:val="0"/>
          <w:sz w:val="32"/>
          <w:szCs w:val="32"/>
          <w:lang w:val="zh-CN" w:eastAsia="zh-CN" w:bidi="ar"/>
        </w:rPr>
      </w:pPr>
      <w:r>
        <w:rPr>
          <w:rFonts w:hint="eastAsia" w:ascii="仿宋" w:hAnsi="仿宋" w:eastAsia="仿宋" w:cs="仿宋"/>
          <w:color w:val="000000" w:themeColor="text1"/>
          <w:sz w:val="32"/>
          <w:szCs w:val="32"/>
          <w:lang w:val="en-US" w:eastAsia="zh-CN"/>
          <w14:textFill>
            <w14:solidFill>
              <w14:schemeClr w14:val="tx1"/>
            </w14:solidFill>
          </w14:textFill>
        </w:rPr>
        <w:t>共监测200名学生和100名孕妇碘盐和尿碘含量，均达到合格标准;对9名“三热”病人进行了疟疾血检，发现2例国外输入性疟疾，及时进行了流行病学调查和环境消杀和治疗管理，未发生本地病例。</w:t>
      </w:r>
    </w:p>
    <w:p w14:paraId="1A4C9110">
      <w:pPr>
        <w:keepNext w:val="0"/>
        <w:keepLines w:val="0"/>
        <w:pageBreakBefore w:val="0"/>
        <w:numPr>
          <w:ilvl w:val="0"/>
          <w:numId w:val="0"/>
        </w:numPr>
        <w:tabs>
          <w:tab w:val="left" w:pos="550"/>
          <w:tab w:val="left" w:pos="915"/>
        </w:tabs>
        <w:kinsoku/>
        <w:wordWrap/>
        <w:overflowPunct/>
        <w:topLinePunct w:val="0"/>
        <w:bidi w:val="0"/>
        <w:spacing w:line="560" w:lineRule="exact"/>
        <w:ind w:firstLine="320" w:firstLineChars="100"/>
        <w:textAlignment w:val="auto"/>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（七 ）卫生监测工作常态化开展</w:t>
      </w:r>
    </w:p>
    <w:p w14:paraId="131307B5">
      <w:pPr>
        <w:keepNext w:val="0"/>
        <w:keepLines w:val="0"/>
        <w:pageBreakBefore w:val="0"/>
        <w:tabs>
          <w:tab w:val="left" w:pos="550"/>
          <w:tab w:val="left" w:pos="915"/>
        </w:tabs>
        <w:kinsoku/>
        <w:wordWrap/>
        <w:overflowPunct/>
        <w:topLinePunct w:val="0"/>
        <w:bidi w:val="0"/>
        <w:spacing w:line="560" w:lineRule="exact"/>
        <w:ind w:firstLine="640" w:firstLineChars="200"/>
        <w:textAlignment w:val="auto"/>
        <w:rPr>
          <w:rFonts w:hint="eastAsia" w:ascii="仿宋" w:hAnsi="仿宋" w:eastAsia="仿宋" w:cs="仿宋"/>
          <w:bCs/>
          <w:color w:val="000000" w:themeColor="text1"/>
          <w:spacing w:val="2"/>
          <w:sz w:val="32"/>
          <w:szCs w:val="32"/>
          <w14:textFill>
            <w14:solidFill>
              <w14:schemeClr w14:val="tx1"/>
            </w14:solidFill>
          </w14:textFill>
        </w:rPr>
      </w:pPr>
      <w:r>
        <w:rPr>
          <w:rFonts w:hint="eastAsia" w:ascii="仿宋" w:hAnsi="仿宋" w:eastAsia="仿宋" w:cs="仿宋"/>
          <w:b/>
          <w:color w:val="000000" w:themeColor="text1"/>
          <w:sz w:val="32"/>
          <w:szCs w:val="32"/>
          <w:lang w:val="zh-CN" w:eastAsia="zh-CN"/>
          <w14:textFill>
            <w14:solidFill>
              <w14:schemeClr w14:val="tx1"/>
            </w14:solidFill>
          </w14:textFill>
        </w:rPr>
        <w:t>食品卫生：</w:t>
      </w:r>
      <w:r>
        <w:rPr>
          <w:rFonts w:hint="eastAsia" w:ascii="仿宋" w:hAnsi="仿宋" w:eastAsia="仿宋" w:cs="仿宋"/>
          <w:color w:val="000000" w:themeColor="text1"/>
          <w:sz w:val="32"/>
          <w:szCs w:val="32"/>
          <w14:textFill>
            <w14:solidFill>
              <w14:schemeClr w14:val="tx1"/>
            </w14:solidFill>
          </w14:textFill>
        </w:rPr>
        <w:t>完成食品安全风险监测样本</w:t>
      </w:r>
      <w:r>
        <w:rPr>
          <w:rFonts w:hint="eastAsia" w:ascii="仿宋" w:hAnsi="仿宋" w:eastAsia="仿宋" w:cs="仿宋"/>
          <w:color w:val="000000" w:themeColor="text1"/>
          <w:sz w:val="32"/>
          <w:szCs w:val="32"/>
          <w:lang w:eastAsia="zh-CN"/>
          <w14:textFill>
            <w14:solidFill>
              <w14:schemeClr w14:val="tx1"/>
            </w14:solidFill>
          </w14:textFill>
        </w:rPr>
        <w:t>6</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14:textFill>
            <w14:solidFill>
              <w14:schemeClr w14:val="tx1"/>
            </w14:solidFill>
          </w14:textFill>
        </w:rPr>
        <w:t>份</w:t>
      </w:r>
      <w:r>
        <w:rPr>
          <w:rFonts w:hint="eastAsia" w:ascii="仿宋" w:hAnsi="仿宋" w:eastAsia="仿宋" w:cs="仿宋"/>
          <w:color w:val="000000" w:themeColor="text1"/>
          <w:sz w:val="32"/>
          <w:lang w:val="en-US" w:eastAsia="zh-CN"/>
          <w14:textFill>
            <w14:solidFill>
              <w14:schemeClr w14:val="tx1"/>
            </w14:solidFill>
          </w14:textFill>
        </w:rPr>
        <w:t>(</w:t>
      </w:r>
      <w:r>
        <w:rPr>
          <w:rFonts w:hint="eastAsia" w:ascii="仿宋" w:hAnsi="仿宋" w:eastAsia="仿宋" w:cs="仿宋"/>
          <w:color w:val="000000" w:themeColor="text1"/>
          <w:sz w:val="32"/>
          <w14:textFill>
            <w14:solidFill>
              <w14:schemeClr w14:val="tx1"/>
            </w14:solidFill>
          </w14:textFill>
        </w:rPr>
        <w:t>大米30</w:t>
      </w:r>
      <w:r>
        <w:rPr>
          <w:rFonts w:hint="eastAsia" w:ascii="仿宋" w:hAnsi="仿宋" w:eastAsia="仿宋" w:cs="仿宋"/>
          <w:color w:val="000000" w:themeColor="text1"/>
          <w:sz w:val="32"/>
          <w:u w:val="none"/>
          <w14:textFill>
            <w14:solidFill>
              <w14:schemeClr w14:val="tx1"/>
            </w14:solidFill>
          </w14:textFill>
        </w:rPr>
        <w:t>份</w:t>
      </w:r>
      <w:r>
        <w:rPr>
          <w:rFonts w:hint="eastAsia" w:ascii="仿宋" w:hAnsi="仿宋" w:eastAsia="仿宋" w:cs="仿宋"/>
          <w:color w:val="000000" w:themeColor="text1"/>
          <w:sz w:val="32"/>
          <w:u w:val="none"/>
          <w:lang w:eastAsia="zh-CN"/>
          <w14:textFill>
            <w14:solidFill>
              <w14:schemeClr w14:val="tx1"/>
            </w14:solidFill>
          </w14:textFill>
        </w:rPr>
        <w:t>、生蔬</w:t>
      </w:r>
      <w:r>
        <w:rPr>
          <w:rFonts w:hint="eastAsia" w:ascii="仿宋" w:hAnsi="仿宋" w:eastAsia="仿宋" w:cs="仿宋"/>
          <w:color w:val="000000" w:themeColor="text1"/>
          <w:sz w:val="32"/>
          <w:u w:val="none"/>
          <w:lang w:val="en-US" w:eastAsia="zh-CN"/>
          <w14:textFill>
            <w14:solidFill>
              <w14:schemeClr w14:val="tx1"/>
            </w14:solidFill>
          </w14:textFill>
        </w:rPr>
        <w:t>5</w:t>
      </w:r>
      <w:r>
        <w:rPr>
          <w:rFonts w:hint="eastAsia" w:ascii="仿宋" w:hAnsi="仿宋" w:eastAsia="仿宋" w:cs="仿宋"/>
          <w:color w:val="000000" w:themeColor="text1"/>
          <w:sz w:val="32"/>
          <w:u w:val="none"/>
          <w14:textFill>
            <w14:solidFill>
              <w14:schemeClr w14:val="tx1"/>
            </w14:solidFill>
          </w14:textFill>
        </w:rPr>
        <w:t>份</w:t>
      </w:r>
      <w:r>
        <w:rPr>
          <w:rFonts w:hint="eastAsia" w:ascii="仿宋" w:hAnsi="仿宋" w:eastAsia="仿宋" w:cs="仿宋"/>
          <w:color w:val="000000" w:themeColor="text1"/>
          <w:sz w:val="32"/>
          <w:u w:val="none"/>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月饼30份</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合格率100%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医疗机构报告</w:t>
      </w:r>
      <w:r>
        <w:rPr>
          <w:rFonts w:hint="eastAsia" w:ascii="仿宋" w:hAnsi="仿宋" w:eastAsia="仿宋" w:cs="仿宋"/>
          <w:color w:val="000000" w:themeColor="text1"/>
          <w:sz w:val="32"/>
          <w:szCs w:val="32"/>
          <w14:textFill>
            <w14:solidFill>
              <w14:schemeClr w14:val="tx1"/>
            </w14:solidFill>
          </w14:textFill>
        </w:rPr>
        <w:t>疑似食源性疾病</w:t>
      </w:r>
      <w:r>
        <w:rPr>
          <w:rFonts w:hint="eastAsia" w:ascii="仿宋" w:hAnsi="仿宋" w:eastAsia="仿宋" w:cs="仿宋"/>
          <w:color w:val="000000" w:themeColor="text1"/>
          <w:sz w:val="32"/>
          <w:szCs w:val="32"/>
          <w:lang w:val="en-US" w:eastAsia="zh-CN"/>
          <w14:textFill>
            <w14:solidFill>
              <w14:schemeClr w14:val="tx1"/>
            </w14:solidFill>
          </w14:textFill>
        </w:rPr>
        <w:t>640</w:t>
      </w:r>
      <w:r>
        <w:rPr>
          <w:rFonts w:hint="eastAsia" w:ascii="仿宋" w:hAnsi="仿宋" w:eastAsia="仿宋" w:cs="仿宋"/>
          <w:color w:val="000000" w:themeColor="text1"/>
          <w:sz w:val="32"/>
          <w:szCs w:val="32"/>
          <w14:textFill>
            <w14:solidFill>
              <w14:schemeClr w14:val="tx1"/>
            </w14:solidFill>
          </w14:textFill>
        </w:rPr>
        <w:t>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0"/>
          <w:szCs w:val="30"/>
          <w:lang w:val="en-US" w:eastAsia="zh-CN"/>
          <w14:textFill>
            <w14:solidFill>
              <w14:schemeClr w14:val="tx1"/>
            </w14:solidFill>
          </w14:textFill>
        </w:rPr>
        <w:t>疑似毒蘑菇中毒事件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0"/>
          <w:szCs w:val="30"/>
          <w:lang w:val="en-US" w:eastAsia="zh-CN"/>
          <w14:textFill>
            <w14:solidFill>
              <w14:schemeClr w14:val="tx1"/>
            </w14:solidFill>
          </w14:textFill>
        </w:rPr>
        <w:t>发生聚集性暴发。</w:t>
      </w:r>
      <w:r>
        <w:rPr>
          <w:rFonts w:hint="eastAsia" w:ascii="仿宋" w:hAnsi="仿宋" w:eastAsia="仿宋" w:cs="仿宋"/>
          <w:b/>
          <w:color w:val="000000" w:themeColor="text1"/>
          <w:sz w:val="32"/>
          <w:szCs w:val="32"/>
          <w14:textFill>
            <w14:solidFill>
              <w14:schemeClr w14:val="tx1"/>
            </w14:solidFill>
          </w14:textFill>
        </w:rPr>
        <w:t>环境</w:t>
      </w:r>
      <w:r>
        <w:rPr>
          <w:rFonts w:hint="eastAsia" w:ascii="仿宋" w:hAnsi="仿宋" w:eastAsia="仿宋" w:cs="仿宋"/>
          <w:b/>
          <w:color w:val="000000" w:themeColor="text1"/>
          <w:sz w:val="32"/>
          <w:szCs w:val="32"/>
          <w:lang w:eastAsia="zh-CN"/>
          <w14:textFill>
            <w14:solidFill>
              <w14:schemeClr w14:val="tx1"/>
            </w14:solidFill>
          </w14:textFill>
        </w:rPr>
        <w:t>卫生</w:t>
      </w:r>
      <w:r>
        <w:rPr>
          <w:rFonts w:hint="eastAsia" w:ascii="仿宋" w:hAnsi="仿宋" w:eastAsia="仿宋" w:cs="仿宋"/>
          <w:b/>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lang w:val="en-US" w:eastAsia="zh-CN"/>
          <w14:textFill>
            <w14:solidFill>
              <w14:schemeClr w14:val="tx1"/>
            </w14:solidFill>
          </w14:textFill>
        </w:rPr>
        <w:t>完</w:t>
      </w:r>
      <w:r>
        <w:rPr>
          <w:rFonts w:hint="eastAsia" w:ascii="仿宋" w:hAnsi="仿宋" w:eastAsia="仿宋" w:cs="仿宋"/>
          <w:color w:val="000000" w:themeColor="text1"/>
          <w:sz w:val="32"/>
          <w14:textFill>
            <w14:solidFill>
              <w14:schemeClr w14:val="tx1"/>
            </w14:solidFill>
          </w14:textFill>
        </w:rPr>
        <w:t>成</w:t>
      </w:r>
      <w:r>
        <w:rPr>
          <w:rFonts w:hint="eastAsia" w:ascii="仿宋" w:hAnsi="仿宋" w:eastAsia="仿宋" w:cs="仿宋"/>
          <w:color w:val="000000" w:themeColor="text1"/>
          <w:sz w:val="32"/>
          <w:lang w:eastAsia="zh-CN"/>
          <w14:textFill>
            <w14:solidFill>
              <w14:schemeClr w14:val="tx1"/>
            </w14:solidFill>
          </w14:textFill>
        </w:rPr>
        <w:t>生活</w:t>
      </w:r>
      <w:r>
        <w:rPr>
          <w:rFonts w:hint="eastAsia" w:ascii="仿宋" w:hAnsi="仿宋" w:eastAsia="仿宋" w:cs="仿宋"/>
          <w:color w:val="000000" w:themeColor="text1"/>
          <w:sz w:val="32"/>
          <w14:textFill>
            <w14:solidFill>
              <w14:schemeClr w14:val="tx1"/>
            </w14:solidFill>
          </w14:textFill>
        </w:rPr>
        <w:t>饮用水</w:t>
      </w:r>
      <w:r>
        <w:rPr>
          <w:rFonts w:hint="eastAsia" w:ascii="仿宋" w:hAnsi="仿宋" w:eastAsia="仿宋" w:cs="仿宋"/>
          <w:color w:val="000000" w:themeColor="text1"/>
          <w:sz w:val="32"/>
          <w:lang w:val="en-US" w:eastAsia="zh-CN"/>
          <w14:textFill>
            <w14:solidFill>
              <w14:schemeClr w14:val="tx1"/>
            </w14:solidFill>
          </w14:textFill>
        </w:rPr>
        <w:t>水质</w:t>
      </w:r>
      <w:r>
        <w:rPr>
          <w:rFonts w:hint="eastAsia" w:ascii="仿宋" w:hAnsi="仿宋" w:eastAsia="仿宋" w:cs="仿宋"/>
          <w:color w:val="000000" w:themeColor="text1"/>
          <w:sz w:val="32"/>
          <w14:textFill>
            <w14:solidFill>
              <w14:schemeClr w14:val="tx1"/>
            </w14:solidFill>
          </w14:textFill>
        </w:rPr>
        <w:t>监测水样</w:t>
      </w:r>
      <w:r>
        <w:rPr>
          <w:rFonts w:hint="eastAsia" w:ascii="仿宋" w:hAnsi="仿宋" w:eastAsia="仿宋" w:cs="仿宋"/>
          <w:color w:val="000000" w:themeColor="text1"/>
          <w:sz w:val="32"/>
          <w:lang w:val="en-US" w:eastAsia="zh-CN"/>
          <w14:textFill>
            <w14:solidFill>
              <w14:schemeClr w14:val="tx1"/>
            </w14:solidFill>
          </w14:textFill>
        </w:rPr>
        <w:t>146</w:t>
      </w:r>
      <w:r>
        <w:rPr>
          <w:rFonts w:hint="eastAsia" w:ascii="仿宋" w:hAnsi="仿宋" w:eastAsia="仿宋" w:cs="仿宋"/>
          <w:color w:val="000000" w:themeColor="text1"/>
          <w:sz w:val="32"/>
          <w14:textFill>
            <w14:solidFill>
              <w14:schemeClr w14:val="tx1"/>
            </w14:solidFill>
          </w14:textFill>
        </w:rPr>
        <w:t>个</w:t>
      </w:r>
      <w:r>
        <w:rPr>
          <w:rFonts w:hint="eastAsia" w:ascii="仿宋" w:hAnsi="仿宋" w:eastAsia="仿宋" w:cs="仿宋"/>
          <w:color w:val="000000" w:themeColor="text1"/>
          <w:sz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合格率</w:t>
      </w:r>
      <w:r>
        <w:rPr>
          <w:rFonts w:hint="eastAsia" w:ascii="仿宋" w:hAnsi="仿宋" w:eastAsia="仿宋" w:cs="仿宋"/>
          <w:color w:val="000000" w:themeColor="text1"/>
          <w:kern w:val="0"/>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14:textFill>
            <w14:solidFill>
              <w14:schemeClr w14:val="tx1"/>
            </w14:solidFill>
          </w14:textFill>
        </w:rPr>
        <w:t>职业</w:t>
      </w:r>
      <w:r>
        <w:rPr>
          <w:rFonts w:hint="eastAsia" w:ascii="仿宋" w:hAnsi="仿宋" w:eastAsia="仿宋" w:cs="仿宋"/>
          <w:b/>
          <w:color w:val="000000" w:themeColor="text1"/>
          <w:sz w:val="32"/>
          <w:szCs w:val="32"/>
          <w:lang w:eastAsia="zh-CN"/>
          <w14:textFill>
            <w14:solidFill>
              <w14:schemeClr w14:val="tx1"/>
            </w14:solidFill>
          </w14:textFill>
        </w:rPr>
        <w:t>卫生：</w:t>
      </w:r>
      <w:r>
        <w:rPr>
          <w:rFonts w:hint="eastAsia" w:ascii="仿宋" w:hAnsi="仿宋" w:eastAsia="仿宋" w:cs="仿宋"/>
          <w:color w:val="000000" w:themeColor="text1"/>
          <w:sz w:val="32"/>
          <w:szCs w:val="32"/>
          <w:lang w:eastAsia="zh-CN"/>
          <w14:textFill>
            <w14:solidFill>
              <w14:schemeClr w14:val="tx1"/>
            </w14:solidFill>
          </w14:textFill>
        </w:rPr>
        <w:t>全年职业</w:t>
      </w:r>
      <w:r>
        <w:rPr>
          <w:rFonts w:hint="eastAsia" w:ascii="仿宋" w:hAnsi="仿宋" w:eastAsia="仿宋" w:cs="仿宋"/>
          <w:color w:val="000000" w:themeColor="text1"/>
          <w:sz w:val="32"/>
          <w:szCs w:val="32"/>
          <w14:textFill>
            <w14:solidFill>
              <w14:schemeClr w14:val="tx1"/>
            </w14:solidFill>
          </w14:textFill>
        </w:rPr>
        <w:t>病</w:t>
      </w:r>
      <w:r>
        <w:rPr>
          <w:rFonts w:hint="eastAsia" w:ascii="仿宋" w:hAnsi="仿宋" w:eastAsia="仿宋" w:cs="仿宋"/>
          <w:color w:val="000000" w:themeColor="text1"/>
          <w:sz w:val="32"/>
          <w:szCs w:val="32"/>
          <w:lang w:val="en-US" w:eastAsia="zh-CN"/>
          <w14:textFill>
            <w14:solidFill>
              <w14:schemeClr w14:val="tx1"/>
            </w14:solidFill>
          </w14:textFill>
        </w:rPr>
        <w:t>防治</w:t>
      </w:r>
      <w:r>
        <w:rPr>
          <w:rFonts w:hint="eastAsia" w:ascii="仿宋" w:hAnsi="仿宋" w:eastAsia="仿宋" w:cs="仿宋"/>
          <w:color w:val="000000" w:themeColor="text1"/>
          <w:sz w:val="32"/>
          <w:szCs w:val="32"/>
          <w:lang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职业危害因素监测</w:t>
      </w:r>
      <w:r>
        <w:rPr>
          <w:rFonts w:hint="eastAsia" w:ascii="仿宋" w:hAnsi="仿宋" w:eastAsia="仿宋" w:cs="仿宋"/>
          <w:color w:val="000000" w:themeColor="text1"/>
          <w:sz w:val="32"/>
          <w:szCs w:val="32"/>
          <w:lang w:eastAsia="zh-CN"/>
          <w14:textFill>
            <w14:solidFill>
              <w14:schemeClr w14:val="tx1"/>
            </w14:solidFill>
          </w14:textFill>
        </w:rPr>
        <w:t>随访</w:t>
      </w:r>
      <w:r>
        <w:rPr>
          <w:rFonts w:hint="eastAsia" w:ascii="仿宋" w:hAnsi="仿宋" w:eastAsia="仿宋" w:cs="仿宋"/>
          <w:color w:val="000000" w:themeColor="text1"/>
          <w:sz w:val="32"/>
          <w:szCs w:val="32"/>
          <w14:textFill>
            <w14:solidFill>
              <w14:schemeClr w14:val="tx1"/>
            </w14:solidFill>
          </w14:textFill>
        </w:rPr>
        <w:t>尘肺病人</w:t>
      </w:r>
      <w:r>
        <w:rPr>
          <w:rFonts w:hint="eastAsia" w:ascii="仿宋" w:hAnsi="仿宋" w:eastAsia="仿宋" w:cs="仿宋"/>
          <w:color w:val="000000" w:themeColor="text1"/>
          <w:sz w:val="32"/>
          <w:szCs w:val="32"/>
          <w:lang w:val="en-US" w:eastAsia="zh-CN"/>
          <w14:textFill>
            <w14:solidFill>
              <w14:schemeClr w14:val="tx1"/>
            </w14:solidFill>
          </w14:textFill>
        </w:rPr>
        <w:t xml:space="preserve">77例 </w:t>
      </w:r>
      <w:r>
        <w:rPr>
          <w:rFonts w:hint="eastAsia" w:ascii="仿宋" w:hAnsi="仿宋" w:eastAsia="仿宋" w:cs="仿宋"/>
          <w:color w:val="000000" w:themeColor="text1"/>
          <w:sz w:val="32"/>
          <w:szCs w:val="32"/>
          <w:lang w:eastAsia="zh-CN"/>
          <w14:textFill>
            <w14:solidFill>
              <w14:schemeClr w14:val="tx1"/>
            </w14:solidFill>
          </w14:textFill>
        </w:rPr>
        <w:t>，其中</w:t>
      </w:r>
      <w:r>
        <w:rPr>
          <w:rFonts w:hint="eastAsia" w:ascii="仿宋" w:hAnsi="仿宋" w:eastAsia="仿宋" w:cs="仿宋"/>
          <w:color w:val="000000" w:themeColor="text1"/>
          <w:sz w:val="32"/>
          <w:szCs w:val="32"/>
          <w14:textFill>
            <w14:solidFill>
              <w14:schemeClr w14:val="tx1"/>
            </w14:solidFill>
          </w14:textFill>
        </w:rPr>
        <w:t>新增确诊尘肺病人</w:t>
      </w:r>
      <w:r>
        <w:rPr>
          <w:rFonts w:hint="eastAsia" w:ascii="仿宋" w:hAnsi="仿宋" w:eastAsia="仿宋" w:cs="仿宋"/>
          <w:color w:val="000000" w:themeColor="text1"/>
          <w:sz w:val="32"/>
          <w:szCs w:val="32"/>
          <w:lang w:val="en-US" w:eastAsia="zh-CN"/>
          <w14:textFill>
            <w14:solidFill>
              <w14:schemeClr w14:val="tx1"/>
            </w14:solidFill>
          </w14:textFill>
        </w:rPr>
        <w:t>1例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完成</w:t>
      </w:r>
      <w:r>
        <w:rPr>
          <w:rFonts w:hint="eastAsia" w:ascii="仿宋" w:hAnsi="仿宋" w:eastAsia="仿宋" w:cs="仿宋"/>
          <w:color w:val="000000" w:themeColor="text1"/>
          <w:sz w:val="32"/>
          <w:szCs w:val="32"/>
          <w14:textFill>
            <w14:solidFill>
              <w14:schemeClr w14:val="tx1"/>
            </w14:solidFill>
          </w14:textFill>
        </w:rPr>
        <w:t>6家企业职业危害因素监测</w:t>
      </w:r>
      <w:r>
        <w:rPr>
          <w:rFonts w:hint="eastAsia" w:ascii="仿宋" w:hAnsi="仿宋" w:eastAsia="仿宋" w:cs="仿宋"/>
          <w:color w:val="000000" w:themeColor="text1"/>
          <w:sz w:val="32"/>
          <w:szCs w:val="32"/>
          <w:lang w:eastAsia="zh-CN"/>
          <w14:textFill>
            <w14:solidFill>
              <w14:schemeClr w14:val="tx1"/>
            </w14:solidFill>
          </w14:textFill>
        </w:rPr>
        <w:t>，联合</w:t>
      </w:r>
      <w:r>
        <w:rPr>
          <w:rFonts w:hint="eastAsia" w:ascii="仿宋" w:hAnsi="仿宋" w:eastAsia="仿宋" w:cs="仿宋"/>
          <w:color w:val="000000" w:themeColor="text1"/>
          <w:sz w:val="32"/>
          <w:szCs w:val="32"/>
          <w14:textFill>
            <w14:solidFill>
              <w14:schemeClr w14:val="tx1"/>
            </w14:solidFill>
          </w14:textFill>
        </w:rPr>
        <w:t>开展</w:t>
      </w:r>
      <w:r>
        <w:rPr>
          <w:rFonts w:hint="eastAsia" w:ascii="仿宋" w:hAnsi="仿宋" w:eastAsia="仿宋" w:cs="仿宋"/>
          <w:color w:val="000000" w:themeColor="text1"/>
          <w:sz w:val="32"/>
          <w:szCs w:val="32"/>
          <w:lang w:eastAsia="zh-CN"/>
          <w14:textFill>
            <w14:solidFill>
              <w14:schemeClr w14:val="tx1"/>
            </w14:solidFill>
          </w14:textFill>
        </w:rPr>
        <w:t>了</w:t>
      </w:r>
      <w:r>
        <w:rPr>
          <w:rFonts w:hint="eastAsia" w:ascii="仿宋" w:hAnsi="仿宋" w:eastAsia="仿宋" w:cs="仿宋"/>
          <w:color w:val="000000" w:themeColor="text1"/>
          <w:sz w:val="32"/>
          <w:szCs w:val="32"/>
          <w14:textFill>
            <w14:solidFill>
              <w14:schemeClr w14:val="tx1"/>
            </w14:solidFill>
          </w14:textFill>
        </w:rPr>
        <w:t>《职业病防治法》宣传活动。</w:t>
      </w:r>
      <w:r>
        <w:rPr>
          <w:rFonts w:hint="eastAsia" w:ascii="楷体" w:hAnsi="楷体" w:eastAsia="楷体" w:cs="楷体"/>
          <w:b/>
          <w:color w:val="000000" w:themeColor="text1"/>
          <w:sz w:val="32"/>
          <w:szCs w:val="32"/>
          <w:lang w:eastAsia="zh-CN"/>
          <w14:textFill>
            <w14:solidFill>
              <w14:schemeClr w14:val="tx1"/>
            </w14:solidFill>
          </w14:textFill>
        </w:rPr>
        <w:t>学校卫生：</w:t>
      </w:r>
      <w:r>
        <w:rPr>
          <w:rFonts w:hint="eastAsia" w:ascii="仿宋" w:hAnsi="仿宋" w:eastAsia="仿宋" w:cs="仿宋"/>
          <w:color w:val="000000" w:themeColor="text1"/>
          <w:sz w:val="32"/>
          <w:szCs w:val="32"/>
          <w:lang w:val="en-US" w:eastAsia="zh-CN"/>
          <w14:textFill>
            <w14:solidFill>
              <w14:schemeClr w14:val="tx1"/>
            </w14:solidFill>
          </w14:textFill>
        </w:rPr>
        <w:t>今年与湖南省疾控中心、中南大学和县人民医院联合开展学生营养健康状况连续性监测工作，共监测马鞍镇和广坪镇2所学校1-6年级小学生1183人；与县人民医院联合开展学生常见病监测，共</w:t>
      </w:r>
      <w:r>
        <w:rPr>
          <w:rFonts w:hint="eastAsia" w:ascii="仿宋" w:hAnsi="仿宋" w:eastAsia="仿宋" w:cs="仿宋"/>
          <w:color w:val="000000" w:themeColor="text1"/>
          <w:sz w:val="32"/>
          <w:szCs w:val="32"/>
          <w:lang w:val="zh-CN" w:eastAsia="zh-CN"/>
          <w14:textFill>
            <w14:solidFill>
              <w14:schemeClr w14:val="tx1"/>
            </w14:solidFill>
          </w14:textFill>
        </w:rPr>
        <w:t>5监测</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val="zh-CN" w:eastAsia="zh-CN"/>
          <w14:textFill>
            <w14:solidFill>
              <w14:schemeClr w14:val="tx1"/>
            </w14:solidFill>
          </w14:textFill>
        </w:rPr>
        <w:t>所学校、2所幼儿园</w:t>
      </w:r>
      <w:r>
        <w:rPr>
          <w:rFonts w:hint="eastAsia" w:ascii="仿宋" w:hAnsi="仿宋" w:eastAsia="仿宋" w:cs="仿宋"/>
          <w:color w:val="000000" w:themeColor="text1"/>
          <w:sz w:val="32"/>
          <w:szCs w:val="32"/>
          <w:lang w:val="en-US" w:eastAsia="zh-CN"/>
          <w14:textFill>
            <w14:solidFill>
              <w14:schemeClr w14:val="tx1"/>
            </w14:solidFill>
          </w14:textFill>
        </w:rPr>
        <w:t>2229</w:t>
      </w:r>
      <w:r>
        <w:rPr>
          <w:rFonts w:hint="eastAsia" w:ascii="仿宋" w:hAnsi="仿宋" w:eastAsia="仿宋" w:cs="仿宋"/>
          <w:color w:val="000000" w:themeColor="text1"/>
          <w:sz w:val="32"/>
          <w:szCs w:val="32"/>
          <w:lang w:val="zh-CN" w:eastAsia="zh-CN"/>
          <w14:textFill>
            <w14:solidFill>
              <w14:schemeClr w14:val="tx1"/>
            </w14:solidFill>
          </w14:textFill>
        </w:rPr>
        <w:t>人，检出近视</w:t>
      </w:r>
      <w:r>
        <w:rPr>
          <w:rFonts w:hint="eastAsia" w:ascii="仿宋" w:hAnsi="仿宋" w:eastAsia="仿宋" w:cs="仿宋"/>
          <w:color w:val="000000" w:themeColor="text1"/>
          <w:sz w:val="32"/>
          <w:szCs w:val="32"/>
          <w:lang w:val="en-US" w:eastAsia="zh-CN"/>
          <w14:textFill>
            <w14:solidFill>
              <w14:schemeClr w14:val="tx1"/>
            </w14:solidFill>
          </w14:textFill>
        </w:rPr>
        <w:t>936</w:t>
      </w:r>
      <w:r>
        <w:rPr>
          <w:rFonts w:hint="eastAsia" w:ascii="仿宋" w:hAnsi="仿宋" w:eastAsia="仿宋" w:cs="仿宋"/>
          <w:color w:val="000000" w:themeColor="text1"/>
          <w:sz w:val="32"/>
          <w:szCs w:val="32"/>
          <w:lang w:val="zh-CN" w:eastAsia="zh-CN"/>
          <w14:textFill>
            <w14:solidFill>
              <w14:schemeClr w14:val="tx1"/>
            </w14:solidFill>
          </w14:textFill>
        </w:rPr>
        <w:t>人，近</w:t>
      </w:r>
      <w:r>
        <w:rPr>
          <w:rFonts w:hint="eastAsia" w:ascii="仿宋" w:hAnsi="仿宋" w:eastAsia="仿宋" w:cs="仿宋"/>
          <w:b w:val="0"/>
          <w:bCs w:val="0"/>
          <w:color w:val="auto"/>
          <w:kern w:val="0"/>
          <w:sz w:val="32"/>
          <w:szCs w:val="32"/>
          <w:lang w:val="zh-CN" w:eastAsia="zh-CN" w:bidi="ar"/>
        </w:rPr>
        <w:t>视率</w:t>
      </w:r>
      <w:r>
        <w:rPr>
          <w:rFonts w:hint="eastAsia" w:ascii="仿宋" w:hAnsi="仿宋" w:eastAsia="仿宋" w:cs="仿宋"/>
          <w:b w:val="0"/>
          <w:bCs w:val="0"/>
          <w:color w:val="auto"/>
          <w:kern w:val="0"/>
          <w:sz w:val="32"/>
          <w:szCs w:val="32"/>
          <w:lang w:val="en-US" w:eastAsia="zh-CN" w:bidi="ar"/>
        </w:rPr>
        <w:t>41.99</w:t>
      </w:r>
      <w:r>
        <w:rPr>
          <w:rFonts w:hint="eastAsia" w:ascii="仿宋" w:hAnsi="仿宋" w:eastAsia="仿宋" w:cs="仿宋"/>
          <w:b w:val="0"/>
          <w:bCs w:val="0"/>
          <w:color w:val="auto"/>
          <w:kern w:val="0"/>
          <w:sz w:val="32"/>
          <w:szCs w:val="32"/>
          <w:lang w:val="zh-CN" w:eastAsia="zh-CN" w:bidi="ar"/>
        </w:rPr>
        <w:t>%，近视率较上年度下降</w:t>
      </w:r>
      <w:r>
        <w:rPr>
          <w:rFonts w:hint="eastAsia" w:ascii="仿宋" w:hAnsi="仿宋" w:eastAsia="仿宋" w:cs="仿宋"/>
          <w:b/>
          <w:bCs/>
          <w:color w:val="7030A0"/>
          <w:kern w:val="0"/>
          <w:sz w:val="32"/>
          <w:szCs w:val="32"/>
          <w:lang w:val="zh-CN" w:eastAsia="zh-CN" w:bidi="ar"/>
        </w:rPr>
        <w:t>。</w:t>
      </w:r>
    </w:p>
    <w:bookmarkEnd w:id="1"/>
    <w:p w14:paraId="1BD3DA96">
      <w:pPr>
        <w:keepNext w:val="0"/>
        <w:keepLines w:val="0"/>
        <w:pageBreakBefore w:val="0"/>
        <w:widowControl w:val="0"/>
        <w:numPr>
          <w:ilvl w:val="0"/>
          <w:numId w:val="6"/>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健康教育</w:t>
      </w:r>
      <w:r>
        <w:rPr>
          <w:rFonts w:hint="eastAsia" w:ascii="楷体" w:hAnsi="楷体" w:eastAsia="楷体" w:cs="楷体"/>
          <w:b/>
          <w:color w:val="000000" w:themeColor="text1"/>
          <w:sz w:val="32"/>
          <w:szCs w:val="32"/>
          <w:lang w:val="en-US" w:eastAsia="zh-CN"/>
          <w14:textFill>
            <w14:solidFill>
              <w14:schemeClr w14:val="tx1"/>
            </w14:solidFill>
          </w14:textFill>
        </w:rPr>
        <w:t>和健康促进持续推进。</w:t>
      </w:r>
    </w:p>
    <w:p w14:paraId="625B89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明确职责，健全网络：</w:t>
      </w:r>
      <w:r>
        <w:rPr>
          <w:rFonts w:hint="eastAsia" w:ascii="仿宋" w:hAnsi="仿宋" w:eastAsia="仿宋" w:cs="仿宋"/>
          <w:b w:val="0"/>
          <w:bCs w:val="0"/>
          <w:color w:val="000000" w:themeColor="text1"/>
          <w:sz w:val="32"/>
          <w:szCs w:val="32"/>
          <w:lang w:val="en-US" w:eastAsia="zh-CN"/>
          <w14:textFill>
            <w14:solidFill>
              <w14:schemeClr w14:val="tx1"/>
            </w14:solidFill>
          </w14:textFill>
        </w:rPr>
        <w:t>成立了健康教育工作领导小组，明确了部门和单位职责，建立健全了县、乡、村三级健康教育网络，</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开展了健康教育相关培训7期1000余人次，健康教育相关</w:t>
      </w:r>
      <w:r>
        <w:rPr>
          <w:rFonts w:hint="eastAsia" w:ascii="仿宋" w:hAnsi="仿宋" w:eastAsia="仿宋" w:cs="仿宋"/>
          <w:b w:val="0"/>
          <w:bCs w:val="0"/>
          <w:color w:val="000000" w:themeColor="text1"/>
          <w:sz w:val="32"/>
          <w:szCs w:val="32"/>
          <w:lang w:val="en-US" w:eastAsia="zh-CN"/>
          <w14:textFill>
            <w14:solidFill>
              <w14:schemeClr w14:val="tx1"/>
            </w14:solidFill>
          </w14:textFill>
        </w:rPr>
        <w:t>工作督导200余场次。</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强化举措，着力“硬科普”：</w:t>
      </w:r>
      <w:r>
        <w:rPr>
          <w:rFonts w:hint="eastAsia" w:ascii="仿宋" w:hAnsi="仿宋" w:eastAsia="仿宋" w:cs="仿宋"/>
          <w:color w:val="000000" w:themeColor="text1"/>
          <w:sz w:val="32"/>
          <w:szCs w:val="32"/>
          <w:lang w:val="en-US" w:eastAsia="zh-CN"/>
          <w14:textFill>
            <w14:solidFill>
              <w14:schemeClr w14:val="tx1"/>
            </w14:solidFill>
          </w14:textFill>
        </w:rPr>
        <w:t>共印制宣传资料602种（中医252种)，</w:t>
      </w:r>
      <w:r>
        <w:rPr>
          <w:rFonts w:hint="eastAsia" w:ascii="仿宋" w:hAnsi="仿宋" w:eastAsia="仿宋" w:cs="仿宋"/>
          <w:color w:val="000000" w:themeColor="text1"/>
          <w:sz w:val="32"/>
          <w:szCs w:val="32"/>
          <w14:textFill>
            <w14:solidFill>
              <w14:schemeClr w14:val="tx1"/>
            </w14:solidFill>
          </w14:textFill>
        </w:rPr>
        <w:t>发放宣传资</w:t>
      </w:r>
      <w:r>
        <w:rPr>
          <w:rFonts w:hint="eastAsia" w:ascii="仿宋" w:hAnsi="仿宋" w:eastAsia="仿宋" w:cs="仿宋"/>
          <w:color w:val="000000" w:themeColor="text1"/>
          <w:sz w:val="32"/>
          <w:szCs w:val="32"/>
          <w:lang w:val="en-US" w:eastAsia="zh-CN"/>
          <w14:textFill>
            <w14:solidFill>
              <w14:schemeClr w14:val="tx1"/>
            </w14:solidFill>
          </w14:textFill>
        </w:rPr>
        <w:t>料近20多</w:t>
      </w:r>
      <w:r>
        <w:rPr>
          <w:rFonts w:hint="eastAsia" w:ascii="仿宋" w:hAnsi="仿宋" w:eastAsia="仿宋" w:cs="仿宋"/>
          <w:color w:val="000000" w:themeColor="text1"/>
          <w:sz w:val="32"/>
          <w:szCs w:val="32"/>
          <w14:textFill>
            <w14:solidFill>
              <w14:schemeClr w14:val="tx1"/>
            </w14:solidFill>
          </w14:textFill>
        </w:rPr>
        <w:t>万份/册</w:t>
      </w:r>
      <w:r>
        <w:rPr>
          <w:rFonts w:hint="eastAsia" w:ascii="仿宋" w:hAnsi="仿宋" w:eastAsia="仿宋" w:cs="仿宋"/>
          <w:color w:val="000000" w:themeColor="text1"/>
          <w:sz w:val="32"/>
          <w:szCs w:val="32"/>
          <w:lang w:val="en-US" w:eastAsia="zh-CN"/>
          <w14:textFill>
            <w14:solidFill>
              <w14:schemeClr w14:val="tx1"/>
            </w14:solidFill>
          </w14:textFill>
        </w:rPr>
        <w:t>；播放健康教育音像资料时长90485小时；更新健康教育宣传栏3290期次；举办健康育讲座620余</w:t>
      </w:r>
      <w:r>
        <w:rPr>
          <w:rFonts w:hint="eastAsia" w:ascii="仿宋" w:hAnsi="仿宋" w:eastAsia="仿宋" w:cs="仿宋"/>
          <w:color w:val="000000" w:themeColor="text1"/>
          <w:sz w:val="32"/>
          <w:szCs w:val="32"/>
          <w14:textFill>
            <w14:solidFill>
              <w14:schemeClr w14:val="tx1"/>
            </w14:solidFill>
          </w14:textFill>
        </w:rPr>
        <w:t>场</w:t>
      </w:r>
      <w:r>
        <w:rPr>
          <w:rFonts w:hint="eastAsia" w:ascii="仿宋" w:hAnsi="仿宋" w:eastAsia="仿宋" w:cs="仿宋"/>
          <w:color w:val="000000" w:themeColor="text1"/>
          <w:sz w:val="32"/>
          <w:szCs w:val="32"/>
          <w:lang w:val="en-US" w:eastAsia="zh-CN"/>
          <w14:textFill>
            <w14:solidFill>
              <w14:schemeClr w14:val="tx1"/>
            </w14:solidFill>
          </w14:textFill>
        </w:rPr>
        <w:t>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提供健康咨询义诊服务5.6万余人次,直接受教育群众8万人次以上</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；开展“五进”</w:t>
      </w:r>
      <w:r>
        <w:rPr>
          <w:rFonts w:hint="eastAsia" w:ascii="仿宋_GB2312" w:hAnsi="宋体" w:eastAsia="仿宋_GB2312"/>
          <w:color w:val="000000" w:themeColor="text1"/>
          <w:sz w:val="32"/>
          <w:szCs w:val="32"/>
          <w14:textFill>
            <w14:solidFill>
              <w14:schemeClr w14:val="tx1"/>
            </w14:solidFill>
          </w14:textFill>
        </w:rPr>
        <w:t>健康大讲</w:t>
      </w:r>
      <w:r>
        <w:rPr>
          <w:rFonts w:hint="eastAsia" w:ascii="仿宋_GB2312" w:hAnsi="宋体" w:eastAsia="仿宋_GB2312"/>
          <w:color w:val="000000" w:themeColor="text1"/>
          <w:sz w:val="32"/>
          <w:szCs w:val="32"/>
          <w:lang w:val="en-US" w:eastAsia="zh-CN"/>
          <w14:textFill>
            <w14:solidFill>
              <w14:schemeClr w14:val="tx1"/>
            </w14:solidFill>
          </w14:textFill>
        </w:rPr>
        <w:t>堂</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100场以上；</w:t>
      </w:r>
      <w:r>
        <w:rPr>
          <w:rFonts w:hint="eastAsia" w:ascii="仿宋_GB2312" w:hAnsi="宋体" w:eastAsia="仿宋_GB2312"/>
          <w:color w:val="000000" w:themeColor="text1"/>
          <w:sz w:val="32"/>
          <w:szCs w:val="32"/>
          <w14:textFill>
            <w14:solidFill>
              <w14:schemeClr w14:val="tx1"/>
            </w14:solidFill>
          </w14:textFill>
        </w:rPr>
        <w:t>开展</w:t>
      </w:r>
      <w:r>
        <w:rPr>
          <w:rFonts w:hint="eastAsia" w:ascii="仿宋_GB2312" w:hAnsi="宋体" w:eastAsia="仿宋_GB2312"/>
          <w:color w:val="000000" w:themeColor="text1"/>
          <w:sz w:val="32"/>
          <w:szCs w:val="32"/>
          <w:lang w:val="en-US" w:eastAsia="zh-CN"/>
          <w14:textFill>
            <w14:solidFill>
              <w14:schemeClr w14:val="tx1"/>
            </w14:solidFill>
          </w14:textFill>
        </w:rPr>
        <w:t>线上</w:t>
      </w:r>
      <w:r>
        <w:rPr>
          <w:rFonts w:hint="eastAsia" w:ascii="仿宋_GB2312" w:hAnsi="宋体" w:eastAsia="仿宋_GB2312"/>
          <w:color w:val="000000" w:themeColor="text1"/>
          <w:sz w:val="32"/>
          <w:szCs w:val="32"/>
          <w14:textFill>
            <w14:solidFill>
              <w14:schemeClr w14:val="tx1"/>
            </w14:solidFill>
          </w14:textFill>
        </w:rPr>
        <w:t>健康</w:t>
      </w:r>
      <w:r>
        <w:rPr>
          <w:rFonts w:hint="eastAsia" w:ascii="仿宋_GB2312" w:hAnsi="宋体" w:eastAsia="仿宋_GB2312"/>
          <w:color w:val="000000" w:themeColor="text1"/>
          <w:sz w:val="32"/>
          <w:szCs w:val="32"/>
          <w:lang w:val="en-US" w:eastAsia="zh-CN"/>
          <w14:textFill>
            <w14:solidFill>
              <w14:schemeClr w14:val="tx1"/>
            </w14:solidFill>
          </w14:textFill>
        </w:rPr>
        <w:t>知识</w:t>
      </w:r>
      <w:r>
        <w:rPr>
          <w:rFonts w:hint="eastAsia" w:ascii="仿宋_GB2312" w:hAnsi="宋体" w:eastAsia="仿宋_GB2312"/>
          <w:color w:val="000000" w:themeColor="text1"/>
          <w:sz w:val="32"/>
          <w:szCs w:val="32"/>
          <w14:textFill>
            <w14:solidFill>
              <w14:schemeClr w14:val="tx1"/>
            </w14:solidFill>
          </w14:textFill>
        </w:rPr>
        <w:t>讲座达</w:t>
      </w:r>
      <w:r>
        <w:rPr>
          <w:rFonts w:hint="eastAsia" w:ascii="仿宋_GB2312" w:hAnsi="宋体" w:eastAsia="仿宋_GB2312"/>
          <w:color w:val="000000" w:themeColor="text1"/>
          <w:sz w:val="32"/>
          <w:szCs w:val="32"/>
          <w:lang w:val="en-US" w:eastAsia="zh-CN"/>
          <w14:textFill>
            <w14:solidFill>
              <w14:schemeClr w14:val="tx1"/>
            </w14:solidFill>
          </w14:textFill>
        </w:rPr>
        <w:t>30</w:t>
      </w:r>
      <w:r>
        <w:rPr>
          <w:rFonts w:hint="eastAsia" w:ascii="仿宋_GB2312" w:hAnsi="宋体" w:eastAsia="仿宋_GB2312"/>
          <w:color w:val="000000" w:themeColor="text1"/>
          <w:sz w:val="32"/>
          <w:szCs w:val="32"/>
          <w14:textFill>
            <w14:solidFill>
              <w14:schemeClr w14:val="tx1"/>
            </w14:solidFill>
          </w14:textFill>
        </w:rPr>
        <w:t>余次，</w:t>
      </w:r>
      <w:r>
        <w:rPr>
          <w:rFonts w:hint="eastAsia" w:ascii="仿宋_GB2312" w:hAnsi="宋体" w:eastAsia="仿宋_GB2312"/>
          <w:color w:val="000000" w:themeColor="text1"/>
          <w:sz w:val="32"/>
          <w:szCs w:val="32"/>
          <w:lang w:val="en-US" w:eastAsia="zh-CN"/>
          <w14:textFill>
            <w14:solidFill>
              <w14:schemeClr w14:val="tx1"/>
            </w14:solidFill>
          </w14:textFill>
        </w:rPr>
        <w:t>线下讲座10余场次，</w:t>
      </w:r>
      <w:r>
        <w:rPr>
          <w:rFonts w:hint="eastAsia" w:ascii="仿宋_GB2312" w:hAnsi="宋体" w:eastAsia="仿宋_GB2312"/>
          <w:color w:val="000000" w:themeColor="text1"/>
          <w:sz w:val="32"/>
          <w:szCs w:val="32"/>
          <w14:textFill>
            <w14:solidFill>
              <w14:schemeClr w14:val="tx1"/>
            </w14:solidFill>
          </w14:textFill>
        </w:rPr>
        <w:t>参与</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100余人</w:t>
      </w:r>
      <w:r>
        <w:rPr>
          <w:rFonts w:hint="eastAsia" w:ascii="仿宋_GB2312" w:hAnsi="宋体" w:eastAsia="仿宋_GB2312"/>
          <w:color w:val="000000" w:themeColor="text1"/>
          <w:sz w:val="32"/>
          <w:szCs w:val="32"/>
          <w:lang w:val="en-US" w:eastAsia="zh-CN"/>
          <w14:textFill>
            <w14:solidFill>
              <w14:schemeClr w14:val="tx1"/>
            </w14:solidFill>
          </w14:textFill>
        </w:rPr>
        <w:t>次</w:t>
      </w:r>
      <w:r>
        <w:rPr>
          <w:rFonts w:hint="eastAsia" w:ascii="仿宋_GB2312" w:hAnsi="宋体" w:eastAsia="仿宋_GB2312"/>
          <w:color w:val="000000" w:themeColor="text1"/>
          <w:sz w:val="32"/>
          <w:szCs w:val="32"/>
          <w14:textFill>
            <w14:solidFill>
              <w14:schemeClr w14:val="tx1"/>
            </w14:solidFill>
          </w14:textFill>
        </w:rPr>
        <w:t>，发放宣传资料12000余份。</w:t>
      </w:r>
      <w:r>
        <w:rPr>
          <w:rFonts w:hint="eastAsia" w:ascii="仿宋" w:hAnsi="仿宋" w:eastAsia="仿宋" w:cs="仿宋"/>
          <w:b/>
          <w:bCs w:val="0"/>
          <w:color w:val="000000" w:themeColor="text1"/>
          <w:sz w:val="32"/>
          <w:szCs w:val="32"/>
          <w:lang w:val="en-US" w:eastAsia="zh-CN"/>
          <w14:textFill>
            <w14:solidFill>
              <w14:schemeClr w14:val="tx1"/>
            </w14:solidFill>
          </w14:textFill>
        </w:rPr>
        <w:t>创建健康支持性环境</w:t>
      </w:r>
      <w:r>
        <w:rPr>
          <w:rFonts w:hint="eastAsia" w:ascii="仿宋" w:hAnsi="仿宋" w:eastAsia="仿宋" w:cs="仿宋"/>
          <w:b/>
          <w:bCs/>
          <w:color w:val="000000" w:themeColor="text1"/>
          <w:sz w:val="32"/>
          <w:szCs w:val="32"/>
          <w:lang w:val="en-US" w:eastAsia="zh-CN"/>
          <w14:textFill>
            <w14:solidFill>
              <w14:schemeClr w14:val="tx1"/>
            </w14:solidFill>
          </w14:textFill>
        </w:rPr>
        <w:t>，规范健教阵地，</w:t>
      </w:r>
      <w:r>
        <w:rPr>
          <w:rFonts w:hint="eastAsia" w:ascii="仿宋" w:hAnsi="仿宋" w:eastAsia="仿宋" w:cs="仿宋"/>
          <w:b w:val="0"/>
          <w:bCs w:val="0"/>
          <w:color w:val="000000" w:themeColor="text1"/>
          <w:sz w:val="32"/>
          <w:szCs w:val="32"/>
          <w:lang w:val="en-US" w:eastAsia="zh-CN"/>
          <w14:textFill>
            <w14:solidFill>
              <w14:schemeClr w14:val="tx1"/>
            </w14:solidFill>
          </w14:textFill>
        </w:rPr>
        <w:t>创建</w:t>
      </w:r>
      <w:r>
        <w:rPr>
          <w:rFonts w:hint="eastAsia" w:ascii="仿宋" w:hAnsi="仿宋" w:eastAsia="仿宋" w:cs="仿宋"/>
          <w:color w:val="000000" w:themeColor="text1"/>
          <w:sz w:val="32"/>
          <w:szCs w:val="32"/>
          <w14:textFill>
            <w14:solidFill>
              <w14:schemeClr w14:val="tx1"/>
            </w14:solidFill>
          </w14:textFill>
        </w:rPr>
        <w:t>健康</w:t>
      </w:r>
      <w:r>
        <w:rPr>
          <w:rFonts w:hint="eastAsia" w:ascii="仿宋" w:hAnsi="仿宋" w:eastAsia="仿宋" w:cs="仿宋"/>
          <w:color w:val="000000" w:themeColor="text1"/>
          <w:sz w:val="32"/>
          <w:szCs w:val="32"/>
          <w:lang w:eastAsia="zh-CN"/>
          <w14:textFill>
            <w14:solidFill>
              <w14:schemeClr w14:val="tx1"/>
            </w14:solidFill>
          </w14:textFill>
        </w:rPr>
        <w:t>机关</w:t>
      </w:r>
      <w:r>
        <w:rPr>
          <w:rFonts w:hint="eastAsia" w:ascii="仿宋" w:hAnsi="仿宋" w:eastAsia="仿宋" w:cs="仿宋"/>
          <w:color w:val="000000" w:themeColor="text1"/>
          <w:sz w:val="32"/>
          <w:szCs w:val="32"/>
          <w:lang w:val="en-US" w:eastAsia="zh-CN"/>
          <w14:textFill>
            <w14:solidFill>
              <w14:schemeClr w14:val="tx1"/>
            </w14:solidFill>
          </w14:textFill>
        </w:rPr>
        <w:t>2个，健康学校2个，</w:t>
      </w:r>
      <w:r>
        <w:rPr>
          <w:rFonts w:hint="eastAsia" w:ascii="仿宋" w:hAnsi="仿宋" w:eastAsia="仿宋" w:cs="仿宋"/>
          <w:color w:val="000000" w:themeColor="text1"/>
          <w:sz w:val="32"/>
          <w:szCs w:val="32"/>
          <w:lang w:eastAsia="zh-CN"/>
          <w14:textFill>
            <w14:solidFill>
              <w14:schemeClr w14:val="tx1"/>
            </w14:solidFill>
          </w14:textFill>
        </w:rPr>
        <w:t>健康食堂</w:t>
      </w:r>
      <w:r>
        <w:rPr>
          <w:rFonts w:hint="eastAsia" w:ascii="仿宋" w:hAnsi="仿宋" w:eastAsia="仿宋" w:cs="仿宋"/>
          <w:color w:val="000000" w:themeColor="text1"/>
          <w:sz w:val="32"/>
          <w:szCs w:val="32"/>
          <w:lang w:val="en-US" w:eastAsia="zh-CN"/>
          <w14:textFill>
            <w14:solidFill>
              <w14:schemeClr w14:val="tx1"/>
            </w14:solidFill>
          </w14:textFill>
        </w:rPr>
        <w:t>6个，</w:t>
      </w:r>
      <w:r>
        <w:rPr>
          <w:rFonts w:hint="eastAsia" w:ascii="仿宋" w:hAnsi="仿宋" w:eastAsia="仿宋" w:cs="仿宋"/>
          <w:color w:val="000000" w:themeColor="text1"/>
          <w:sz w:val="32"/>
          <w:szCs w:val="32"/>
          <w14:textFill>
            <w14:solidFill>
              <w14:schemeClr w14:val="tx1"/>
            </w14:solidFill>
          </w14:textFill>
        </w:rPr>
        <w:t>健康步道</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eastAsia="zh-CN"/>
          <w14:textFill>
            <w14:solidFill>
              <w14:schemeClr w14:val="tx1"/>
            </w14:solidFill>
          </w14:textFill>
        </w:rPr>
        <w:t>健康</w:t>
      </w:r>
      <w:r>
        <w:rPr>
          <w:rFonts w:hint="eastAsia" w:ascii="仿宋" w:hAnsi="仿宋" w:eastAsia="仿宋" w:cs="仿宋"/>
          <w:color w:val="000000" w:themeColor="text1"/>
          <w:sz w:val="32"/>
          <w:szCs w:val="32"/>
          <w:lang w:val="en-US" w:eastAsia="zh-CN"/>
          <w14:textFill>
            <w14:solidFill>
              <w14:schemeClr w14:val="tx1"/>
            </w14:solidFill>
          </w14:textFill>
        </w:rPr>
        <w:t>主题</w:t>
      </w:r>
      <w:r>
        <w:rPr>
          <w:rFonts w:hint="eastAsia" w:ascii="仿宋" w:hAnsi="仿宋" w:eastAsia="仿宋" w:cs="仿宋"/>
          <w:color w:val="000000" w:themeColor="text1"/>
          <w:sz w:val="32"/>
          <w:szCs w:val="32"/>
          <w:lang w:eastAsia="zh-CN"/>
          <w14:textFill>
            <w14:solidFill>
              <w14:schemeClr w14:val="tx1"/>
            </w14:solidFill>
          </w14:textFill>
        </w:rPr>
        <w:t>公园</w:t>
      </w:r>
      <w:r>
        <w:rPr>
          <w:rFonts w:hint="eastAsia" w:ascii="仿宋" w:hAnsi="仿宋" w:eastAsia="仿宋" w:cs="仿宋"/>
          <w:color w:val="000000" w:themeColor="text1"/>
          <w:sz w:val="32"/>
          <w:szCs w:val="32"/>
          <w:lang w:val="en-US" w:eastAsia="zh-CN"/>
          <w14:textFill>
            <w14:solidFill>
              <w14:schemeClr w14:val="tx1"/>
            </w14:solidFill>
          </w14:textFill>
        </w:rPr>
        <w:t>2个，健康乡镇1个，</w:t>
      </w:r>
      <w:r>
        <w:rPr>
          <w:rFonts w:hint="eastAsia" w:ascii="仿宋" w:hAnsi="仿宋" w:eastAsia="仿宋" w:cs="仿宋"/>
          <w:color w:val="000000" w:themeColor="text1"/>
          <w:sz w:val="32"/>
          <w:szCs w:val="32"/>
          <w14:textFill>
            <w14:solidFill>
              <w14:schemeClr w14:val="tx1"/>
            </w14:solidFill>
          </w14:textFill>
        </w:rPr>
        <w:t>健康社区</w:t>
      </w:r>
      <w:r>
        <w:rPr>
          <w:rFonts w:hint="eastAsia" w:ascii="仿宋" w:hAnsi="仿宋" w:eastAsia="仿宋" w:cs="仿宋"/>
          <w:color w:val="000000" w:themeColor="text1"/>
          <w:sz w:val="32"/>
          <w:szCs w:val="32"/>
          <w:lang w:val="en-US" w:eastAsia="zh-CN"/>
          <w14:textFill>
            <w14:solidFill>
              <w14:schemeClr w14:val="tx1"/>
            </w14:solidFill>
          </w14:textFill>
        </w:rPr>
        <w:t>1个，健康小屋1个</w:t>
      </w:r>
      <w:r>
        <w:rPr>
          <w:rFonts w:hint="eastAsia" w:ascii="仿宋" w:hAnsi="仿宋" w:eastAsia="仿宋" w:cs="仿宋"/>
          <w:b w:val="0"/>
          <w:bCs w:val="0"/>
          <w:color w:val="000000" w:themeColor="text1"/>
          <w:sz w:val="32"/>
          <w:szCs w:val="32"/>
          <w:lang w:val="en-US" w:eastAsia="zh-CN"/>
          <w14:textFill>
            <w14:solidFill>
              <w14:schemeClr w14:val="tx1"/>
            </w14:solidFill>
          </w14:textFill>
        </w:rPr>
        <w:t>，健康家庭和无烟家庭若干</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营造无烟环境，巩固控烟成果</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创建市级无烟单位</w:t>
      </w:r>
      <w:r>
        <w:rPr>
          <w:rFonts w:hint="eastAsia" w:ascii="仿宋" w:hAnsi="仿宋" w:eastAsia="仿宋" w:cs="仿宋"/>
          <w:color w:val="000000" w:themeColor="text1"/>
          <w:sz w:val="32"/>
          <w:szCs w:val="32"/>
          <w:lang w:val="en-US" w:eastAsia="zh-CN"/>
          <w14:textFill>
            <w14:solidFill>
              <w14:schemeClr w14:val="tx1"/>
            </w14:solidFill>
          </w14:textFill>
        </w:rPr>
        <w:t>32个，</w:t>
      </w:r>
      <w:r>
        <w:rPr>
          <w:rFonts w:hint="eastAsia" w:ascii="仿宋" w:hAnsi="仿宋" w:eastAsia="仿宋" w:cs="仿宋"/>
          <w:color w:val="000000" w:themeColor="text1"/>
          <w:sz w:val="32"/>
          <w:szCs w:val="32"/>
          <w14:textFill>
            <w14:solidFill>
              <w14:schemeClr w14:val="tx1"/>
            </w14:solidFill>
          </w14:textFill>
        </w:rPr>
        <w:t>县级无烟单位10</w:t>
      </w:r>
      <w:r>
        <w:rPr>
          <w:rFonts w:hint="eastAsia" w:ascii="仿宋" w:hAnsi="仿宋" w:eastAsia="仿宋" w:cs="仿宋"/>
          <w:color w:val="000000" w:themeColor="text1"/>
          <w:sz w:val="32"/>
          <w:szCs w:val="32"/>
          <w:lang w:val="en-US" w:eastAsia="zh-CN"/>
          <w14:textFill>
            <w14:solidFill>
              <w14:schemeClr w14:val="tx1"/>
            </w14:solidFill>
          </w14:textFill>
        </w:rPr>
        <w:t>0多</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无烟家庭17个。</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多部门联合开展5.31世界无烟日“保护青少年远离传统烟草产品和电子烟”主题宣传活动，各单位开展控烟宣传并组织烟草危害知识学习，各公共场所设立控烟专栏，县人民医院设立戒烟门诊。</w:t>
      </w:r>
      <w:r>
        <w:rPr>
          <w:rFonts w:hint="eastAsia" w:ascii="仿宋" w:hAnsi="仿宋" w:eastAsia="仿宋" w:cs="仿宋"/>
          <w:b/>
          <w:bCs w:val="0"/>
          <w:color w:val="000000" w:themeColor="text1"/>
          <w:spacing w:val="2"/>
          <w:kern w:val="0"/>
          <w:sz w:val="32"/>
          <w:szCs w:val="32"/>
          <w:lang w:val="en-US" w:eastAsia="zh-CN" w:bidi="ar-SA"/>
          <w14:textFill>
            <w14:solidFill>
              <w14:schemeClr w14:val="tx1"/>
            </w14:solidFill>
          </w14:textFill>
        </w:rPr>
        <w:t>依托万步大赛，推广健康生活方式：</w:t>
      </w:r>
      <w:r>
        <w:rPr>
          <w:rFonts w:hint="eastAsia" w:ascii="仿宋" w:hAnsi="仿宋" w:eastAsia="仿宋" w:cs="仿宋"/>
          <w:b w:val="0"/>
          <w:bCs/>
          <w:color w:val="000000" w:themeColor="text1"/>
          <w:sz w:val="32"/>
          <w:szCs w:val="32"/>
          <w:lang w:val="en-US" w:eastAsia="zh-CN"/>
          <w14:textFill>
            <w14:solidFill>
              <w14:schemeClr w14:val="tx1"/>
            </w14:solidFill>
          </w14:textFill>
        </w:rPr>
        <w:t>今年是赛区连续第六年参加国家疾控中心慢病中心发起的“万步有约”健走激励大赛，推广健康生活方式，取得了优异成绩和健康促进效果，获得了全国“铜牌健走示范</w:t>
      </w:r>
      <w:r>
        <w:rPr>
          <w:rFonts w:hint="eastAsia" w:ascii="仿宋" w:hAnsi="仿宋" w:eastAsia="仿宋" w:cs="仿宋"/>
          <w:b w:val="0"/>
          <w:bCs/>
          <w:color w:val="000000" w:themeColor="text1"/>
          <w:sz w:val="32"/>
          <w:szCs w:val="32"/>
          <w:lang w:eastAsia="zh-CN"/>
          <w14:textFill>
            <w14:solidFill>
              <w14:schemeClr w14:val="tx1"/>
            </w14:solidFill>
          </w14:textFill>
        </w:rPr>
        <w:t>区”、“健走促进三等奖”、“百强健走示范区”等</w:t>
      </w:r>
      <w:r>
        <w:rPr>
          <w:rFonts w:hint="eastAsia" w:ascii="仿宋" w:hAnsi="仿宋" w:eastAsia="仿宋" w:cs="仿宋"/>
          <w:b w:val="0"/>
          <w:bCs/>
          <w:color w:val="000000" w:themeColor="text1"/>
          <w:sz w:val="32"/>
          <w:szCs w:val="32"/>
          <w:lang w:val="en-US" w:eastAsia="zh-CN"/>
          <w14:textFill>
            <w14:solidFill>
              <w14:schemeClr w14:val="tx1"/>
            </w14:solidFill>
          </w14:textFill>
        </w:rPr>
        <w:t>荣誉称号，体重赛、精英赛、拓展赛队员分别479名、635名，1428名，参赛队员普遍体质增强，健康状况改善，部分队员减重效果明显。</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开展居民健康素养监测：</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3月份完成2023年度居民健康素养监测，共调查6个乡镇12个村480名15-59岁对象。结果显示：健康素养27.26%，吸烟率19.58%，经常体育锻炼率38.75</w:t>
      </w:r>
      <w:r>
        <w:rPr>
          <w:rFonts w:hint="eastAsia" w:ascii="仿宋" w:hAnsi="仿宋" w:eastAsia="仿宋" w:cs="仿宋"/>
          <w:color w:val="000000" w:themeColor="text1"/>
          <w:sz w:val="32"/>
          <w:szCs w:val="32"/>
          <w:lang w:val="en-US" w:eastAsia="zh-CN"/>
          <w14:textFill>
            <w14:solidFill>
              <w14:schemeClr w14:val="tx1"/>
            </w14:solidFill>
          </w14:textFill>
        </w:rPr>
        <w:t>%。</w:t>
      </w:r>
      <w:bookmarkEnd w:id="2"/>
    </w:p>
    <w:p w14:paraId="70E1A03B">
      <w:pPr>
        <w:keepNext w:val="0"/>
        <w:keepLines w:val="0"/>
        <w:pageBreakBefore w:val="0"/>
        <w:widowControl w:val="0"/>
        <w:numPr>
          <w:ilvl w:val="0"/>
          <w:numId w:val="7"/>
        </w:numPr>
        <w:kinsoku/>
        <w:wordWrap/>
        <w:overflowPunct/>
        <w:topLinePunct w:val="0"/>
        <w:autoSpaceDE/>
        <w:autoSpaceDN/>
        <w:bidi w:val="0"/>
        <w:adjustRightInd/>
        <w:snapToGrid/>
        <w:spacing w:line="540" w:lineRule="exact"/>
        <w:ind w:left="-13" w:leftChars="0" w:firstLine="643"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存在问题及原因分析</w:t>
      </w:r>
    </w:p>
    <w:p w14:paraId="218784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存在问题：1、财务人员专业知识不够，项目支出把控不严谨</w:t>
      </w:r>
    </w:p>
    <w:p w14:paraId="2B5DCBA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原因分析：财务人员都是兼职，精力不够，而且又不是财务专业人员，专业知识欠缺。</w:t>
      </w:r>
    </w:p>
    <w:p w14:paraId="6F7168CA">
      <w:pPr>
        <w:keepNext w:val="0"/>
        <w:keepLines w:val="0"/>
        <w:pageBreakBefore w:val="0"/>
        <w:widowControl w:val="0"/>
        <w:numPr>
          <w:ilvl w:val="0"/>
          <w:numId w:val="7"/>
        </w:numPr>
        <w:kinsoku/>
        <w:wordWrap/>
        <w:overflowPunct/>
        <w:topLinePunct w:val="0"/>
        <w:autoSpaceDE/>
        <w:autoSpaceDN/>
        <w:bidi w:val="0"/>
        <w:adjustRightInd/>
        <w:snapToGrid/>
        <w:spacing w:line="540" w:lineRule="exact"/>
        <w:ind w:left="-13" w:leftChars="0" w:firstLine="643"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下一步改进措施</w:t>
      </w:r>
    </w:p>
    <w:p w14:paraId="4C74B22A">
      <w:pPr>
        <w:keepNext w:val="0"/>
        <w:keepLines w:val="0"/>
        <w:pageBreakBefore w:val="0"/>
        <w:widowControl w:val="0"/>
        <w:numPr>
          <w:ilvl w:val="0"/>
          <w:numId w:val="8"/>
        </w:numPr>
        <w:kinsoku/>
        <w:wordWrap/>
        <w:overflowPunct/>
        <w:topLinePunct w:val="0"/>
        <w:autoSpaceDE/>
        <w:autoSpaceDN/>
        <w:bidi w:val="0"/>
        <w:adjustRightInd/>
        <w:snapToGrid/>
        <w:spacing w:line="540" w:lineRule="exact"/>
        <w:ind w:left="630" w:left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加强专业知识的学习，同时相关单位专业人员学习，提高自己的专业水平</w:t>
      </w:r>
    </w:p>
    <w:p w14:paraId="53950ACD">
      <w:pPr>
        <w:ind w:firstLine="640" w:firstLineChars="200"/>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zh-CN"/>
        </w:rPr>
        <w:t>六</w:t>
      </w:r>
      <w:r>
        <w:rPr>
          <w:rFonts w:hint="eastAsia" w:ascii="宋体" w:hAnsi="宋体" w:eastAsia="宋体" w:cs="宋体"/>
          <w:b/>
          <w:bCs/>
          <w:color w:val="000000"/>
          <w:sz w:val="32"/>
          <w:szCs w:val="32"/>
        </w:rPr>
        <w:t>、绩效自评结论</w:t>
      </w:r>
    </w:p>
    <w:p w14:paraId="708E3B00">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经自评，</w:t>
      </w: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rPr>
        <w:t>年度</w:t>
      </w:r>
      <w:r>
        <w:rPr>
          <w:rFonts w:hint="eastAsia" w:ascii="仿宋_GB2312" w:hAnsi="仿宋_GB2312" w:eastAsia="仿宋_GB2312" w:cs="仿宋_GB2312"/>
          <w:color w:val="000000"/>
          <w:sz w:val="32"/>
          <w:szCs w:val="32"/>
          <w:lang w:eastAsia="zh-CN"/>
        </w:rPr>
        <w:t>我单位</w:t>
      </w:r>
      <w:r>
        <w:rPr>
          <w:rFonts w:hint="eastAsia" w:ascii="仿宋_GB2312" w:hAnsi="仿宋_GB2312" w:eastAsia="仿宋_GB2312" w:cs="仿宋_GB2312"/>
          <w:color w:val="000000"/>
          <w:sz w:val="32"/>
          <w:szCs w:val="32"/>
        </w:rPr>
        <w:t>部门整体支出绩效评价结论自评分为</w:t>
      </w:r>
      <w:r>
        <w:rPr>
          <w:rFonts w:hint="eastAsia" w:ascii="仿宋_GB2312" w:hAnsi="仿宋_GB2312" w:eastAsia="仿宋_GB2312" w:cs="仿宋_GB2312"/>
          <w:color w:val="000000"/>
          <w:sz w:val="32"/>
          <w:szCs w:val="32"/>
          <w:lang w:val="en-US" w:eastAsia="zh-CN"/>
        </w:rPr>
        <w:t>98</w:t>
      </w:r>
      <w:r>
        <w:rPr>
          <w:rFonts w:hint="eastAsia" w:ascii="仿宋_GB2312" w:hAnsi="仿宋_GB2312" w:eastAsia="仿宋_GB2312" w:cs="仿宋_GB2312"/>
          <w:color w:val="000000"/>
          <w:sz w:val="32"/>
          <w:szCs w:val="32"/>
        </w:rPr>
        <w:t>分。</w:t>
      </w:r>
    </w:p>
    <w:p w14:paraId="3092ECF7">
      <w:pPr>
        <w:pStyle w:val="4"/>
        <w:rPr>
          <w:rFonts w:hint="eastAsia" w:ascii="宋体" w:hAnsi="宋体" w:cs="宋体"/>
          <w:b/>
          <w:sz w:val="44"/>
          <w:szCs w:val="44"/>
        </w:rPr>
      </w:pPr>
    </w:p>
    <w:p w14:paraId="0AC6A8D1">
      <w:pPr>
        <w:rPr>
          <w:rFonts w:hint="eastAsia" w:ascii="宋体" w:hAnsi="宋体" w:cs="宋体"/>
          <w:b/>
          <w:sz w:val="44"/>
          <w:szCs w:val="44"/>
        </w:rPr>
      </w:pPr>
    </w:p>
    <w:p w14:paraId="6519E8B7">
      <w:pPr>
        <w:pStyle w:val="4"/>
        <w:ind w:left="0" w:leftChars="0" w:firstLine="0" w:firstLineChars="0"/>
        <w:rPr>
          <w:rFonts w:hint="eastAsia" w:ascii="宋体" w:hAnsi="宋体" w:cs="宋体"/>
          <w:b w:val="0"/>
          <w:bCs/>
          <w:sz w:val="32"/>
          <w:szCs w:val="32"/>
          <w:lang w:val="en-US" w:eastAsia="zh-CN"/>
        </w:rPr>
      </w:pPr>
      <w:r>
        <w:rPr>
          <w:rFonts w:hint="eastAsia" w:ascii="宋体" w:hAnsi="宋体" w:cs="宋体"/>
          <w:b/>
          <w:sz w:val="44"/>
          <w:szCs w:val="44"/>
          <w:lang w:val="en-US" w:eastAsia="zh-CN"/>
        </w:rPr>
        <w:t xml:space="preserve">                     </w:t>
      </w:r>
      <w:r>
        <w:rPr>
          <w:rFonts w:hint="eastAsia" w:ascii="宋体" w:hAnsi="宋体" w:cs="宋体"/>
          <w:b/>
          <w:sz w:val="32"/>
          <w:szCs w:val="32"/>
          <w:lang w:val="en-US" w:eastAsia="zh-CN"/>
        </w:rPr>
        <w:t xml:space="preserve"> </w:t>
      </w:r>
      <w:r>
        <w:rPr>
          <w:rFonts w:hint="eastAsia" w:ascii="宋体" w:hAnsi="宋体" w:cs="宋体"/>
          <w:b w:val="0"/>
          <w:bCs/>
          <w:sz w:val="32"/>
          <w:szCs w:val="32"/>
          <w:lang w:val="en-US" w:eastAsia="zh-CN"/>
        </w:rPr>
        <w:t>会同县疾病预防控制中心</w:t>
      </w:r>
    </w:p>
    <w:p w14:paraId="1138B6FA">
      <w:pPr>
        <w:rPr>
          <w:rFonts w:hint="default"/>
          <w:b w:val="0"/>
          <w:bCs/>
          <w:sz w:val="32"/>
          <w:szCs w:val="32"/>
          <w:lang w:val="en-US" w:eastAsia="zh-CN"/>
        </w:rPr>
      </w:pPr>
      <w:r>
        <w:rPr>
          <w:rFonts w:hint="eastAsia" w:ascii="宋体" w:hAnsi="宋体" w:cs="宋体"/>
          <w:b w:val="0"/>
          <w:bCs/>
          <w:sz w:val="32"/>
          <w:szCs w:val="32"/>
          <w:lang w:val="en-US" w:eastAsia="zh-CN"/>
        </w:rPr>
        <w:t xml:space="preserve">                                2025年11月10日</w:t>
      </w:r>
    </w:p>
    <w:p w14:paraId="080DE933">
      <w:pPr>
        <w:rPr>
          <w:rFonts w:hint="eastAsia" w:ascii="宋体" w:hAnsi="宋体" w:cs="宋体"/>
          <w:b/>
          <w:sz w:val="32"/>
          <w:szCs w:val="32"/>
        </w:rPr>
      </w:pPr>
    </w:p>
    <w:p w14:paraId="3686CEB5">
      <w:pPr>
        <w:pStyle w:val="3"/>
        <w:rPr>
          <w:rFonts w:hint="eastAsia" w:ascii="宋体" w:hAnsi="宋体" w:cs="宋体"/>
          <w:b/>
          <w:sz w:val="44"/>
          <w:szCs w:val="44"/>
        </w:rPr>
      </w:pPr>
    </w:p>
    <w:p w14:paraId="355D5C0D">
      <w:pPr>
        <w:pStyle w:val="4"/>
        <w:rPr>
          <w:rFonts w:hint="eastAsia" w:ascii="宋体" w:hAnsi="宋体" w:cs="宋体"/>
          <w:b/>
          <w:sz w:val="44"/>
          <w:szCs w:val="44"/>
        </w:rPr>
      </w:pPr>
    </w:p>
    <w:p w14:paraId="524A7089">
      <w:pPr>
        <w:rPr>
          <w:rFonts w:hint="eastAsia" w:ascii="宋体" w:hAnsi="宋体" w:cs="宋体"/>
          <w:b/>
          <w:sz w:val="44"/>
          <w:szCs w:val="44"/>
        </w:rPr>
      </w:pPr>
    </w:p>
    <w:p w14:paraId="2CB045BD">
      <w:pPr>
        <w:pStyle w:val="3"/>
        <w:rPr>
          <w:rFonts w:hint="eastAsia" w:ascii="宋体" w:hAnsi="宋体" w:cs="宋体"/>
          <w:b/>
          <w:sz w:val="44"/>
          <w:szCs w:val="44"/>
        </w:rPr>
      </w:pPr>
    </w:p>
    <w:p w14:paraId="18922020">
      <w:pPr>
        <w:pStyle w:val="4"/>
        <w:rPr>
          <w:rFonts w:hint="eastAsia" w:ascii="宋体" w:hAnsi="宋体" w:cs="宋体"/>
          <w:b/>
          <w:sz w:val="44"/>
          <w:szCs w:val="44"/>
        </w:rPr>
      </w:pPr>
    </w:p>
    <w:p w14:paraId="2A448EC0">
      <w:pPr>
        <w:rPr>
          <w:rFonts w:hint="eastAsia" w:ascii="宋体" w:hAnsi="宋体" w:cs="宋体"/>
          <w:b/>
          <w:sz w:val="44"/>
          <w:szCs w:val="44"/>
        </w:rPr>
      </w:pPr>
    </w:p>
    <w:p w14:paraId="2F3386D3">
      <w:pPr>
        <w:pStyle w:val="3"/>
        <w:rPr>
          <w:rFonts w:hint="eastAsia" w:ascii="宋体" w:hAnsi="宋体" w:cs="宋体"/>
          <w:b/>
          <w:sz w:val="44"/>
          <w:szCs w:val="44"/>
        </w:rPr>
      </w:pPr>
    </w:p>
    <w:p w14:paraId="4229A0EE">
      <w:pPr>
        <w:pStyle w:val="4"/>
        <w:rPr>
          <w:rFonts w:hint="eastAsia" w:ascii="宋体" w:hAnsi="宋体" w:cs="宋体"/>
          <w:b/>
          <w:sz w:val="44"/>
          <w:szCs w:val="44"/>
        </w:rPr>
      </w:pPr>
    </w:p>
    <w:p w14:paraId="38FE2A0D">
      <w:pPr>
        <w:rPr>
          <w:rFonts w:hint="eastAsia" w:ascii="宋体" w:hAnsi="宋体" w:cs="宋体"/>
          <w:b/>
          <w:sz w:val="44"/>
          <w:szCs w:val="44"/>
        </w:rPr>
      </w:pPr>
    </w:p>
    <w:p w14:paraId="5E78BF3E">
      <w:pPr>
        <w:pStyle w:val="3"/>
        <w:rPr>
          <w:rFonts w:hint="eastAsia" w:ascii="宋体" w:hAnsi="宋体" w:cs="宋体"/>
          <w:b/>
          <w:sz w:val="44"/>
          <w:szCs w:val="44"/>
        </w:rPr>
      </w:pPr>
    </w:p>
    <w:p w14:paraId="66FEE77C">
      <w:pPr>
        <w:pStyle w:val="4"/>
        <w:rPr>
          <w:rFonts w:hint="eastAsia" w:ascii="宋体" w:hAnsi="宋体" w:cs="宋体"/>
          <w:b/>
          <w:sz w:val="44"/>
          <w:szCs w:val="44"/>
        </w:rPr>
      </w:pPr>
    </w:p>
    <w:p w14:paraId="74F45BDD">
      <w:pPr>
        <w:rPr>
          <w:rFonts w:hint="eastAsia" w:ascii="宋体" w:hAnsi="宋体" w:cs="宋体"/>
          <w:b/>
          <w:sz w:val="44"/>
          <w:szCs w:val="44"/>
        </w:rPr>
      </w:pPr>
    </w:p>
    <w:p w14:paraId="3A6C1B0F">
      <w:pPr>
        <w:pStyle w:val="3"/>
        <w:rPr>
          <w:rFonts w:hint="eastAsia" w:ascii="宋体" w:hAnsi="宋体" w:cs="宋体"/>
          <w:b/>
          <w:sz w:val="44"/>
          <w:szCs w:val="44"/>
        </w:rPr>
      </w:pPr>
    </w:p>
    <w:p w14:paraId="279F44F4">
      <w:pPr>
        <w:pStyle w:val="4"/>
        <w:rPr>
          <w:rFonts w:hint="eastAsia" w:ascii="宋体" w:hAnsi="宋体" w:cs="宋体"/>
          <w:b/>
          <w:sz w:val="44"/>
          <w:szCs w:val="44"/>
        </w:rPr>
      </w:pPr>
    </w:p>
    <w:p w14:paraId="0F02E8BD">
      <w:pPr>
        <w:rPr>
          <w:rFonts w:hint="eastAsia"/>
        </w:rPr>
      </w:pPr>
    </w:p>
    <w:p w14:paraId="41CCF5F9">
      <w:pPr>
        <w:jc w:val="center"/>
        <w:rPr>
          <w:rFonts w:hint="eastAsia" w:ascii="仿宋_GB2312" w:hAnsi="宋体" w:eastAsia="仿宋_GB2312"/>
          <w:b/>
          <w:sz w:val="32"/>
          <w:szCs w:val="32"/>
        </w:rPr>
      </w:pPr>
    </w:p>
    <w:p w14:paraId="76F8352A">
      <w:pPr>
        <w:spacing w:line="360" w:lineRule="auto"/>
        <w:ind w:firstLine="592" w:firstLineChars="185"/>
        <w:rPr>
          <w:rFonts w:hint="eastAsia" w:ascii="仿宋_GB2312" w:hAnsi="仿宋_GB2312" w:eastAsia="仿宋_GB2312" w:cs="仿宋_GB2312"/>
          <w:color w:val="0000FF"/>
          <w:sz w:val="32"/>
          <w:szCs w:val="32"/>
        </w:rPr>
      </w:pPr>
      <w:r>
        <w:rPr>
          <w:rFonts w:hint="eastAsia" w:ascii="仿宋" w:hAnsi="仿宋" w:eastAsia="仿宋"/>
          <w:sz w:val="32"/>
          <w:szCs w:val="32"/>
        </w:rPr>
        <w:t>为加强预算绩效管理，强化预算支出绩效责任，提高财政资金使用效益，根据《中共湖南省委办公厅 湖南省人民政府办公厅关于全面实施预算绩效管理的实施意见》</w:t>
      </w:r>
      <w:r>
        <w:rPr>
          <w:rFonts w:hint="eastAsia" w:ascii="仿宋" w:hAnsi="仿宋" w:eastAsia="仿宋"/>
          <w:color w:val="000000"/>
          <w:sz w:val="32"/>
          <w:szCs w:val="32"/>
        </w:rPr>
        <w:t>《关于开展2020年度本级财政资金</w:t>
      </w:r>
      <w:r>
        <w:rPr>
          <w:rFonts w:hint="eastAsia" w:ascii="仿宋_GB2312" w:hAnsi="仿宋_GB2312" w:eastAsia="仿宋_GB2312" w:cs="仿宋_GB2312"/>
          <w:color w:val="000000"/>
          <w:sz w:val="32"/>
          <w:szCs w:val="32"/>
        </w:rPr>
        <w:t>预算</w:t>
      </w:r>
      <w:r>
        <w:rPr>
          <w:rFonts w:hint="eastAsia" w:ascii="仿宋" w:hAnsi="仿宋" w:eastAsia="仿宋"/>
          <w:color w:val="000000"/>
          <w:sz w:val="32"/>
          <w:szCs w:val="32"/>
        </w:rPr>
        <w:t>绩效自评工作的通知》（会财绩[2021］11号），</w:t>
      </w:r>
      <w:r>
        <w:rPr>
          <w:rFonts w:hint="eastAsia" w:ascii="仿宋" w:hAnsi="仿宋" w:eastAsia="仿宋"/>
          <w:sz w:val="32"/>
          <w:szCs w:val="32"/>
        </w:rPr>
        <w:t>我单位拟公开2020年度一般公共支出整体绩效和专项资金预算绩效情况。公开如下</w:t>
      </w:r>
      <w:r>
        <w:rPr>
          <w:rFonts w:hint="eastAsia" w:ascii="仿宋_GB2312" w:hAnsi="仿宋_GB2312" w:eastAsia="仿宋_GB2312" w:cs="仿宋_GB2312"/>
          <w:color w:val="0000FF"/>
          <w:sz w:val="32"/>
          <w:szCs w:val="32"/>
        </w:rPr>
        <w:t>：</w:t>
      </w:r>
    </w:p>
    <w:p w14:paraId="7812A069">
      <w:pPr>
        <w:spacing w:line="360" w:lineRule="auto"/>
        <w:ind w:firstLine="592" w:firstLineChars="18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一、基本情况</w:t>
      </w:r>
    </w:p>
    <w:p w14:paraId="2C4B545B">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现有全额拨款事业编制3</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个，自收自支事业编0个，实有在职人数3</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人，离、退休人员3</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人。有车辆3台，实有在职人数与编制数相符。</w:t>
      </w:r>
    </w:p>
    <w:p w14:paraId="7D36F01A">
      <w:pPr>
        <w:spacing w:line="360" w:lineRule="auto"/>
        <w:ind w:firstLine="592" w:firstLineChars="18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二、年初预算安排情况</w:t>
      </w:r>
    </w:p>
    <w:p w14:paraId="4564704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2020年度县本级安排年初预算收入307.2万元，其中工资性支出243.7万元，公用经费31.5万元，基本支出占预算总额的89.58%; 项目支出32万元，项目支出占预算总额的10.42%。主要围绕疾病预防控制工作进行安排（其中疾病预防控制项目（含儿童免疫）8万元；水质监测项目8万元，卫生从业人员健康体检项目16万元），基本能够保障县疾控中心履行主要工作职责。</w:t>
      </w:r>
    </w:p>
    <w:p w14:paraId="36462513">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2020年度“三公经费”预算3.9万元，其中公务接待费2.8万元，公务用车运行维护费1.1万元。</w:t>
      </w:r>
    </w:p>
    <w:p w14:paraId="6DBB421D">
      <w:pPr>
        <w:spacing w:line="360" w:lineRule="auto"/>
        <w:ind w:firstLine="592" w:firstLineChars="18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三、本年预算执行情况</w:t>
      </w:r>
    </w:p>
    <w:p w14:paraId="7AA3D201">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2020年全年实现收入1393.74万元，实际支出1096.55万元，上年结转33.19万元，年末结转结余330.38万元。</w:t>
      </w:r>
    </w:p>
    <w:p w14:paraId="629199DB">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收入方面：全年实际实现收入1393.74万元。　</w:t>
      </w:r>
    </w:p>
    <w:p w14:paraId="60EA1093">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1.县本级年初预算拨款收入307.2万元，其中项目支出32万元。</w:t>
      </w:r>
    </w:p>
    <w:p w14:paraId="2D24F93E">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2.县本级年中预算调整收入368.35万元。其中疾控中心疫苗款300万元，驻村扶贫工作队员生活补助4.32万元、一次性死亡抚恤金15.86万元，其他收入48.17万元。</w:t>
      </w:r>
    </w:p>
    <w:p w14:paraId="6CDA8C4C">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上级补助收入351.06万元,其中免疫规划、艾滋病防治、结核病防治和精神卫生和慢性病防治44.38万元、公共卫生疾病控制经费9.01万元、省补助尘肺病救治项目经费5万元、拨疫苗冷链能力建设资金86万，新冠肺炎等重点传染病检测和能力建设资金100万、2020年重大传染病防控中央财政补助资金86.67万元、县区级疾控中心职业病危害监测能力提升经费20万元。。</w:t>
      </w:r>
    </w:p>
    <w:p w14:paraId="210E4C98">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4、抗疫特别国债资金100万元，应急接种新冠肺炎疫苗经费100万</w:t>
      </w:r>
    </w:p>
    <w:p w14:paraId="05228D3F">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4、预算外收入267.13万元，主要为新型冠状病毒防控物资采购款。</w:t>
      </w:r>
    </w:p>
    <w:p w14:paraId="00D21292">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支出方面：全年实际支出1096.55万元。</w:t>
      </w:r>
    </w:p>
    <w:p w14:paraId="7B16B411">
      <w:pPr>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（一）基本支出927.74万元，占总支出的84.61%。</w:t>
      </w:r>
    </w:p>
    <w:p w14:paraId="5636F693">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1.工资性支出324.07万元，占总支出的29.55%，其中基本工资156.91万元，津补贴68.70万元，奖金9.46万元，社保费46.02万元，其他工资福利支出42.98万元。</w:t>
      </w:r>
    </w:p>
    <w:p w14:paraId="7759788A">
      <w:pPr>
        <w:ind w:firstLine="640" w:firstLineChars="200"/>
        <w:rPr>
          <w:rFonts w:hint="eastAsia" w:ascii="仿宋" w:hAnsi="仿宋" w:eastAsia="仿宋"/>
          <w:color w:val="000000"/>
          <w:sz w:val="32"/>
          <w:szCs w:val="32"/>
        </w:rPr>
      </w:pPr>
      <w:r>
        <w:rPr>
          <w:rFonts w:hint="eastAsia" w:ascii="仿宋_GB2312" w:hAnsi="仿宋_GB2312" w:eastAsia="仿宋_GB2312" w:cs="仿宋_GB2312"/>
          <w:color w:val="000000"/>
          <w:sz w:val="32"/>
          <w:szCs w:val="32"/>
        </w:rPr>
        <w:t>2.日常公用经费支出518.30万元，占总支出47.27%，其中电费2.76万元、邮电费0.79万元、差旅费11.94万元、维修（护）费2.47万元、会议费0.03万元、培训费2.13万元、公务接待费1.03万元、专用材料费440.95万元、劳务费1.41万元、工会经费11.5万元、福利费0.80万元、公务用车维护费6.66万元，其他交通费用0.71万元、其他商品和服务支出35.12万元。</w:t>
      </w:r>
    </w:p>
    <w:p w14:paraId="5F059577">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3.对个人和家庭的补助22.79万元，占总支出的2.08%，抚恤金15.86万元、生活补助5.60万元、医疗费补助0.44万元、退休人员独生子女奖励金0.89万元。</w:t>
      </w:r>
    </w:p>
    <w:p w14:paraId="2F8AAC27">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4.资本性支出62.58万元，用于购置设备，占总支出的5.71%。</w:t>
      </w:r>
    </w:p>
    <w:p w14:paraId="2716687A">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三公”经费控制情况：</w:t>
      </w:r>
      <w:r>
        <w:rPr>
          <w:rFonts w:hint="eastAsia" w:ascii="仿宋_GB2312" w:hAnsi="仿宋_GB2312" w:eastAsia="仿宋_GB2312" w:cs="仿宋_GB2312"/>
          <w:color w:val="000000"/>
          <w:sz w:val="32"/>
          <w:szCs w:val="32"/>
        </w:rPr>
        <w:t>2020年度“三公”经费预算总额3.9万元，与2019年度“三公”经费预算持平。没有因公出国（境）人员，公务接待年初预算安排2.8万元、实际支出1.03万元，公务接待费占年初预算安排数36.79%；公务用车购置及运行维护费年初预算安排1.1万元、实际支出0.21万元，公务用车购置及运行维护费占年初预算安排数19.09%。</w:t>
      </w:r>
    </w:p>
    <w:p w14:paraId="15CC9E8A">
      <w:pPr>
        <w:ind w:firstLine="640" w:firstLineChars="200"/>
        <w:rPr>
          <w:rFonts w:ascii="楷体" w:hAnsi="楷体" w:eastAsia="楷体"/>
          <w:b/>
          <w:bCs/>
          <w:color w:val="000000"/>
          <w:sz w:val="32"/>
          <w:szCs w:val="32"/>
        </w:rPr>
      </w:pPr>
      <w:r>
        <w:rPr>
          <w:rFonts w:hint="eastAsia" w:ascii="楷体" w:hAnsi="楷体" w:eastAsia="楷体"/>
          <w:b/>
          <w:bCs/>
          <w:color w:val="000000"/>
          <w:sz w:val="32"/>
          <w:szCs w:val="32"/>
        </w:rPr>
        <w:t>（二）项目支出为168.81万元，占总支出的15.39%。</w:t>
      </w:r>
    </w:p>
    <w:p w14:paraId="504C4FFA">
      <w:pPr>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1.县本级项目支出32万元</w:t>
      </w:r>
    </w:p>
    <w:p w14:paraId="01D41E7D">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color w:val="000000"/>
          <w:sz w:val="32"/>
          <w:szCs w:val="32"/>
        </w:rPr>
        <w:t>疾病预防控制项目（含儿童免疫）8万元，</w:t>
      </w:r>
      <w:r>
        <w:rPr>
          <w:rFonts w:hint="eastAsia" w:ascii="仿宋_GB2312" w:hAnsi="仿宋_GB2312" w:eastAsia="仿宋_GB2312" w:cs="仿宋_GB2312"/>
          <w:color w:val="000000"/>
          <w:sz w:val="30"/>
          <w:szCs w:val="30"/>
        </w:rPr>
        <w:t>项目开支如下：印刷费3万元，其他商品服务支出5万元。</w:t>
      </w:r>
    </w:p>
    <w:p w14:paraId="7FB87317">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（2）水质监测项目8万元，</w:t>
      </w:r>
      <w:r>
        <w:rPr>
          <w:rFonts w:hint="eastAsia" w:ascii="仿宋_GB2312" w:hAnsi="仿宋_GB2312" w:eastAsia="仿宋_GB2312" w:cs="仿宋_GB2312"/>
          <w:color w:val="000000"/>
          <w:sz w:val="30"/>
          <w:szCs w:val="30"/>
        </w:rPr>
        <w:t>项目开支如下：专用材料费8万元。</w:t>
      </w:r>
    </w:p>
    <w:p w14:paraId="6A3AB64F">
      <w:pPr>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（3）卫生从业人员健康体检项目16万元，</w:t>
      </w:r>
      <w:r>
        <w:rPr>
          <w:rFonts w:hint="eastAsia" w:ascii="仿宋_GB2312" w:hAnsi="仿宋_GB2312" w:eastAsia="仿宋_GB2312" w:cs="仿宋_GB2312"/>
          <w:color w:val="000000"/>
          <w:sz w:val="30"/>
          <w:szCs w:val="30"/>
        </w:rPr>
        <w:t>项目开支如下：印刷费3万元，专用材料费8万元，其他商品服务支出3万元。</w:t>
      </w:r>
    </w:p>
    <w:p w14:paraId="3DD0CC6F">
      <w:pPr>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2.上级项目支出136.81万元，具体如下：</w:t>
      </w:r>
    </w:p>
    <w:p w14:paraId="0DD021D7">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（1）接种新冠肺炎疫苗经费100万元，</w:t>
      </w:r>
    </w:p>
    <w:p w14:paraId="5909CC6E">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（2）公共卫生疾病控制经费36.81万元。</w:t>
      </w:r>
    </w:p>
    <w:p w14:paraId="7E6FFF72">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三公”经费控制情况：</w:t>
      </w:r>
      <w:r>
        <w:rPr>
          <w:rFonts w:hint="eastAsia" w:ascii="仿宋_GB2312" w:hAnsi="仿宋_GB2312" w:eastAsia="仿宋_GB2312" w:cs="仿宋_GB2312"/>
          <w:color w:val="000000"/>
          <w:sz w:val="32"/>
          <w:szCs w:val="32"/>
        </w:rPr>
        <w:t>2020年度“三公”经费预算总额3.9万元，与2019年度“三公”经费预算持平。没有因公出国（境）人员，公务接待年初预算安排2.8万元、实际支出1.03万元，公务接待费占年初预算安排数36.79%；公务用车购置及运行维护费年初预算安排1.1万元、实际支出0.21万元，公务用车购置及运行维护费占年初预算安排数19.09%。</w:t>
      </w:r>
    </w:p>
    <w:p w14:paraId="4D5ADED2">
      <w:pPr>
        <w:ind w:firstLine="640" w:firstLineChars="200"/>
        <w:rPr>
          <w:rFonts w:hint="eastAsia" w:ascii="仿宋_GB2312" w:hAnsi="仿宋_GB2312" w:eastAsia="仿宋_GB2312" w:cs="仿宋_GB2312"/>
          <w:color w:val="000000"/>
          <w:sz w:val="32"/>
          <w:szCs w:val="32"/>
        </w:rPr>
      </w:pPr>
      <w:r>
        <w:rPr>
          <w:rFonts w:hint="eastAsia" w:ascii="楷体" w:hAnsi="楷体" w:eastAsia="楷体"/>
          <w:color w:val="000000"/>
          <w:sz w:val="32"/>
          <w:szCs w:val="32"/>
        </w:rPr>
        <w:t>政府采购方面：2</w:t>
      </w:r>
      <w:r>
        <w:rPr>
          <w:rFonts w:hint="eastAsia" w:ascii="仿宋" w:hAnsi="仿宋" w:eastAsia="仿宋"/>
          <w:color w:val="000000"/>
          <w:sz w:val="32"/>
          <w:szCs w:val="32"/>
        </w:rPr>
        <w:t>020年通过政府采购支出44.56 万元，主要是添置设备</w:t>
      </w:r>
      <w:r>
        <w:rPr>
          <w:rFonts w:hint="eastAsia" w:ascii="仿宋_GB2312" w:hAnsi="仿宋_GB2312" w:eastAsia="仿宋_GB2312" w:cs="仿宋_GB2312"/>
          <w:color w:val="000000"/>
          <w:sz w:val="32"/>
          <w:szCs w:val="32"/>
        </w:rPr>
        <w:t>。</w:t>
      </w:r>
    </w:p>
    <w:p w14:paraId="3BE78DE9">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务管理方面：疾控中心认真履行部门“三定”方案确定的职责。没有存在截留、挤占、挪用、虚列支出等情况；基础数据信息和会计信息资料真实、完整、准确。并按规定内容公开预、决算信息。对有关财务方面文件及时掌握，严格按照制度执行。</w:t>
      </w:r>
    </w:p>
    <w:p w14:paraId="63EDE37B">
      <w:pPr>
        <w:spacing w:line="360" w:lineRule="auto"/>
        <w:rPr>
          <w:rFonts w:hint="eastAsia" w:ascii="仿宋_GB2312" w:hAnsi="仿宋_GB2312" w:eastAsia="仿宋_GB2312" w:cs="仿宋_GB2312"/>
          <w:sz w:val="32"/>
          <w:szCs w:val="32"/>
        </w:rPr>
      </w:pPr>
    </w:p>
    <w:p w14:paraId="3E0F3BFC">
      <w:pPr>
        <w:spacing w:line="360" w:lineRule="auto"/>
        <w:rPr>
          <w:rFonts w:hint="eastAsia" w:ascii="仿宋_GB2312" w:hAnsi="仿宋_GB2312" w:eastAsia="仿宋_GB2312" w:cs="仿宋_GB2312"/>
          <w:sz w:val="32"/>
          <w:szCs w:val="32"/>
        </w:rPr>
      </w:pPr>
    </w:p>
    <w:p w14:paraId="64B49D62">
      <w:pPr>
        <w:spacing w:line="360" w:lineRule="auto"/>
        <w:ind w:left="7079" w:leftChars="304" w:hanging="6441" w:hangingChars="201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会同县疾病预防控制中心                        2021年5月28日</w:t>
      </w:r>
    </w:p>
    <w:p w14:paraId="0CCAA211">
      <w:pPr>
        <w:jc w:val="left"/>
        <w:rPr>
          <w:rFonts w:ascii="宋体" w:cs="黑体"/>
          <w:color w:val="0000FF"/>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2A9EE">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C195546">
                          <w:pPr>
                            <w:pStyle w:val="6"/>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6C195546">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3B2C3"/>
    <w:multiLevelType w:val="singleLevel"/>
    <w:tmpl w:val="B793B2C3"/>
    <w:lvl w:ilvl="0" w:tentative="0">
      <w:start w:val="1"/>
      <w:numFmt w:val="chineseCounting"/>
      <w:suff w:val="nothing"/>
      <w:lvlText w:val="%1、"/>
      <w:lvlJc w:val="left"/>
      <w:rPr>
        <w:rFonts w:hint="eastAsia"/>
      </w:rPr>
    </w:lvl>
  </w:abstractNum>
  <w:abstractNum w:abstractNumId="1">
    <w:nsid w:val="BEF7EACA"/>
    <w:multiLevelType w:val="singleLevel"/>
    <w:tmpl w:val="BEF7EACA"/>
    <w:lvl w:ilvl="0" w:tentative="0">
      <w:start w:val="5"/>
      <w:numFmt w:val="decimal"/>
      <w:suff w:val="nothing"/>
      <w:lvlText w:val="%1、"/>
      <w:lvlJc w:val="left"/>
      <w:pPr>
        <w:ind w:left="40"/>
      </w:pPr>
    </w:lvl>
  </w:abstractNum>
  <w:abstractNum w:abstractNumId="2">
    <w:nsid w:val="F558B4B5"/>
    <w:multiLevelType w:val="singleLevel"/>
    <w:tmpl w:val="F558B4B5"/>
    <w:lvl w:ilvl="0" w:tentative="0">
      <w:start w:val="7"/>
      <w:numFmt w:val="chineseCounting"/>
      <w:suff w:val="nothing"/>
      <w:lvlText w:val="（%1）"/>
      <w:lvlJc w:val="left"/>
      <w:rPr>
        <w:rFonts w:hint="eastAsia"/>
      </w:rPr>
    </w:lvl>
  </w:abstractNum>
  <w:abstractNum w:abstractNumId="3">
    <w:nsid w:val="17FC1451"/>
    <w:multiLevelType w:val="singleLevel"/>
    <w:tmpl w:val="17FC1451"/>
    <w:lvl w:ilvl="0" w:tentative="0">
      <w:start w:val="1"/>
      <w:numFmt w:val="decimal"/>
      <w:suff w:val="nothing"/>
      <w:lvlText w:val="%1、"/>
      <w:lvlJc w:val="left"/>
    </w:lvl>
  </w:abstractNum>
  <w:abstractNum w:abstractNumId="4">
    <w:nsid w:val="19FD6444"/>
    <w:multiLevelType w:val="singleLevel"/>
    <w:tmpl w:val="19FD6444"/>
    <w:lvl w:ilvl="0" w:tentative="0">
      <w:start w:val="4"/>
      <w:numFmt w:val="chineseCounting"/>
      <w:suff w:val="nothing"/>
      <w:lvlText w:val="%1、"/>
      <w:lvlJc w:val="left"/>
      <w:pPr>
        <w:ind w:left="-13"/>
      </w:pPr>
      <w:rPr>
        <w:rFonts w:hint="eastAsia"/>
      </w:rPr>
    </w:lvl>
  </w:abstractNum>
  <w:abstractNum w:abstractNumId="5">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6D79F91A"/>
    <w:multiLevelType w:val="singleLevel"/>
    <w:tmpl w:val="6D79F91A"/>
    <w:lvl w:ilvl="0" w:tentative="0">
      <w:start w:val="3"/>
      <w:numFmt w:val="chineseCounting"/>
      <w:suff w:val="nothing"/>
      <w:lvlText w:val="%1、"/>
      <w:lvlJc w:val="left"/>
      <w:rPr>
        <w:rFonts w:hint="eastAsia"/>
      </w:rPr>
    </w:lvl>
  </w:abstractNum>
  <w:abstractNum w:abstractNumId="7">
    <w:nsid w:val="74D4DB1A"/>
    <w:multiLevelType w:val="singleLevel"/>
    <w:tmpl w:val="74D4DB1A"/>
    <w:lvl w:ilvl="0" w:tentative="0">
      <w:start w:val="2"/>
      <w:numFmt w:val="chineseCounting"/>
      <w:suff w:val="nothing"/>
      <w:lvlText w:val="（%1）"/>
      <w:lvlJc w:val="left"/>
      <w:rPr>
        <w:rFonts w:hint="eastAsia"/>
      </w:rPr>
    </w:lvl>
  </w:abstractNum>
  <w:num w:numId="1">
    <w:abstractNumId w:val="5"/>
  </w:num>
  <w:num w:numId="2">
    <w:abstractNumId w:val="1"/>
  </w:num>
  <w:num w:numId="3">
    <w:abstractNumId w:val="0"/>
  </w:num>
  <w:num w:numId="4">
    <w:abstractNumId w:val="6"/>
  </w:num>
  <w:num w:numId="5">
    <w:abstractNumId w:val="7"/>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ZDc0NTY0MzIyOGRmZmI0NDY5NGExNjM3ZjYyNDYifQ=="/>
  </w:docVars>
  <w:rsids>
    <w:rsidRoot w:val="004506F9"/>
    <w:rsid w:val="0002229B"/>
    <w:rsid w:val="000273BD"/>
    <w:rsid w:val="000415B7"/>
    <w:rsid w:val="00041E3F"/>
    <w:rsid w:val="00055DAA"/>
    <w:rsid w:val="00061F7B"/>
    <w:rsid w:val="000658A3"/>
    <w:rsid w:val="00074155"/>
    <w:rsid w:val="00087C0E"/>
    <w:rsid w:val="000A3F69"/>
    <w:rsid w:val="0010304C"/>
    <w:rsid w:val="00103957"/>
    <w:rsid w:val="00152C6D"/>
    <w:rsid w:val="00162D39"/>
    <w:rsid w:val="001678BD"/>
    <w:rsid w:val="001A0618"/>
    <w:rsid w:val="001A67DB"/>
    <w:rsid w:val="001C3C29"/>
    <w:rsid w:val="001D51E5"/>
    <w:rsid w:val="001E080D"/>
    <w:rsid w:val="001E53D0"/>
    <w:rsid w:val="001F0C3B"/>
    <w:rsid w:val="00202C82"/>
    <w:rsid w:val="00214427"/>
    <w:rsid w:val="002262E3"/>
    <w:rsid w:val="00226CB7"/>
    <w:rsid w:val="002532F2"/>
    <w:rsid w:val="00264552"/>
    <w:rsid w:val="00264EF9"/>
    <w:rsid w:val="00265724"/>
    <w:rsid w:val="0027426B"/>
    <w:rsid w:val="002963F5"/>
    <w:rsid w:val="002E0A30"/>
    <w:rsid w:val="003130C4"/>
    <w:rsid w:val="00316C4B"/>
    <w:rsid w:val="0032192B"/>
    <w:rsid w:val="003479BD"/>
    <w:rsid w:val="0037197D"/>
    <w:rsid w:val="003768D5"/>
    <w:rsid w:val="003A622C"/>
    <w:rsid w:val="003C47E6"/>
    <w:rsid w:val="003C4FC2"/>
    <w:rsid w:val="00416E61"/>
    <w:rsid w:val="0042790C"/>
    <w:rsid w:val="004506F9"/>
    <w:rsid w:val="004717A2"/>
    <w:rsid w:val="00473DF3"/>
    <w:rsid w:val="00487911"/>
    <w:rsid w:val="00491741"/>
    <w:rsid w:val="004C271C"/>
    <w:rsid w:val="004C4FB4"/>
    <w:rsid w:val="004D559F"/>
    <w:rsid w:val="00500E5F"/>
    <w:rsid w:val="005122EF"/>
    <w:rsid w:val="0051441A"/>
    <w:rsid w:val="00517C33"/>
    <w:rsid w:val="00523644"/>
    <w:rsid w:val="00525B6C"/>
    <w:rsid w:val="0054069E"/>
    <w:rsid w:val="00544866"/>
    <w:rsid w:val="005767CC"/>
    <w:rsid w:val="00590D9F"/>
    <w:rsid w:val="00595D26"/>
    <w:rsid w:val="005A56DE"/>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87410"/>
    <w:rsid w:val="009A0F95"/>
    <w:rsid w:val="009B3ADF"/>
    <w:rsid w:val="009C3B52"/>
    <w:rsid w:val="009D748C"/>
    <w:rsid w:val="009E6817"/>
    <w:rsid w:val="009E6E9A"/>
    <w:rsid w:val="00A01D2B"/>
    <w:rsid w:val="00A42218"/>
    <w:rsid w:val="00A70249"/>
    <w:rsid w:val="00A70B02"/>
    <w:rsid w:val="00A71D9F"/>
    <w:rsid w:val="00A850DF"/>
    <w:rsid w:val="00A92E9F"/>
    <w:rsid w:val="00AF7851"/>
    <w:rsid w:val="00B33BEA"/>
    <w:rsid w:val="00B57C9F"/>
    <w:rsid w:val="00B63572"/>
    <w:rsid w:val="00B845B3"/>
    <w:rsid w:val="00B85D8B"/>
    <w:rsid w:val="00BB4A40"/>
    <w:rsid w:val="00BD6C3E"/>
    <w:rsid w:val="00BE3674"/>
    <w:rsid w:val="00C10681"/>
    <w:rsid w:val="00C3049A"/>
    <w:rsid w:val="00C31B1E"/>
    <w:rsid w:val="00C77645"/>
    <w:rsid w:val="00CA0197"/>
    <w:rsid w:val="00CE04C3"/>
    <w:rsid w:val="00CE76A0"/>
    <w:rsid w:val="00D148C6"/>
    <w:rsid w:val="00D17A8A"/>
    <w:rsid w:val="00D415BA"/>
    <w:rsid w:val="00D644EE"/>
    <w:rsid w:val="00DD06FF"/>
    <w:rsid w:val="00DD5FE9"/>
    <w:rsid w:val="00DF4292"/>
    <w:rsid w:val="00E00C7A"/>
    <w:rsid w:val="00E0355A"/>
    <w:rsid w:val="00E37D6C"/>
    <w:rsid w:val="00E55B68"/>
    <w:rsid w:val="00E67BE6"/>
    <w:rsid w:val="00E83B78"/>
    <w:rsid w:val="00E8683C"/>
    <w:rsid w:val="00EA2B72"/>
    <w:rsid w:val="00F05782"/>
    <w:rsid w:val="00F74360"/>
    <w:rsid w:val="00FB462F"/>
    <w:rsid w:val="00FD56A6"/>
    <w:rsid w:val="00FE16FA"/>
    <w:rsid w:val="00FE328A"/>
    <w:rsid w:val="00FE6269"/>
    <w:rsid w:val="01F70849"/>
    <w:rsid w:val="0606063C"/>
    <w:rsid w:val="0DA47BF8"/>
    <w:rsid w:val="0E76345F"/>
    <w:rsid w:val="0F23056A"/>
    <w:rsid w:val="11660F60"/>
    <w:rsid w:val="13413D2A"/>
    <w:rsid w:val="13CC58CF"/>
    <w:rsid w:val="148F6358"/>
    <w:rsid w:val="15574D0C"/>
    <w:rsid w:val="1C4765C0"/>
    <w:rsid w:val="1DA25066"/>
    <w:rsid w:val="208D127A"/>
    <w:rsid w:val="20CB5D67"/>
    <w:rsid w:val="23262EA3"/>
    <w:rsid w:val="286E1310"/>
    <w:rsid w:val="2B115FA3"/>
    <w:rsid w:val="2E1F580E"/>
    <w:rsid w:val="32F5123D"/>
    <w:rsid w:val="355F0388"/>
    <w:rsid w:val="35AE13B7"/>
    <w:rsid w:val="362B5D51"/>
    <w:rsid w:val="38261BB8"/>
    <w:rsid w:val="38303204"/>
    <w:rsid w:val="3A1A3171"/>
    <w:rsid w:val="3D426208"/>
    <w:rsid w:val="3FA50DB4"/>
    <w:rsid w:val="43262877"/>
    <w:rsid w:val="437D1D02"/>
    <w:rsid w:val="439A50EF"/>
    <w:rsid w:val="4A127A09"/>
    <w:rsid w:val="4CB051F8"/>
    <w:rsid w:val="52DF6375"/>
    <w:rsid w:val="555555EC"/>
    <w:rsid w:val="56AA4321"/>
    <w:rsid w:val="56AC5C32"/>
    <w:rsid w:val="591E706A"/>
    <w:rsid w:val="59460E5B"/>
    <w:rsid w:val="5B81534A"/>
    <w:rsid w:val="5BCA63E8"/>
    <w:rsid w:val="637A1E22"/>
    <w:rsid w:val="68013073"/>
    <w:rsid w:val="6B3D575A"/>
    <w:rsid w:val="70585E22"/>
    <w:rsid w:val="72F35EDA"/>
    <w:rsid w:val="75C4065F"/>
    <w:rsid w:val="775510BC"/>
    <w:rsid w:val="7944102A"/>
    <w:rsid w:val="7B2F37BD"/>
    <w:rsid w:val="7C8B6E54"/>
    <w:rsid w:val="7D3C3D9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99"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5"/>
    <w:basedOn w:val="1"/>
    <w:next w:val="1"/>
    <w:semiHidden/>
    <w:qFormat/>
    <w:locked/>
    <w:uiPriority w:val="99"/>
    <w:pPr>
      <w:ind w:left="1680" w:leftChars="800"/>
    </w:pPr>
    <w:rPr>
      <w:rFonts w:ascii="Times New Roman" w:hAnsi="Times New Roman" w:cs="Times New Roman"/>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批注框文本 Char"/>
    <w:basedOn w:val="10"/>
    <w:link w:val="5"/>
    <w:semiHidden/>
    <w:qFormat/>
    <w:locked/>
    <w:uiPriority w:val="99"/>
    <w:rPr>
      <w:rFonts w:cs="Times New Roman"/>
      <w:sz w:val="18"/>
      <w:szCs w:val="18"/>
    </w:rPr>
  </w:style>
  <w:style w:type="character" w:customStyle="1" w:styleId="12">
    <w:name w:val="页脚 Char"/>
    <w:basedOn w:val="10"/>
    <w:link w:val="6"/>
    <w:qFormat/>
    <w:locked/>
    <w:uiPriority w:val="99"/>
    <w:rPr>
      <w:rFonts w:cs="Times New Roman"/>
      <w:sz w:val="18"/>
      <w:szCs w:val="18"/>
    </w:rPr>
  </w:style>
  <w:style w:type="character" w:customStyle="1" w:styleId="13">
    <w:name w:val="页眉 Char"/>
    <w:basedOn w:val="10"/>
    <w:link w:val="7"/>
    <w:qFormat/>
    <w:locked/>
    <w:uiPriority w:val="99"/>
    <w:rPr>
      <w:rFonts w:cs="Times New Roman"/>
      <w:sz w:val="18"/>
      <w:szCs w:val="18"/>
    </w:rPr>
  </w:style>
  <w:style w:type="paragraph" w:customStyle="1" w:styleId="14">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5">
    <w:name w:val="List Paragraph"/>
    <w:basedOn w:val="1"/>
    <w:qFormat/>
    <w:uiPriority w:val="99"/>
    <w:pPr>
      <w:ind w:firstLine="420" w:firstLineChars="200"/>
    </w:pPr>
  </w:style>
  <w:style w:type="paragraph" w:customStyle="1" w:styleId="16">
    <w:name w:val="正文1"/>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D03171-AE2D-4BDD-A3D7-026424C9A1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1790</Words>
  <Characters>1923</Characters>
  <Lines>113</Lines>
  <Paragraphs>31</Paragraphs>
  <TotalTime>0</TotalTime>
  <ScaleCrop>false</ScaleCrop>
  <LinksUpToDate>false</LinksUpToDate>
  <CharactersWithSpaces>1958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燕</cp:lastModifiedBy>
  <cp:lastPrinted>2021-09-09T09:40:00Z</cp:lastPrinted>
  <dcterms:modified xsi:type="dcterms:W3CDTF">2025-12-17T01:09:48Z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0E9EA641EA344D67825A3D728D9CCC8A_13</vt:lpwstr>
  </property>
  <property fmtid="{D5CDD505-2E9C-101B-9397-08002B2CF9AE}" pid="4" name="KSOTemplateDocerSaveRecord">
    <vt:lpwstr>eyJoZGlkIjoiMjczMzY5YThhNWFjZDE4OTkyYTIxZTVkMjk0MGIyYjIiLCJ1c2VySWQiOiI2MjQyMjY1MTUifQ==</vt:lpwstr>
  </property>
</Properties>
</file>