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CDBCC">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73E07FE">
      <w:pPr>
        <w:pStyle w:val="12"/>
        <w:jc w:val="center"/>
        <w:rPr>
          <w:rFonts w:ascii="Times New Roman" w:hAnsi="Times New Roman" w:cs="Times New Roman"/>
          <w:sz w:val="56"/>
          <w:szCs w:val="56"/>
        </w:rPr>
      </w:pPr>
    </w:p>
    <w:p w14:paraId="706536D8">
      <w:pPr>
        <w:pStyle w:val="12"/>
        <w:jc w:val="center"/>
        <w:rPr>
          <w:rFonts w:ascii="Times New Roman" w:hAnsi="Times New Roman" w:cs="Times New Roman"/>
          <w:sz w:val="84"/>
          <w:szCs w:val="84"/>
        </w:rPr>
      </w:pPr>
    </w:p>
    <w:p w14:paraId="0B95B9F0">
      <w:pPr>
        <w:pStyle w:val="12"/>
        <w:jc w:val="center"/>
        <w:rPr>
          <w:rFonts w:ascii="Times New Roman" w:hAnsi="Times New Roman" w:cs="Times New Roman"/>
          <w:sz w:val="84"/>
          <w:szCs w:val="84"/>
        </w:rPr>
      </w:pPr>
    </w:p>
    <w:p w14:paraId="0A68ED3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9E5D130">
      <w:pPr>
        <w:pStyle w:val="12"/>
        <w:jc w:val="center"/>
        <w:rPr>
          <w:rFonts w:ascii="Times New Roman" w:hAnsi="Times New Roman" w:eastAsia="方正小标宋_GBK" w:cs="Times New Roman"/>
          <w:sz w:val="72"/>
          <w:szCs w:val="72"/>
        </w:rPr>
      </w:pPr>
      <w:r>
        <w:rPr>
          <w:rFonts w:hint="eastAsia"/>
          <w:sz w:val="72"/>
          <w:szCs w:val="72"/>
        </w:rPr>
        <w:t>会同县</w:t>
      </w:r>
      <w:r>
        <w:rPr>
          <w:rFonts w:hint="eastAsia"/>
          <w:sz w:val="72"/>
          <w:szCs w:val="72"/>
          <w:lang w:val="en-US" w:eastAsia="zh-CN"/>
        </w:rPr>
        <w:t>中医医院</w:t>
      </w:r>
      <w:r>
        <w:rPr>
          <w:rFonts w:hint="eastAsia"/>
          <w:sz w:val="72"/>
          <w:szCs w:val="72"/>
        </w:rPr>
        <w:t>部门决算</w:t>
      </w:r>
    </w:p>
    <w:p w14:paraId="49635D7B">
      <w:pPr>
        <w:pStyle w:val="12"/>
        <w:jc w:val="center"/>
        <w:rPr>
          <w:rFonts w:ascii="Times New Roman" w:hAnsi="Times New Roman" w:eastAsia="方正小标宋_GBK" w:cs="Times New Roman"/>
          <w:sz w:val="56"/>
          <w:szCs w:val="56"/>
        </w:rPr>
      </w:pPr>
    </w:p>
    <w:p w14:paraId="68F467A0">
      <w:pPr>
        <w:pStyle w:val="12"/>
        <w:jc w:val="center"/>
        <w:rPr>
          <w:rFonts w:ascii="Times New Roman" w:hAnsi="Times New Roman" w:cs="Times New Roman"/>
          <w:sz w:val="56"/>
          <w:szCs w:val="56"/>
        </w:rPr>
      </w:pPr>
    </w:p>
    <w:p w14:paraId="60AE93AC">
      <w:pPr>
        <w:pStyle w:val="12"/>
        <w:rPr>
          <w:rFonts w:ascii="Times New Roman" w:hAnsi="Times New Roman" w:cs="Times New Roman"/>
          <w:sz w:val="56"/>
          <w:szCs w:val="56"/>
        </w:rPr>
      </w:pPr>
    </w:p>
    <w:p w14:paraId="24A98CD1">
      <w:pPr>
        <w:pStyle w:val="12"/>
        <w:jc w:val="center"/>
        <w:rPr>
          <w:rFonts w:ascii="Times New Roman" w:hAnsi="Times New Roman" w:cs="Times New Roman"/>
          <w:sz w:val="32"/>
          <w:szCs w:val="32"/>
        </w:rPr>
      </w:pPr>
    </w:p>
    <w:p w14:paraId="75C7D10F">
      <w:pPr>
        <w:pStyle w:val="12"/>
        <w:jc w:val="center"/>
        <w:rPr>
          <w:rFonts w:ascii="Times New Roman" w:hAnsi="Times New Roman" w:cs="Times New Roman"/>
          <w:sz w:val="32"/>
          <w:szCs w:val="32"/>
        </w:rPr>
      </w:pPr>
    </w:p>
    <w:p w14:paraId="19877B43">
      <w:pPr>
        <w:pStyle w:val="12"/>
        <w:jc w:val="center"/>
        <w:rPr>
          <w:rFonts w:ascii="Times New Roman" w:hAnsi="Times New Roman" w:cs="Times New Roman"/>
          <w:sz w:val="32"/>
          <w:szCs w:val="32"/>
        </w:rPr>
      </w:pPr>
    </w:p>
    <w:p w14:paraId="0850AFFA">
      <w:pPr>
        <w:pStyle w:val="12"/>
        <w:jc w:val="center"/>
        <w:rPr>
          <w:rFonts w:ascii="Times New Roman" w:hAnsi="Times New Roman" w:cs="Times New Roman"/>
          <w:sz w:val="32"/>
          <w:szCs w:val="32"/>
        </w:rPr>
      </w:pPr>
    </w:p>
    <w:p w14:paraId="0AB0CA31">
      <w:pPr>
        <w:pStyle w:val="12"/>
        <w:jc w:val="center"/>
        <w:rPr>
          <w:rFonts w:ascii="Times New Roman" w:hAnsi="Times New Roman" w:cs="Times New Roman"/>
          <w:sz w:val="32"/>
          <w:szCs w:val="32"/>
        </w:rPr>
      </w:pPr>
    </w:p>
    <w:p w14:paraId="45589D90">
      <w:pPr>
        <w:pStyle w:val="12"/>
        <w:jc w:val="center"/>
        <w:rPr>
          <w:rFonts w:ascii="Times New Roman" w:hAnsi="Times New Roman" w:cs="Times New Roman"/>
          <w:sz w:val="32"/>
          <w:szCs w:val="32"/>
        </w:rPr>
      </w:pPr>
    </w:p>
    <w:p w14:paraId="0C269DF6">
      <w:pPr>
        <w:pStyle w:val="12"/>
        <w:spacing w:line="540" w:lineRule="exact"/>
        <w:jc w:val="center"/>
        <w:rPr>
          <w:rFonts w:ascii="Times New Roman" w:hAnsi="Times New Roman" w:cs="Times New Roman"/>
          <w:sz w:val="56"/>
          <w:szCs w:val="56"/>
        </w:rPr>
      </w:pPr>
    </w:p>
    <w:p w14:paraId="32EF97C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80C4D38">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2257C73">
      <w:pPr>
        <w:pStyle w:val="12"/>
        <w:spacing w:line="600" w:lineRule="exact"/>
        <w:jc w:val="both"/>
        <w:rPr>
          <w:rFonts w:ascii="Times New Roman" w:hAnsi="Times New Roman" w:cs="Times New Roman"/>
          <w:b/>
          <w:sz w:val="36"/>
          <w:szCs w:val="28"/>
        </w:rPr>
      </w:pPr>
    </w:p>
    <w:p w14:paraId="0D3C1EEA">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7EF551C">
      <w:pPr>
        <w:pStyle w:val="12"/>
        <w:spacing w:line="600" w:lineRule="exact"/>
        <w:jc w:val="center"/>
        <w:rPr>
          <w:rFonts w:ascii="Times New Roman" w:hAnsi="Times New Roman" w:cs="Times New Roman"/>
          <w:b/>
          <w:sz w:val="36"/>
          <w:szCs w:val="28"/>
        </w:rPr>
      </w:pPr>
    </w:p>
    <w:p w14:paraId="4EF240AA">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会同县中医医院（单位 ）</w:t>
      </w:r>
      <w:r>
        <w:rPr>
          <w:rFonts w:ascii="Times New Roman" w:hAnsi="Times New Roman" w:cs="Times New Roman"/>
          <w:bCs/>
          <w:sz w:val="32"/>
          <w:szCs w:val="32"/>
        </w:rPr>
        <w:t>概况</w:t>
      </w:r>
    </w:p>
    <w:p w14:paraId="27A45AC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CDA5F0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541692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8E6F6E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253AA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DB5AE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A31A75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1FCE2C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F05A56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8FAF80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9C5389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657A06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33C153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32DC30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26DC82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4F9A57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8367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6C483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9DA16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7E077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F7704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39417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6270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2C94EC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C6FDA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04C46E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016AB1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033717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8BFEC3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9578EE6">
      <w:pPr>
        <w:pStyle w:val="12"/>
        <w:spacing w:line="600" w:lineRule="exact"/>
        <w:rPr>
          <w:rFonts w:ascii="Times New Roman" w:hAnsi="Times New Roman" w:cs="Times New Roman"/>
          <w:bCs/>
          <w:sz w:val="28"/>
          <w:szCs w:val="28"/>
        </w:rPr>
      </w:pPr>
    </w:p>
    <w:p w14:paraId="35352638">
      <w:pPr>
        <w:jc w:val="center"/>
        <w:rPr>
          <w:rFonts w:ascii="Times New Roman" w:hAnsi="Times New Roman" w:cs="Times New Roman"/>
          <w:sz w:val="72"/>
          <w:szCs w:val="72"/>
        </w:rPr>
      </w:pPr>
    </w:p>
    <w:p w14:paraId="276EF146">
      <w:pPr>
        <w:jc w:val="center"/>
        <w:rPr>
          <w:rFonts w:ascii="Times New Roman" w:hAnsi="Times New Roman" w:cs="Times New Roman"/>
          <w:sz w:val="72"/>
          <w:szCs w:val="72"/>
        </w:rPr>
      </w:pPr>
    </w:p>
    <w:p w14:paraId="165B6083">
      <w:pPr>
        <w:jc w:val="center"/>
        <w:rPr>
          <w:rFonts w:ascii="Times New Roman" w:hAnsi="Times New Roman" w:cs="Times New Roman"/>
          <w:sz w:val="72"/>
          <w:szCs w:val="72"/>
        </w:rPr>
      </w:pPr>
    </w:p>
    <w:p w14:paraId="7AC292ED">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4B0F261">
      <w:pPr>
        <w:rPr>
          <w:rFonts w:ascii="Times New Roman" w:hAnsi="Times New Roman" w:eastAsia="方正小标宋_GBK" w:cs="Times New Roman"/>
          <w:sz w:val="72"/>
          <w:szCs w:val="72"/>
        </w:rPr>
      </w:pPr>
    </w:p>
    <w:p w14:paraId="2ABB945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EFEC060">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会同县中医医院</w:t>
      </w:r>
      <w:r>
        <w:rPr>
          <w:rFonts w:ascii="Times New Roman" w:hAnsi="Times New Roman" w:eastAsia="方正小标宋_GBK" w:cs="Times New Roman"/>
          <w:sz w:val="52"/>
          <w:szCs w:val="52"/>
        </w:rPr>
        <w:t>概况</w:t>
      </w:r>
    </w:p>
    <w:p w14:paraId="04696FE0">
      <w:pPr>
        <w:pStyle w:val="3"/>
        <w:ind w:left="0" w:leftChars="0" w:firstLine="0" w:firstLineChars="0"/>
        <w:rPr>
          <w:rFonts w:ascii="Times New Roman" w:hAnsi="Times New Roman" w:cs="Times New Roman"/>
        </w:rPr>
      </w:pPr>
    </w:p>
    <w:p w14:paraId="34753E7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513A52B">
      <w:pPr>
        <w:spacing w:line="600" w:lineRule="exact"/>
        <w:ind w:firstLine="803" w:firstLineChars="250"/>
        <w:jc w:val="left"/>
        <w:rPr>
          <w:rFonts w:ascii="Times New Roman" w:hAnsi="Times New Roman" w:eastAsia="仿宋_GB2312" w:cs="Times New Roman"/>
          <w:sz w:val="32"/>
          <w:szCs w:val="32"/>
        </w:rPr>
      </w:pPr>
      <w:r>
        <w:rPr>
          <w:rFonts w:hint="eastAsia" w:ascii="楷体_GB2312" w:hAnsi="宋体" w:eastAsia="楷体_GB2312"/>
          <w:b/>
          <w:bCs/>
          <w:kern w:val="0"/>
          <w:sz w:val="32"/>
          <w:szCs w:val="32"/>
          <w:highlight w:val="none"/>
          <w:lang w:eastAsia="zh-CN"/>
        </w:rPr>
        <w:t>（</w:t>
      </w:r>
      <w:r>
        <w:rPr>
          <w:rFonts w:hint="eastAsia" w:ascii="楷体_GB2312" w:hAnsi="宋体" w:eastAsia="楷体_GB2312"/>
          <w:b/>
          <w:bCs/>
          <w:kern w:val="0"/>
          <w:sz w:val="32"/>
          <w:szCs w:val="32"/>
          <w:highlight w:val="none"/>
          <w:lang w:val="en-US" w:eastAsia="zh-CN"/>
        </w:rPr>
        <w:t>一</w:t>
      </w:r>
      <w:r>
        <w:rPr>
          <w:rFonts w:hint="eastAsia" w:ascii="楷体_GB2312" w:hAnsi="宋体" w:eastAsia="楷体_GB2312"/>
          <w:b/>
          <w:bCs/>
          <w:kern w:val="0"/>
          <w:sz w:val="32"/>
          <w:szCs w:val="32"/>
          <w:highlight w:val="none"/>
          <w:lang w:eastAsia="zh-CN"/>
        </w:rPr>
        <w:t>）</w:t>
      </w:r>
      <w:r>
        <w:rPr>
          <w:rFonts w:hint="eastAsia" w:ascii="宋体" w:hAnsi="宋体" w:eastAsia="宋体" w:cs="宋体"/>
          <w:color w:val="000000" w:themeColor="text1"/>
          <w:kern w:val="0"/>
          <w:sz w:val="32"/>
          <w:szCs w:val="32"/>
          <w:highlight w:val="none"/>
          <w:lang w:val="en-US" w:eastAsia="zh-CN"/>
          <w14:textFill>
            <w14:solidFill>
              <w14:schemeClr w14:val="tx1"/>
            </w14:solidFill>
          </w14:textFill>
        </w:rPr>
        <w:t>会</w:t>
      </w:r>
      <w:r>
        <w:rPr>
          <w:rFonts w:hint="eastAsia" w:ascii="宋体" w:hAnsi="宋体" w:eastAsia="宋体" w:cs="宋体"/>
          <w:color w:val="000000" w:themeColor="text1"/>
          <w:kern w:val="0"/>
          <w:sz w:val="32"/>
          <w:szCs w:val="32"/>
          <w:highlight w:val="none"/>
          <w14:textFill>
            <w14:solidFill>
              <w14:schemeClr w14:val="tx1"/>
            </w14:solidFill>
          </w14:textFill>
        </w:rPr>
        <w:t>同县中医医院是</w:t>
      </w:r>
      <w:r>
        <w:rPr>
          <w:rFonts w:hint="eastAsia" w:ascii="宋体" w:hAnsi="宋体" w:eastAsia="宋体" w:cs="宋体"/>
          <w:color w:val="000000" w:themeColor="text1"/>
          <w:sz w:val="32"/>
          <w:szCs w:val="32"/>
          <w:highlight w:val="none"/>
          <w14:textFill>
            <w14:solidFill>
              <w14:schemeClr w14:val="tx1"/>
            </w14:solidFill>
          </w14:textFill>
        </w:rPr>
        <w:t>一所二级甲等综合医院，是城镇职工、居民医保、新型</w:t>
      </w:r>
      <w:r>
        <w:rPr>
          <w:rFonts w:hint="eastAsia" w:ascii="宋体" w:hAnsi="宋体" w:eastAsia="宋体" w:cs="宋体"/>
          <w:color w:val="000000" w:themeColor="text1"/>
          <w:sz w:val="32"/>
          <w:szCs w:val="32"/>
          <w:highlight w:val="none"/>
          <w:lang w:val="en-US" w:eastAsia="zh-CN"/>
          <w14:textFill>
            <w14:solidFill>
              <w14:schemeClr w14:val="tx1"/>
            </w14:solidFill>
          </w14:textFill>
        </w:rPr>
        <w:t>农</w:t>
      </w:r>
      <w:r>
        <w:rPr>
          <w:rFonts w:hint="eastAsia" w:ascii="宋体" w:hAnsi="宋体" w:eastAsia="宋体" w:cs="宋体"/>
          <w:color w:val="000000" w:themeColor="text1"/>
          <w:sz w:val="32"/>
          <w:szCs w:val="32"/>
          <w:highlight w:val="none"/>
          <w14:textFill>
            <w14:solidFill>
              <w14:schemeClr w14:val="tx1"/>
            </w14:solidFill>
          </w14:textFill>
        </w:rPr>
        <w:t>村合作医疗定点医院。医院现有职工</w:t>
      </w:r>
      <w:r>
        <w:rPr>
          <w:rFonts w:hint="eastAsia" w:ascii="宋体" w:hAnsi="宋体" w:cs="宋体"/>
          <w:color w:val="000000" w:themeColor="text1"/>
          <w:sz w:val="32"/>
          <w:szCs w:val="32"/>
          <w:highlight w:val="none"/>
          <w:lang w:val="en-US" w:eastAsia="zh-CN"/>
          <w14:textFill>
            <w14:solidFill>
              <w14:schemeClr w14:val="tx1"/>
            </w14:solidFill>
          </w14:textFill>
        </w:rPr>
        <w:t>213人，</w:t>
      </w:r>
      <w:r>
        <w:rPr>
          <w:rFonts w:hint="eastAsia" w:ascii="宋体" w:hAnsi="宋体" w:eastAsia="宋体" w:cs="宋体"/>
          <w:color w:val="000000" w:themeColor="text1"/>
          <w:sz w:val="32"/>
          <w:szCs w:val="32"/>
          <w:highlight w:val="none"/>
          <w14:textFill>
            <w14:solidFill>
              <w14:schemeClr w14:val="tx1"/>
            </w14:solidFill>
          </w14:textFill>
        </w:rPr>
        <w:t>其中专业技术人员</w:t>
      </w:r>
      <w:r>
        <w:rPr>
          <w:rFonts w:hint="eastAsia" w:ascii="宋体" w:hAnsi="宋体" w:cs="宋体"/>
          <w:color w:val="000000" w:themeColor="text1"/>
          <w:sz w:val="32"/>
          <w:szCs w:val="32"/>
          <w:highlight w:val="none"/>
          <w:lang w:val="en-US" w:eastAsia="zh-CN"/>
          <w14:textFill>
            <w14:solidFill>
              <w14:schemeClr w14:val="tx1"/>
            </w14:solidFill>
          </w14:textFill>
        </w:rPr>
        <w:t>193</w:t>
      </w:r>
      <w:r>
        <w:rPr>
          <w:rFonts w:hint="eastAsia" w:ascii="宋体" w:hAnsi="宋体" w:eastAsia="宋体" w:cs="宋体"/>
          <w:color w:val="000000" w:themeColor="text1"/>
          <w:sz w:val="32"/>
          <w:szCs w:val="32"/>
          <w:highlight w:val="none"/>
          <w14:textFill>
            <w14:solidFill>
              <w14:schemeClr w14:val="tx1"/>
            </w14:solidFill>
          </w14:textFill>
        </w:rPr>
        <w:t>人，中级职称人员</w:t>
      </w:r>
      <w:r>
        <w:rPr>
          <w:rFonts w:hint="eastAsia" w:ascii="宋体" w:hAnsi="宋体" w:cs="宋体"/>
          <w:color w:val="000000" w:themeColor="text1"/>
          <w:sz w:val="32"/>
          <w:szCs w:val="32"/>
          <w:highlight w:val="none"/>
          <w:lang w:val="en-US" w:eastAsia="zh-CN"/>
          <w14:textFill>
            <w14:solidFill>
              <w14:schemeClr w14:val="tx1"/>
            </w14:solidFill>
          </w14:textFill>
        </w:rPr>
        <w:t>88</w:t>
      </w:r>
      <w:r>
        <w:rPr>
          <w:rFonts w:hint="eastAsia" w:ascii="宋体" w:hAnsi="宋体" w:eastAsia="宋体" w:cs="宋体"/>
          <w:color w:val="000000" w:themeColor="text1"/>
          <w:sz w:val="32"/>
          <w:szCs w:val="32"/>
          <w:highlight w:val="none"/>
          <w14:textFill>
            <w14:solidFill>
              <w14:schemeClr w14:val="tx1"/>
            </w14:solidFill>
          </w14:textFill>
        </w:rPr>
        <w:t>人，高级职称人员</w:t>
      </w:r>
      <w:r>
        <w:rPr>
          <w:rFonts w:hint="eastAsia" w:ascii="宋体" w:hAnsi="宋体" w:cs="宋体"/>
          <w:color w:val="000000" w:themeColor="text1"/>
          <w:sz w:val="32"/>
          <w:szCs w:val="32"/>
          <w:highlight w:val="none"/>
          <w:lang w:val="en-US" w:eastAsia="zh-CN"/>
          <w14:textFill>
            <w14:solidFill>
              <w14:schemeClr w14:val="tx1"/>
            </w14:solidFill>
          </w14:textFill>
        </w:rPr>
        <w:t>24</w:t>
      </w:r>
      <w:r>
        <w:rPr>
          <w:rFonts w:hint="eastAsia" w:ascii="宋体" w:hAnsi="宋体" w:eastAsia="宋体" w:cs="宋体"/>
          <w:color w:val="000000" w:themeColor="text1"/>
          <w:sz w:val="32"/>
          <w:szCs w:val="32"/>
          <w:highlight w:val="none"/>
          <w14:textFill>
            <w14:solidFill>
              <w14:schemeClr w14:val="tx1"/>
            </w14:solidFill>
          </w14:textFill>
        </w:rPr>
        <w:t>人。编制床位180张，实际开放床位</w:t>
      </w:r>
      <w:r>
        <w:rPr>
          <w:rFonts w:hint="eastAsia" w:ascii="宋体" w:hAnsi="宋体" w:eastAsia="宋体" w:cs="宋体"/>
          <w:color w:val="000000" w:themeColor="text1"/>
          <w:sz w:val="32"/>
          <w:szCs w:val="32"/>
          <w:highlight w:val="none"/>
          <w:lang w:val="en-US" w:eastAsia="zh-CN"/>
          <w14:textFill>
            <w14:solidFill>
              <w14:schemeClr w14:val="tx1"/>
            </w14:solidFill>
          </w14:textFill>
        </w:rPr>
        <w:t>180张。</w:t>
      </w:r>
      <w:r>
        <w:rPr>
          <w:rFonts w:hint="eastAsia" w:ascii="宋体" w:hAnsi="宋体" w:cs="宋体"/>
          <w:color w:val="000000" w:themeColor="text1"/>
          <w:sz w:val="32"/>
          <w:szCs w:val="32"/>
          <w:highlight w:val="none"/>
          <w:lang w:val="en-US" w:eastAsia="zh-CN"/>
          <w14:textFill>
            <w14:solidFill>
              <w14:schemeClr w14:val="tx1"/>
            </w14:solidFill>
          </w14:textFill>
        </w:rPr>
        <w:t xml:space="preserve">                                                                                                                                                                                                                                                                                                                                                                                                                                                    </w:t>
      </w:r>
    </w:p>
    <w:p w14:paraId="6A8B3F09">
      <w:pPr>
        <w:widowControl/>
        <w:spacing w:line="600" w:lineRule="exact"/>
        <w:ind w:firstLine="643" w:firstLineChars="200"/>
        <w:rPr>
          <w:rFonts w:hint="eastAsia" w:ascii="楷体_GB2312" w:hAnsi="宋体" w:eastAsia="楷体_GB2312"/>
          <w:b/>
          <w:bCs/>
          <w:kern w:val="0"/>
          <w:sz w:val="32"/>
          <w:szCs w:val="32"/>
          <w:highlight w:val="none"/>
        </w:rPr>
      </w:pPr>
      <w:r>
        <w:rPr>
          <w:rFonts w:hint="eastAsia" w:ascii="楷体_GB2312" w:hAnsi="宋体" w:eastAsia="楷体_GB2312"/>
          <w:b/>
          <w:bCs/>
          <w:kern w:val="0"/>
          <w:sz w:val="32"/>
          <w:szCs w:val="32"/>
          <w:highlight w:val="none"/>
          <w:lang w:eastAsia="zh-CN"/>
        </w:rPr>
        <w:t>（</w:t>
      </w:r>
      <w:r>
        <w:rPr>
          <w:rFonts w:hint="eastAsia" w:ascii="楷体_GB2312" w:hAnsi="宋体" w:eastAsia="楷体_GB2312"/>
          <w:b/>
          <w:bCs/>
          <w:kern w:val="0"/>
          <w:sz w:val="32"/>
          <w:szCs w:val="32"/>
          <w:highlight w:val="none"/>
          <w:lang w:val="en-US" w:eastAsia="zh-CN"/>
        </w:rPr>
        <w:t>二</w:t>
      </w:r>
      <w:r>
        <w:rPr>
          <w:rFonts w:hint="eastAsia" w:ascii="楷体_GB2312" w:hAnsi="宋体" w:eastAsia="楷体_GB2312"/>
          <w:b/>
          <w:bCs/>
          <w:kern w:val="0"/>
          <w:sz w:val="32"/>
          <w:szCs w:val="32"/>
          <w:highlight w:val="none"/>
          <w:lang w:eastAsia="zh-CN"/>
        </w:rPr>
        <w:t>）</w:t>
      </w:r>
      <w:r>
        <w:rPr>
          <w:rFonts w:hint="eastAsia" w:ascii="宋体" w:hAnsi="宋体" w:eastAsia="宋体" w:cs="宋体"/>
          <w:color w:val="000000" w:themeColor="text1"/>
          <w:sz w:val="32"/>
          <w:szCs w:val="32"/>
          <w:highlight w:val="none"/>
          <w14:textFill>
            <w14:solidFill>
              <w14:schemeClr w14:val="tx1"/>
            </w14:solidFill>
          </w14:textFill>
        </w:rPr>
        <w:t>诊疗项目：预防保健科、老年病专业、肛肠专业、计划生育专业、优生学专业、生殖健康与不孕症专业、儿科、眼科、耳鼻咽喉科、口腔科、皮肤科、急诊医学科、康复医学科、麻醉科、医学检验科、医学影像科、中医科、内科专业、外科专业、妇产科专业、儿科专业、皮肤科专业、骨伤科专业、针炙科专业、推拿科专业、预防保健科专业（治末病科</w:t>
      </w:r>
      <w:r>
        <w:rPr>
          <w:rFonts w:hint="eastAsia" w:ascii="宋体" w:hAnsi="宋体" w:eastAsia="宋体" w:cs="宋体"/>
          <w:color w:val="000000" w:themeColor="text1"/>
          <w:sz w:val="32"/>
          <w:szCs w:val="32"/>
          <w:highlight w:val="none"/>
          <w:lang w:eastAsia="zh-CN"/>
          <w14:textFill>
            <w14:solidFill>
              <w14:schemeClr w14:val="tx1"/>
            </w14:solidFill>
          </w14:textFill>
        </w:rPr>
        <w:t>）</w:t>
      </w:r>
    </w:p>
    <w:p w14:paraId="1C7E4F85">
      <w:pPr>
        <w:spacing w:line="600" w:lineRule="exact"/>
        <w:ind w:firstLine="800" w:firstLineChars="250"/>
        <w:jc w:val="left"/>
        <w:rPr>
          <w:rFonts w:ascii="Times New Roman" w:hAnsi="Times New Roman" w:eastAsia="仿宋_GB2312" w:cs="Times New Roman"/>
          <w:sz w:val="32"/>
          <w:szCs w:val="32"/>
        </w:rPr>
      </w:pPr>
    </w:p>
    <w:p w14:paraId="123B0B03">
      <w:pPr>
        <w:spacing w:line="600" w:lineRule="exact"/>
        <w:ind w:firstLine="1120" w:firstLineChars="3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47D0140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E030ACD">
      <w:pPr>
        <w:widowControl/>
        <w:spacing w:line="600" w:lineRule="exact"/>
        <w:ind w:firstLine="320" w:firstLineChars="100"/>
        <w:rPr>
          <w:rFonts w:hint="eastAsia" w:ascii="Times New Roman" w:hAnsi="Times New Roman" w:eastAsia="仿宋_GB2312" w:cs="仿宋_GB2312"/>
          <w:b w:val="0"/>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 w:val="0"/>
          <w:bCs/>
          <w:kern w:val="0"/>
          <w:sz w:val="32"/>
          <w:szCs w:val="32"/>
          <w:lang w:val="en-US" w:eastAsia="zh-CN"/>
        </w:rPr>
        <w:t>中医医院</w:t>
      </w:r>
      <w:r>
        <w:rPr>
          <w:rFonts w:hint="eastAsia" w:ascii="Times New Roman" w:hAnsi="Times New Roman" w:eastAsia="仿宋_GB2312" w:cs="仿宋_GB2312"/>
          <w:b w:val="0"/>
          <w:bCs/>
          <w:kern w:val="0"/>
          <w:sz w:val="32"/>
          <w:szCs w:val="32"/>
        </w:rPr>
        <w:t>单位内设机构包括：</w:t>
      </w:r>
    </w:p>
    <w:p w14:paraId="13F30C11">
      <w:pPr>
        <w:pStyle w:val="2"/>
        <w:rPr>
          <w:rFonts w:hint="eastAsia"/>
        </w:rPr>
      </w:pPr>
      <w:r>
        <w:rPr>
          <w:rFonts w:hint="eastAsia" w:ascii="宋体" w:cs="宋体"/>
          <w:bCs/>
          <w:kern w:val="0"/>
          <w:sz w:val="32"/>
          <w:szCs w:val="32"/>
        </w:rPr>
        <w:t>本</w:t>
      </w:r>
      <w:r>
        <w:rPr>
          <w:rFonts w:hint="eastAsia" w:ascii="宋体" w:hAnsi="宋体" w:cs="宋体"/>
          <w:bCs/>
          <w:kern w:val="0"/>
          <w:sz w:val="32"/>
          <w:szCs w:val="32"/>
        </w:rPr>
        <w:t>单位内设机构包括：</w:t>
      </w:r>
      <w:r>
        <w:rPr>
          <w:rFonts w:hint="eastAsia" w:ascii="宋体" w:cs="宋体"/>
          <w:bCs/>
          <w:kern w:val="0"/>
          <w:sz w:val="32"/>
          <w:szCs w:val="32"/>
        </w:rPr>
        <w:t>办公室，人事股、医务科、体检科、护理部、医保办、院感办、设备科、信息科、财务室、总务科、内科、外科、妇产科</w:t>
      </w:r>
      <w:r>
        <w:rPr>
          <w:rFonts w:hint="eastAsia" w:ascii="宋体" w:cs="宋体"/>
          <w:bCs/>
          <w:kern w:val="0"/>
          <w:sz w:val="32"/>
          <w:szCs w:val="32"/>
          <w:lang w:eastAsia="zh-CN"/>
        </w:rPr>
        <w:t>。</w:t>
      </w:r>
    </w:p>
    <w:p w14:paraId="00C0C7B2">
      <w:pPr>
        <w:widowControl/>
        <w:spacing w:line="600" w:lineRule="exact"/>
        <w:rPr>
          <w:rFonts w:hint="default"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会同县中医医院</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会同县中医医院单位本级</w:t>
      </w:r>
    </w:p>
    <w:p w14:paraId="036B10DA">
      <w:pPr>
        <w:widowControl/>
        <w:spacing w:line="600" w:lineRule="exact"/>
        <w:rPr>
          <w:rFonts w:ascii="Times New Roman" w:hAnsi="Times New Roman" w:eastAsia="仿宋_GB2312" w:cs="Times New Roman"/>
          <w:bCs/>
          <w:kern w:val="0"/>
          <w:sz w:val="32"/>
          <w:szCs w:val="32"/>
        </w:rPr>
      </w:pPr>
    </w:p>
    <w:p w14:paraId="086E8CB5">
      <w:pPr>
        <w:jc w:val="left"/>
        <w:rPr>
          <w:rFonts w:ascii="Times New Roman" w:hAnsi="Times New Roman" w:eastAsia="仿宋_GB2312" w:cs="Times New Roman"/>
          <w:sz w:val="28"/>
          <w:szCs w:val="32"/>
        </w:rPr>
      </w:pPr>
    </w:p>
    <w:p w14:paraId="5B52C1C9">
      <w:pPr>
        <w:jc w:val="center"/>
        <w:rPr>
          <w:rFonts w:ascii="Times New Roman" w:hAnsi="Times New Roman" w:eastAsia="黑体" w:cs="Times New Roman"/>
          <w:sz w:val="28"/>
          <w:szCs w:val="28"/>
        </w:rPr>
      </w:pPr>
    </w:p>
    <w:p w14:paraId="3C56DCF3">
      <w:pPr>
        <w:jc w:val="center"/>
        <w:rPr>
          <w:rFonts w:ascii="Times New Roman" w:hAnsi="Times New Roman" w:eastAsia="黑体" w:cs="Times New Roman"/>
          <w:sz w:val="28"/>
          <w:szCs w:val="28"/>
        </w:rPr>
      </w:pPr>
    </w:p>
    <w:p w14:paraId="3A4A7F65">
      <w:pPr>
        <w:jc w:val="center"/>
        <w:rPr>
          <w:rFonts w:ascii="Times New Roman" w:hAnsi="Times New Roman" w:eastAsia="黑体" w:cs="Times New Roman"/>
          <w:sz w:val="28"/>
          <w:szCs w:val="28"/>
        </w:rPr>
      </w:pPr>
    </w:p>
    <w:p w14:paraId="74550EA5">
      <w:pPr>
        <w:jc w:val="center"/>
        <w:rPr>
          <w:rFonts w:ascii="Times New Roman" w:hAnsi="Times New Roman" w:eastAsia="黑体" w:cs="Times New Roman"/>
          <w:sz w:val="28"/>
          <w:szCs w:val="28"/>
        </w:rPr>
      </w:pPr>
    </w:p>
    <w:p w14:paraId="2228F22C">
      <w:pPr>
        <w:jc w:val="center"/>
        <w:rPr>
          <w:rFonts w:ascii="Times New Roman" w:hAnsi="Times New Roman" w:eastAsia="黑体" w:cs="Times New Roman"/>
          <w:sz w:val="28"/>
          <w:szCs w:val="28"/>
        </w:rPr>
      </w:pPr>
    </w:p>
    <w:p w14:paraId="1BF3149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3A1F918">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79AAAB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3BAF77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1</w:t>
      </w:r>
      <w:r>
        <w:rPr>
          <w:rFonts w:ascii="Times New Roman" w:hAnsi="Times New Roman" w:eastAsia="仿宋_GB2312" w:cs="Times New Roman"/>
          <w:color w:val="000000"/>
          <w:sz w:val="20"/>
          <w:szCs w:val="20"/>
        </w:rPr>
        <w:t>表</w:t>
      </w:r>
    </w:p>
    <w:p w14:paraId="58D70BF8">
      <w:pPr>
        <w:tabs>
          <w:tab w:val="left" w:pos="630"/>
          <w:tab w:val="left" w:pos="2100"/>
          <w:tab w:val="left" w:pos="3895"/>
          <w:tab w:val="left" w:pos="5690"/>
          <w:tab w:val="left" w:pos="7485"/>
          <w:tab w:val="left" w:pos="9280"/>
          <w:tab w:val="left" w:pos="11075"/>
          <w:tab w:val="left" w:pos="12870"/>
        </w:tabs>
        <w:jc w:val="right"/>
        <w:rPr>
          <w:rFonts w:hint="default" w:eastAsia="仿宋_GB2312"/>
          <w:lang w:val="en-US" w:eastAsia="zh-CN"/>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会同县</w:t>
      </w:r>
      <w:r>
        <w:rPr>
          <w:rFonts w:hint="eastAsia" w:ascii="Times New Roman" w:hAnsi="Times New Roman" w:eastAsia="仿宋_GB2312" w:cs="Times New Roman"/>
          <w:color w:val="000000"/>
          <w:sz w:val="20"/>
          <w:szCs w:val="20"/>
          <w:lang w:val="en-US" w:eastAsia="zh-CN"/>
        </w:rPr>
        <w:t>中医医院</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r>
        <w:rPr>
          <w:rFonts w:hint="eastAsia" w:ascii="Times New Roman" w:hAnsi="Times New Roman" w:eastAsia="仿宋_GB2312" w:cs="Times New Roman"/>
          <w:color w:val="000000"/>
          <w:kern w:val="0"/>
          <w:sz w:val="20"/>
          <w:szCs w:val="20"/>
          <w:lang w:val="en-US" w:eastAsia="zh-CN" w:bidi="ar"/>
        </w:rPr>
        <w:t xml:space="preserve">                                                                                                                                                    </w:t>
      </w:r>
    </w:p>
    <w:tbl>
      <w:tblPr>
        <w:tblStyle w:val="8"/>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189"/>
        <w:gridCol w:w="629"/>
        <w:gridCol w:w="1217"/>
        <w:gridCol w:w="4761"/>
        <w:gridCol w:w="774"/>
        <w:gridCol w:w="1500"/>
      </w:tblGrid>
      <w:tr w14:paraId="6800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7035" w:type="dxa"/>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BEAD9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7035" w:type="dxa"/>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87300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6432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7812F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BE543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C03C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B9CD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447F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1165D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43457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403FC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56FE17">
            <w:pPr>
              <w:jc w:val="center"/>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2ED85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FF06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E067E4">
            <w:pPr>
              <w:jc w:val="center"/>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BC56D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14:paraId="50970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B70D63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2471C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5A41B4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250.12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8600C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F9C1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0B9A73D">
            <w:pPr>
              <w:jc w:val="right"/>
              <w:rPr>
                <w:rFonts w:hint="eastAsia" w:ascii="宋体" w:hAnsi="宋体" w:eastAsia="宋体" w:cs="宋体"/>
                <w:i w:val="0"/>
                <w:color w:val="000000"/>
                <w:sz w:val="22"/>
                <w:szCs w:val="22"/>
                <w:u w:val="none"/>
              </w:rPr>
            </w:pPr>
          </w:p>
        </w:tc>
      </w:tr>
      <w:tr w14:paraId="24D0F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23973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EE21B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CB7DC3A">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593ECE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B4DD0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F403E3">
            <w:pPr>
              <w:jc w:val="right"/>
              <w:rPr>
                <w:rFonts w:hint="eastAsia" w:ascii="宋体" w:hAnsi="宋体" w:eastAsia="宋体" w:cs="宋体"/>
                <w:i w:val="0"/>
                <w:color w:val="000000"/>
                <w:sz w:val="22"/>
                <w:szCs w:val="22"/>
                <w:u w:val="none"/>
              </w:rPr>
            </w:pPr>
          </w:p>
        </w:tc>
      </w:tr>
      <w:tr w14:paraId="3C1D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30AD67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9F5C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47D6902">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D331B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9F332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EDF495F">
            <w:pPr>
              <w:jc w:val="right"/>
              <w:rPr>
                <w:rFonts w:hint="eastAsia" w:ascii="宋体" w:hAnsi="宋体" w:eastAsia="宋体" w:cs="宋体"/>
                <w:i w:val="0"/>
                <w:color w:val="000000"/>
                <w:sz w:val="22"/>
                <w:szCs w:val="22"/>
                <w:u w:val="none"/>
              </w:rPr>
            </w:pPr>
          </w:p>
        </w:tc>
      </w:tr>
      <w:tr w14:paraId="422D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62AA9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BD099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88B2E4">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E2684B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6B44F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652B7D">
            <w:pPr>
              <w:jc w:val="right"/>
              <w:rPr>
                <w:rFonts w:hint="eastAsia" w:ascii="宋体" w:hAnsi="宋体" w:eastAsia="宋体" w:cs="宋体"/>
                <w:i w:val="0"/>
                <w:color w:val="000000"/>
                <w:sz w:val="22"/>
                <w:szCs w:val="22"/>
                <w:u w:val="none"/>
              </w:rPr>
            </w:pPr>
          </w:p>
        </w:tc>
      </w:tr>
      <w:tr w14:paraId="4164C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58230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B9378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E99445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2,790.66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E57172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C638C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BB36113">
            <w:pPr>
              <w:jc w:val="right"/>
              <w:rPr>
                <w:rFonts w:hint="eastAsia" w:ascii="宋体" w:hAnsi="宋体" w:eastAsia="宋体" w:cs="宋体"/>
                <w:i w:val="0"/>
                <w:color w:val="000000"/>
                <w:sz w:val="22"/>
                <w:szCs w:val="22"/>
                <w:u w:val="none"/>
              </w:rPr>
            </w:pPr>
          </w:p>
        </w:tc>
      </w:tr>
      <w:tr w14:paraId="11539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1BBA30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833F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C7748E3">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4679BF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285F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ACD538">
            <w:pPr>
              <w:jc w:val="right"/>
              <w:rPr>
                <w:rFonts w:hint="eastAsia" w:ascii="宋体" w:hAnsi="宋体" w:eastAsia="宋体" w:cs="宋体"/>
                <w:i w:val="0"/>
                <w:color w:val="000000"/>
                <w:sz w:val="22"/>
                <w:szCs w:val="22"/>
                <w:u w:val="none"/>
              </w:rPr>
            </w:pPr>
          </w:p>
        </w:tc>
      </w:tr>
      <w:tr w14:paraId="3F14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1EBDE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431D9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6751E75">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9C630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ED996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6F35563">
            <w:pPr>
              <w:jc w:val="right"/>
              <w:rPr>
                <w:rFonts w:hint="eastAsia" w:ascii="宋体" w:hAnsi="宋体" w:eastAsia="宋体" w:cs="宋体"/>
                <w:i w:val="0"/>
                <w:color w:val="000000"/>
                <w:sz w:val="22"/>
                <w:szCs w:val="22"/>
                <w:u w:val="none"/>
              </w:rPr>
            </w:pPr>
          </w:p>
        </w:tc>
      </w:tr>
      <w:tr w14:paraId="08CB2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E1D0E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887A0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0672D0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61FA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6CB2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15B9B0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14.12 </w:t>
            </w:r>
          </w:p>
        </w:tc>
      </w:tr>
      <w:tr w14:paraId="08D13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66D07D3">
            <w:pPr>
              <w:jc w:val="lef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34C67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EFA91A">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F509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DA9F8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5E0934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2,876.66 </w:t>
            </w:r>
          </w:p>
        </w:tc>
      </w:tr>
      <w:tr w14:paraId="5337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9789ED">
            <w:pPr>
              <w:jc w:val="lef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C3C7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2A4F59">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CA0A3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B61AA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676EF8C">
            <w:pPr>
              <w:jc w:val="right"/>
              <w:rPr>
                <w:rFonts w:hint="eastAsia" w:ascii="宋体" w:hAnsi="宋体" w:eastAsia="宋体" w:cs="宋体"/>
                <w:i w:val="0"/>
                <w:color w:val="000000"/>
                <w:sz w:val="22"/>
                <w:szCs w:val="22"/>
                <w:u w:val="none"/>
              </w:rPr>
            </w:pPr>
          </w:p>
        </w:tc>
      </w:tr>
      <w:tr w14:paraId="6B134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CE5C0D6">
            <w:pPr>
              <w:jc w:val="lef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7F49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DD75D1F">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6528FC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D2DE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8C8C3B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150.00 </w:t>
            </w:r>
          </w:p>
        </w:tc>
      </w:tr>
      <w:tr w14:paraId="3078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E73E05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51ABE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5A042B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3,040.77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12F399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DC1BD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916FE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3,040.77 </w:t>
            </w:r>
          </w:p>
        </w:tc>
      </w:tr>
      <w:tr w14:paraId="18C6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9860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B1F0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E3C680C">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340B8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9DACA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2B2F7E">
            <w:pPr>
              <w:jc w:val="right"/>
              <w:rPr>
                <w:rFonts w:hint="eastAsia" w:ascii="宋体" w:hAnsi="宋体" w:eastAsia="宋体" w:cs="宋体"/>
                <w:i w:val="0"/>
                <w:color w:val="000000"/>
                <w:sz w:val="22"/>
                <w:szCs w:val="22"/>
                <w:u w:val="none"/>
              </w:rPr>
            </w:pPr>
          </w:p>
        </w:tc>
      </w:tr>
      <w:tr w14:paraId="6B1C4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7B6A69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FBB57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CFDC61">
            <w:pPr>
              <w:jc w:val="right"/>
              <w:rPr>
                <w:rFonts w:hint="eastAsia" w:ascii="宋体" w:hAnsi="宋体" w:eastAsia="宋体" w:cs="宋体"/>
                <w:i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4EBDC3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2DC62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69A440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r>
      <w:tr w14:paraId="088E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318CBB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4FB72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2CBF0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3,040.77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C3271C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75A2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E44D4D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3,040.77 </w:t>
            </w:r>
          </w:p>
        </w:tc>
      </w:tr>
    </w:tbl>
    <w:p w14:paraId="18CACB10">
      <w:pPr>
        <w:widowControl/>
        <w:jc w:val="left"/>
        <w:textAlignment w:val="center"/>
        <w:rPr>
          <w:rFonts w:ascii="Times New Roman" w:hAnsi="Times New Roman" w:eastAsia="仿宋_GB2312" w:cs="Times New Roman"/>
          <w:color w:val="000000"/>
          <w:sz w:val="24"/>
          <w:szCs w:val="24"/>
        </w:rPr>
      </w:pPr>
    </w:p>
    <w:p w14:paraId="272D97A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7372B82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4527A2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78C63A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47FFAF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tbl>
      <w:tblPr>
        <w:tblStyle w:val="8"/>
        <w:tblpPr w:leftFromText="180" w:rightFromText="180" w:vertAnchor="text" w:horzAnchor="page" w:tblpX="1319" w:tblpY="287"/>
        <w:tblOverlap w:val="never"/>
        <w:tblW w:w="14781" w:type="dxa"/>
        <w:tblInd w:w="0" w:type="dxa"/>
        <w:tblLayout w:type="fixed"/>
        <w:tblCellMar>
          <w:top w:w="0" w:type="dxa"/>
          <w:left w:w="0" w:type="dxa"/>
          <w:bottom w:w="0" w:type="dxa"/>
          <w:right w:w="0" w:type="dxa"/>
        </w:tblCellMar>
      </w:tblPr>
      <w:tblGrid>
        <w:gridCol w:w="1087"/>
        <w:gridCol w:w="1920"/>
        <w:gridCol w:w="1539"/>
        <w:gridCol w:w="1706"/>
        <w:gridCol w:w="1706"/>
        <w:gridCol w:w="1706"/>
        <w:gridCol w:w="1706"/>
        <w:gridCol w:w="1973"/>
        <w:gridCol w:w="1438"/>
      </w:tblGrid>
      <w:tr w14:paraId="368650EC">
        <w:tblPrEx>
          <w:tblCellMar>
            <w:top w:w="0" w:type="dxa"/>
            <w:left w:w="0" w:type="dxa"/>
            <w:bottom w:w="0" w:type="dxa"/>
            <w:right w:w="0" w:type="dxa"/>
          </w:tblCellMar>
        </w:tblPrEx>
        <w:trPr>
          <w:trHeight w:val="561" w:hRule="atLeast"/>
        </w:trPr>
        <w:tc>
          <w:tcPr>
            <w:tcW w:w="300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08242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B3337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70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C4BF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F82C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B5370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39A1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71E3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5F98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8F9FD7F">
        <w:tblPrEx>
          <w:tblCellMar>
            <w:top w:w="0" w:type="dxa"/>
            <w:left w:w="0" w:type="dxa"/>
            <w:bottom w:w="0" w:type="dxa"/>
            <w:right w:w="0" w:type="dxa"/>
          </w:tblCellMar>
        </w:tblPrEx>
        <w:trPr>
          <w:trHeight w:val="375" w:hRule="exact"/>
        </w:trPr>
        <w:tc>
          <w:tcPr>
            <w:tcW w:w="108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2C8A5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2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C238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39" w:type="dxa"/>
            <w:vMerge w:val="continue"/>
            <w:tcBorders>
              <w:top w:val="single" w:color="auto" w:sz="4" w:space="0"/>
              <w:left w:val="single" w:color="auto" w:sz="4" w:space="0"/>
              <w:bottom w:val="single" w:color="auto" w:sz="4" w:space="0"/>
              <w:right w:val="single" w:color="auto" w:sz="4" w:space="0"/>
            </w:tcBorders>
            <w:vAlign w:val="center"/>
          </w:tcPr>
          <w:p w14:paraId="104B23CA">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546106ED">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0438A534">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1B60F5F4">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6D97D1E4">
            <w:pPr>
              <w:rPr>
                <w:rFonts w:ascii="Times New Roman" w:hAnsi="Times New Roman" w:eastAsia="仿宋_GB2312" w:cs="Times New Roman"/>
                <w:sz w:val="24"/>
                <w:szCs w:val="24"/>
              </w:rPr>
            </w:pPr>
          </w:p>
        </w:tc>
        <w:tc>
          <w:tcPr>
            <w:tcW w:w="1973" w:type="dxa"/>
            <w:vMerge w:val="continue"/>
            <w:tcBorders>
              <w:top w:val="single" w:color="auto" w:sz="4" w:space="0"/>
              <w:left w:val="single" w:color="auto" w:sz="4" w:space="0"/>
              <w:bottom w:val="single" w:color="auto" w:sz="4" w:space="0"/>
              <w:right w:val="single" w:color="auto" w:sz="4" w:space="0"/>
            </w:tcBorders>
            <w:vAlign w:val="center"/>
          </w:tcPr>
          <w:p w14:paraId="3D3EE169">
            <w:pPr>
              <w:rPr>
                <w:rFonts w:ascii="Times New Roman" w:hAnsi="Times New Roman" w:eastAsia="仿宋_GB2312" w:cs="Times New Roman"/>
                <w:sz w:val="24"/>
                <w:szCs w:val="24"/>
              </w:rPr>
            </w:pPr>
          </w:p>
        </w:tc>
        <w:tc>
          <w:tcPr>
            <w:tcW w:w="1438" w:type="dxa"/>
            <w:vMerge w:val="continue"/>
            <w:tcBorders>
              <w:top w:val="single" w:color="auto" w:sz="4" w:space="0"/>
              <w:left w:val="single" w:color="auto" w:sz="4" w:space="0"/>
              <w:bottom w:val="single" w:color="auto" w:sz="4" w:space="0"/>
              <w:right w:val="single" w:color="auto" w:sz="4" w:space="0"/>
            </w:tcBorders>
            <w:vAlign w:val="center"/>
          </w:tcPr>
          <w:p w14:paraId="16FE58C7">
            <w:pPr>
              <w:rPr>
                <w:rFonts w:ascii="Times New Roman" w:hAnsi="Times New Roman" w:eastAsia="仿宋_GB2312" w:cs="Times New Roman"/>
                <w:sz w:val="24"/>
                <w:szCs w:val="24"/>
              </w:rPr>
            </w:pPr>
          </w:p>
        </w:tc>
      </w:tr>
      <w:tr w14:paraId="72CDF323">
        <w:tblPrEx>
          <w:tblCellMar>
            <w:top w:w="0" w:type="dxa"/>
            <w:left w:w="0" w:type="dxa"/>
            <w:bottom w:w="0" w:type="dxa"/>
            <w:right w:w="0" w:type="dxa"/>
          </w:tblCellMar>
        </w:tblPrEx>
        <w:trPr>
          <w:trHeight w:val="372" w:hRule="atLeast"/>
        </w:trPr>
        <w:tc>
          <w:tcPr>
            <w:tcW w:w="1087" w:type="dxa"/>
            <w:vMerge w:val="continue"/>
            <w:tcBorders>
              <w:top w:val="single" w:color="auto" w:sz="4" w:space="0"/>
              <w:left w:val="single" w:color="auto" w:sz="4" w:space="0"/>
              <w:bottom w:val="single" w:color="auto" w:sz="4" w:space="0"/>
              <w:right w:val="single" w:color="auto" w:sz="4" w:space="0"/>
            </w:tcBorders>
            <w:vAlign w:val="center"/>
          </w:tcPr>
          <w:p w14:paraId="6D4A98B1">
            <w:pPr>
              <w:rPr>
                <w:rFonts w:ascii="Times New Roman" w:hAnsi="Times New Roman" w:eastAsia="仿宋_GB2312" w:cs="Times New Roman"/>
                <w:sz w:val="24"/>
                <w:szCs w:val="24"/>
              </w:rPr>
            </w:pPr>
          </w:p>
        </w:tc>
        <w:tc>
          <w:tcPr>
            <w:tcW w:w="1920" w:type="dxa"/>
            <w:vMerge w:val="continue"/>
            <w:tcBorders>
              <w:top w:val="nil"/>
              <w:left w:val="single" w:color="auto" w:sz="4" w:space="0"/>
              <w:bottom w:val="single" w:color="auto" w:sz="4" w:space="0"/>
              <w:right w:val="single" w:color="auto" w:sz="4" w:space="0"/>
            </w:tcBorders>
            <w:vAlign w:val="center"/>
          </w:tcPr>
          <w:p w14:paraId="564E1540">
            <w:pPr>
              <w:rPr>
                <w:rFonts w:ascii="Times New Roman" w:hAnsi="Times New Roman" w:eastAsia="仿宋_GB2312" w:cs="Times New Roman"/>
                <w:sz w:val="24"/>
                <w:szCs w:val="24"/>
              </w:rPr>
            </w:pPr>
          </w:p>
        </w:tc>
        <w:tc>
          <w:tcPr>
            <w:tcW w:w="1539" w:type="dxa"/>
            <w:vMerge w:val="continue"/>
            <w:tcBorders>
              <w:top w:val="single" w:color="auto" w:sz="4" w:space="0"/>
              <w:left w:val="single" w:color="auto" w:sz="4" w:space="0"/>
              <w:bottom w:val="single" w:color="auto" w:sz="4" w:space="0"/>
              <w:right w:val="single" w:color="auto" w:sz="4" w:space="0"/>
            </w:tcBorders>
            <w:vAlign w:val="center"/>
          </w:tcPr>
          <w:p w14:paraId="4B1A2DDD">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585A74B6">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06F2A08E">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183898D9">
            <w:pPr>
              <w:rPr>
                <w:rFonts w:ascii="Times New Roman" w:hAnsi="Times New Roman" w:eastAsia="仿宋_GB2312" w:cs="Times New Roman"/>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14:paraId="0EB7D0A9">
            <w:pPr>
              <w:rPr>
                <w:rFonts w:ascii="Times New Roman" w:hAnsi="Times New Roman" w:eastAsia="仿宋_GB2312" w:cs="Times New Roman"/>
                <w:sz w:val="24"/>
                <w:szCs w:val="24"/>
              </w:rPr>
            </w:pPr>
          </w:p>
        </w:tc>
        <w:tc>
          <w:tcPr>
            <w:tcW w:w="1973" w:type="dxa"/>
            <w:vMerge w:val="continue"/>
            <w:tcBorders>
              <w:top w:val="single" w:color="auto" w:sz="4" w:space="0"/>
              <w:left w:val="single" w:color="auto" w:sz="4" w:space="0"/>
              <w:bottom w:val="single" w:color="auto" w:sz="4" w:space="0"/>
              <w:right w:val="single" w:color="auto" w:sz="4" w:space="0"/>
            </w:tcBorders>
            <w:vAlign w:val="center"/>
          </w:tcPr>
          <w:p w14:paraId="78D2E643">
            <w:pPr>
              <w:rPr>
                <w:rFonts w:ascii="Times New Roman" w:hAnsi="Times New Roman" w:eastAsia="仿宋_GB2312" w:cs="Times New Roman"/>
                <w:sz w:val="24"/>
                <w:szCs w:val="24"/>
              </w:rPr>
            </w:pPr>
          </w:p>
        </w:tc>
        <w:tc>
          <w:tcPr>
            <w:tcW w:w="1438" w:type="dxa"/>
            <w:vMerge w:val="continue"/>
            <w:tcBorders>
              <w:top w:val="single" w:color="auto" w:sz="4" w:space="0"/>
              <w:left w:val="single" w:color="auto" w:sz="4" w:space="0"/>
              <w:bottom w:val="single" w:color="auto" w:sz="4" w:space="0"/>
              <w:right w:val="single" w:color="auto" w:sz="4" w:space="0"/>
            </w:tcBorders>
            <w:vAlign w:val="center"/>
          </w:tcPr>
          <w:p w14:paraId="0D9E1C13">
            <w:pPr>
              <w:rPr>
                <w:rFonts w:ascii="Times New Roman" w:hAnsi="Times New Roman" w:eastAsia="仿宋_GB2312" w:cs="Times New Roman"/>
                <w:sz w:val="24"/>
                <w:szCs w:val="24"/>
              </w:rPr>
            </w:pPr>
          </w:p>
        </w:tc>
      </w:tr>
      <w:tr w14:paraId="31DD1740">
        <w:tblPrEx>
          <w:tblCellMar>
            <w:top w:w="0" w:type="dxa"/>
            <w:left w:w="0" w:type="dxa"/>
            <w:bottom w:w="0" w:type="dxa"/>
            <w:right w:w="0" w:type="dxa"/>
          </w:tblCellMar>
        </w:tblPrEx>
        <w:trPr>
          <w:trHeight w:val="501" w:hRule="atLeast"/>
        </w:trPr>
        <w:tc>
          <w:tcPr>
            <w:tcW w:w="30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0E61A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3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9B4B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7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7C75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7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4C77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7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A6EC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7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72711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BF5BF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B954D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1D99BBA">
        <w:tblPrEx>
          <w:tblCellMar>
            <w:top w:w="0" w:type="dxa"/>
            <w:left w:w="0" w:type="dxa"/>
            <w:bottom w:w="0" w:type="dxa"/>
            <w:right w:w="0" w:type="dxa"/>
          </w:tblCellMar>
        </w:tblPrEx>
        <w:trPr>
          <w:trHeight w:val="486" w:hRule="atLeast"/>
        </w:trPr>
        <w:tc>
          <w:tcPr>
            <w:tcW w:w="30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0691D3">
            <w:pPr>
              <w:jc w:val="center"/>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合计</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24268">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3040.77</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788F6">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250.12</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73804">
            <w:pPr>
              <w:jc w:val="lef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E3900">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2790.66</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667FE7">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75310">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B891B">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5E8CCC81">
        <w:tblPrEx>
          <w:tblCellMar>
            <w:top w:w="0" w:type="dxa"/>
            <w:left w:w="0" w:type="dxa"/>
            <w:bottom w:w="0" w:type="dxa"/>
            <w:right w:w="0" w:type="dxa"/>
          </w:tblCellMar>
        </w:tblPrEx>
        <w:trPr>
          <w:trHeight w:val="519"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AEC245">
            <w:pPr>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2080501</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CCBE9B">
            <w:pPr>
              <w:jc w:val="left"/>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行政单位离退休</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A4B4B6">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14.12</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1B228">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14.12</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F574F">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0786A0">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F45A5">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07F38">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31180">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4EE1D5A6">
        <w:tblPrEx>
          <w:tblCellMar>
            <w:top w:w="0" w:type="dxa"/>
            <w:left w:w="0" w:type="dxa"/>
            <w:bottom w:w="0" w:type="dxa"/>
            <w:right w:w="0" w:type="dxa"/>
          </w:tblCellMar>
        </w:tblPrEx>
        <w:trPr>
          <w:trHeight w:val="516"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FFBD2D">
            <w:pPr>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2100202</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9C9A82">
            <w:pPr>
              <w:jc w:val="both"/>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中医(民族）医院</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228B9">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2790.66</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846E7">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5AD9EF">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48DE7">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2790.66</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8DE6D">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10571">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875D1">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04F951F6">
        <w:tblPrEx>
          <w:tblCellMar>
            <w:top w:w="0" w:type="dxa"/>
            <w:left w:w="0" w:type="dxa"/>
            <w:bottom w:w="0" w:type="dxa"/>
            <w:right w:w="0" w:type="dxa"/>
          </w:tblCellMar>
        </w:tblPrEx>
        <w:trPr>
          <w:trHeight w:val="519"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CF0B7A">
            <w:pPr>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2100299</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7F29F1">
            <w:pPr>
              <w:jc w:val="both"/>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其他公立医院支出</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55DD4">
            <w:pPr>
              <w:jc w:val="right"/>
              <w:rPr>
                <w:rFonts w:hint="default" w:ascii="Times New Roman" w:hAnsi="Times New Roman" w:eastAsia="仿宋_GB2312" w:cs="Times New Roman"/>
                <w:b w:val="0"/>
                <w:bCs w:val="0"/>
                <w:sz w:val="21"/>
                <w:szCs w:val="21"/>
                <w:lang w:val="en-US"/>
              </w:rPr>
            </w:pPr>
            <w:r>
              <w:rPr>
                <w:rFonts w:hint="eastAsia" w:ascii="Times New Roman" w:hAnsi="Times New Roman" w:eastAsia="仿宋_GB2312" w:cs="Times New Roman"/>
                <w:b w:val="0"/>
                <w:bCs w:val="0"/>
                <w:sz w:val="21"/>
                <w:szCs w:val="21"/>
                <w:lang w:val="en-US" w:eastAsia="zh-CN"/>
              </w:rPr>
              <w:t>80.00</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18557">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80.00</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FD6AB">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7527B">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97F77">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814BB">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2071F">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545E80AF">
        <w:tblPrEx>
          <w:tblCellMar>
            <w:top w:w="0" w:type="dxa"/>
            <w:left w:w="0" w:type="dxa"/>
            <w:bottom w:w="0" w:type="dxa"/>
            <w:right w:w="0" w:type="dxa"/>
          </w:tblCellMar>
        </w:tblPrEx>
        <w:trPr>
          <w:trHeight w:val="561"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B657C">
            <w:pPr>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2100408</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BD89F3">
            <w:pPr>
              <w:jc w:val="both"/>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基本公共卫生服务</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0D987">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6.00</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FF658">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6.00</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322D3">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A2759">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E4E9D">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2007B">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D3921">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42394409">
        <w:tblPrEx>
          <w:tblCellMar>
            <w:top w:w="0" w:type="dxa"/>
            <w:left w:w="0" w:type="dxa"/>
            <w:bottom w:w="0" w:type="dxa"/>
            <w:right w:w="0" w:type="dxa"/>
          </w:tblCellMar>
        </w:tblPrEx>
        <w:trPr>
          <w:trHeight w:val="561"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D93521">
            <w:pPr>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2120199</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B5006E">
            <w:pPr>
              <w:jc w:val="both"/>
              <w:rPr>
                <w:rFonts w:hint="default" w:ascii="Times New Roman" w:hAnsi="Times New Roman" w:eastAsia="仿宋_GB2312" w:cs="Times New Roman"/>
                <w:b w:val="0"/>
                <w:bCs w:val="0"/>
                <w:sz w:val="21"/>
                <w:szCs w:val="21"/>
                <w:lang w:val="en-US" w:eastAsia="zh-CN"/>
              </w:rPr>
            </w:pPr>
            <w:r>
              <w:rPr>
                <w:rFonts w:hint="eastAsia" w:ascii="Times New Roman" w:hAnsi="Times New Roman" w:eastAsia="仿宋_GB2312" w:cs="Times New Roman"/>
                <w:b w:val="0"/>
                <w:bCs w:val="0"/>
                <w:sz w:val="21"/>
                <w:szCs w:val="21"/>
                <w:lang w:val="en-US" w:eastAsia="zh-CN"/>
              </w:rPr>
              <w:t>其他城乡社区管理事务支出</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601F7">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150.00</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5BD08">
            <w:pPr>
              <w:jc w:val="right"/>
              <w:rPr>
                <w:rFonts w:ascii="Times New Roman" w:hAnsi="Times New Roman" w:eastAsia="仿宋_GB2312" w:cs="Times New Roman"/>
                <w:b w:val="0"/>
                <w:bCs w:val="0"/>
                <w:sz w:val="21"/>
                <w:szCs w:val="21"/>
              </w:rPr>
            </w:pPr>
            <w:r>
              <w:rPr>
                <w:rFonts w:hint="eastAsia" w:ascii="Times New Roman" w:hAnsi="Times New Roman" w:eastAsia="仿宋_GB2312" w:cs="Times New Roman"/>
                <w:b w:val="0"/>
                <w:bCs w:val="0"/>
                <w:sz w:val="21"/>
                <w:szCs w:val="21"/>
                <w:lang w:val="en-US" w:eastAsia="zh-CN"/>
              </w:rPr>
              <w:t>150.00</w:t>
            </w: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DC84B">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B36D0">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C7263">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CE261">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513D6">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r w14:paraId="771C9AEB">
        <w:tblPrEx>
          <w:tblCellMar>
            <w:top w:w="0" w:type="dxa"/>
            <w:left w:w="0" w:type="dxa"/>
            <w:bottom w:w="0" w:type="dxa"/>
            <w:right w:w="0" w:type="dxa"/>
          </w:tblCellMar>
        </w:tblPrEx>
        <w:trPr>
          <w:trHeight w:val="583" w:hRule="atLeast"/>
        </w:trPr>
        <w:tc>
          <w:tcPr>
            <w:tcW w:w="10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7D4505">
            <w:pPr>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9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08CDAB">
            <w:pPr>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5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D5521">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5AD13">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40F94">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2AB5D">
            <w:pPr>
              <w:jc w:val="right"/>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899450">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9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7C0F5">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7084F">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w:t>
            </w:r>
          </w:p>
        </w:tc>
      </w:tr>
    </w:tbl>
    <w:p w14:paraId="1ACB598B">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1"/>
          <w:szCs w:val="21"/>
          <w:lang w:val="en-US" w:eastAsia="zh-CN"/>
        </w:rPr>
        <w:t>会同县中医医院</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单位：</w:t>
      </w:r>
      <w:r>
        <w:rPr>
          <w:rFonts w:ascii="Times New Roman" w:hAnsi="Times New Roman" w:eastAsia="仿宋_GB2312" w:cs="Times New Roman"/>
          <w:color w:val="000000"/>
          <w:sz w:val="20"/>
          <w:szCs w:val="20"/>
        </w:rPr>
        <w:t>万元</w:t>
      </w:r>
    </w:p>
    <w:p w14:paraId="788E86D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9BDFD2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1472DCA">
      <w:pPr>
        <w:widowControl/>
        <w:jc w:val="center"/>
        <w:textAlignment w:val="center"/>
        <w:rPr>
          <w:rFonts w:ascii="Times New Roman" w:hAnsi="Times New Roman" w:eastAsia="黑体" w:cs="Times New Roman"/>
          <w:color w:val="000000"/>
          <w:kern w:val="0"/>
          <w:sz w:val="32"/>
          <w:szCs w:val="32"/>
          <w:lang w:bidi="ar"/>
        </w:rPr>
      </w:pPr>
    </w:p>
    <w:p w14:paraId="10291A9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083CFF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BBDEB4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会同县中医医院</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164"/>
        <w:gridCol w:w="3096"/>
        <w:gridCol w:w="1835"/>
        <w:gridCol w:w="1208"/>
        <w:gridCol w:w="1250"/>
        <w:gridCol w:w="1793"/>
        <w:gridCol w:w="1250"/>
        <w:gridCol w:w="2613"/>
      </w:tblGrid>
      <w:tr w14:paraId="3048B0D5">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F522B5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16905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7E84B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0284D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9980C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8C5C8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0DF3D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3A61468">
        <w:tblPrEx>
          <w:tblCellMar>
            <w:top w:w="0" w:type="dxa"/>
            <w:left w:w="108" w:type="dxa"/>
            <w:bottom w:w="0" w:type="dxa"/>
            <w:right w:w="108" w:type="dxa"/>
          </w:tblCellMar>
        </w:tblPrEx>
        <w:trPr>
          <w:trHeight w:val="312" w:hRule="exact"/>
          <w:jc w:val="center"/>
        </w:trPr>
        <w:tc>
          <w:tcPr>
            <w:tcW w:w="4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A11D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82" w:type="pct"/>
            <w:vMerge w:val="restart"/>
            <w:tcBorders>
              <w:top w:val="nil"/>
              <w:left w:val="single" w:color="auto" w:sz="4" w:space="0"/>
              <w:bottom w:val="single" w:color="auto" w:sz="4" w:space="0"/>
              <w:right w:val="single" w:color="auto" w:sz="4" w:space="0"/>
            </w:tcBorders>
            <w:shd w:val="clear" w:color="000000" w:fill="FFFFFF"/>
            <w:vAlign w:val="center"/>
          </w:tcPr>
          <w:p w14:paraId="3A6682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E0AF7F7">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5908A5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F4608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83BA87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F5D6C84">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0F2F4CD">
            <w:pPr>
              <w:widowControl/>
              <w:jc w:val="left"/>
              <w:rPr>
                <w:rFonts w:ascii="Times New Roman" w:hAnsi="Times New Roman" w:eastAsia="仿宋_GB2312" w:cs="Times New Roman"/>
                <w:b/>
                <w:bCs/>
                <w:kern w:val="0"/>
                <w:sz w:val="24"/>
                <w:szCs w:val="24"/>
              </w:rPr>
            </w:pPr>
          </w:p>
        </w:tc>
      </w:tr>
      <w:tr w14:paraId="5BE17577">
        <w:tblPrEx>
          <w:tblCellMar>
            <w:top w:w="0" w:type="dxa"/>
            <w:left w:w="108" w:type="dxa"/>
            <w:bottom w:w="0" w:type="dxa"/>
            <w:right w:w="108" w:type="dxa"/>
          </w:tblCellMar>
        </w:tblPrEx>
        <w:trPr>
          <w:trHeight w:val="595" w:hRule="atLeast"/>
          <w:jc w:val="center"/>
        </w:trPr>
        <w:tc>
          <w:tcPr>
            <w:tcW w:w="439" w:type="pct"/>
            <w:vMerge w:val="continue"/>
            <w:tcBorders>
              <w:top w:val="single" w:color="auto" w:sz="4" w:space="0"/>
              <w:left w:val="single" w:color="auto" w:sz="4" w:space="0"/>
              <w:bottom w:val="single" w:color="auto" w:sz="4" w:space="0"/>
              <w:right w:val="single" w:color="auto" w:sz="4" w:space="0"/>
            </w:tcBorders>
            <w:vAlign w:val="center"/>
          </w:tcPr>
          <w:p w14:paraId="13CBBAC6">
            <w:pPr>
              <w:widowControl/>
              <w:jc w:val="left"/>
              <w:rPr>
                <w:rFonts w:ascii="Times New Roman" w:hAnsi="Times New Roman" w:eastAsia="仿宋_GB2312" w:cs="Times New Roman"/>
                <w:kern w:val="0"/>
                <w:sz w:val="24"/>
                <w:szCs w:val="24"/>
              </w:rPr>
            </w:pPr>
          </w:p>
        </w:tc>
        <w:tc>
          <w:tcPr>
            <w:tcW w:w="882" w:type="pct"/>
            <w:vMerge w:val="continue"/>
            <w:tcBorders>
              <w:top w:val="nil"/>
              <w:left w:val="single" w:color="auto" w:sz="4" w:space="0"/>
              <w:bottom w:val="single" w:color="auto" w:sz="4" w:space="0"/>
              <w:right w:val="single" w:color="auto" w:sz="4" w:space="0"/>
            </w:tcBorders>
            <w:vAlign w:val="center"/>
          </w:tcPr>
          <w:p w14:paraId="2D551AF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1A3576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7D5607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CE22B2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ABFE67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D8F543E">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8A314B8">
            <w:pPr>
              <w:widowControl/>
              <w:jc w:val="left"/>
              <w:rPr>
                <w:rFonts w:ascii="Times New Roman" w:hAnsi="Times New Roman" w:eastAsia="仿宋_GB2312" w:cs="Times New Roman"/>
                <w:kern w:val="0"/>
                <w:sz w:val="24"/>
                <w:szCs w:val="24"/>
              </w:rPr>
            </w:pPr>
          </w:p>
        </w:tc>
      </w:tr>
      <w:tr w14:paraId="373F63A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E584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FE94A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15A72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5B0F1E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224913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77C399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25AA3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C0B54E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EBE2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29C7C8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8388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6D45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0D26B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91B3F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5A01B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FDB504">
        <w:tblPrEx>
          <w:tblCellMar>
            <w:top w:w="0" w:type="dxa"/>
            <w:left w:w="108" w:type="dxa"/>
            <w:bottom w:w="0" w:type="dxa"/>
            <w:right w:w="108" w:type="dxa"/>
          </w:tblCellMar>
        </w:tblPrEx>
        <w:trPr>
          <w:trHeight w:val="595"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D52590">
            <w:pPr>
              <w:widowControl/>
              <w:jc w:val="left"/>
              <w:rPr>
                <w:rFonts w:hint="default" w:ascii="Times New Roman" w:hAnsi="Times New Roman" w:eastAsia="仿宋_GB2312" w:cs="Times New Roman"/>
                <w:kern w:val="0"/>
                <w:sz w:val="24"/>
                <w:szCs w:val="24"/>
                <w:lang w:val="en-US" w:eastAsia="zh-CN"/>
              </w:rPr>
            </w:pPr>
            <w:r>
              <w:rPr>
                <w:rFonts w:hint="default" w:ascii="Times New Roman" w:hAnsi="Times New Roman" w:eastAsia="方正魏碑_GBK" w:cs="Times New Roman"/>
                <w:kern w:val="0"/>
                <w:sz w:val="24"/>
                <w:szCs w:val="24"/>
                <w:lang w:val="en-US" w:eastAsia="zh-CN"/>
              </w:rPr>
              <w:t>2080501</w:t>
            </w:r>
          </w:p>
        </w:tc>
        <w:tc>
          <w:tcPr>
            <w:tcW w:w="882" w:type="pct"/>
            <w:tcBorders>
              <w:top w:val="nil"/>
              <w:left w:val="nil"/>
              <w:bottom w:val="single" w:color="auto" w:sz="4" w:space="0"/>
              <w:right w:val="single" w:color="auto" w:sz="4" w:space="0"/>
            </w:tcBorders>
            <w:shd w:val="clear" w:color="000000" w:fill="FFFFFF"/>
            <w:noWrap/>
            <w:vAlign w:val="center"/>
          </w:tcPr>
          <w:p w14:paraId="5261946B">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行政单位离退休</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4032BB">
            <w:pPr>
              <w:widowControl/>
              <w:ind w:left="479" w:leftChars="228" w:firstLine="0" w:firstLineChars="0"/>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     14.12</w:t>
            </w:r>
          </w:p>
        </w:tc>
        <w:tc>
          <w:tcPr>
            <w:tcW w:w="469" w:type="pct"/>
            <w:tcBorders>
              <w:top w:val="nil"/>
              <w:left w:val="nil"/>
              <w:bottom w:val="single" w:color="auto" w:sz="4" w:space="0"/>
              <w:right w:val="single" w:color="auto" w:sz="4" w:space="0"/>
            </w:tcBorders>
            <w:shd w:val="clear" w:color="auto" w:fill="auto"/>
            <w:noWrap/>
            <w:vAlign w:val="center"/>
          </w:tcPr>
          <w:p w14:paraId="594B782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14.12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082C7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A35D1E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90C27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0FFAB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B230DB2">
        <w:tblPrEx>
          <w:tblCellMar>
            <w:top w:w="0" w:type="dxa"/>
            <w:left w:w="108" w:type="dxa"/>
            <w:bottom w:w="0" w:type="dxa"/>
            <w:right w:w="108" w:type="dxa"/>
          </w:tblCellMar>
        </w:tblPrEx>
        <w:trPr>
          <w:trHeight w:val="595"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AF7E9C">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2100202</w:t>
            </w:r>
          </w:p>
        </w:tc>
        <w:tc>
          <w:tcPr>
            <w:tcW w:w="882" w:type="pct"/>
            <w:tcBorders>
              <w:top w:val="nil"/>
              <w:left w:val="nil"/>
              <w:bottom w:val="single" w:color="auto" w:sz="4" w:space="0"/>
              <w:right w:val="single" w:color="auto" w:sz="4" w:space="0"/>
            </w:tcBorders>
            <w:shd w:val="clear" w:color="000000" w:fill="FFFFFF"/>
            <w:noWrap/>
            <w:vAlign w:val="center"/>
          </w:tcPr>
          <w:p w14:paraId="1E165F33">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中医（民族）医院</w:t>
            </w:r>
          </w:p>
        </w:tc>
        <w:tc>
          <w:tcPr>
            <w:tcW w:w="660" w:type="pct"/>
            <w:tcBorders>
              <w:top w:val="nil"/>
              <w:left w:val="nil"/>
              <w:bottom w:val="single" w:color="auto" w:sz="4" w:space="0"/>
              <w:right w:val="single" w:color="auto" w:sz="4" w:space="0"/>
            </w:tcBorders>
            <w:shd w:val="clear" w:color="auto" w:fill="auto"/>
            <w:noWrap/>
            <w:vAlign w:val="center"/>
          </w:tcPr>
          <w:p w14:paraId="2FAE86A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2790.66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00E3D0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2790.66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ED6E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E42FD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8B72D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683C8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554C69E">
        <w:tblPrEx>
          <w:tblCellMar>
            <w:top w:w="0" w:type="dxa"/>
            <w:left w:w="108" w:type="dxa"/>
            <w:bottom w:w="0" w:type="dxa"/>
            <w:right w:w="108" w:type="dxa"/>
          </w:tblCellMar>
        </w:tblPrEx>
        <w:trPr>
          <w:trHeight w:val="595"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6AA0AB">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2100299</w:t>
            </w:r>
          </w:p>
        </w:tc>
        <w:tc>
          <w:tcPr>
            <w:tcW w:w="882" w:type="pct"/>
            <w:tcBorders>
              <w:top w:val="nil"/>
              <w:left w:val="nil"/>
              <w:bottom w:val="single" w:color="auto" w:sz="4" w:space="0"/>
              <w:right w:val="single" w:color="auto" w:sz="4" w:space="0"/>
            </w:tcBorders>
            <w:shd w:val="clear" w:color="000000" w:fill="FFFFFF"/>
            <w:noWrap/>
            <w:vAlign w:val="center"/>
          </w:tcPr>
          <w:p w14:paraId="29A9DC92">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其他公立医院支出</w:t>
            </w:r>
          </w:p>
        </w:tc>
        <w:tc>
          <w:tcPr>
            <w:tcW w:w="660" w:type="pct"/>
            <w:tcBorders>
              <w:top w:val="nil"/>
              <w:left w:val="nil"/>
              <w:bottom w:val="single" w:color="auto" w:sz="4" w:space="0"/>
              <w:right w:val="single" w:color="auto" w:sz="4" w:space="0"/>
            </w:tcBorders>
            <w:shd w:val="clear" w:color="auto" w:fill="auto"/>
            <w:noWrap/>
            <w:vAlign w:val="center"/>
          </w:tcPr>
          <w:p w14:paraId="5BFECD1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01FCA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80.00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F254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EEADA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F3F6B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A72ED5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30C8F6">
        <w:tblPrEx>
          <w:tblCellMar>
            <w:top w:w="0" w:type="dxa"/>
            <w:left w:w="108" w:type="dxa"/>
            <w:bottom w:w="0" w:type="dxa"/>
            <w:right w:w="108" w:type="dxa"/>
          </w:tblCellMar>
        </w:tblPrEx>
        <w:trPr>
          <w:trHeight w:val="595"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B327ED">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2100408</w:t>
            </w:r>
          </w:p>
        </w:tc>
        <w:tc>
          <w:tcPr>
            <w:tcW w:w="882" w:type="pct"/>
            <w:tcBorders>
              <w:top w:val="nil"/>
              <w:left w:val="nil"/>
              <w:bottom w:val="single" w:color="auto" w:sz="4" w:space="0"/>
              <w:right w:val="single" w:color="auto" w:sz="4" w:space="0"/>
            </w:tcBorders>
            <w:shd w:val="clear" w:color="000000" w:fill="FFFFFF"/>
            <w:noWrap/>
            <w:vAlign w:val="center"/>
          </w:tcPr>
          <w:p w14:paraId="7EBF8F3A">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基本公共卫生服务</w:t>
            </w:r>
          </w:p>
        </w:tc>
        <w:tc>
          <w:tcPr>
            <w:tcW w:w="660" w:type="pct"/>
            <w:tcBorders>
              <w:top w:val="nil"/>
              <w:left w:val="nil"/>
              <w:bottom w:val="single" w:color="auto" w:sz="4" w:space="0"/>
              <w:right w:val="single" w:color="auto" w:sz="4" w:space="0"/>
            </w:tcBorders>
            <w:shd w:val="clear" w:color="auto" w:fill="auto"/>
            <w:noWrap/>
            <w:vAlign w:val="center"/>
          </w:tcPr>
          <w:p w14:paraId="1BE0A59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28B81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9676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D4507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04BC5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305ED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82E164">
        <w:tblPrEx>
          <w:tblCellMar>
            <w:top w:w="0" w:type="dxa"/>
            <w:left w:w="108" w:type="dxa"/>
            <w:bottom w:w="0" w:type="dxa"/>
            <w:right w:w="108" w:type="dxa"/>
          </w:tblCellMar>
        </w:tblPrEx>
        <w:trPr>
          <w:trHeight w:val="595" w:hRule="atLeast"/>
          <w:jc w:val="center"/>
        </w:trPr>
        <w:tc>
          <w:tcPr>
            <w:tcW w:w="43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D940CA">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2120199</w:t>
            </w:r>
          </w:p>
        </w:tc>
        <w:tc>
          <w:tcPr>
            <w:tcW w:w="882" w:type="pct"/>
            <w:tcBorders>
              <w:top w:val="nil"/>
              <w:left w:val="nil"/>
              <w:bottom w:val="single" w:color="auto" w:sz="4" w:space="0"/>
              <w:right w:val="single" w:color="auto" w:sz="4" w:space="0"/>
            </w:tcBorders>
            <w:shd w:val="clear" w:color="000000" w:fill="FFFFFF"/>
            <w:noWrap/>
            <w:vAlign w:val="center"/>
          </w:tcPr>
          <w:p w14:paraId="075491DD">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其他城乡社区管理事务支出</w:t>
            </w:r>
          </w:p>
        </w:tc>
        <w:tc>
          <w:tcPr>
            <w:tcW w:w="660" w:type="pct"/>
            <w:tcBorders>
              <w:top w:val="nil"/>
              <w:left w:val="nil"/>
              <w:bottom w:val="single" w:color="auto" w:sz="4" w:space="0"/>
              <w:right w:val="single" w:color="auto" w:sz="4" w:space="0"/>
            </w:tcBorders>
            <w:shd w:val="clear" w:color="auto" w:fill="auto"/>
            <w:noWrap/>
            <w:vAlign w:val="center"/>
          </w:tcPr>
          <w:p w14:paraId="029B51A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150.00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F5752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150.00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DB4A0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C6932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BBB71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22970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84A62C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D436B2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43537F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BB154E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51346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30B55C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E1A904E">
      <w:pPr>
        <w:widowControl/>
        <w:tabs>
          <w:tab w:val="left" w:pos="3595"/>
          <w:tab w:val="left" w:pos="4031"/>
          <w:tab w:val="left" w:pos="5109"/>
          <w:tab w:val="left" w:pos="9152"/>
          <w:tab w:val="left" w:pos="9587"/>
          <w:tab w:val="left" w:pos="11160"/>
          <w:tab w:val="left" w:pos="12554"/>
          <w:tab w:val="left" w:pos="13948"/>
        </w:tabs>
        <w:ind w:firstLine="600" w:firstLineChars="3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会同县中医医院</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14:paraId="30A695F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DE4F4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66910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F0A44D8">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9139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317138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6E2C0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CE198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0B4027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519BB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D3A12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819AC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0CF41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4B757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FD44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1B550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D1315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4FC61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8776E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D688D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BFD70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5D77EA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74F03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53803F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31CA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6746E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B9502A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9A31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DF336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B1172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357C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0AF5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6FE9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41CF9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E1EC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6F9F6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DEA878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2D53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97252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AB361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0160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54B0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3FC7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68959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22DE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20E8E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F4A73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1011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A42E5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B56E4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2260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D592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CC9C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6BE09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7060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7F10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219B3B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D83B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1B0EDA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FBB6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F104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8633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6EAD2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09DA5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71D2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B848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4DBAB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CFFA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53F46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70A9C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A02A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FBF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05F5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E124A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CF75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1B7C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8FFEA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A8C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B95A1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68341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7A3B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6DEF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76F4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A5C7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8910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55FD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9ADB7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76E7D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EDCDA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4CE84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50C56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7DEF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85D5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91AB4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2F0D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D0BE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89664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875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B92D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56EA1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68F5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4A13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4659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2348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31997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CEA44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A261E6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7126C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176B8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B50FBA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57552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8DEE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B090D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4A9489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1AF6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94694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9E66E0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3006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6936A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9FE3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7605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9356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7260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0B858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E9DF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F8D36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3C66B8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ACDF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2627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F5F92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9841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6199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51B8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83C2D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55D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7A2C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9EED3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7DB5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F393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2D4841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B0EA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9458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43A4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97EB5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1E8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8936B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41544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6FC2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F8E2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30F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4EA3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41ED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D42F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90A2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8CE561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BB1CE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C8C61E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520F39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7D7EA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42A3F1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FF0043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250.12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F119A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4F6BD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AC28FA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D3497D0">
      <w:pPr>
        <w:widowControl/>
        <w:jc w:val="center"/>
        <w:rPr>
          <w:rFonts w:ascii="Times New Roman" w:hAnsi="Times New Roman" w:eastAsia="方正小标宋_GBK" w:cs="Times New Roman"/>
          <w:kern w:val="0"/>
          <w:sz w:val="36"/>
          <w:szCs w:val="36"/>
        </w:rPr>
      </w:pPr>
    </w:p>
    <w:p w14:paraId="2AF0BD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F3567D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会同县中医医院</w:t>
      </w:r>
      <w:r>
        <w:rPr>
          <w:rFonts w:ascii="Times New Roman" w:hAnsi="Times New Roman" w:eastAsia="仿宋_GB2312" w:cs="Times New Roman"/>
          <w:color w:val="000000"/>
          <w:kern w:val="0"/>
          <w:szCs w:val="21"/>
        </w:rPr>
        <w:t xml:space="preserve">                                                                                              公开05表</w:t>
      </w:r>
    </w:p>
    <w:p w14:paraId="0751022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C14780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D2EF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E0B86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61384D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297FC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3BD60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CA5FD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28994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8DCFE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7CBD37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6BB402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F7B573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E2E436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F26C7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AAC0D67">
            <w:pPr>
              <w:widowControl/>
              <w:jc w:val="left"/>
              <w:rPr>
                <w:rFonts w:ascii="Times New Roman" w:hAnsi="Times New Roman" w:eastAsia="仿宋_GB2312" w:cs="Times New Roman"/>
                <w:kern w:val="0"/>
                <w:szCs w:val="21"/>
              </w:rPr>
            </w:pPr>
          </w:p>
        </w:tc>
      </w:tr>
      <w:tr w14:paraId="6CA7EFB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A7323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CE36DA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D603A7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1F0BB3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8297855">
            <w:pPr>
              <w:widowControl/>
              <w:jc w:val="left"/>
              <w:rPr>
                <w:rFonts w:ascii="Times New Roman" w:hAnsi="Times New Roman" w:eastAsia="仿宋_GB2312" w:cs="Times New Roman"/>
                <w:kern w:val="0"/>
                <w:szCs w:val="21"/>
              </w:rPr>
            </w:pPr>
          </w:p>
        </w:tc>
      </w:tr>
      <w:tr w14:paraId="5EF8257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4885D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8B264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79D70F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A6BF9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881F9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99FA9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A1143E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7EABA8A">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5A79B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15406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6021E5">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E01356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098613C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14.12</w:t>
            </w:r>
          </w:p>
        </w:tc>
        <w:tc>
          <w:tcPr>
            <w:tcW w:w="3492" w:type="dxa"/>
            <w:tcBorders>
              <w:top w:val="nil"/>
              <w:left w:val="nil"/>
              <w:bottom w:val="single" w:color="auto" w:sz="4" w:space="0"/>
              <w:right w:val="single" w:color="auto" w:sz="4" w:space="0"/>
            </w:tcBorders>
            <w:shd w:val="clear" w:color="auto" w:fill="auto"/>
            <w:vAlign w:val="center"/>
          </w:tcPr>
          <w:p w14:paraId="7484284D">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14.12</w:t>
            </w:r>
          </w:p>
        </w:tc>
        <w:tc>
          <w:tcPr>
            <w:tcW w:w="3000" w:type="dxa"/>
            <w:tcBorders>
              <w:top w:val="nil"/>
              <w:left w:val="nil"/>
              <w:bottom w:val="single" w:color="auto" w:sz="4" w:space="0"/>
              <w:right w:val="single" w:color="auto" w:sz="8" w:space="0"/>
            </w:tcBorders>
            <w:shd w:val="clear" w:color="auto" w:fill="auto"/>
            <w:vAlign w:val="center"/>
          </w:tcPr>
          <w:p w14:paraId="677D067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DFE5A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B142F7">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2100299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D5CDE4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其他公立医院支出</w:t>
            </w:r>
          </w:p>
        </w:tc>
        <w:tc>
          <w:tcPr>
            <w:tcW w:w="3000" w:type="dxa"/>
            <w:tcBorders>
              <w:top w:val="nil"/>
              <w:left w:val="nil"/>
              <w:bottom w:val="single" w:color="auto" w:sz="4" w:space="0"/>
              <w:right w:val="single" w:color="auto" w:sz="4" w:space="0"/>
            </w:tcBorders>
            <w:shd w:val="clear" w:color="auto" w:fill="auto"/>
            <w:vAlign w:val="center"/>
          </w:tcPr>
          <w:p w14:paraId="0419488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80.00</w:t>
            </w:r>
          </w:p>
        </w:tc>
        <w:tc>
          <w:tcPr>
            <w:tcW w:w="3492" w:type="dxa"/>
            <w:tcBorders>
              <w:top w:val="nil"/>
              <w:left w:val="nil"/>
              <w:bottom w:val="single" w:color="auto" w:sz="4" w:space="0"/>
              <w:right w:val="single" w:color="auto" w:sz="4" w:space="0"/>
            </w:tcBorders>
            <w:shd w:val="clear" w:color="auto" w:fill="auto"/>
            <w:vAlign w:val="center"/>
          </w:tcPr>
          <w:p w14:paraId="0F7CA2D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80.00</w:t>
            </w:r>
          </w:p>
        </w:tc>
        <w:tc>
          <w:tcPr>
            <w:tcW w:w="3000" w:type="dxa"/>
            <w:tcBorders>
              <w:top w:val="nil"/>
              <w:left w:val="nil"/>
              <w:bottom w:val="single" w:color="auto" w:sz="4" w:space="0"/>
              <w:right w:val="single" w:color="auto" w:sz="8" w:space="0"/>
            </w:tcBorders>
            <w:shd w:val="clear" w:color="auto" w:fill="auto"/>
            <w:vAlign w:val="center"/>
          </w:tcPr>
          <w:p w14:paraId="3FC760B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429E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6463E2">
            <w:pPr>
              <w:widowControl/>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2100408</w:t>
            </w:r>
          </w:p>
        </w:tc>
        <w:tc>
          <w:tcPr>
            <w:tcW w:w="3527" w:type="dxa"/>
            <w:tcBorders>
              <w:top w:val="nil"/>
              <w:left w:val="nil"/>
              <w:bottom w:val="single" w:color="auto" w:sz="4" w:space="0"/>
              <w:right w:val="single" w:color="auto" w:sz="4" w:space="0"/>
            </w:tcBorders>
            <w:shd w:val="clear" w:color="auto" w:fill="auto"/>
            <w:vAlign w:val="center"/>
          </w:tcPr>
          <w:p w14:paraId="46812F2C">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基本公共卫生服务</w:t>
            </w:r>
          </w:p>
        </w:tc>
        <w:tc>
          <w:tcPr>
            <w:tcW w:w="3000" w:type="dxa"/>
            <w:tcBorders>
              <w:top w:val="nil"/>
              <w:left w:val="nil"/>
              <w:bottom w:val="single" w:color="auto" w:sz="4" w:space="0"/>
              <w:right w:val="single" w:color="auto" w:sz="4" w:space="0"/>
            </w:tcBorders>
            <w:shd w:val="clear" w:color="auto" w:fill="auto"/>
            <w:vAlign w:val="center"/>
          </w:tcPr>
          <w:p w14:paraId="21F7DB86">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6.00</w:t>
            </w:r>
          </w:p>
        </w:tc>
        <w:tc>
          <w:tcPr>
            <w:tcW w:w="3492" w:type="dxa"/>
            <w:tcBorders>
              <w:top w:val="nil"/>
              <w:left w:val="nil"/>
              <w:bottom w:val="single" w:color="auto" w:sz="4" w:space="0"/>
              <w:right w:val="single" w:color="auto" w:sz="4" w:space="0"/>
            </w:tcBorders>
            <w:shd w:val="clear" w:color="auto" w:fill="auto"/>
            <w:vAlign w:val="center"/>
          </w:tcPr>
          <w:p w14:paraId="37EE07D6">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6.00</w:t>
            </w:r>
          </w:p>
        </w:tc>
        <w:tc>
          <w:tcPr>
            <w:tcW w:w="3000" w:type="dxa"/>
            <w:tcBorders>
              <w:top w:val="nil"/>
              <w:left w:val="nil"/>
              <w:bottom w:val="single" w:color="auto" w:sz="4" w:space="0"/>
              <w:right w:val="single" w:color="auto" w:sz="8" w:space="0"/>
            </w:tcBorders>
            <w:shd w:val="clear" w:color="auto" w:fill="auto"/>
            <w:vAlign w:val="center"/>
          </w:tcPr>
          <w:p w14:paraId="663256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44476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B38FE4">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2120199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75B849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其他城乡社区管理事务支出</w:t>
            </w:r>
          </w:p>
        </w:tc>
        <w:tc>
          <w:tcPr>
            <w:tcW w:w="3000" w:type="dxa"/>
            <w:tcBorders>
              <w:top w:val="nil"/>
              <w:left w:val="nil"/>
              <w:bottom w:val="single" w:color="auto" w:sz="4" w:space="0"/>
              <w:right w:val="single" w:color="auto" w:sz="4" w:space="0"/>
            </w:tcBorders>
            <w:shd w:val="clear" w:color="auto" w:fill="auto"/>
            <w:vAlign w:val="center"/>
          </w:tcPr>
          <w:p w14:paraId="160CA47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150.00</w:t>
            </w:r>
          </w:p>
        </w:tc>
        <w:tc>
          <w:tcPr>
            <w:tcW w:w="3492" w:type="dxa"/>
            <w:tcBorders>
              <w:top w:val="nil"/>
              <w:left w:val="nil"/>
              <w:bottom w:val="single" w:color="auto" w:sz="4" w:space="0"/>
              <w:right w:val="single" w:color="auto" w:sz="4" w:space="0"/>
            </w:tcBorders>
            <w:shd w:val="clear" w:color="auto" w:fill="auto"/>
            <w:vAlign w:val="center"/>
          </w:tcPr>
          <w:p w14:paraId="0C8C961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150.00</w:t>
            </w:r>
          </w:p>
        </w:tc>
        <w:tc>
          <w:tcPr>
            <w:tcW w:w="3000" w:type="dxa"/>
            <w:tcBorders>
              <w:top w:val="nil"/>
              <w:left w:val="nil"/>
              <w:bottom w:val="single" w:color="auto" w:sz="4" w:space="0"/>
              <w:right w:val="single" w:color="auto" w:sz="8" w:space="0"/>
            </w:tcBorders>
            <w:shd w:val="clear" w:color="auto" w:fill="auto"/>
            <w:vAlign w:val="center"/>
          </w:tcPr>
          <w:p w14:paraId="3784F8A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9E1EE5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9053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46272A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8B60A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BCA8C6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5BCD59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A94C8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05F3B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7D6FFA0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475D2D9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11132D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A9E85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CC0306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4D922F5">
      <w:pPr>
        <w:widowControl/>
        <w:jc w:val="left"/>
        <w:rPr>
          <w:rFonts w:ascii="Times New Roman" w:hAnsi="Times New Roman" w:eastAsia="仿宋_GB2312" w:cs="Times New Roman"/>
          <w:bCs/>
          <w:kern w:val="0"/>
          <w:szCs w:val="21"/>
        </w:rPr>
      </w:pPr>
    </w:p>
    <w:p w14:paraId="51A3DE6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0FC959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708316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39EDCB8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59"/>
        <w:gridCol w:w="1058"/>
        <w:gridCol w:w="3517"/>
        <w:gridCol w:w="929"/>
      </w:tblGrid>
      <w:tr w14:paraId="2B7940F3">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20020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CC6750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558B86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798C9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C2BBCA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2" w:type="dxa"/>
            <w:gridSpan w:val="2"/>
            <w:tcBorders>
              <w:top w:val="single" w:color="auto" w:sz="4" w:space="0"/>
              <w:left w:val="nil"/>
              <w:bottom w:val="single" w:color="auto" w:sz="4" w:space="0"/>
              <w:right w:val="single" w:color="auto" w:sz="4" w:space="0"/>
            </w:tcBorders>
            <w:shd w:val="clear" w:color="auto" w:fill="auto"/>
            <w:vAlign w:val="center"/>
          </w:tcPr>
          <w:p w14:paraId="20A7DF1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58" w:type="dxa"/>
            <w:tcBorders>
              <w:top w:val="single" w:color="auto" w:sz="4" w:space="0"/>
              <w:left w:val="nil"/>
              <w:bottom w:val="single" w:color="auto" w:sz="4" w:space="0"/>
              <w:right w:val="single" w:color="auto" w:sz="4" w:space="0"/>
            </w:tcBorders>
            <w:shd w:val="clear" w:color="auto" w:fill="auto"/>
            <w:vAlign w:val="center"/>
          </w:tcPr>
          <w:p w14:paraId="2FC5FD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65B5F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498E7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DF171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F9AA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C799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7DCC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598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E5FF6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9BFAB7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250.12</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1122250250.12</w:t>
            </w:r>
          </w:p>
        </w:tc>
        <w:tc>
          <w:tcPr>
            <w:tcW w:w="1217" w:type="dxa"/>
            <w:gridSpan w:val="2"/>
            <w:tcBorders>
              <w:top w:val="nil"/>
              <w:left w:val="nil"/>
              <w:bottom w:val="single" w:color="auto" w:sz="4" w:space="0"/>
              <w:right w:val="single" w:color="auto" w:sz="4" w:space="0"/>
            </w:tcBorders>
            <w:shd w:val="clear" w:color="auto" w:fill="auto"/>
            <w:noWrap/>
            <w:vAlign w:val="center"/>
          </w:tcPr>
          <w:p w14:paraId="2FA15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3B36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6DF5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7641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E07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2854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BC59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7AA3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8B52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B1BE2C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4B543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30E0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DF36D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2FAC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DF7B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76BD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718E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A3AE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5DE43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6595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371AD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BBF1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D30B2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51AD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DACD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F82D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5BBD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E7D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3705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2A97D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6911F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13F2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01F1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7060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0990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1C77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80F7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121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9B19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E1BAA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2CCBE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F63C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6FAA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EBA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FF66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753FE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9A51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A54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5D5A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D5B3D6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60C797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2A69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B93D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1B93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099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7498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75C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720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EEADA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1ED5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7CF77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C7B4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63A1E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0759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4CB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1808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B085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ECAC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609BE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86F45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26D73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FD95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0636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8C69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704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3EC8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BF10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EAF6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3061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266B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79EFC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02F4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B3DD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4090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244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F64B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4F30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CC3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D1911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8D3C8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657E82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D5DA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BDF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F456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BBE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4CE4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5893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A0A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1286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E916BA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4.21</w:t>
            </w:r>
          </w:p>
        </w:tc>
        <w:tc>
          <w:tcPr>
            <w:tcW w:w="1217" w:type="dxa"/>
            <w:gridSpan w:val="2"/>
            <w:tcBorders>
              <w:top w:val="nil"/>
              <w:left w:val="nil"/>
              <w:bottom w:val="single" w:color="auto" w:sz="4" w:space="0"/>
              <w:right w:val="single" w:color="auto" w:sz="4" w:space="0"/>
            </w:tcBorders>
            <w:shd w:val="clear" w:color="auto" w:fill="auto"/>
            <w:noWrap/>
            <w:vAlign w:val="center"/>
          </w:tcPr>
          <w:p w14:paraId="5F778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403E3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A9E88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E620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27EB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458D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8872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0937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43A56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6AFBC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1F2BB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AE42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D92C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508BE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0CC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44FF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AFB5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A1F1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7356A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FC470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03CB4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C060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DDD0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37DC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F42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F94A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8C8B5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47B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6F29D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25FAD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6DC64B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07B7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57B27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A430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8D5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E3B6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50AD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C0B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C1BC9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20BE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082C1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CF65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A324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A183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71A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F90A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C5B7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EEB9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18739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69B5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33AEB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10420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61F2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C173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943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FB84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208CD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4A47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31B0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AE50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4DD42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D3BD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9C288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B4ED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8F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41CA1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2A51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D5C1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FED9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BCD98F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230.00</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22230230.00</w:t>
            </w:r>
          </w:p>
        </w:tc>
        <w:tc>
          <w:tcPr>
            <w:tcW w:w="1217" w:type="dxa"/>
            <w:gridSpan w:val="2"/>
            <w:tcBorders>
              <w:top w:val="nil"/>
              <w:left w:val="nil"/>
              <w:bottom w:val="single" w:color="auto" w:sz="4" w:space="0"/>
              <w:right w:val="single" w:color="auto" w:sz="4" w:space="0"/>
            </w:tcBorders>
            <w:shd w:val="clear" w:color="auto" w:fill="auto"/>
            <w:noWrap/>
            <w:vAlign w:val="center"/>
          </w:tcPr>
          <w:p w14:paraId="1BEBE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D917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2F75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9BB5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325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DA51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BC09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A6E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B343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0AFA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707F1E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1B57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EA317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BA8E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5AA2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050C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0E87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3412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DEED0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5E036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07F54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89D8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5AC18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6C20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EBF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74CE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55BBC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8341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0BA81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EB35F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05E675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A6B0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B87E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EE3C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92F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E7B43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43DA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6873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2A984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AD73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1E4F2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5836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CFDB6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DE03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E0A0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233C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7257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6ABE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9418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9BE0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5367E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F893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7AB3F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46C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513A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D9C2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3FBC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14A8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0F4A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12C9FD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14.12</w:t>
            </w:r>
          </w:p>
        </w:tc>
        <w:tc>
          <w:tcPr>
            <w:tcW w:w="1217" w:type="dxa"/>
            <w:gridSpan w:val="2"/>
            <w:tcBorders>
              <w:top w:val="nil"/>
              <w:left w:val="nil"/>
              <w:bottom w:val="single" w:color="auto" w:sz="4" w:space="0"/>
              <w:right w:val="single" w:color="auto" w:sz="4" w:space="0"/>
            </w:tcBorders>
            <w:shd w:val="clear" w:color="auto" w:fill="auto"/>
            <w:noWrap/>
            <w:vAlign w:val="center"/>
          </w:tcPr>
          <w:p w14:paraId="61C55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77AA7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708C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45A535D">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437DAA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11E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C175D7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47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390E95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CA8B65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8B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C050E1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17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5F28DFA">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7C49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F98A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D4CD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5B711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3B6D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8FFE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AC6C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47DF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5E3C2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08F3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F37E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8691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9DD1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6523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490C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CBE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DAF1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049B8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277FA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17499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7772F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F35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5CA0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5EB55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2F0D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1E61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246E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F1E92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gridSpan w:val="2"/>
            <w:tcBorders>
              <w:top w:val="nil"/>
              <w:left w:val="nil"/>
              <w:bottom w:val="single" w:color="auto" w:sz="4" w:space="0"/>
              <w:right w:val="single" w:color="auto" w:sz="4" w:space="0"/>
            </w:tcBorders>
            <w:shd w:val="clear" w:color="auto" w:fill="auto"/>
            <w:noWrap/>
            <w:vAlign w:val="center"/>
          </w:tcPr>
          <w:p w14:paraId="2135B0B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A80603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8C1F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F56B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A1E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B161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FFDD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36D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9E7D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1AAB38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1.79</w:t>
            </w:r>
          </w:p>
        </w:tc>
        <w:tc>
          <w:tcPr>
            <w:tcW w:w="1217" w:type="dxa"/>
            <w:gridSpan w:val="2"/>
            <w:tcBorders>
              <w:top w:val="nil"/>
              <w:left w:val="nil"/>
              <w:bottom w:val="single" w:color="auto" w:sz="4" w:space="0"/>
              <w:right w:val="single" w:color="auto" w:sz="4" w:space="0"/>
            </w:tcBorders>
            <w:shd w:val="clear" w:color="auto" w:fill="auto"/>
            <w:noWrap/>
            <w:vAlign w:val="center"/>
          </w:tcPr>
          <w:p w14:paraId="2A815DA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81E49A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685D7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5C095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0CBD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460C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6"/>
            <w:tcBorders>
              <w:top w:val="single" w:color="auto" w:sz="4" w:space="0"/>
              <w:left w:val="nil"/>
              <w:bottom w:val="single" w:color="auto" w:sz="4" w:space="0"/>
              <w:right w:val="single" w:color="auto" w:sz="4" w:space="0"/>
            </w:tcBorders>
            <w:shd w:val="clear" w:color="auto" w:fill="auto"/>
            <w:noWrap/>
            <w:vAlign w:val="center"/>
          </w:tcPr>
          <w:p w14:paraId="183F92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D938A3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250.12</w:t>
            </w:r>
            <w:r>
              <w:rPr>
                <w:rFonts w:ascii="Times New Roman" w:hAnsi="Times New Roman" w:eastAsia="仿宋_GB2312" w:cs="Times New Roman"/>
                <w:color w:val="000000"/>
                <w:kern w:val="0"/>
                <w:szCs w:val="18"/>
              </w:rPr>
              <w:t>　</w:t>
            </w:r>
          </w:p>
        </w:tc>
      </w:tr>
    </w:tbl>
    <w:p w14:paraId="1EEF90E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8B0BF75">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442730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D83A33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EEFB9B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B1C58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255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E48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0E4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623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7E3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B1B0DF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7CE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DD1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25EB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B992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B39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9CA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9C5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45BE">
            <w:pPr>
              <w:widowControl/>
              <w:jc w:val="center"/>
              <w:rPr>
                <w:rFonts w:ascii="Times New Roman" w:hAnsi="Times New Roman" w:eastAsia="仿宋_GB2312" w:cs="Times New Roman"/>
                <w:color w:val="000000"/>
                <w:sz w:val="24"/>
                <w:szCs w:val="24"/>
              </w:rPr>
            </w:pPr>
          </w:p>
        </w:tc>
      </w:tr>
      <w:tr w14:paraId="7583D4C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9515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EA0A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4D7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6CC0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C7F0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3D7E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EF4F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940AD">
            <w:pPr>
              <w:jc w:val="center"/>
              <w:rPr>
                <w:rFonts w:ascii="Times New Roman" w:hAnsi="Times New Roman" w:eastAsia="仿宋_GB2312" w:cs="Times New Roman"/>
                <w:color w:val="000000"/>
                <w:sz w:val="24"/>
                <w:szCs w:val="24"/>
              </w:rPr>
            </w:pPr>
          </w:p>
        </w:tc>
      </w:tr>
      <w:tr w14:paraId="4BD675E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3CE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B1D5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797E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23AE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EF2A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B71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FE97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E3AA2">
            <w:pPr>
              <w:jc w:val="center"/>
              <w:rPr>
                <w:rFonts w:ascii="Times New Roman" w:hAnsi="Times New Roman" w:eastAsia="仿宋_GB2312" w:cs="Times New Roman"/>
                <w:color w:val="000000"/>
                <w:sz w:val="24"/>
                <w:szCs w:val="24"/>
              </w:rPr>
            </w:pPr>
          </w:p>
        </w:tc>
      </w:tr>
      <w:tr w14:paraId="5FCB184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245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02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8F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AA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07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C8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3B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6903E5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9B9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04E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865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7EE9">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690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1CF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6586">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615B673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367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839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A0F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26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850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CB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88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B4B9">
            <w:pPr>
              <w:rPr>
                <w:rFonts w:ascii="Times New Roman" w:hAnsi="Times New Roman" w:eastAsia="仿宋_GB2312" w:cs="Times New Roman"/>
                <w:color w:val="000000"/>
                <w:sz w:val="24"/>
                <w:szCs w:val="24"/>
              </w:rPr>
            </w:pPr>
          </w:p>
        </w:tc>
      </w:tr>
      <w:tr w14:paraId="75E00B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F49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594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F5D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893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5BD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EC1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B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CE84">
            <w:pPr>
              <w:rPr>
                <w:rFonts w:ascii="Times New Roman" w:hAnsi="Times New Roman" w:eastAsia="仿宋_GB2312" w:cs="Times New Roman"/>
                <w:color w:val="000000"/>
                <w:sz w:val="24"/>
                <w:szCs w:val="24"/>
              </w:rPr>
            </w:pPr>
          </w:p>
        </w:tc>
      </w:tr>
      <w:tr w14:paraId="5A51A2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EFB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217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9E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88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876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61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C44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C8D">
            <w:pPr>
              <w:rPr>
                <w:rFonts w:ascii="Times New Roman" w:hAnsi="Times New Roman" w:eastAsia="仿宋_GB2312" w:cs="Times New Roman"/>
                <w:color w:val="000000"/>
                <w:sz w:val="24"/>
                <w:szCs w:val="24"/>
              </w:rPr>
            </w:pPr>
          </w:p>
        </w:tc>
      </w:tr>
      <w:tr w14:paraId="3AB2EA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E3B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A1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36B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8C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2B8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AC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19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3AD8">
            <w:pPr>
              <w:rPr>
                <w:rFonts w:ascii="Times New Roman" w:hAnsi="Times New Roman" w:eastAsia="仿宋_GB2312" w:cs="Times New Roman"/>
                <w:color w:val="000000"/>
                <w:sz w:val="24"/>
                <w:szCs w:val="24"/>
              </w:rPr>
            </w:pPr>
          </w:p>
        </w:tc>
      </w:tr>
      <w:tr w14:paraId="377C7D3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BB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2CF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00F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7F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AF3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C3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0B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DA6B">
            <w:pPr>
              <w:rPr>
                <w:rFonts w:ascii="Times New Roman" w:hAnsi="Times New Roman" w:eastAsia="仿宋_GB2312" w:cs="Times New Roman"/>
                <w:color w:val="000000"/>
                <w:sz w:val="24"/>
                <w:szCs w:val="24"/>
              </w:rPr>
            </w:pPr>
          </w:p>
        </w:tc>
      </w:tr>
      <w:tr w14:paraId="0FED001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8A0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3E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235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44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6E2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E60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E8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6C29">
            <w:pPr>
              <w:rPr>
                <w:rFonts w:ascii="Times New Roman" w:hAnsi="Times New Roman" w:eastAsia="仿宋_GB2312" w:cs="Times New Roman"/>
                <w:color w:val="000000"/>
                <w:sz w:val="24"/>
                <w:szCs w:val="24"/>
              </w:rPr>
            </w:pPr>
          </w:p>
        </w:tc>
      </w:tr>
    </w:tbl>
    <w:p w14:paraId="7BC7A9A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2FBB011">
      <w:pPr>
        <w:widowControl/>
        <w:jc w:val="left"/>
        <w:textAlignment w:val="center"/>
        <w:rPr>
          <w:rFonts w:ascii="Times New Roman" w:hAnsi="Times New Roman" w:eastAsia="仿宋_GB2312" w:cs="Times New Roman"/>
          <w:color w:val="000000"/>
          <w:kern w:val="0"/>
          <w:sz w:val="24"/>
          <w:szCs w:val="24"/>
          <w:lang w:bidi="ar"/>
        </w:rPr>
      </w:pPr>
    </w:p>
    <w:p w14:paraId="281F5836">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41A8FB7">
      <w:pPr>
        <w:widowControl/>
        <w:jc w:val="center"/>
        <w:rPr>
          <w:rFonts w:ascii="Times New Roman" w:hAnsi="Times New Roman" w:eastAsia="方正小标宋_GBK" w:cs="Times New Roman"/>
          <w:color w:val="000000"/>
          <w:kern w:val="0"/>
          <w:sz w:val="36"/>
          <w:szCs w:val="36"/>
        </w:rPr>
      </w:pPr>
    </w:p>
    <w:p w14:paraId="0F204BA6">
      <w:pPr>
        <w:widowControl/>
        <w:spacing w:line="400" w:lineRule="exact"/>
        <w:textAlignment w:val="center"/>
        <w:rPr>
          <w:rFonts w:ascii="Times New Roman" w:hAnsi="Times New Roman" w:eastAsia="黑体" w:cs="Times New Roman"/>
          <w:color w:val="000000"/>
          <w:kern w:val="0"/>
          <w:sz w:val="36"/>
          <w:szCs w:val="36"/>
          <w:lang w:bidi="ar"/>
        </w:rPr>
      </w:pPr>
    </w:p>
    <w:p w14:paraId="42D23D2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8CDCDC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65D02F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30F86B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D32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942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4BBDC4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A6E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E85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A65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6D0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CBB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03CF2B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9E5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1AE0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525A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B7C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5D6EB">
            <w:pPr>
              <w:jc w:val="center"/>
              <w:rPr>
                <w:rFonts w:ascii="Times New Roman" w:hAnsi="Times New Roman" w:eastAsia="仿宋_GB2312" w:cs="Times New Roman"/>
                <w:color w:val="000000"/>
                <w:sz w:val="24"/>
                <w:szCs w:val="24"/>
              </w:rPr>
            </w:pPr>
          </w:p>
        </w:tc>
      </w:tr>
      <w:tr w14:paraId="2E55E55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6FA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F52A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F58D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131E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C8032">
            <w:pPr>
              <w:jc w:val="center"/>
              <w:rPr>
                <w:rFonts w:ascii="Times New Roman" w:hAnsi="Times New Roman" w:eastAsia="仿宋_GB2312" w:cs="Times New Roman"/>
                <w:color w:val="000000"/>
                <w:sz w:val="24"/>
                <w:szCs w:val="24"/>
              </w:rPr>
            </w:pPr>
          </w:p>
        </w:tc>
      </w:tr>
      <w:tr w14:paraId="2019D95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701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6F9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085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4C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00A0DB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B67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7032">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0678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626F">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62C3BD7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9B8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8834">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D3F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C94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A6D3">
            <w:pPr>
              <w:rPr>
                <w:rFonts w:ascii="Times New Roman" w:hAnsi="Times New Roman" w:eastAsia="仿宋_GB2312" w:cs="Times New Roman"/>
                <w:color w:val="000000"/>
                <w:sz w:val="24"/>
                <w:szCs w:val="24"/>
              </w:rPr>
            </w:pPr>
          </w:p>
        </w:tc>
      </w:tr>
      <w:tr w14:paraId="1FF7C05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976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CF31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1109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605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223B">
            <w:pPr>
              <w:rPr>
                <w:rFonts w:ascii="Times New Roman" w:hAnsi="Times New Roman" w:eastAsia="仿宋_GB2312" w:cs="Times New Roman"/>
                <w:color w:val="000000"/>
                <w:sz w:val="24"/>
                <w:szCs w:val="24"/>
              </w:rPr>
            </w:pPr>
          </w:p>
        </w:tc>
      </w:tr>
      <w:tr w14:paraId="2237ED8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60F6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BB5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B87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41D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025C">
            <w:pPr>
              <w:rPr>
                <w:rFonts w:ascii="Times New Roman" w:hAnsi="Times New Roman" w:eastAsia="宋体" w:cs="Times New Roman"/>
                <w:color w:val="000000"/>
                <w:sz w:val="24"/>
                <w:szCs w:val="24"/>
              </w:rPr>
            </w:pPr>
          </w:p>
        </w:tc>
      </w:tr>
      <w:tr w14:paraId="044C50E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C40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D43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FE8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3CC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972C3">
            <w:pPr>
              <w:rPr>
                <w:rFonts w:ascii="Times New Roman" w:hAnsi="Times New Roman" w:eastAsia="宋体" w:cs="Times New Roman"/>
                <w:color w:val="000000"/>
                <w:sz w:val="24"/>
                <w:szCs w:val="24"/>
              </w:rPr>
            </w:pPr>
          </w:p>
        </w:tc>
      </w:tr>
      <w:tr w14:paraId="40EF9A4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6E5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032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203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AD88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4103">
            <w:pPr>
              <w:rPr>
                <w:rFonts w:ascii="Times New Roman" w:hAnsi="Times New Roman" w:eastAsia="宋体" w:cs="Times New Roman"/>
                <w:color w:val="000000"/>
                <w:sz w:val="24"/>
                <w:szCs w:val="24"/>
              </w:rPr>
            </w:pPr>
          </w:p>
        </w:tc>
      </w:tr>
      <w:tr w14:paraId="75B89FF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9960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0C2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169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01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AD1DC">
            <w:pPr>
              <w:rPr>
                <w:rFonts w:ascii="Times New Roman" w:hAnsi="Times New Roman" w:eastAsia="宋体" w:cs="Times New Roman"/>
                <w:color w:val="000000"/>
                <w:sz w:val="24"/>
                <w:szCs w:val="24"/>
              </w:rPr>
            </w:pPr>
          </w:p>
        </w:tc>
      </w:tr>
    </w:tbl>
    <w:p w14:paraId="7A3C6EC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D294BEB">
      <w:pPr>
        <w:widowControl/>
        <w:jc w:val="left"/>
        <w:textAlignment w:val="center"/>
        <w:rPr>
          <w:rFonts w:ascii="Times New Roman" w:hAnsi="Times New Roman" w:eastAsia="宋体" w:cs="Times New Roman"/>
          <w:color w:val="000000"/>
          <w:kern w:val="0"/>
          <w:sz w:val="24"/>
          <w:szCs w:val="24"/>
          <w:lang w:bidi="ar"/>
        </w:rPr>
      </w:pPr>
    </w:p>
    <w:p w14:paraId="4359F2E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9AA0490">
      <w:pPr>
        <w:widowControl/>
        <w:jc w:val="center"/>
        <w:rPr>
          <w:rFonts w:ascii="Times New Roman" w:hAnsi="Times New Roman" w:eastAsia="方正小标宋_GBK" w:cs="Times New Roman"/>
          <w:color w:val="000000"/>
          <w:kern w:val="0"/>
          <w:sz w:val="36"/>
          <w:szCs w:val="36"/>
        </w:rPr>
      </w:pPr>
    </w:p>
    <w:p w14:paraId="152D0037">
      <w:pPr>
        <w:pStyle w:val="2"/>
        <w:spacing w:line="400" w:lineRule="exact"/>
        <w:rPr>
          <w:rFonts w:ascii="Times New Roman" w:hAnsi="Times New Roman" w:eastAsia="华文中宋" w:cs="Times New Roman"/>
          <w:color w:val="000000"/>
          <w:kern w:val="0"/>
          <w:sz w:val="32"/>
          <w:szCs w:val="32"/>
          <w:lang w:bidi="ar"/>
        </w:rPr>
      </w:pPr>
    </w:p>
    <w:p w14:paraId="1992B69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28604A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7CCA9B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014E98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EA9A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99B2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9E0D6C1">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D41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AA0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D99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EB3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814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B0A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193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A19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4080BB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6B0A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F1A32">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77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FB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FA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BDA89">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E9B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5CB5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6B1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F8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D5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D3BC1">
            <w:pPr>
              <w:jc w:val="center"/>
              <w:rPr>
                <w:rFonts w:ascii="Times New Roman" w:hAnsi="Times New Roman" w:eastAsia="仿宋_GB2312" w:cs="Times New Roman"/>
                <w:color w:val="000000"/>
                <w:sz w:val="22"/>
              </w:rPr>
            </w:pPr>
          </w:p>
        </w:tc>
      </w:tr>
      <w:tr w14:paraId="71C8120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E3E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EE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DE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7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0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7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CF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60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DC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73A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46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E0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64BF04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67E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4F8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15A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772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5769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76C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7A6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B21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132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FA1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28AF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D25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517A056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1BC8163">
      <w:pPr>
        <w:autoSpaceDE w:val="0"/>
        <w:autoSpaceDN w:val="0"/>
        <w:adjustRightInd w:val="0"/>
        <w:ind w:left="315" w:leftChars="150"/>
        <w:jc w:val="left"/>
        <w:rPr>
          <w:rFonts w:ascii="Times New Roman" w:hAnsi="Times New Roman" w:eastAsia="宋体" w:cs="Times New Roman"/>
          <w:kern w:val="0"/>
          <w:sz w:val="24"/>
          <w:szCs w:val="24"/>
        </w:rPr>
      </w:pPr>
    </w:p>
    <w:p w14:paraId="691F0CD9">
      <w:pPr>
        <w:autoSpaceDE w:val="0"/>
        <w:autoSpaceDN w:val="0"/>
        <w:adjustRightInd w:val="0"/>
        <w:ind w:left="315" w:leftChars="150"/>
        <w:jc w:val="left"/>
        <w:rPr>
          <w:rFonts w:ascii="Times New Roman" w:hAnsi="Times New Roman" w:eastAsia="宋体" w:cs="Times New Roman"/>
          <w:kern w:val="0"/>
          <w:sz w:val="24"/>
          <w:szCs w:val="24"/>
        </w:rPr>
      </w:pPr>
    </w:p>
    <w:p w14:paraId="4FBF37D6">
      <w:pPr>
        <w:autoSpaceDE w:val="0"/>
        <w:autoSpaceDN w:val="0"/>
        <w:adjustRightInd w:val="0"/>
        <w:ind w:left="315" w:leftChars="150"/>
        <w:jc w:val="left"/>
        <w:rPr>
          <w:rFonts w:ascii="Times New Roman" w:hAnsi="Times New Roman" w:eastAsia="宋体" w:cs="Times New Roman"/>
          <w:kern w:val="0"/>
          <w:sz w:val="24"/>
          <w:szCs w:val="24"/>
        </w:rPr>
      </w:pPr>
    </w:p>
    <w:p w14:paraId="53B2EF90">
      <w:pPr>
        <w:autoSpaceDE w:val="0"/>
        <w:autoSpaceDN w:val="0"/>
        <w:adjustRightInd w:val="0"/>
        <w:ind w:left="315" w:leftChars="150"/>
        <w:jc w:val="left"/>
        <w:rPr>
          <w:rFonts w:ascii="Times New Roman" w:hAnsi="Times New Roman" w:eastAsia="宋体" w:cs="Times New Roman"/>
          <w:kern w:val="0"/>
          <w:sz w:val="24"/>
          <w:szCs w:val="24"/>
        </w:rPr>
      </w:pPr>
    </w:p>
    <w:p w14:paraId="39A08A3E">
      <w:pPr>
        <w:autoSpaceDE w:val="0"/>
        <w:autoSpaceDN w:val="0"/>
        <w:adjustRightInd w:val="0"/>
        <w:ind w:left="315" w:leftChars="150"/>
        <w:jc w:val="left"/>
        <w:rPr>
          <w:rFonts w:ascii="Times New Roman" w:hAnsi="Times New Roman" w:eastAsia="宋体" w:cs="Times New Roman"/>
          <w:kern w:val="0"/>
          <w:sz w:val="24"/>
          <w:szCs w:val="24"/>
        </w:rPr>
      </w:pPr>
    </w:p>
    <w:p w14:paraId="2EC5E1A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1B7167E">
      <w:pPr>
        <w:pStyle w:val="12"/>
        <w:rPr>
          <w:rFonts w:ascii="Times New Roman" w:hAnsi="Times New Roman" w:cs="Times New Roman"/>
          <w:sz w:val="72"/>
          <w:szCs w:val="72"/>
        </w:rPr>
      </w:pPr>
    </w:p>
    <w:p w14:paraId="5B1150F5">
      <w:pPr>
        <w:pStyle w:val="12"/>
        <w:rPr>
          <w:rFonts w:ascii="Times New Roman" w:hAnsi="Times New Roman" w:cs="Times New Roman"/>
          <w:sz w:val="72"/>
          <w:szCs w:val="72"/>
        </w:rPr>
      </w:pPr>
    </w:p>
    <w:p w14:paraId="3163A3F8">
      <w:pPr>
        <w:pStyle w:val="12"/>
        <w:rPr>
          <w:rFonts w:ascii="Times New Roman" w:hAnsi="Times New Roman" w:cs="Times New Roman"/>
          <w:sz w:val="72"/>
          <w:szCs w:val="72"/>
        </w:rPr>
      </w:pPr>
    </w:p>
    <w:p w14:paraId="61A3D473">
      <w:pPr>
        <w:pStyle w:val="12"/>
        <w:jc w:val="center"/>
        <w:rPr>
          <w:rFonts w:ascii="Times New Roman" w:hAnsi="Times New Roman" w:cs="Times New Roman"/>
          <w:sz w:val="72"/>
          <w:szCs w:val="72"/>
        </w:rPr>
      </w:pPr>
    </w:p>
    <w:p w14:paraId="36BD2602">
      <w:pPr>
        <w:pStyle w:val="12"/>
        <w:jc w:val="center"/>
        <w:rPr>
          <w:rFonts w:ascii="Times New Roman" w:hAnsi="Times New Roman" w:eastAsia="方正小标宋_GBK" w:cs="Times New Roman"/>
          <w:sz w:val="72"/>
          <w:szCs w:val="72"/>
        </w:rPr>
      </w:pPr>
    </w:p>
    <w:p w14:paraId="1235E82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37B8C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BCABEE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F221E1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BDDD6C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3040.77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1652.36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降低35.2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医院病人大幅下降，造成医院收入下跌及财政支持力度减少。</w:t>
      </w:r>
    </w:p>
    <w:p w14:paraId="50665A1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社会保障和就业支出、卫生健康支出、城乡社区支出等重点支出，体现在有关支出科目中。</w:t>
      </w:r>
    </w:p>
    <w:p w14:paraId="6FA6633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83CCFD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3040.77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2790.66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91.77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9AA39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84EBB0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3040.77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3040.77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382F11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62A777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308.21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55.20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政府性基金预算财政拨款</w:t>
      </w:r>
      <w:r>
        <w:rPr>
          <w:rFonts w:hint="eastAsia" w:ascii="Times New Roman" w:hAnsi="Times New Roman" w:eastAsia="仿宋_GB2312" w:cs="Times New Roman"/>
          <w:sz w:val="32"/>
          <w:szCs w:val="32"/>
          <w:lang w:eastAsia="zh-CN"/>
        </w:rPr>
        <w:t>收、支大幅减少。</w:t>
      </w:r>
    </w:p>
    <w:p w14:paraId="767C0F9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034BA5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B2A022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55.20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308.21</w:t>
      </w:r>
      <w:r>
        <w:rPr>
          <w:rFonts w:ascii="Times New Roman" w:hAnsi="Times New Roman" w:eastAsia="仿宋_GB2312" w:cs="Times New Roman"/>
          <w:sz w:val="32"/>
          <w:szCs w:val="32"/>
        </w:rPr>
        <w:t>万元，降低XX%，主要是因为</w:t>
      </w:r>
      <w:r>
        <w:rPr>
          <w:rFonts w:hint="eastAsia" w:ascii="Times New Roman" w:hAnsi="Times New Roman" w:eastAsia="仿宋_GB2312" w:cs="Times New Roman"/>
          <w:sz w:val="32"/>
          <w:szCs w:val="32"/>
        </w:rPr>
        <w:t>政府性基金预算财政拨款</w:t>
      </w:r>
      <w:r>
        <w:rPr>
          <w:rFonts w:hint="eastAsia" w:ascii="Times New Roman" w:hAnsi="Times New Roman" w:eastAsia="仿宋_GB2312" w:cs="Times New Roman"/>
          <w:sz w:val="32"/>
          <w:szCs w:val="32"/>
          <w:lang w:eastAsia="zh-CN"/>
        </w:rPr>
        <w:t>收、支大幅减少。</w:t>
      </w:r>
    </w:p>
    <w:p w14:paraId="100E0BE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B2F92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14.12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其他公立医院</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基本公共卫生服务支出6万元，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其他城乡社区管理事务支出150万元，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59.98</w:t>
      </w:r>
      <w:r>
        <w:rPr>
          <w:rFonts w:ascii="Times New Roman" w:hAnsi="Times New Roman" w:eastAsia="仿宋_GB2312" w:cs="Times New Roman"/>
          <w:sz w:val="32"/>
          <w:szCs w:val="32"/>
        </w:rPr>
        <w:t>%;</w:t>
      </w:r>
      <w:r>
        <w:rPr>
          <w:rFonts w:ascii="Times New Roman" w:hAnsi="Times New Roman" w:eastAsia="楷体_GB2312" w:cs="Times New Roman"/>
          <w:b/>
          <w:bCs/>
          <w:i/>
          <w:color w:val="auto"/>
          <w:sz w:val="32"/>
          <w:szCs w:val="32"/>
        </w:rPr>
        <w:t>（可根据实际情况进行增减,要求到类级科目）</w:t>
      </w:r>
    </w:p>
    <w:p w14:paraId="57D4CED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39E760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248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100.85</w:t>
      </w:r>
      <w:r>
        <w:rPr>
          <w:rFonts w:ascii="Times New Roman" w:hAnsi="Times New Roman" w:eastAsia="仿宋_GB2312" w:cs="Times New Roman"/>
          <w:sz w:val="32"/>
          <w:szCs w:val="32"/>
        </w:rPr>
        <w:t>%，其中：</w:t>
      </w:r>
    </w:p>
    <w:p w14:paraId="31A1E47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14:paraId="7B94688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严格执行预算。</w:t>
      </w:r>
    </w:p>
    <w:p w14:paraId="5EFBC7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其他公立医院支出</w:t>
      </w:r>
      <w:r>
        <w:rPr>
          <w:rFonts w:ascii="Times New Roman" w:hAnsi="Times New Roman" w:eastAsia="仿宋_GB2312" w:cs="Times New Roman"/>
          <w:sz w:val="32"/>
          <w:szCs w:val="32"/>
        </w:rPr>
        <w:t>（项）。</w:t>
      </w:r>
    </w:p>
    <w:p w14:paraId="32055B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严格执行预算。</w:t>
      </w:r>
    </w:p>
    <w:p w14:paraId="0637122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重大公共卫生服务</w:t>
      </w:r>
      <w:r>
        <w:rPr>
          <w:rFonts w:ascii="Times New Roman" w:hAnsi="Times New Roman" w:eastAsia="仿宋_GB2312" w:cs="Times New Roman"/>
          <w:sz w:val="32"/>
          <w:szCs w:val="32"/>
        </w:rPr>
        <w:t>（项）。</w:t>
      </w:r>
    </w:p>
    <w:p w14:paraId="7E612B9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严格执行预算。</w:t>
      </w:r>
    </w:p>
    <w:p w14:paraId="1AF4B619">
      <w:pPr>
        <w:pStyle w:val="12"/>
        <w:numPr>
          <w:ilvl w:val="0"/>
          <w:numId w:val="1"/>
        </w:numPr>
        <w:overflowPunct w:val="0"/>
        <w:autoSpaceDE/>
        <w:autoSpaceDN/>
        <w:spacing w:line="600" w:lineRule="exact"/>
        <w:ind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城乡社区支出（类）城乡社区管理事务（款）其他城乡社区管理事务支出（项）。</w:t>
      </w:r>
    </w:p>
    <w:p w14:paraId="0C6C933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147.88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101.43</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val="en-US" w:eastAsia="zh-CN"/>
        </w:rPr>
        <w:t>是事项年初无法预判，导致实际支出超出年初预算规模。</w:t>
      </w:r>
    </w:p>
    <w:p w14:paraId="24B8AB3B">
      <w:pPr>
        <w:pStyle w:val="12"/>
        <w:numPr>
          <w:ilvl w:val="0"/>
          <w:numId w:val="0"/>
        </w:numPr>
        <w:overflowPunct w:val="0"/>
        <w:autoSpaceDE/>
        <w:autoSpaceDN/>
        <w:spacing w:line="600" w:lineRule="exact"/>
        <w:ind w:leftChars="200"/>
        <w:jc w:val="both"/>
        <w:rPr>
          <w:rFonts w:hint="eastAsia" w:ascii="Times New Roman" w:hAnsi="Times New Roman" w:eastAsia="仿宋_GB2312" w:cs="Times New Roman"/>
          <w:sz w:val="32"/>
          <w:szCs w:val="32"/>
          <w:lang w:val="en-US" w:eastAsia="zh-CN"/>
        </w:rPr>
      </w:pPr>
    </w:p>
    <w:p w14:paraId="2A7704D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0A3BF72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6476C15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XX方面的支出规模较大（或占财政拨款支出总额的比重较高），主要是：XX（科目名称），2025年度决算数为XX万元，占财政拨款支出总额的XX%，主要用于XX项目建设、运维/XX重大活动/……等方面</w:t>
      </w:r>
      <w:r>
        <w:rPr>
          <w:rFonts w:hint="eastAsia" w:ascii="Times New Roman" w:hAnsi="Times New Roman" w:eastAsia="楷体_GB2312" w:cs="Times New Roman"/>
          <w:b/>
          <w:bCs/>
          <w:i/>
          <w:color w:val="auto"/>
          <w:sz w:val="32"/>
          <w:szCs w:val="32"/>
        </w:rPr>
        <w:t>（具体内容由部门根据实际情况进行说明）。</w:t>
      </w:r>
    </w:p>
    <w:p w14:paraId="02C4A71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3AECDC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万元，其中：</w:t>
      </w:r>
    </w:p>
    <w:p w14:paraId="4346B1B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%,主要包括基本工资、津贴补贴、奖金、伙食补助费……。</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250.12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差旅费4.21万元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专用材料费230万元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福利费14.12万元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其它商品和服务支出1.79万元</w:t>
      </w:r>
      <w:r>
        <w:rPr>
          <w:rFonts w:ascii="Times New Roman" w:hAnsi="Times New Roman" w:eastAsia="仿宋_GB2312" w:cs="Times New Roman"/>
          <w:sz w:val="32"/>
          <w:szCs w:val="32"/>
        </w:rPr>
        <w:t>。</w:t>
      </w:r>
    </w:p>
    <w:p w14:paraId="67822E28">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0A9944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0F7B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由于预算为0，无法计算百分比，其中；</w:t>
      </w:r>
    </w:p>
    <w:p w14:paraId="249F948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由于预算为0，无法计算百分比</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hint="eastAsia"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本单位无此项支出</w:t>
      </w:r>
      <w:r>
        <w:rPr>
          <w:rFonts w:hint="eastAsia"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本单位无此项支出</w:t>
      </w:r>
      <w:r>
        <w:rPr>
          <w:rFonts w:hint="eastAsia" w:ascii="Times New Roman" w:hAnsi="Times New Roman" w:eastAsia="仿宋_GB2312" w:cs="Times New Roman"/>
          <w:sz w:val="32"/>
          <w:szCs w:val="32"/>
        </w:rPr>
        <w:t>。</w:t>
      </w:r>
    </w:p>
    <w:p w14:paraId="25AA472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公务接待费支出预算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由于预算为0，无法计算百分比</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hint="eastAsia"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本单位无公务接待</w:t>
      </w:r>
      <w:r>
        <w:rPr>
          <w:rFonts w:hint="eastAsia"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本单位无公务接待</w:t>
      </w:r>
      <w:r>
        <w:rPr>
          <w:rFonts w:hint="eastAsia" w:ascii="Times New Roman" w:hAnsi="Times New Roman" w:eastAsia="仿宋_GB2312" w:cs="Times New Roman"/>
          <w:sz w:val="32"/>
          <w:szCs w:val="32"/>
        </w:rPr>
        <w:t>。</w:t>
      </w:r>
    </w:p>
    <w:p w14:paraId="6A44031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由于预算为0，无法计算百分比</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hint="eastAsia"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本单位无公车</w:t>
      </w:r>
      <w:r>
        <w:rPr>
          <w:rFonts w:hint="eastAsia"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一致</w:t>
      </w:r>
      <w:r>
        <w:rPr>
          <w:rFonts w:hint="eastAsia"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val="en-US" w:eastAsia="zh-CN"/>
        </w:rPr>
        <w:t>本单位无公车</w:t>
      </w:r>
    </w:p>
    <w:p w14:paraId="70CC9F3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F3471B6">
      <w:pPr>
        <w:pStyle w:val="12"/>
        <w:overflowPunct/>
        <w:autoSpaceDE/>
        <w:autoSpaceDN/>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lang w:val="en-US" w:eastAsia="zh-CN"/>
        </w:rPr>
        <w:t>2025</w:t>
      </w:r>
      <w:r>
        <w:rPr>
          <w:rFonts w:ascii="Times New Roman" w:hAnsi="Times New Roman" w:eastAsia="仿宋_GB2312" w:cs="Times New Roman"/>
          <w:color w:val="auto"/>
          <w:sz w:val="32"/>
          <w:szCs w:val="32"/>
        </w:rPr>
        <w:t>年度“三公”经费财政拨款支出决算中，公务接待费支出决算</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万元,因公出国（境）费支出决算</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万元,公务用车购置费及运行维护费支出决算</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万元。其中：</w:t>
      </w:r>
    </w:p>
    <w:p w14:paraId="080C4C63">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ascii="Times New Roman" w:hAnsi="Times New Roman" w:eastAsia="仿宋_GB2312" w:cs="Times New Roman"/>
          <w:color w:val="auto"/>
          <w:sz w:val="32"/>
          <w:szCs w:val="32"/>
        </w:rPr>
        <w:t>因公出国（境）费支出决算为</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万元，全年安排因公出国（境）团组</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人次</w:t>
      </w:r>
    </w:p>
    <w:p w14:paraId="49994A14">
      <w:pPr>
        <w:pStyle w:val="12"/>
        <w:overflowPunct w:val="0"/>
        <w:autoSpaceDE/>
        <w:autoSpaceDN/>
        <w:spacing w:line="600" w:lineRule="exact"/>
        <w:ind w:firstLine="640" w:firstLineChars="200"/>
        <w:jc w:val="both"/>
        <w:rPr>
          <w:rFonts w:eastAsia="仿宋_GB2312"/>
          <w:sz w:val="32"/>
          <w:szCs w:val="32"/>
        </w:rPr>
      </w:pPr>
      <w:r>
        <w:rPr>
          <w:rFonts w:ascii="Times New Roman" w:hAnsi="Times New Roman" w:eastAsia="仿宋_GB2312" w:cs="Times New Roman"/>
          <w:sz w:val="32"/>
          <w:szCs w:val="32"/>
        </w:rPr>
        <w:t>2.</w:t>
      </w:r>
      <w:r>
        <w:rPr>
          <w:rFonts w:eastAsia="仿宋_GB2312"/>
          <w:sz w:val="32"/>
          <w:szCs w:val="32"/>
        </w:rPr>
        <w:t>公务用车购置费及运行维护费支出决算为</w:t>
      </w:r>
      <w:r>
        <w:rPr>
          <w:rFonts w:hint="eastAsia" w:eastAsia="仿宋_GB2312"/>
          <w:sz w:val="32"/>
          <w:szCs w:val="32"/>
          <w:u w:val="single"/>
          <w:lang w:val="en-US" w:eastAsia="zh-CN"/>
        </w:rPr>
        <w:t>0</w:t>
      </w:r>
      <w:r>
        <w:rPr>
          <w:rFonts w:eastAsia="仿宋_GB2312"/>
          <w:sz w:val="32"/>
          <w:szCs w:val="32"/>
        </w:rPr>
        <w:t>万元，其中：公务用车购置费</w:t>
      </w:r>
      <w:r>
        <w:rPr>
          <w:rFonts w:hint="eastAsia" w:eastAsia="仿宋_GB2312"/>
          <w:sz w:val="32"/>
          <w:szCs w:val="32"/>
          <w:u w:val="single"/>
          <w:lang w:val="en-US" w:eastAsia="zh-CN"/>
        </w:rPr>
        <w:t>0</w:t>
      </w:r>
      <w:r>
        <w:rPr>
          <w:rFonts w:eastAsia="仿宋_GB2312"/>
          <w:sz w:val="32"/>
          <w:szCs w:val="32"/>
        </w:rPr>
        <w:t>万元，更新公务用车</w:t>
      </w:r>
      <w:r>
        <w:rPr>
          <w:rFonts w:hint="eastAsia" w:eastAsia="仿宋_GB2312"/>
          <w:sz w:val="32"/>
          <w:szCs w:val="32"/>
          <w:u w:val="single"/>
          <w:lang w:val="en-US" w:eastAsia="zh-CN"/>
        </w:rPr>
        <w:t>0</w:t>
      </w:r>
      <w:r>
        <w:rPr>
          <w:rFonts w:eastAsia="仿宋_GB2312"/>
          <w:sz w:val="32"/>
          <w:szCs w:val="32"/>
        </w:rPr>
        <w:t>辆。公务用车运行维护费</w:t>
      </w:r>
      <w:r>
        <w:rPr>
          <w:rFonts w:hint="eastAsia" w:eastAsia="仿宋_GB2312"/>
          <w:sz w:val="32"/>
          <w:szCs w:val="32"/>
          <w:u w:val="single"/>
          <w:lang w:val="en-US" w:eastAsia="zh-CN"/>
        </w:rPr>
        <w:t>0</w:t>
      </w:r>
      <w:r>
        <w:rPr>
          <w:rFonts w:eastAsia="仿宋_GB2312"/>
          <w:sz w:val="32"/>
          <w:szCs w:val="32"/>
        </w:rPr>
        <w:t>万元，截止</w:t>
      </w:r>
      <w:r>
        <w:rPr>
          <w:rFonts w:hint="eastAsia" w:eastAsia="仿宋_GB2312"/>
          <w:sz w:val="32"/>
          <w:szCs w:val="32"/>
          <w:lang w:val="en-US" w:eastAsia="zh-CN"/>
        </w:rPr>
        <w:t>2025</w:t>
      </w:r>
      <w:r>
        <w:rPr>
          <w:rFonts w:eastAsia="仿宋_GB2312"/>
          <w:sz w:val="32"/>
          <w:szCs w:val="32"/>
        </w:rPr>
        <w:t>年 12月31日，我单位开支财政拨款的公务用车保有量为</w:t>
      </w:r>
      <w:r>
        <w:rPr>
          <w:rFonts w:hint="eastAsia" w:eastAsia="仿宋_GB2312"/>
          <w:sz w:val="32"/>
          <w:szCs w:val="32"/>
          <w:u w:val="single"/>
          <w:lang w:val="en-US" w:eastAsia="zh-CN"/>
        </w:rPr>
        <w:t>0</w:t>
      </w:r>
      <w:r>
        <w:rPr>
          <w:rFonts w:eastAsia="仿宋_GB2312"/>
          <w:sz w:val="32"/>
          <w:szCs w:val="32"/>
        </w:rPr>
        <w:t>辆。</w:t>
      </w:r>
    </w:p>
    <w:p w14:paraId="74638687">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color w:val="auto"/>
          <w:sz w:val="32"/>
          <w:szCs w:val="32"/>
        </w:rPr>
        <w:t>公务接待费支出决算为</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万元，全年共接待来访团组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 xml:space="preserve">   个、来宾</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p>
    <w:p w14:paraId="336832F0">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3.</w:t>
      </w:r>
      <w:r>
        <w:rPr>
          <w:rFonts w:ascii="Times New Roman" w:hAnsi="Times New Roman" w:eastAsia="仿宋_GB2312" w:cs="Times New Roman"/>
          <w:color w:val="auto"/>
          <w:sz w:val="32"/>
          <w:szCs w:val="32"/>
        </w:rPr>
        <w:t>公务接待费支出决算为</w:t>
      </w:r>
      <w:r>
        <w:rPr>
          <w:rFonts w:hint="eastAsia" w:ascii="Times New Roman" w:hAnsi="Times New Roman" w:eastAsia="仿宋_GB2312" w:cs="Times New Roman"/>
          <w:color w:val="auto"/>
          <w:sz w:val="32"/>
          <w:szCs w:val="32"/>
          <w:u w:val="single"/>
          <w:lang w:val="en-US" w:eastAsia="zh-CN"/>
        </w:rPr>
        <w:t>0</w:t>
      </w:r>
      <w:r>
        <w:rPr>
          <w:rFonts w:ascii="Times New Roman" w:hAnsi="Times New Roman" w:eastAsia="仿宋_GB2312" w:cs="Times New Roman"/>
          <w:color w:val="auto"/>
          <w:sz w:val="32"/>
          <w:szCs w:val="32"/>
        </w:rPr>
        <w:t>万元，全年共接待来访团组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 xml:space="preserve">   个、来宾</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p>
    <w:p w14:paraId="27AE809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0AE49FD">
      <w:pPr>
        <w:pStyle w:val="12"/>
        <w:spacing w:line="600" w:lineRule="exact"/>
        <w:ind w:firstLine="640" w:firstLineChars="200"/>
        <w:rPr>
          <w:rFonts w:hint="eastAsia" w:ascii="Times New Roman" w:hAnsi="Times New Roman" w:eastAsia="黑体" w:cs="Times New Roman"/>
          <w:bCs/>
          <w:sz w:val="32"/>
          <w:szCs w:val="32"/>
          <w:lang w:val="en-US" w:eastAsia="zh-CN"/>
        </w:rPr>
      </w:pPr>
      <w:r>
        <w:rPr>
          <w:rFonts w:ascii="Times New Roman" w:hAnsi="Times New Roman" w:eastAsia="仿宋_GB2312" w:cs="Times New Roman"/>
          <w:color w:val="auto"/>
          <w:sz w:val="32"/>
          <w:szCs w:val="32"/>
          <w:highlight w:val="none"/>
        </w:rPr>
        <w:t>本单位无政府性基金收支</w:t>
      </w:r>
    </w:p>
    <w:p w14:paraId="7BBB117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DECCA0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250.12万</w:t>
      </w:r>
      <w:bookmarkStart w:id="3" w:name="_GoBack"/>
      <w:bookmarkEnd w:id="3"/>
      <w:r>
        <w:rPr>
          <w:rFonts w:ascii="Times New Roman" w:hAnsi="Times New Roman" w:eastAsia="仿宋_GB2312" w:cs="Times New Roman"/>
          <w:sz w:val="32"/>
          <w:szCs w:val="32"/>
        </w:rPr>
        <w:t>元比年初预算数</w:t>
      </w:r>
      <w:r>
        <w:rPr>
          <w:rFonts w:hint="eastAsia" w:ascii="Times New Roman" w:hAnsi="Times New Roman" w:eastAsia="仿宋_GB2312" w:cs="Times New Roman"/>
          <w:sz w:val="32"/>
          <w:szCs w:val="32"/>
          <w:lang w:val="en-US" w:eastAsia="zh-CN"/>
        </w:rPr>
        <w:t>增加2.12万元，主要原因是事项年初无法预判，导致实际支出超出年初预算规模。</w:t>
      </w:r>
    </w:p>
    <w:p w14:paraId="5F3AC16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14:paraId="1F5F9F8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EDB1F4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47AB51B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042880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sz w:val="32"/>
          <w:szCs w:val="32"/>
          <w:lang w:val="en-US" w:eastAsia="zh-CN"/>
        </w:rPr>
        <w:t>由于政府采购总数为0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p>
    <w:p w14:paraId="3E6CEE0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DE00677">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救护车接送病人</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14</w:t>
      </w:r>
      <w:r>
        <w:rPr>
          <w:rFonts w:ascii="Times New Roman" w:hAnsi="Times New Roman" w:eastAsia="仿宋_GB2312" w:cs="Times New Roman"/>
          <w:color w:val="auto"/>
          <w:sz w:val="32"/>
          <w:szCs w:val="32"/>
        </w:rPr>
        <w:t>台（套）。</w:t>
      </w:r>
    </w:p>
    <w:p w14:paraId="2A59A2C5">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17135E3">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w:t>
      </w:r>
      <w:r>
        <w:rPr>
          <w:rFonts w:hint="eastAsia" w:ascii="Times New Roman" w:hAnsi="Times New Roman" w:eastAsia="仿宋_GB2312" w:cs="Times New Roman"/>
          <w:kern w:val="0"/>
          <w:sz w:val="32"/>
          <w:szCs w:val="32"/>
          <w:lang w:val="en-US" w:eastAsia="zh-CN"/>
        </w:rPr>
        <w:t>本年度无重点项目，</w:t>
      </w:r>
      <w:r>
        <w:rPr>
          <w:rFonts w:ascii="Times New Roman" w:hAnsi="Times New Roman" w:eastAsia="仿宋_GB2312" w:cs="Times New Roman"/>
          <w:kern w:val="0"/>
          <w:sz w:val="32"/>
          <w:szCs w:val="32"/>
        </w:rPr>
        <w:t>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620268CE">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063A0C0">
      <w:pPr>
        <w:pStyle w:val="2"/>
        <w:rPr>
          <w:rFonts w:hint="default" w:eastAsia="仿宋_GB2312"/>
          <w:lang w:val="en-US" w:eastAsia="zh-CN"/>
        </w:rPr>
      </w:pPr>
    </w:p>
    <w:p w14:paraId="3204AB14">
      <w:pPr>
        <w:pStyle w:val="12"/>
        <w:jc w:val="center"/>
        <w:rPr>
          <w:rFonts w:ascii="Times New Roman" w:hAnsi="Times New Roman" w:cs="Times New Roman"/>
          <w:sz w:val="72"/>
          <w:szCs w:val="72"/>
        </w:rPr>
      </w:pPr>
    </w:p>
    <w:p w14:paraId="0CB39515">
      <w:pPr>
        <w:pStyle w:val="12"/>
        <w:jc w:val="center"/>
        <w:rPr>
          <w:rFonts w:ascii="Times New Roman" w:hAnsi="Times New Roman" w:cs="Times New Roman"/>
          <w:sz w:val="72"/>
          <w:szCs w:val="72"/>
        </w:rPr>
      </w:pPr>
    </w:p>
    <w:p w14:paraId="0B13BC28">
      <w:pPr>
        <w:pStyle w:val="12"/>
        <w:jc w:val="center"/>
        <w:rPr>
          <w:rFonts w:ascii="Times New Roman" w:hAnsi="Times New Roman" w:cs="Times New Roman"/>
          <w:sz w:val="72"/>
          <w:szCs w:val="72"/>
        </w:rPr>
      </w:pPr>
    </w:p>
    <w:p w14:paraId="5E5BBF51">
      <w:pPr>
        <w:pStyle w:val="12"/>
        <w:jc w:val="center"/>
        <w:rPr>
          <w:rFonts w:ascii="Times New Roman" w:hAnsi="Times New Roman" w:cs="Times New Roman"/>
          <w:sz w:val="72"/>
          <w:szCs w:val="72"/>
        </w:rPr>
      </w:pPr>
    </w:p>
    <w:p w14:paraId="2B1E7773">
      <w:pPr>
        <w:pStyle w:val="12"/>
        <w:jc w:val="center"/>
        <w:rPr>
          <w:rFonts w:ascii="Times New Roman" w:hAnsi="Times New Roman" w:cs="Times New Roman"/>
          <w:sz w:val="72"/>
          <w:szCs w:val="72"/>
        </w:rPr>
      </w:pPr>
    </w:p>
    <w:p w14:paraId="091D0451">
      <w:pPr>
        <w:pStyle w:val="12"/>
        <w:jc w:val="center"/>
        <w:rPr>
          <w:rFonts w:ascii="Times New Roman" w:hAnsi="Times New Roman" w:cs="Times New Roman"/>
          <w:sz w:val="72"/>
          <w:szCs w:val="72"/>
        </w:rPr>
      </w:pPr>
    </w:p>
    <w:p w14:paraId="5D80B4DE">
      <w:pPr>
        <w:pStyle w:val="12"/>
        <w:jc w:val="center"/>
        <w:rPr>
          <w:rFonts w:ascii="Times New Roman" w:hAnsi="Times New Roman" w:cs="Times New Roman"/>
          <w:sz w:val="72"/>
          <w:szCs w:val="72"/>
        </w:rPr>
      </w:pPr>
    </w:p>
    <w:p w14:paraId="06860470">
      <w:pPr>
        <w:pStyle w:val="12"/>
        <w:jc w:val="center"/>
        <w:rPr>
          <w:rFonts w:ascii="Times New Roman" w:hAnsi="Times New Roman" w:cs="Times New Roman"/>
          <w:sz w:val="72"/>
          <w:szCs w:val="72"/>
        </w:rPr>
      </w:pPr>
    </w:p>
    <w:p w14:paraId="0AA89C4D">
      <w:pPr>
        <w:pStyle w:val="12"/>
        <w:jc w:val="center"/>
        <w:rPr>
          <w:rFonts w:ascii="Times New Roman" w:hAnsi="Times New Roman" w:cs="Times New Roman"/>
          <w:sz w:val="72"/>
          <w:szCs w:val="72"/>
        </w:rPr>
      </w:pPr>
    </w:p>
    <w:p w14:paraId="4FDDD72C">
      <w:pPr>
        <w:pStyle w:val="12"/>
        <w:jc w:val="both"/>
        <w:rPr>
          <w:rFonts w:ascii="Times New Roman" w:hAnsi="Times New Roman" w:cs="Times New Roman"/>
          <w:sz w:val="72"/>
          <w:szCs w:val="72"/>
        </w:rPr>
      </w:pPr>
    </w:p>
    <w:p w14:paraId="3AC3145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1F26FF">
      <w:pPr>
        <w:widowControl/>
        <w:jc w:val="left"/>
        <w:rPr>
          <w:rFonts w:ascii="Times New Roman" w:hAnsi="Times New Roman" w:cs="Times New Roman"/>
          <w:color w:val="000000"/>
          <w:kern w:val="0"/>
          <w:sz w:val="32"/>
          <w:szCs w:val="32"/>
        </w:rPr>
      </w:pPr>
    </w:p>
    <w:p w14:paraId="2B089934">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70B9899D">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26009087">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4CC361FA">
      <w:pPr>
        <w:pStyle w:val="12"/>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520DE80C">
      <w:pPr>
        <w:pStyle w:val="12"/>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726B87DE">
      <w:pPr>
        <w:pStyle w:val="12"/>
        <w:jc w:val="center"/>
        <w:rPr>
          <w:rFonts w:ascii="Times New Roman" w:hAnsi="Times New Roman" w:cs="Times New Roman"/>
          <w:sz w:val="72"/>
          <w:szCs w:val="72"/>
        </w:rPr>
      </w:pPr>
    </w:p>
    <w:p w14:paraId="073DE2FF">
      <w:pPr>
        <w:pStyle w:val="12"/>
        <w:jc w:val="center"/>
        <w:rPr>
          <w:rFonts w:ascii="Times New Roman" w:hAnsi="Times New Roman" w:cs="Times New Roman"/>
          <w:sz w:val="72"/>
          <w:szCs w:val="72"/>
        </w:rPr>
      </w:pPr>
    </w:p>
    <w:p w14:paraId="3F681350">
      <w:pPr>
        <w:pStyle w:val="12"/>
        <w:jc w:val="center"/>
        <w:rPr>
          <w:rFonts w:ascii="Times New Roman" w:hAnsi="Times New Roman" w:cs="Times New Roman"/>
          <w:sz w:val="72"/>
          <w:szCs w:val="72"/>
        </w:rPr>
      </w:pPr>
    </w:p>
    <w:p w14:paraId="490102F6">
      <w:pPr>
        <w:pStyle w:val="12"/>
        <w:jc w:val="center"/>
        <w:rPr>
          <w:rFonts w:ascii="Times New Roman" w:hAnsi="Times New Roman" w:cs="Times New Roman"/>
          <w:sz w:val="72"/>
          <w:szCs w:val="72"/>
        </w:rPr>
      </w:pPr>
    </w:p>
    <w:p w14:paraId="32BE2211">
      <w:pPr>
        <w:pStyle w:val="12"/>
        <w:jc w:val="center"/>
        <w:rPr>
          <w:rFonts w:ascii="Times New Roman" w:hAnsi="Times New Roman" w:cs="Times New Roman"/>
          <w:sz w:val="72"/>
          <w:szCs w:val="72"/>
        </w:rPr>
      </w:pPr>
    </w:p>
    <w:p w14:paraId="139F021D">
      <w:pPr>
        <w:pStyle w:val="12"/>
        <w:jc w:val="center"/>
        <w:rPr>
          <w:rFonts w:ascii="Times New Roman" w:hAnsi="Times New Roman" w:cs="Times New Roman"/>
          <w:sz w:val="72"/>
          <w:szCs w:val="72"/>
        </w:rPr>
      </w:pPr>
    </w:p>
    <w:p w14:paraId="0B588FC5">
      <w:pPr>
        <w:pStyle w:val="12"/>
        <w:jc w:val="center"/>
        <w:rPr>
          <w:rFonts w:ascii="Times New Roman" w:hAnsi="Times New Roman" w:cs="Times New Roman"/>
          <w:sz w:val="72"/>
          <w:szCs w:val="72"/>
        </w:rPr>
      </w:pPr>
    </w:p>
    <w:p w14:paraId="5C99C55A">
      <w:pPr>
        <w:pStyle w:val="12"/>
        <w:jc w:val="both"/>
        <w:rPr>
          <w:rFonts w:ascii="Times New Roman" w:hAnsi="Times New Roman" w:cs="Times New Roman"/>
          <w:sz w:val="72"/>
          <w:szCs w:val="72"/>
        </w:rPr>
      </w:pPr>
    </w:p>
    <w:p w14:paraId="5E36951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FF03DA2">
      <w:pPr>
        <w:rPr>
          <w:rFonts w:ascii="Times New Roman" w:hAnsi="Times New Roman" w:cs="Times New Roman"/>
          <w:sz w:val="72"/>
          <w:szCs w:val="72"/>
        </w:rPr>
      </w:pPr>
    </w:p>
    <w:p w14:paraId="4A8583B3">
      <w:pPr>
        <w:pStyle w:val="12"/>
        <w:spacing w:line="60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会同县中医医院</w:t>
      </w:r>
      <w:r>
        <w:rPr>
          <w:rFonts w:ascii="Times New Roman" w:hAnsi="Times New Roman" w:eastAsia="仿宋_GB2312" w:cs="Times New Roman"/>
          <w:sz w:val="32"/>
          <w:szCs w:val="32"/>
        </w:rPr>
        <w:t>整体支出绩效自评报告。</w:t>
      </w:r>
    </w:p>
    <w:p w14:paraId="16A3B378">
      <w:pPr>
        <w:pStyle w:val="12"/>
        <w:spacing w:line="600" w:lineRule="exact"/>
        <w:ind w:firstLine="1280" w:firstLineChars="4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年度，在上级卫生健康主管部门的正确领导下，我院严格按照公立医院绩效考核各项指标要求，坚持以医疗质量安全为核心、以提升服务能力为重点、以优化医院运营为抓手，扎实推进医疗各项工作，较好完成了年度各项目标任务。现将本年度绩效自评工作情况汇报如下：</w:t>
      </w:r>
    </w:p>
    <w:p w14:paraId="6D3D5240">
      <w:pPr>
        <w:pStyle w:val="12"/>
        <w:spacing w:line="600" w:lineRule="exact"/>
        <w:ind w:firstLine="640" w:firstLineChars="200"/>
        <w:rPr>
          <w:rFonts w:ascii="Times New Roman" w:hAnsi="Times New Roman" w:eastAsia="仿宋_GB2312" w:cs="Times New Roman"/>
          <w:sz w:val="32"/>
          <w:szCs w:val="32"/>
        </w:rPr>
      </w:pPr>
    </w:p>
    <w:p w14:paraId="220AE5A8">
      <w:pPr>
        <w:pStyle w:val="12"/>
        <w:numPr>
          <w:ilvl w:val="0"/>
          <w:numId w:val="2"/>
        </w:numPr>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医院基本概况</w:t>
      </w:r>
    </w:p>
    <w:p w14:paraId="3E666D4D">
      <w:pPr>
        <w:pStyle w:val="12"/>
        <w:numPr>
          <w:ilvl w:val="0"/>
          <w:numId w:val="0"/>
        </w:numPr>
        <w:spacing w:line="600" w:lineRule="exac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截至年末，我院在职职工总人数213人。其中：副主任医师12人，主治医师28人，住院医师16人，药师14人，技师16人，护士103人；其中副主任护师9人。已形成高、中、初级层次分明、结构稳定、梯队完善的医疗人才队伍，能够全面满足辖区群众日常诊疗、急诊救治、住院手术及基本公共卫生服务需求，为医院高质量发展提供了坚实人才保障。</w:t>
      </w:r>
    </w:p>
    <w:p w14:paraId="7868D023">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年度主要业务指标完成情况</w:t>
      </w:r>
    </w:p>
    <w:p w14:paraId="7CF7BCBD">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本年度我院医疗业务运行平稳，服务总量稳定，各项核心业务指标完成良好。</w:t>
      </w:r>
    </w:p>
    <w:p w14:paraId="68C0EAF8">
      <w:pPr>
        <w:pStyle w:val="12"/>
        <w:numPr>
          <w:ilvl w:val="0"/>
          <w:numId w:val="3"/>
        </w:numPr>
        <w:spacing w:line="600" w:lineRule="exact"/>
        <w:ind w:left="58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门急诊服务量</w:t>
      </w:r>
    </w:p>
    <w:p w14:paraId="5DC3B306">
      <w:pPr>
        <w:pStyle w:val="12"/>
        <w:numPr>
          <w:ilvl w:val="0"/>
          <w:numId w:val="0"/>
        </w:numPr>
        <w:spacing w:line="600" w:lineRule="exact"/>
        <w:ind w:left="580" w:left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全年完成门急诊人次64981人次。全院医务人员坚持优化就诊流程、缩短候诊时间、规范诊疗行为，全力保障群众就近就医需求，有效缓解辖区群众看病难问题，门诊服务可及性、便捷度持续提升。</w:t>
      </w:r>
    </w:p>
    <w:p w14:paraId="3FC09FB6">
      <w:pPr>
        <w:pStyle w:val="12"/>
        <w:numPr>
          <w:ilvl w:val="0"/>
          <w:numId w:val="3"/>
        </w:numPr>
        <w:spacing w:line="600" w:lineRule="exact"/>
        <w:ind w:left="58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住院及手术业务开展情况</w:t>
      </w:r>
    </w:p>
    <w:p w14:paraId="373D628D">
      <w:pPr>
        <w:pStyle w:val="12"/>
        <w:numPr>
          <w:ilvl w:val="0"/>
          <w:numId w:val="0"/>
        </w:numPr>
        <w:spacing w:line="600" w:lineRule="exact"/>
        <w:ind w:left="580" w:left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全年顺利完成住院手术130台次。在12名副主任医师、28名主治医师的技术带领下，医院常规手术开展规范、安全、有序，手术质量稳定提升，术前评估、术中操作、术后观察、病例质控全程落实到位，全年无手术差错及 手术相关安全事故发生。</w:t>
      </w:r>
    </w:p>
    <w:p w14:paraId="58F5A1C1">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医疗质量与医疗安全稳定提升</w:t>
      </w:r>
    </w:p>
    <w:p w14:paraId="1BF80AA2">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我院始终将医疗质量和患者安全作为工作底线，严格落实十八项医疗核心制度，常态化开展病例质控、合理用药检查、院感督查、三基三严培训及考核。</w:t>
      </w:r>
    </w:p>
    <w:p w14:paraId="12CB8CE3">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依托高、中级医师骨干团队优势，持续规范诊疗行为，加强疑难病例讨论、会诊管理，不断提高疾病诊断准确率和治疗有效率。全年医疗文书书写规范，院内感染控制达标，无重大医疗质量安全事故、无重大医疗纠纷发生，医疗安全形势持续稳定向好。</w:t>
      </w:r>
    </w:p>
    <w:p w14:paraId="713FEAB3">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医疗服务与患者满意度持续改善</w:t>
      </w:r>
    </w:p>
    <w:p w14:paraId="046746F2">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我院持续深化改善医疗服务行动，优化门诊布局、完善便民措施、畅通急诊绿色通道，提升就医体验。全体医护人员坚持文明行医、优质服务，耐心做好健康宣教、病情沟通及出院随访工作，医患关系和谐，患者综合满意度保持良好水平。</w:t>
      </w:r>
    </w:p>
    <w:p w14:paraId="770B4437">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医院运营与内部管理规范有序</w:t>
      </w:r>
    </w:p>
    <w:p w14:paraId="62A9C29E">
      <w:pPr>
        <w:pStyle w:val="12"/>
        <w:numPr>
          <w:ilvl w:val="0"/>
          <w:numId w:val="0"/>
        </w:numPr>
        <w:spacing w:line="600" w:lineRule="exac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本年度我院严格执行财经纪律、医保政策、物价收费规定，严格落实预算管理、成本控制、耗材及药品规划化管理。医院收支管理透明合规 ，物质采购、固定资产、内控管理流程规范。通过精细化管理，有效控制运行成本，提升医院运营效率，保障医院可持续稳定运行。</w:t>
      </w:r>
    </w:p>
    <w:p w14:paraId="7D56B5F1">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行业作风与安全生产形势良好</w:t>
      </w:r>
    </w:p>
    <w:p w14:paraId="49F14E33">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全院持续加强医德医风及党风廉政建设 ，严格落实医疗卫生行业“九项准则”坚决杜绝违规收费、收受红包、不合理诊疗等行为，全年无违纪违规行风问题。</w:t>
      </w:r>
    </w:p>
    <w:p w14:paraId="133A1CEF">
      <w:pPr>
        <w:pStyle w:val="12"/>
        <w:numPr>
          <w:ilvl w:val="0"/>
          <w:numId w:val="0"/>
        </w:numPr>
        <w:spacing w:line="600" w:lineRule="exact"/>
        <w:ind w:left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同时常态化开展消防安全、医疗设备安全、用水用电安全排查整治，全年无安全生产事故发生。</w:t>
      </w:r>
    </w:p>
    <w:p w14:paraId="37DAD839">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存在的问题与不足</w:t>
      </w:r>
    </w:p>
    <w:p w14:paraId="28BCBADA">
      <w:pPr>
        <w:pStyle w:val="12"/>
        <w:numPr>
          <w:ilvl w:val="0"/>
          <w:numId w:val="4"/>
        </w:numPr>
        <w:spacing w:line="600" w:lineRule="exact"/>
        <w:ind w:left="106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专科特色建设仍较薄弱，新技术、新项目开展数量偏少，核心竞争力有待进一步提升。</w:t>
      </w:r>
    </w:p>
    <w:p w14:paraId="791FA3A8">
      <w:pPr>
        <w:pStyle w:val="12"/>
        <w:numPr>
          <w:ilvl w:val="0"/>
          <w:numId w:val="4"/>
        </w:numPr>
        <w:spacing w:line="600" w:lineRule="exact"/>
        <w:ind w:left="1060" w:leftChars="0" w:firstLine="0" w:firstLineChars="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青年医师、住院医师临床经验不足，业务能力和专科技术水平仍需持续培养提升。</w:t>
      </w:r>
    </w:p>
    <w:p w14:paraId="055E8E12">
      <w:pPr>
        <w:pStyle w:val="12"/>
        <w:numPr>
          <w:ilvl w:val="0"/>
          <w:numId w:val="4"/>
        </w:numPr>
        <w:spacing w:line="600" w:lineRule="exact"/>
        <w:ind w:left="1060" w:leftChars="0" w:firstLine="0" w:firstLineChars="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医院精细化运营管理仍有提升空间，成本管控、绩效精细化分配仍需进一步优化。</w:t>
      </w:r>
    </w:p>
    <w:p w14:paraId="77D558A4">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下一步工作计划</w:t>
      </w:r>
    </w:p>
    <w:p w14:paraId="0CDCF3FD">
      <w:pPr>
        <w:pStyle w:val="12"/>
        <w:numPr>
          <w:ilvl w:val="0"/>
          <w:numId w:val="5"/>
        </w:numPr>
        <w:spacing w:line="600" w:lineRule="exact"/>
        <w:ind w:left="106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持续抓实医疗质量安全管理，常态化开展质控自查整改，全面提升治疗规范化水平。</w:t>
      </w:r>
    </w:p>
    <w:p w14:paraId="3BC2BC4F">
      <w:pPr>
        <w:pStyle w:val="12"/>
        <w:numPr>
          <w:ilvl w:val="0"/>
          <w:numId w:val="5"/>
        </w:numPr>
        <w:spacing w:line="600" w:lineRule="exact"/>
        <w:ind w:left="1060" w:leftChars="0" w:firstLine="0" w:firstLineChars="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充分发挥12名副主任医师、28名主治医师骨干带头作用，加强对16名住院医师的带教培养，完善省人才梯队建设。</w:t>
      </w:r>
    </w:p>
    <w:p w14:paraId="3846412E">
      <w:pPr>
        <w:pStyle w:val="12"/>
        <w:numPr>
          <w:ilvl w:val="0"/>
          <w:numId w:val="5"/>
        </w:numPr>
        <w:spacing w:line="600" w:lineRule="exact"/>
        <w:ind w:left="1060" w:leftChars="0" w:firstLine="0" w:firstLineChars="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积极优化院内精细化管理、医保管理、成本管理，不断提升医院运营质效。</w:t>
      </w:r>
    </w:p>
    <w:p w14:paraId="27E68A14">
      <w:pPr>
        <w:pStyle w:val="12"/>
        <w:numPr>
          <w:ilvl w:val="0"/>
          <w:numId w:val="5"/>
        </w:numPr>
        <w:spacing w:line="600" w:lineRule="exact"/>
        <w:ind w:left="1060" w:leftChars="0" w:firstLine="0" w:firstLine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持续改善就医服务，提升群众就医获得感、满意度，推动医院整体服务能力稳步提升。</w:t>
      </w:r>
    </w:p>
    <w:p w14:paraId="7D2DBBA9">
      <w:pPr>
        <w:pStyle w:val="12"/>
        <w:numPr>
          <w:ilvl w:val="0"/>
          <w:numId w:val="2"/>
        </w:numPr>
        <w:spacing w:line="600" w:lineRule="exact"/>
        <w:ind w:left="0" w:leftChars="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自评结论</w:t>
      </w:r>
    </w:p>
    <w:p w14:paraId="1492AAAC">
      <w:pPr>
        <w:pStyle w:val="12"/>
        <w:numPr>
          <w:ilvl w:val="0"/>
          <w:numId w:val="0"/>
        </w:numPr>
        <w:spacing w:line="600" w:lineRule="exact"/>
        <w:ind w:left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本年度我院各项业务指标完成较好，医疗质量安全稳定，服务能力持续提升，内部管理规范有序，圆满完成年度绩效考核各项工作任务。</w:t>
      </w:r>
    </w:p>
    <w:p w14:paraId="6D5069C9">
      <w:pPr>
        <w:pStyle w:val="12"/>
        <w:jc w:val="center"/>
        <w:rPr>
          <w:rFonts w:ascii="Times New Roman" w:hAnsi="Times New Roman" w:cs="Times New Roman"/>
          <w:sz w:val="72"/>
          <w:szCs w:val="72"/>
        </w:rPr>
      </w:pPr>
    </w:p>
    <w:p w14:paraId="290811CC">
      <w:pPr>
        <w:pStyle w:val="12"/>
        <w:jc w:val="center"/>
        <w:rPr>
          <w:rFonts w:ascii="Times New Roman" w:hAnsi="Times New Roman" w:cs="Times New Roman"/>
          <w:sz w:val="72"/>
          <w:szCs w:val="72"/>
        </w:rPr>
      </w:pPr>
    </w:p>
    <w:p w14:paraId="0225344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魏碑_GBK">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AC7B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0DA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81CEA">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4EB3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2F1AA">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72F1AA">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23184"/>
    <w:multiLevelType w:val="singleLevel"/>
    <w:tmpl w:val="1FC23184"/>
    <w:lvl w:ilvl="0" w:tentative="0">
      <w:start w:val="4"/>
      <w:numFmt w:val="decimal"/>
      <w:suff w:val="nothing"/>
      <w:lvlText w:val="%1、"/>
      <w:lvlJc w:val="left"/>
    </w:lvl>
  </w:abstractNum>
  <w:abstractNum w:abstractNumId="1">
    <w:nsid w:val="2A8A7152"/>
    <w:multiLevelType w:val="singleLevel"/>
    <w:tmpl w:val="2A8A7152"/>
    <w:lvl w:ilvl="0" w:tentative="0">
      <w:start w:val="1"/>
      <w:numFmt w:val="decimal"/>
      <w:lvlText w:val="%1."/>
      <w:lvlJc w:val="left"/>
      <w:pPr>
        <w:tabs>
          <w:tab w:val="left" w:pos="312"/>
        </w:tabs>
        <w:ind w:left="1060" w:leftChars="0" w:firstLine="0" w:firstLineChars="0"/>
      </w:pPr>
    </w:lvl>
  </w:abstractNum>
  <w:abstractNum w:abstractNumId="2">
    <w:nsid w:val="4738CBCE"/>
    <w:multiLevelType w:val="singleLevel"/>
    <w:tmpl w:val="4738CBCE"/>
    <w:lvl w:ilvl="0" w:tentative="0">
      <w:start w:val="1"/>
      <w:numFmt w:val="chineseCounting"/>
      <w:suff w:val="nothing"/>
      <w:lvlText w:val="%1、"/>
      <w:lvlJc w:val="left"/>
      <w:rPr>
        <w:rFonts w:hint="eastAsia"/>
      </w:rPr>
    </w:lvl>
  </w:abstractNum>
  <w:abstractNum w:abstractNumId="3">
    <w:nsid w:val="567086E5"/>
    <w:multiLevelType w:val="singleLevel"/>
    <w:tmpl w:val="567086E5"/>
    <w:lvl w:ilvl="0" w:tentative="0">
      <w:start w:val="1"/>
      <w:numFmt w:val="decimal"/>
      <w:lvlText w:val="%1."/>
      <w:lvlJc w:val="left"/>
      <w:pPr>
        <w:tabs>
          <w:tab w:val="left" w:pos="312"/>
        </w:tabs>
        <w:ind w:left="1060" w:leftChars="0" w:firstLine="0" w:firstLineChars="0"/>
      </w:pPr>
    </w:lvl>
  </w:abstractNum>
  <w:abstractNum w:abstractNumId="4">
    <w:nsid w:val="6078FD41"/>
    <w:multiLevelType w:val="singleLevel"/>
    <w:tmpl w:val="6078FD41"/>
    <w:lvl w:ilvl="0" w:tentative="0">
      <w:start w:val="1"/>
      <w:numFmt w:val="decimal"/>
      <w:lvlText w:val="%1."/>
      <w:lvlJc w:val="left"/>
      <w:pPr>
        <w:tabs>
          <w:tab w:val="left" w:pos="312"/>
        </w:tabs>
        <w:ind w:left="580" w:leftChars="0" w:firstLine="0" w:firstLineChars="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E06BE6"/>
    <w:rsid w:val="07F549C1"/>
    <w:rsid w:val="082C66B6"/>
    <w:rsid w:val="15964B44"/>
    <w:rsid w:val="1BDE33F0"/>
    <w:rsid w:val="1D97DEFF"/>
    <w:rsid w:val="1DFF72E5"/>
    <w:rsid w:val="1EF14401"/>
    <w:rsid w:val="1EFC6F07"/>
    <w:rsid w:val="24606372"/>
    <w:rsid w:val="2665439E"/>
    <w:rsid w:val="29EB253E"/>
    <w:rsid w:val="2B6426E0"/>
    <w:rsid w:val="2D7972F9"/>
    <w:rsid w:val="2FDF85B8"/>
    <w:rsid w:val="2FFFEE04"/>
    <w:rsid w:val="32FB4313"/>
    <w:rsid w:val="34DF85B0"/>
    <w:rsid w:val="374368E3"/>
    <w:rsid w:val="38E30D76"/>
    <w:rsid w:val="3B8F36BC"/>
    <w:rsid w:val="3C783425"/>
    <w:rsid w:val="3E962A57"/>
    <w:rsid w:val="491FF225"/>
    <w:rsid w:val="4A2F2A5B"/>
    <w:rsid w:val="4D127B1E"/>
    <w:rsid w:val="4EFF7899"/>
    <w:rsid w:val="4FD242A9"/>
    <w:rsid w:val="4FFD214C"/>
    <w:rsid w:val="51756AF6"/>
    <w:rsid w:val="52D946E7"/>
    <w:rsid w:val="52DF5F94"/>
    <w:rsid w:val="571931F3"/>
    <w:rsid w:val="5777D4F5"/>
    <w:rsid w:val="59DD8326"/>
    <w:rsid w:val="5DEF592A"/>
    <w:rsid w:val="5EE76991"/>
    <w:rsid w:val="5FC6BB1E"/>
    <w:rsid w:val="5FF720F1"/>
    <w:rsid w:val="6208074F"/>
    <w:rsid w:val="67FF5C0B"/>
    <w:rsid w:val="6D8B4B8A"/>
    <w:rsid w:val="6EFC0924"/>
    <w:rsid w:val="6FB74722"/>
    <w:rsid w:val="6FEF8B7E"/>
    <w:rsid w:val="714567FB"/>
    <w:rsid w:val="71A6591B"/>
    <w:rsid w:val="72E87A0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7571</Words>
  <Characters>8659</Characters>
  <Lines>69</Lines>
  <Paragraphs>19</Paragraphs>
  <TotalTime>2</TotalTime>
  <ScaleCrop>false</ScaleCrop>
  <LinksUpToDate>false</LinksUpToDate>
  <CharactersWithSpaces>10709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2026-10-14T07:38:55Z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