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5B2A8">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F1AD60D">
      <w:pPr>
        <w:pStyle w:val="16"/>
        <w:jc w:val="center"/>
        <w:rPr>
          <w:rFonts w:ascii="Times New Roman" w:hAnsi="Times New Roman" w:cs="Times New Roman"/>
          <w:sz w:val="56"/>
          <w:szCs w:val="56"/>
        </w:rPr>
      </w:pPr>
    </w:p>
    <w:p w14:paraId="723C741F">
      <w:pPr>
        <w:pStyle w:val="16"/>
        <w:jc w:val="center"/>
        <w:rPr>
          <w:rFonts w:ascii="Times New Roman" w:hAnsi="Times New Roman" w:cs="Times New Roman"/>
          <w:sz w:val="84"/>
          <w:szCs w:val="84"/>
        </w:rPr>
      </w:pPr>
    </w:p>
    <w:p w14:paraId="2CC95C19">
      <w:pPr>
        <w:pStyle w:val="16"/>
        <w:jc w:val="center"/>
        <w:rPr>
          <w:rFonts w:ascii="Times New Roman" w:hAnsi="Times New Roman" w:cs="Times New Roman"/>
          <w:sz w:val="84"/>
          <w:szCs w:val="84"/>
        </w:rPr>
      </w:pPr>
    </w:p>
    <w:p w14:paraId="7AC3CEF3">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97A6EE6">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中共会同县委党校</w:t>
      </w:r>
      <w:r>
        <w:rPr>
          <w:rFonts w:ascii="Times New Roman" w:hAnsi="Times New Roman" w:eastAsia="方正小标宋简体" w:cs="Times New Roman"/>
          <w:sz w:val="72"/>
          <w:szCs w:val="72"/>
        </w:rPr>
        <w:t>部门决算</w:t>
      </w:r>
    </w:p>
    <w:p w14:paraId="1CBDED0B">
      <w:pPr>
        <w:pStyle w:val="16"/>
        <w:jc w:val="center"/>
        <w:rPr>
          <w:rFonts w:ascii="Times New Roman" w:hAnsi="Times New Roman" w:eastAsia="方正小标宋_GBK" w:cs="Times New Roman"/>
          <w:sz w:val="56"/>
          <w:szCs w:val="56"/>
        </w:rPr>
      </w:pPr>
    </w:p>
    <w:p w14:paraId="721B4CA2">
      <w:pPr>
        <w:pStyle w:val="16"/>
        <w:jc w:val="center"/>
        <w:rPr>
          <w:rFonts w:ascii="Times New Roman" w:hAnsi="Times New Roman" w:cs="Times New Roman"/>
          <w:sz w:val="56"/>
          <w:szCs w:val="56"/>
        </w:rPr>
      </w:pPr>
    </w:p>
    <w:p w14:paraId="48768FAE">
      <w:pPr>
        <w:pStyle w:val="16"/>
        <w:rPr>
          <w:rFonts w:ascii="Times New Roman" w:hAnsi="Times New Roman" w:cs="Times New Roman"/>
          <w:sz w:val="56"/>
          <w:szCs w:val="56"/>
        </w:rPr>
      </w:pPr>
    </w:p>
    <w:p w14:paraId="27257264">
      <w:pPr>
        <w:pStyle w:val="16"/>
        <w:jc w:val="center"/>
        <w:rPr>
          <w:rFonts w:ascii="Times New Roman" w:hAnsi="Times New Roman" w:cs="Times New Roman"/>
          <w:sz w:val="32"/>
          <w:szCs w:val="32"/>
        </w:rPr>
      </w:pPr>
    </w:p>
    <w:p w14:paraId="7AAC8CA6">
      <w:pPr>
        <w:pStyle w:val="16"/>
        <w:jc w:val="center"/>
        <w:rPr>
          <w:rFonts w:ascii="Times New Roman" w:hAnsi="Times New Roman" w:cs="Times New Roman"/>
          <w:sz w:val="32"/>
          <w:szCs w:val="32"/>
        </w:rPr>
      </w:pPr>
    </w:p>
    <w:p w14:paraId="78CB9F4F">
      <w:pPr>
        <w:pStyle w:val="16"/>
        <w:jc w:val="center"/>
        <w:rPr>
          <w:rFonts w:ascii="Times New Roman" w:hAnsi="Times New Roman" w:cs="Times New Roman"/>
          <w:sz w:val="32"/>
          <w:szCs w:val="32"/>
        </w:rPr>
      </w:pPr>
    </w:p>
    <w:p w14:paraId="621E56BA">
      <w:pPr>
        <w:pStyle w:val="16"/>
        <w:jc w:val="center"/>
        <w:rPr>
          <w:rFonts w:ascii="Times New Roman" w:hAnsi="Times New Roman" w:cs="Times New Roman"/>
          <w:sz w:val="32"/>
          <w:szCs w:val="32"/>
        </w:rPr>
      </w:pPr>
    </w:p>
    <w:p w14:paraId="2647D3B3">
      <w:pPr>
        <w:pStyle w:val="16"/>
        <w:jc w:val="center"/>
        <w:rPr>
          <w:rFonts w:ascii="Times New Roman" w:hAnsi="Times New Roman" w:cs="Times New Roman"/>
          <w:sz w:val="32"/>
          <w:szCs w:val="32"/>
        </w:rPr>
      </w:pPr>
    </w:p>
    <w:p w14:paraId="63E07FE5">
      <w:pPr>
        <w:pStyle w:val="16"/>
        <w:jc w:val="center"/>
        <w:rPr>
          <w:rFonts w:ascii="Times New Roman" w:hAnsi="Times New Roman" w:cs="Times New Roman"/>
          <w:sz w:val="32"/>
          <w:szCs w:val="32"/>
        </w:rPr>
      </w:pPr>
    </w:p>
    <w:p w14:paraId="5FCFA8A1">
      <w:pPr>
        <w:pStyle w:val="16"/>
        <w:spacing w:line="540" w:lineRule="exact"/>
        <w:jc w:val="center"/>
        <w:rPr>
          <w:rFonts w:ascii="Times New Roman" w:hAnsi="Times New Roman" w:cs="Times New Roman"/>
          <w:sz w:val="56"/>
          <w:szCs w:val="56"/>
        </w:rPr>
      </w:pPr>
    </w:p>
    <w:p w14:paraId="0DC25F44">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AF7BEF6">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67BA1D3">
      <w:pPr>
        <w:pStyle w:val="16"/>
        <w:spacing w:line="600" w:lineRule="exact"/>
        <w:jc w:val="both"/>
        <w:rPr>
          <w:rFonts w:ascii="Times New Roman" w:hAnsi="Times New Roman" w:cs="Times New Roman"/>
          <w:b/>
          <w:sz w:val="36"/>
          <w:szCs w:val="28"/>
        </w:rPr>
      </w:pPr>
    </w:p>
    <w:p w14:paraId="3B6A34A2">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5668C95">
      <w:pPr>
        <w:pStyle w:val="16"/>
        <w:spacing w:line="600" w:lineRule="exact"/>
        <w:jc w:val="center"/>
        <w:rPr>
          <w:rFonts w:ascii="Times New Roman" w:hAnsi="Times New Roman" w:cs="Times New Roman"/>
          <w:b/>
          <w:sz w:val="36"/>
          <w:szCs w:val="28"/>
        </w:rPr>
      </w:pPr>
    </w:p>
    <w:p w14:paraId="070A0556">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中共会同县委党校</w:t>
      </w:r>
      <w:r>
        <w:rPr>
          <w:rFonts w:ascii="Times New Roman" w:hAnsi="Times New Roman" w:cs="Times New Roman"/>
          <w:bCs/>
          <w:sz w:val="32"/>
          <w:szCs w:val="32"/>
        </w:rPr>
        <w:t>概况</w:t>
      </w:r>
    </w:p>
    <w:p w14:paraId="19B0AA5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11D1818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C791BC2">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4D488E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B0F294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3BC436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11DD53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C84829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077338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286E098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A1AF66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B7395C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C5EBD94">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B88B67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97027B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AA7EB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F4F6F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1F2CE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249516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5784FD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B7CC41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7D8D15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C7369B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BED94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02570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928826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95475C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057B6CA5">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F4158F8">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6C836AA">
      <w:pPr>
        <w:pStyle w:val="16"/>
        <w:spacing w:line="600" w:lineRule="exact"/>
        <w:rPr>
          <w:rFonts w:ascii="Times New Roman" w:hAnsi="Times New Roman" w:cs="Times New Roman"/>
          <w:bCs/>
          <w:sz w:val="28"/>
          <w:szCs w:val="28"/>
        </w:rPr>
      </w:pPr>
    </w:p>
    <w:p w14:paraId="518F7913">
      <w:pPr>
        <w:jc w:val="center"/>
        <w:rPr>
          <w:rFonts w:ascii="Times New Roman" w:hAnsi="Times New Roman" w:cs="Times New Roman"/>
          <w:sz w:val="72"/>
          <w:szCs w:val="72"/>
        </w:rPr>
      </w:pPr>
    </w:p>
    <w:p w14:paraId="11DB7207">
      <w:pPr>
        <w:jc w:val="center"/>
        <w:rPr>
          <w:rFonts w:ascii="Times New Roman" w:hAnsi="Times New Roman" w:cs="Times New Roman"/>
          <w:sz w:val="72"/>
          <w:szCs w:val="72"/>
        </w:rPr>
      </w:pPr>
    </w:p>
    <w:p w14:paraId="63E686B7">
      <w:pPr>
        <w:jc w:val="center"/>
        <w:rPr>
          <w:rFonts w:ascii="Times New Roman" w:hAnsi="Times New Roman" w:cs="Times New Roman"/>
          <w:sz w:val="72"/>
          <w:szCs w:val="72"/>
        </w:rPr>
      </w:pPr>
    </w:p>
    <w:p w14:paraId="748C622B">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F313A44">
      <w:pPr>
        <w:rPr>
          <w:rFonts w:ascii="Times New Roman" w:hAnsi="Times New Roman" w:eastAsia="方正小标宋_GBK" w:cs="Times New Roman"/>
          <w:sz w:val="72"/>
          <w:szCs w:val="72"/>
        </w:rPr>
      </w:pPr>
    </w:p>
    <w:p w14:paraId="6CC5280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A603159">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中共会同县委党校</w:t>
      </w:r>
      <w:r>
        <w:rPr>
          <w:rFonts w:ascii="Times New Roman" w:hAnsi="Times New Roman" w:eastAsia="方正小标宋_GBK" w:cs="Times New Roman"/>
          <w:sz w:val="52"/>
          <w:szCs w:val="52"/>
        </w:rPr>
        <w:t>概况</w:t>
      </w:r>
    </w:p>
    <w:p w14:paraId="4879A197">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37D9583">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w:t>
      </w:r>
      <w:r>
        <w:rPr>
          <w:rFonts w:hint="eastAsia" w:ascii="Times New Roman" w:hAnsi="Times New Roman" w:eastAsia="仿宋_GB2312" w:cs="Times New Roman"/>
          <w:bCs/>
          <w:kern w:val="0"/>
          <w:sz w:val="32"/>
          <w:szCs w:val="32"/>
          <w:lang w:val="en-US" w:eastAsia="zh-CN"/>
        </w:rPr>
        <w:t>中共</w:t>
      </w:r>
      <w:r>
        <w:rPr>
          <w:rFonts w:ascii="Times New Roman" w:hAnsi="Times New Roman" w:eastAsia="仿宋_GB2312" w:cs="Times New Roman"/>
          <w:bCs/>
          <w:kern w:val="0"/>
          <w:sz w:val="32"/>
          <w:szCs w:val="32"/>
        </w:rPr>
        <w:t>会同县委党校职能职责是培训党员、建党对象和在职干部，提高政治职业素质，宣传党的宗旨，党的基础知识及行政管理教育。</w:t>
      </w:r>
    </w:p>
    <w:p w14:paraId="0C53AB7D">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（二）承接县委县政府各类短训教育班</w:t>
      </w:r>
      <w:r>
        <w:rPr>
          <w:rFonts w:hint="eastAsia" w:ascii="Times New Roman" w:hAnsi="Times New Roman" w:eastAsia="仿宋_GB2312" w:cs="Times New Roman"/>
          <w:bCs/>
          <w:kern w:val="0"/>
          <w:sz w:val="32"/>
          <w:szCs w:val="32"/>
          <w:lang w:eastAsia="zh-CN"/>
        </w:rPr>
        <w:t>。</w:t>
      </w:r>
    </w:p>
    <w:p w14:paraId="16A2D86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0829FC7">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（一）内设机构设置。本单位有内设机构 6 个,为：行政办公室、教务教研部、理论科研部、信息化工作部、行政财务部、组织人事部。</w:t>
      </w:r>
    </w:p>
    <w:p w14:paraId="758D883E">
      <w:pPr>
        <w:jc w:val="left"/>
        <w:rPr>
          <w:rFonts w:ascii="Times New Roman" w:hAnsi="Times New Roman" w:eastAsia="仿宋_GB2312" w:cs="Times New Roman"/>
          <w:sz w:val="28"/>
          <w:szCs w:val="32"/>
        </w:rPr>
      </w:pPr>
      <w:r>
        <w:rPr>
          <w:rFonts w:ascii="Times New Roman" w:hAnsi="Times New Roman" w:eastAsia="仿宋_GB2312" w:cs="Times New Roman"/>
          <w:bCs/>
          <w:kern w:val="0"/>
          <w:sz w:val="32"/>
          <w:szCs w:val="32"/>
        </w:rPr>
        <w:t>（二）决算单位构成。党校 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 xml:space="preserve"> 年部门决算汇总公开单位构成包括：中共会同县委党校本级。</w:t>
      </w:r>
    </w:p>
    <w:p w14:paraId="229CD317">
      <w:pPr>
        <w:jc w:val="center"/>
        <w:rPr>
          <w:rFonts w:ascii="Times New Roman" w:hAnsi="Times New Roman" w:eastAsia="黑体" w:cs="Times New Roman"/>
          <w:sz w:val="28"/>
          <w:szCs w:val="28"/>
        </w:rPr>
      </w:pPr>
    </w:p>
    <w:p w14:paraId="583F40CE">
      <w:pPr>
        <w:jc w:val="center"/>
        <w:rPr>
          <w:rFonts w:ascii="Times New Roman" w:hAnsi="Times New Roman" w:eastAsia="黑体" w:cs="Times New Roman"/>
          <w:sz w:val="28"/>
          <w:szCs w:val="28"/>
        </w:rPr>
      </w:pPr>
    </w:p>
    <w:p w14:paraId="75F4DCDA">
      <w:pPr>
        <w:jc w:val="center"/>
        <w:rPr>
          <w:rFonts w:ascii="Times New Roman" w:hAnsi="Times New Roman" w:eastAsia="黑体" w:cs="Times New Roman"/>
          <w:sz w:val="28"/>
          <w:szCs w:val="28"/>
        </w:rPr>
      </w:pPr>
    </w:p>
    <w:p w14:paraId="4E12D4FE">
      <w:pPr>
        <w:jc w:val="center"/>
        <w:rPr>
          <w:rFonts w:ascii="Times New Roman" w:hAnsi="Times New Roman" w:eastAsia="黑体" w:cs="Times New Roman"/>
          <w:sz w:val="28"/>
          <w:szCs w:val="28"/>
        </w:rPr>
      </w:pPr>
    </w:p>
    <w:p w14:paraId="20FFFBE8">
      <w:pPr>
        <w:jc w:val="center"/>
        <w:rPr>
          <w:rFonts w:ascii="Times New Roman" w:hAnsi="Times New Roman" w:eastAsia="黑体" w:cs="Times New Roman"/>
          <w:sz w:val="28"/>
          <w:szCs w:val="28"/>
        </w:rPr>
      </w:pPr>
    </w:p>
    <w:p w14:paraId="20B011AF">
      <w:pPr>
        <w:pStyle w:val="9"/>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6C6F5E7D">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432E8D0">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7C9B1F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C12B5B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中共会同县委党校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1"/>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E3F2ADB">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7EF4A7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68935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03DAEBB0">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433D5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533E5C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0ADDC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95413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D9542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A393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EFD2A78">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73F5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7D43C52">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1A58C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C0D866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E67272">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6162E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1CFE1C4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EA36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77C9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AE08A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422.41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508D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D072D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BF030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22.58</w:t>
            </w:r>
          </w:p>
        </w:tc>
      </w:tr>
      <w:tr w14:paraId="2052AB7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10F2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2977F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5FF3B7">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8061CA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42B7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751510">
            <w:pPr>
              <w:jc w:val="right"/>
              <w:rPr>
                <w:rFonts w:ascii="Times New Roman" w:hAnsi="Times New Roman" w:eastAsia="仿宋_GB2312" w:cs="Times New Roman"/>
                <w:color w:val="000000"/>
                <w:sz w:val="22"/>
              </w:rPr>
            </w:pPr>
          </w:p>
        </w:tc>
      </w:tr>
      <w:tr w14:paraId="64FF91E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631AB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A43AC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D6AEB8">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FB932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6FA9C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63E250">
            <w:pPr>
              <w:jc w:val="right"/>
              <w:rPr>
                <w:rFonts w:ascii="Times New Roman" w:hAnsi="Times New Roman" w:eastAsia="仿宋_GB2312" w:cs="Times New Roman"/>
                <w:color w:val="000000"/>
                <w:sz w:val="22"/>
              </w:rPr>
            </w:pPr>
          </w:p>
        </w:tc>
      </w:tr>
      <w:tr w14:paraId="5924E35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BDF1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B924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4ED03B">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FDF7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A614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951AF0">
            <w:pPr>
              <w:jc w:val="right"/>
              <w:rPr>
                <w:rFonts w:ascii="Times New Roman" w:hAnsi="Times New Roman" w:eastAsia="仿宋_GB2312" w:cs="Times New Roman"/>
                <w:color w:val="000000"/>
                <w:sz w:val="22"/>
              </w:rPr>
            </w:pPr>
          </w:p>
        </w:tc>
      </w:tr>
      <w:tr w14:paraId="319F71C5">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5A81B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C6D1E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94C96F">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53B3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053A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41696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356.89</w:t>
            </w:r>
          </w:p>
        </w:tc>
      </w:tr>
      <w:tr w14:paraId="5795574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CE12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CDFA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DF151A">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8C38C3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A66E1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294556">
            <w:pPr>
              <w:jc w:val="right"/>
              <w:rPr>
                <w:rFonts w:ascii="Times New Roman" w:hAnsi="Times New Roman" w:eastAsia="仿宋_GB2312" w:cs="Times New Roman"/>
                <w:color w:val="000000"/>
                <w:sz w:val="22"/>
              </w:rPr>
            </w:pPr>
          </w:p>
        </w:tc>
      </w:tr>
      <w:tr w14:paraId="181EB94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FCF60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C918F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58E782">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C973A9">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0822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79DC7B">
            <w:pPr>
              <w:jc w:val="right"/>
              <w:rPr>
                <w:rFonts w:ascii="Times New Roman" w:hAnsi="Times New Roman" w:eastAsia="仿宋_GB2312" w:cs="Times New Roman"/>
                <w:color w:val="000000"/>
                <w:sz w:val="22"/>
              </w:rPr>
            </w:pPr>
          </w:p>
        </w:tc>
      </w:tr>
      <w:tr w14:paraId="1C78C33E">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DD7DD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FF3A2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92E86B">
            <w:pPr>
              <w:jc w:val="lef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9F370D">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5F25E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90330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42.94</w:t>
            </w:r>
          </w:p>
        </w:tc>
      </w:tr>
      <w:tr w14:paraId="585D603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1B8FDA8">
            <w:pPr>
              <w:jc w:val="right"/>
              <w:rPr>
                <w:rFonts w:ascii="Times New Roman" w:hAnsi="Times New Roman" w:eastAsia="仿宋_GB2312" w:cs="Times New Roman"/>
                <w:color w:val="000000"/>
                <w:sz w:val="20"/>
                <w:szCs w:val="20"/>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084C2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45F2A3">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F7D49C">
            <w:pPr>
              <w:jc w:val="left"/>
              <w:rPr>
                <w:rFonts w:hint="default" w:ascii="Times New Roman" w:hAnsi="Times New Roman" w:eastAsia="仿宋_GB2312" w:cs="Times New Roman"/>
                <w:color w:val="000000"/>
                <w:sz w:val="20"/>
                <w:szCs w:val="20"/>
                <w:lang w:val="en-US" w:eastAsia="zh-CN"/>
              </w:rPr>
            </w:pPr>
            <w:r>
              <w:rPr>
                <w:rFonts w:ascii="Times New Roman" w:hAnsi="Times New Roman" w:eastAsia="仿宋_GB2312" w:cs="Times New Roman"/>
                <w:kern w:val="0"/>
                <w:sz w:val="24"/>
                <w:szCs w:val="24"/>
              </w:rPr>
              <w:t>……</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A32A2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3AD2F6">
            <w:pPr>
              <w:rPr>
                <w:rFonts w:ascii="Times New Roman" w:hAnsi="Times New Roman" w:eastAsia="仿宋_GB2312" w:cs="Times New Roman"/>
                <w:b/>
                <w:color w:val="000000"/>
                <w:sz w:val="22"/>
              </w:rPr>
            </w:pPr>
          </w:p>
        </w:tc>
      </w:tr>
      <w:tr w14:paraId="106F532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9B52F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E8C10B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55E823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422.41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323A1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40EBF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A6918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422.41</w:t>
            </w:r>
          </w:p>
        </w:tc>
      </w:tr>
      <w:tr w14:paraId="33495FCA">
        <w:tblPrEx>
          <w:tblCellMar>
            <w:top w:w="0" w:type="dxa"/>
            <w:left w:w="108" w:type="dxa"/>
            <w:bottom w:w="0" w:type="dxa"/>
            <w:right w:w="108" w:type="dxa"/>
          </w:tblCellMar>
        </w:tblPrEx>
        <w:trPr>
          <w:trHeight w:val="9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F0F07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546D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B50CC34">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8257B0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9E14D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CA5FB81">
            <w:pPr>
              <w:rPr>
                <w:rFonts w:ascii="Times New Roman" w:hAnsi="Times New Roman" w:eastAsia="仿宋_GB2312" w:cs="Times New Roman"/>
                <w:color w:val="000000"/>
                <w:sz w:val="22"/>
              </w:rPr>
            </w:pPr>
          </w:p>
        </w:tc>
      </w:tr>
      <w:tr w14:paraId="3BE9B5F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2003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0800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C5EA3F">
            <w:pPr>
              <w:jc w:val="right"/>
              <w:rPr>
                <w:rFonts w:ascii="Times New Roman" w:hAnsi="Times New Roman" w:eastAsia="仿宋_GB2312" w:cs="Times New Roman"/>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5256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8DE6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F14CBF">
            <w:pPr>
              <w:rPr>
                <w:rFonts w:ascii="Times New Roman" w:hAnsi="Times New Roman" w:eastAsia="仿宋_GB2312" w:cs="Times New Roman"/>
                <w:color w:val="000000"/>
                <w:sz w:val="22"/>
              </w:rPr>
            </w:pPr>
          </w:p>
        </w:tc>
      </w:tr>
      <w:tr w14:paraId="65E7B03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8F3006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9699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057080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422.41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096634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9CE1B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7088FC">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422.41</w:t>
            </w:r>
          </w:p>
        </w:tc>
      </w:tr>
    </w:tbl>
    <w:p w14:paraId="753297AD">
      <w:pPr>
        <w:widowControl/>
        <w:jc w:val="left"/>
        <w:textAlignment w:val="center"/>
        <w:rPr>
          <w:rFonts w:ascii="Times New Roman" w:hAnsi="Times New Roman" w:eastAsia="宋体" w:cs="Times New Roman"/>
          <w:color w:val="000000"/>
          <w:kern w:val="0"/>
          <w:sz w:val="24"/>
          <w:szCs w:val="24"/>
        </w:rPr>
      </w:pPr>
    </w:p>
    <w:p w14:paraId="01D2345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26FB2E3B">
      <w:pPr>
        <w:rPr>
          <w:rFonts w:ascii="Times New Roman" w:hAnsi="Times New Roman" w:eastAsia="华文中宋" w:cs="Times New Roman"/>
          <w:color w:val="000000"/>
          <w:sz w:val="32"/>
          <w:szCs w:val="32"/>
        </w:rPr>
      </w:pPr>
      <w:r>
        <w:br w:type="page"/>
      </w:r>
    </w:p>
    <w:p w14:paraId="53F3BFE2">
      <w:pPr>
        <w:widowControl/>
        <w:spacing w:line="400" w:lineRule="exact"/>
        <w:jc w:val="center"/>
        <w:textAlignment w:val="center"/>
        <w:rPr>
          <w:rFonts w:ascii="Times New Roman" w:hAnsi="Times New Roman" w:eastAsia="黑体" w:cs="Times New Roman"/>
          <w:color w:val="000000"/>
          <w:kern w:val="0"/>
          <w:sz w:val="32"/>
          <w:szCs w:val="32"/>
        </w:rPr>
      </w:pPr>
    </w:p>
    <w:p w14:paraId="3CEEAE1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5D8EFE0">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9774C7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val="en-US" w:eastAsia="zh-CN"/>
        </w:rPr>
        <w:t>中共会同县委党校</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886"/>
        <w:gridCol w:w="1855"/>
        <w:gridCol w:w="1455"/>
        <w:gridCol w:w="1530"/>
        <w:gridCol w:w="1665"/>
        <w:gridCol w:w="1590"/>
        <w:gridCol w:w="1405"/>
        <w:gridCol w:w="1897"/>
        <w:gridCol w:w="1383"/>
      </w:tblGrid>
      <w:tr w14:paraId="06EF608C">
        <w:tblPrEx>
          <w:tblCellMar>
            <w:top w:w="0" w:type="dxa"/>
            <w:left w:w="0" w:type="dxa"/>
            <w:bottom w:w="0" w:type="dxa"/>
            <w:right w:w="0" w:type="dxa"/>
          </w:tblCellMar>
        </w:tblPrEx>
        <w:trPr>
          <w:trHeight w:val="450" w:hRule="atLeast"/>
          <w:jc w:val="center"/>
        </w:trPr>
        <w:tc>
          <w:tcPr>
            <w:tcW w:w="3741"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519EE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F5B08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3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641B3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076525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5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216C2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C699E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7393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0A70D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DBB0BBF">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D4005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5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3CCA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55" w:type="dxa"/>
            <w:vMerge w:val="continue"/>
            <w:tcBorders>
              <w:top w:val="single" w:color="auto" w:sz="4" w:space="0"/>
              <w:left w:val="single" w:color="auto" w:sz="4" w:space="0"/>
              <w:bottom w:val="single" w:color="auto" w:sz="4" w:space="0"/>
              <w:right w:val="single" w:color="auto" w:sz="4" w:space="0"/>
            </w:tcBorders>
            <w:vAlign w:val="center"/>
          </w:tcPr>
          <w:p w14:paraId="6962F36B">
            <w:pPr>
              <w:rPr>
                <w:rFonts w:ascii="Times New Roman" w:hAnsi="Times New Roman" w:eastAsia="仿宋_GB2312" w:cs="Times New Roman"/>
                <w:sz w:val="24"/>
                <w:szCs w:val="24"/>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3C49F278">
            <w:pPr>
              <w:rPr>
                <w:rFonts w:ascii="Times New Roman" w:hAnsi="Times New Roman" w:eastAsia="仿宋_GB2312" w:cs="Times New Roman"/>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14:paraId="501336B0">
            <w:pPr>
              <w:rPr>
                <w:rFonts w:ascii="Times New Roman" w:hAnsi="Times New Roman" w:eastAsia="仿宋_GB2312" w:cs="Times New Roman"/>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4D2BAD1B">
            <w:pPr>
              <w:rPr>
                <w:rFonts w:ascii="Times New Roman" w:hAnsi="Times New Roman" w:eastAsia="仿宋_GB2312" w:cs="Times New Roman"/>
                <w:sz w:val="24"/>
                <w:szCs w:val="24"/>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14:paraId="3796DF8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3C1018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E6003F0">
            <w:pPr>
              <w:rPr>
                <w:rFonts w:ascii="Times New Roman" w:hAnsi="Times New Roman" w:eastAsia="仿宋_GB2312" w:cs="Times New Roman"/>
                <w:sz w:val="24"/>
                <w:szCs w:val="24"/>
              </w:rPr>
            </w:pPr>
          </w:p>
        </w:tc>
      </w:tr>
      <w:tr w14:paraId="670FE8F5">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9AE67FD">
            <w:pPr>
              <w:rPr>
                <w:rFonts w:ascii="Times New Roman" w:hAnsi="Times New Roman" w:eastAsia="仿宋_GB2312" w:cs="Times New Roman"/>
                <w:sz w:val="24"/>
                <w:szCs w:val="24"/>
              </w:rPr>
            </w:pPr>
          </w:p>
        </w:tc>
        <w:tc>
          <w:tcPr>
            <w:tcW w:w="1855" w:type="dxa"/>
            <w:vMerge w:val="continue"/>
            <w:tcBorders>
              <w:top w:val="nil"/>
              <w:left w:val="single" w:color="auto" w:sz="4" w:space="0"/>
              <w:bottom w:val="single" w:color="auto" w:sz="4" w:space="0"/>
              <w:right w:val="single" w:color="auto" w:sz="4" w:space="0"/>
            </w:tcBorders>
            <w:vAlign w:val="center"/>
          </w:tcPr>
          <w:p w14:paraId="2FE4F169">
            <w:pPr>
              <w:rPr>
                <w:rFonts w:ascii="Times New Roman" w:hAnsi="Times New Roman" w:eastAsia="仿宋_GB2312" w:cs="Times New Roman"/>
                <w:sz w:val="24"/>
                <w:szCs w:val="24"/>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14:paraId="4E67113B">
            <w:pPr>
              <w:rPr>
                <w:rFonts w:ascii="Times New Roman" w:hAnsi="Times New Roman" w:eastAsia="仿宋_GB2312" w:cs="Times New Roman"/>
                <w:sz w:val="24"/>
                <w:szCs w:val="24"/>
              </w:rPr>
            </w:pPr>
          </w:p>
        </w:tc>
        <w:tc>
          <w:tcPr>
            <w:tcW w:w="1530" w:type="dxa"/>
            <w:vMerge w:val="continue"/>
            <w:tcBorders>
              <w:top w:val="single" w:color="auto" w:sz="4" w:space="0"/>
              <w:left w:val="single" w:color="auto" w:sz="4" w:space="0"/>
              <w:bottom w:val="single" w:color="auto" w:sz="4" w:space="0"/>
              <w:right w:val="single" w:color="auto" w:sz="4" w:space="0"/>
            </w:tcBorders>
            <w:vAlign w:val="center"/>
          </w:tcPr>
          <w:p w14:paraId="38704B82">
            <w:pPr>
              <w:rPr>
                <w:rFonts w:ascii="Times New Roman" w:hAnsi="Times New Roman" w:eastAsia="仿宋_GB2312" w:cs="Times New Roman"/>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14:paraId="769A5BB7">
            <w:pPr>
              <w:rPr>
                <w:rFonts w:ascii="Times New Roman" w:hAnsi="Times New Roman" w:eastAsia="仿宋_GB2312" w:cs="Times New Roman"/>
                <w:sz w:val="24"/>
                <w:szCs w:val="24"/>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4CEE501C">
            <w:pPr>
              <w:rPr>
                <w:rFonts w:ascii="Times New Roman" w:hAnsi="Times New Roman" w:eastAsia="仿宋_GB2312" w:cs="Times New Roman"/>
                <w:sz w:val="24"/>
                <w:szCs w:val="24"/>
              </w:rPr>
            </w:pPr>
          </w:p>
        </w:tc>
        <w:tc>
          <w:tcPr>
            <w:tcW w:w="1405" w:type="dxa"/>
            <w:vMerge w:val="continue"/>
            <w:tcBorders>
              <w:top w:val="single" w:color="auto" w:sz="4" w:space="0"/>
              <w:left w:val="single" w:color="auto" w:sz="4" w:space="0"/>
              <w:bottom w:val="single" w:color="auto" w:sz="4" w:space="0"/>
              <w:right w:val="single" w:color="auto" w:sz="4" w:space="0"/>
            </w:tcBorders>
            <w:vAlign w:val="center"/>
          </w:tcPr>
          <w:p w14:paraId="70EA3D6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1B8E59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13E5811">
            <w:pPr>
              <w:rPr>
                <w:rFonts w:ascii="Times New Roman" w:hAnsi="Times New Roman" w:eastAsia="仿宋_GB2312" w:cs="Times New Roman"/>
                <w:sz w:val="24"/>
                <w:szCs w:val="24"/>
              </w:rPr>
            </w:pPr>
          </w:p>
        </w:tc>
      </w:tr>
      <w:tr w14:paraId="09D62E53">
        <w:tblPrEx>
          <w:tblCellMar>
            <w:top w:w="0" w:type="dxa"/>
            <w:left w:w="0" w:type="dxa"/>
            <w:bottom w:w="0" w:type="dxa"/>
            <w:right w:w="0" w:type="dxa"/>
          </w:tblCellMar>
        </w:tblPrEx>
        <w:trPr>
          <w:trHeight w:val="450" w:hRule="atLeast"/>
          <w:jc w:val="center"/>
        </w:trPr>
        <w:tc>
          <w:tcPr>
            <w:tcW w:w="37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5A6DC3">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52FEA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3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A7962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EF74D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5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EF8D75">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2677B5">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CAD71D">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A471F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3FA6F05">
        <w:tblPrEx>
          <w:tblCellMar>
            <w:top w:w="0" w:type="dxa"/>
            <w:left w:w="0" w:type="dxa"/>
            <w:bottom w:w="0" w:type="dxa"/>
            <w:right w:w="0" w:type="dxa"/>
          </w:tblCellMar>
        </w:tblPrEx>
        <w:trPr>
          <w:trHeight w:val="450" w:hRule="atLeast"/>
          <w:jc w:val="center"/>
        </w:trPr>
        <w:tc>
          <w:tcPr>
            <w:tcW w:w="3741"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E1A40E">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DF24F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422.41</w:t>
            </w: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9E85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422.41</w:t>
            </w: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6877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A9E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E1DD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B8F6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5DE0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CB2106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6FA118">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2010301</w:t>
            </w:r>
          </w:p>
        </w:tc>
        <w:tc>
          <w:tcPr>
            <w:tcW w:w="1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A414C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7F76E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22.58</w:t>
            </w: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793D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22.58</w:t>
            </w: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BB7D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C7011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5270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1C951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E7189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69908D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4068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2050802</w:t>
            </w:r>
          </w:p>
        </w:tc>
        <w:tc>
          <w:tcPr>
            <w:tcW w:w="1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B7A90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干部教育</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9BA9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356.89</w:t>
            </w: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FE92F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356.89</w:t>
            </w: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1756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F960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68B5F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54A3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8B40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859B9E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88B9A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2080501</w:t>
            </w:r>
          </w:p>
        </w:tc>
        <w:tc>
          <w:tcPr>
            <w:tcW w:w="1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A1F26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行政单位离退休</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18788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4.20</w:t>
            </w: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9527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4.20</w:t>
            </w: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CE5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DE498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92C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B52C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9EA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1070EF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E9E11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B05BD2">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A1E6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36.26</w:t>
            </w: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146D7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36.26</w:t>
            </w: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624A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D5BAE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98EF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4C3C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C45D8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19AF7E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CA7C50">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1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20065C">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死亡抚恤</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FDD66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2.48</w:t>
            </w: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D3B91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2.48</w:t>
            </w: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48B1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569C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F410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B771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F236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08E7DA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B100BC">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8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3BEC54">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51CD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3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2C4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222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C961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7498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4BC3A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BD94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521859B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DAB09F0">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br w:type="page"/>
      </w:r>
    </w:p>
    <w:p w14:paraId="3320097A">
      <w:pPr>
        <w:widowControl/>
        <w:jc w:val="center"/>
        <w:textAlignment w:val="center"/>
        <w:rPr>
          <w:rFonts w:ascii="Times New Roman" w:hAnsi="Times New Roman" w:eastAsia="黑体" w:cs="Times New Roman"/>
          <w:color w:val="000000"/>
          <w:kern w:val="0"/>
          <w:sz w:val="32"/>
          <w:szCs w:val="32"/>
        </w:rPr>
      </w:pPr>
    </w:p>
    <w:p w14:paraId="71DDA96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2B20B71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2734F3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中共会同县委党校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autofit"/>
        <w:tblCellMar>
          <w:top w:w="0" w:type="dxa"/>
          <w:left w:w="108" w:type="dxa"/>
          <w:bottom w:w="0" w:type="dxa"/>
          <w:right w:w="108" w:type="dxa"/>
        </w:tblCellMar>
      </w:tblPr>
      <w:tblGrid>
        <w:gridCol w:w="1563"/>
        <w:gridCol w:w="3914"/>
        <w:gridCol w:w="1908"/>
        <w:gridCol w:w="984"/>
        <w:gridCol w:w="984"/>
        <w:gridCol w:w="1527"/>
        <w:gridCol w:w="984"/>
        <w:gridCol w:w="2345"/>
      </w:tblGrid>
      <w:tr w14:paraId="080E2B40">
        <w:tblPrEx>
          <w:tblCellMar>
            <w:top w:w="0" w:type="dxa"/>
            <w:left w:w="108" w:type="dxa"/>
            <w:bottom w:w="0" w:type="dxa"/>
            <w:right w:w="108" w:type="dxa"/>
          </w:tblCellMar>
        </w:tblPrEx>
        <w:trPr>
          <w:trHeight w:val="595" w:hRule="atLeast"/>
          <w:jc w:val="center"/>
        </w:trPr>
        <w:tc>
          <w:tcPr>
            <w:tcW w:w="192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6B8AAD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62E5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C65C3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FCDE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00CAC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4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433EBF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A09C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02F9891">
        <w:tblPrEx>
          <w:tblCellMar>
            <w:top w:w="0" w:type="dxa"/>
            <w:left w:w="108" w:type="dxa"/>
            <w:bottom w:w="0" w:type="dxa"/>
            <w:right w:w="108" w:type="dxa"/>
          </w:tblCellMar>
        </w:tblPrEx>
        <w:trPr>
          <w:trHeight w:val="312" w:hRule="exact"/>
          <w:jc w:val="center"/>
        </w:trPr>
        <w:tc>
          <w:tcPr>
            <w:tcW w:w="55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2AD36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77" w:type="pct"/>
            <w:vMerge w:val="restart"/>
            <w:tcBorders>
              <w:top w:val="nil"/>
              <w:left w:val="single" w:color="auto" w:sz="4" w:space="0"/>
              <w:bottom w:val="single" w:color="auto" w:sz="4" w:space="0"/>
              <w:right w:val="single" w:color="auto" w:sz="4" w:space="0"/>
            </w:tcBorders>
            <w:shd w:val="clear" w:color="000000" w:fill="FFFFFF"/>
            <w:vAlign w:val="center"/>
          </w:tcPr>
          <w:p w14:paraId="5B80BE9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71" w:type="pct"/>
            <w:vMerge w:val="continue"/>
            <w:tcBorders>
              <w:top w:val="single" w:color="auto" w:sz="4" w:space="0"/>
              <w:left w:val="single" w:color="auto" w:sz="4" w:space="0"/>
              <w:bottom w:val="single" w:color="auto" w:sz="4" w:space="0"/>
              <w:right w:val="single" w:color="auto" w:sz="4" w:space="0"/>
            </w:tcBorders>
            <w:vAlign w:val="center"/>
          </w:tcPr>
          <w:p w14:paraId="7642CABD">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23DD6233">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7964FE0C">
            <w:pPr>
              <w:widowControl/>
              <w:jc w:val="left"/>
              <w:rPr>
                <w:rFonts w:ascii="Times New Roman" w:hAnsi="Times New Roman" w:eastAsia="仿宋_GB2312" w:cs="Times New Roman"/>
                <w:b/>
                <w:bCs/>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14:paraId="5C8CE3E5">
            <w:pPr>
              <w:widowControl/>
              <w:jc w:val="left"/>
              <w:rPr>
                <w:rFonts w:ascii="Times New Roman" w:hAnsi="Times New Roman" w:eastAsia="仿宋_GB2312" w:cs="Times New Roman"/>
                <w:b/>
                <w:bCs/>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2CEB87FC">
            <w:pPr>
              <w:widowControl/>
              <w:jc w:val="left"/>
              <w:rPr>
                <w:rFonts w:ascii="Times New Roman" w:hAnsi="Times New Roman" w:eastAsia="仿宋_GB2312" w:cs="Times New Roman"/>
                <w:b/>
                <w:bCs/>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14:paraId="08897F31">
            <w:pPr>
              <w:widowControl/>
              <w:jc w:val="left"/>
              <w:rPr>
                <w:rFonts w:ascii="Times New Roman" w:hAnsi="Times New Roman" w:eastAsia="仿宋_GB2312" w:cs="Times New Roman"/>
                <w:b/>
                <w:bCs/>
                <w:kern w:val="0"/>
                <w:sz w:val="24"/>
                <w:szCs w:val="24"/>
              </w:rPr>
            </w:pPr>
          </w:p>
        </w:tc>
      </w:tr>
      <w:tr w14:paraId="5D6EA041">
        <w:tblPrEx>
          <w:tblCellMar>
            <w:top w:w="0" w:type="dxa"/>
            <w:left w:w="108" w:type="dxa"/>
            <w:bottom w:w="0" w:type="dxa"/>
            <w:right w:w="108" w:type="dxa"/>
          </w:tblCellMar>
        </w:tblPrEx>
        <w:trPr>
          <w:trHeight w:val="595" w:hRule="atLeast"/>
          <w:jc w:val="center"/>
        </w:trPr>
        <w:tc>
          <w:tcPr>
            <w:tcW w:w="550" w:type="pct"/>
            <w:vMerge w:val="continue"/>
            <w:tcBorders>
              <w:top w:val="single" w:color="auto" w:sz="4" w:space="0"/>
              <w:left w:val="single" w:color="auto" w:sz="4" w:space="0"/>
              <w:bottom w:val="single" w:color="auto" w:sz="4" w:space="0"/>
              <w:right w:val="single" w:color="auto" w:sz="4" w:space="0"/>
            </w:tcBorders>
            <w:vAlign w:val="center"/>
          </w:tcPr>
          <w:p w14:paraId="059439AB">
            <w:pPr>
              <w:widowControl/>
              <w:jc w:val="left"/>
              <w:rPr>
                <w:rFonts w:ascii="Times New Roman" w:hAnsi="Times New Roman" w:eastAsia="仿宋_GB2312" w:cs="Times New Roman"/>
                <w:kern w:val="0"/>
                <w:sz w:val="24"/>
                <w:szCs w:val="24"/>
              </w:rPr>
            </w:pPr>
          </w:p>
        </w:tc>
        <w:tc>
          <w:tcPr>
            <w:tcW w:w="1377" w:type="pct"/>
            <w:vMerge w:val="continue"/>
            <w:tcBorders>
              <w:top w:val="nil"/>
              <w:left w:val="single" w:color="auto" w:sz="4" w:space="0"/>
              <w:bottom w:val="single" w:color="auto" w:sz="4" w:space="0"/>
              <w:right w:val="single" w:color="auto" w:sz="4" w:space="0"/>
            </w:tcBorders>
            <w:vAlign w:val="center"/>
          </w:tcPr>
          <w:p w14:paraId="7B77E935">
            <w:pPr>
              <w:widowControl/>
              <w:jc w:val="left"/>
              <w:rPr>
                <w:rFonts w:ascii="Times New Roman" w:hAnsi="Times New Roman" w:eastAsia="仿宋_GB2312" w:cs="Times New Roman"/>
                <w:kern w:val="0"/>
                <w:sz w:val="24"/>
                <w:szCs w:val="24"/>
              </w:rPr>
            </w:pPr>
          </w:p>
        </w:tc>
        <w:tc>
          <w:tcPr>
            <w:tcW w:w="671" w:type="pct"/>
            <w:vMerge w:val="continue"/>
            <w:tcBorders>
              <w:top w:val="single" w:color="auto" w:sz="4" w:space="0"/>
              <w:left w:val="single" w:color="auto" w:sz="4" w:space="0"/>
              <w:bottom w:val="single" w:color="auto" w:sz="4" w:space="0"/>
              <w:right w:val="single" w:color="auto" w:sz="4" w:space="0"/>
            </w:tcBorders>
            <w:vAlign w:val="center"/>
          </w:tcPr>
          <w:p w14:paraId="7A789DED">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39576A75">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3C902BA1">
            <w:pPr>
              <w:widowControl/>
              <w:jc w:val="left"/>
              <w:rPr>
                <w:rFonts w:ascii="Times New Roman" w:hAnsi="Times New Roman" w:eastAsia="仿宋_GB2312" w:cs="Times New Roman"/>
                <w:kern w:val="0"/>
                <w:sz w:val="24"/>
                <w:szCs w:val="24"/>
              </w:rPr>
            </w:pPr>
          </w:p>
        </w:tc>
        <w:tc>
          <w:tcPr>
            <w:tcW w:w="537" w:type="pct"/>
            <w:vMerge w:val="continue"/>
            <w:tcBorders>
              <w:top w:val="single" w:color="auto" w:sz="4" w:space="0"/>
              <w:left w:val="single" w:color="auto" w:sz="4" w:space="0"/>
              <w:bottom w:val="single" w:color="auto" w:sz="4" w:space="0"/>
              <w:right w:val="single" w:color="auto" w:sz="4" w:space="0"/>
            </w:tcBorders>
            <w:vAlign w:val="center"/>
          </w:tcPr>
          <w:p w14:paraId="3177C12B">
            <w:pPr>
              <w:widowControl/>
              <w:jc w:val="left"/>
              <w:rPr>
                <w:rFonts w:ascii="Times New Roman" w:hAnsi="Times New Roman" w:eastAsia="仿宋_GB2312" w:cs="Times New Roman"/>
                <w:kern w:val="0"/>
                <w:sz w:val="24"/>
                <w:szCs w:val="24"/>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14:paraId="7D517C9D">
            <w:pPr>
              <w:widowControl/>
              <w:jc w:val="left"/>
              <w:rPr>
                <w:rFonts w:ascii="Times New Roman" w:hAnsi="Times New Roman" w:eastAsia="仿宋_GB2312" w:cs="Times New Roman"/>
                <w:kern w:val="0"/>
                <w:sz w:val="24"/>
                <w:szCs w:val="24"/>
              </w:rPr>
            </w:pPr>
          </w:p>
        </w:tc>
        <w:tc>
          <w:tcPr>
            <w:tcW w:w="825" w:type="pct"/>
            <w:vMerge w:val="continue"/>
            <w:tcBorders>
              <w:top w:val="single" w:color="auto" w:sz="4" w:space="0"/>
              <w:left w:val="single" w:color="auto" w:sz="4" w:space="0"/>
              <w:bottom w:val="single" w:color="auto" w:sz="4" w:space="0"/>
              <w:right w:val="single" w:color="auto" w:sz="4" w:space="0"/>
            </w:tcBorders>
            <w:vAlign w:val="center"/>
          </w:tcPr>
          <w:p w14:paraId="28ED2AE6">
            <w:pPr>
              <w:widowControl/>
              <w:jc w:val="left"/>
              <w:rPr>
                <w:rFonts w:ascii="Times New Roman" w:hAnsi="Times New Roman" w:eastAsia="仿宋_GB2312" w:cs="Times New Roman"/>
                <w:kern w:val="0"/>
                <w:sz w:val="24"/>
                <w:szCs w:val="24"/>
              </w:rPr>
            </w:pPr>
          </w:p>
        </w:tc>
      </w:tr>
      <w:tr w14:paraId="031C2268">
        <w:tblPrEx>
          <w:tblCellMar>
            <w:top w:w="0" w:type="dxa"/>
            <w:left w:w="108" w:type="dxa"/>
            <w:bottom w:w="0" w:type="dxa"/>
            <w:right w:w="108" w:type="dxa"/>
          </w:tblCellMar>
        </w:tblPrEx>
        <w:trPr>
          <w:trHeight w:val="595" w:hRule="atLeast"/>
          <w:jc w:val="center"/>
        </w:trPr>
        <w:tc>
          <w:tcPr>
            <w:tcW w:w="192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0604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71" w:type="pct"/>
            <w:tcBorders>
              <w:top w:val="nil"/>
              <w:left w:val="nil"/>
              <w:bottom w:val="single" w:color="auto" w:sz="4" w:space="0"/>
              <w:right w:val="single" w:color="auto" w:sz="4" w:space="0"/>
            </w:tcBorders>
            <w:shd w:val="clear" w:color="000000" w:fill="FFFFFF"/>
            <w:noWrap/>
            <w:vAlign w:val="center"/>
          </w:tcPr>
          <w:p w14:paraId="762E6D7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46" w:type="pct"/>
            <w:tcBorders>
              <w:top w:val="nil"/>
              <w:left w:val="nil"/>
              <w:bottom w:val="single" w:color="auto" w:sz="4" w:space="0"/>
              <w:right w:val="single" w:color="auto" w:sz="4" w:space="0"/>
            </w:tcBorders>
            <w:shd w:val="clear" w:color="000000" w:fill="FFFFFF"/>
            <w:noWrap/>
            <w:vAlign w:val="center"/>
          </w:tcPr>
          <w:p w14:paraId="1752EFD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46" w:type="pct"/>
            <w:tcBorders>
              <w:top w:val="nil"/>
              <w:left w:val="nil"/>
              <w:bottom w:val="single" w:color="auto" w:sz="4" w:space="0"/>
              <w:right w:val="single" w:color="auto" w:sz="4" w:space="0"/>
            </w:tcBorders>
            <w:shd w:val="clear" w:color="000000" w:fill="FFFFFF"/>
            <w:noWrap/>
            <w:vAlign w:val="center"/>
          </w:tcPr>
          <w:p w14:paraId="6D5E6D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37" w:type="pct"/>
            <w:tcBorders>
              <w:top w:val="nil"/>
              <w:left w:val="nil"/>
              <w:bottom w:val="single" w:color="auto" w:sz="4" w:space="0"/>
              <w:right w:val="single" w:color="auto" w:sz="4" w:space="0"/>
            </w:tcBorders>
            <w:shd w:val="clear" w:color="000000" w:fill="FFFFFF"/>
            <w:noWrap/>
            <w:vAlign w:val="center"/>
          </w:tcPr>
          <w:p w14:paraId="3D87A2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46" w:type="pct"/>
            <w:tcBorders>
              <w:top w:val="nil"/>
              <w:left w:val="nil"/>
              <w:bottom w:val="single" w:color="auto" w:sz="4" w:space="0"/>
              <w:right w:val="single" w:color="auto" w:sz="4" w:space="0"/>
            </w:tcBorders>
            <w:shd w:val="clear" w:color="000000" w:fill="FFFFFF"/>
            <w:noWrap/>
            <w:vAlign w:val="center"/>
          </w:tcPr>
          <w:p w14:paraId="441A9F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25" w:type="pct"/>
            <w:tcBorders>
              <w:top w:val="nil"/>
              <w:left w:val="nil"/>
              <w:bottom w:val="single" w:color="auto" w:sz="4" w:space="0"/>
              <w:right w:val="single" w:color="auto" w:sz="4" w:space="0"/>
            </w:tcBorders>
            <w:shd w:val="clear" w:color="000000" w:fill="FFFFFF"/>
            <w:noWrap/>
            <w:vAlign w:val="center"/>
          </w:tcPr>
          <w:p w14:paraId="0BF7BB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37DC4E92">
        <w:tblPrEx>
          <w:tblCellMar>
            <w:top w:w="0" w:type="dxa"/>
            <w:left w:w="108" w:type="dxa"/>
            <w:bottom w:w="0" w:type="dxa"/>
            <w:right w:w="108" w:type="dxa"/>
          </w:tblCellMar>
        </w:tblPrEx>
        <w:trPr>
          <w:trHeight w:val="595" w:hRule="atLeast"/>
          <w:jc w:val="center"/>
        </w:trPr>
        <w:tc>
          <w:tcPr>
            <w:tcW w:w="192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3D0A6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71" w:type="pct"/>
            <w:tcBorders>
              <w:top w:val="nil"/>
              <w:left w:val="nil"/>
              <w:bottom w:val="single" w:color="auto" w:sz="4" w:space="0"/>
              <w:right w:val="single" w:color="auto" w:sz="4" w:space="0"/>
            </w:tcBorders>
            <w:shd w:val="clear" w:color="auto" w:fill="auto"/>
            <w:noWrap/>
            <w:vAlign w:val="center"/>
          </w:tcPr>
          <w:p w14:paraId="3A7B480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422.41</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7961E71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356.57</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101E8BB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65.84</w:t>
            </w: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01869D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20922D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4ED179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F4DBFD7">
        <w:tblPrEx>
          <w:tblCellMar>
            <w:top w:w="0" w:type="dxa"/>
            <w:left w:w="108" w:type="dxa"/>
            <w:bottom w:w="0" w:type="dxa"/>
            <w:right w:w="108" w:type="dxa"/>
          </w:tblCellMar>
        </w:tblPrEx>
        <w:trPr>
          <w:trHeight w:val="595" w:hRule="atLeast"/>
          <w:jc w:val="center"/>
        </w:trPr>
        <w:tc>
          <w:tcPr>
            <w:tcW w:w="5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034027">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2010301</w:t>
            </w:r>
          </w:p>
        </w:tc>
        <w:tc>
          <w:tcPr>
            <w:tcW w:w="1377" w:type="pct"/>
            <w:tcBorders>
              <w:top w:val="nil"/>
              <w:left w:val="nil"/>
              <w:bottom w:val="single" w:color="auto" w:sz="4" w:space="0"/>
              <w:right w:val="single" w:color="auto" w:sz="4" w:space="0"/>
            </w:tcBorders>
            <w:shd w:val="clear" w:color="000000" w:fill="FFFFFF"/>
            <w:noWrap/>
            <w:vAlign w:val="center"/>
          </w:tcPr>
          <w:p w14:paraId="76AB592F">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671" w:type="pct"/>
            <w:tcBorders>
              <w:top w:val="nil"/>
              <w:left w:val="nil"/>
              <w:bottom w:val="single" w:color="auto" w:sz="4" w:space="0"/>
              <w:right w:val="single" w:color="auto" w:sz="4" w:space="0"/>
            </w:tcBorders>
            <w:shd w:val="clear" w:color="auto" w:fill="auto"/>
            <w:noWrap/>
            <w:vAlign w:val="center"/>
          </w:tcPr>
          <w:p w14:paraId="0AC464E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22.58</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14:paraId="3D8A14A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22.58</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36DE4B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372FF8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4D402E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029090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D65B379">
        <w:tblPrEx>
          <w:tblCellMar>
            <w:top w:w="0" w:type="dxa"/>
            <w:left w:w="108" w:type="dxa"/>
            <w:bottom w:w="0" w:type="dxa"/>
            <w:right w:w="108" w:type="dxa"/>
          </w:tblCellMar>
        </w:tblPrEx>
        <w:trPr>
          <w:trHeight w:val="595" w:hRule="atLeast"/>
          <w:jc w:val="center"/>
        </w:trPr>
        <w:tc>
          <w:tcPr>
            <w:tcW w:w="5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F3691E">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2050802</w:t>
            </w:r>
          </w:p>
        </w:tc>
        <w:tc>
          <w:tcPr>
            <w:tcW w:w="1377" w:type="pct"/>
            <w:tcBorders>
              <w:top w:val="nil"/>
              <w:left w:val="nil"/>
              <w:bottom w:val="single" w:color="auto" w:sz="4" w:space="0"/>
              <w:right w:val="single" w:color="auto" w:sz="4" w:space="0"/>
            </w:tcBorders>
            <w:shd w:val="clear" w:color="000000" w:fill="FFFFFF"/>
            <w:noWrap/>
            <w:vAlign w:val="center"/>
          </w:tcPr>
          <w:p w14:paraId="11B09964">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干部教育</w:t>
            </w:r>
          </w:p>
        </w:tc>
        <w:tc>
          <w:tcPr>
            <w:tcW w:w="671" w:type="pct"/>
            <w:tcBorders>
              <w:top w:val="nil"/>
              <w:left w:val="nil"/>
              <w:bottom w:val="single" w:color="auto" w:sz="4" w:space="0"/>
              <w:right w:val="single" w:color="auto" w:sz="4" w:space="0"/>
            </w:tcBorders>
            <w:shd w:val="clear" w:color="auto" w:fill="auto"/>
            <w:noWrap/>
            <w:vAlign w:val="center"/>
          </w:tcPr>
          <w:p w14:paraId="4FC6A47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356.89</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14:paraId="240C5622">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291.05</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7E178BA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65.84</w:t>
            </w: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707512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4DA5250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72A9F57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126ADC6">
        <w:tblPrEx>
          <w:tblCellMar>
            <w:top w:w="0" w:type="dxa"/>
            <w:left w:w="108" w:type="dxa"/>
            <w:bottom w:w="0" w:type="dxa"/>
            <w:right w:w="108" w:type="dxa"/>
          </w:tblCellMar>
        </w:tblPrEx>
        <w:trPr>
          <w:trHeight w:val="595" w:hRule="atLeast"/>
          <w:jc w:val="center"/>
        </w:trPr>
        <w:tc>
          <w:tcPr>
            <w:tcW w:w="5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8E986E">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2080501</w:t>
            </w:r>
          </w:p>
        </w:tc>
        <w:tc>
          <w:tcPr>
            <w:tcW w:w="1377" w:type="pct"/>
            <w:tcBorders>
              <w:top w:val="nil"/>
              <w:left w:val="nil"/>
              <w:bottom w:val="single" w:color="auto" w:sz="4" w:space="0"/>
              <w:right w:val="single" w:color="auto" w:sz="4" w:space="0"/>
            </w:tcBorders>
            <w:shd w:val="clear" w:color="000000" w:fill="FFFFFF"/>
            <w:noWrap/>
            <w:vAlign w:val="center"/>
          </w:tcPr>
          <w:p w14:paraId="233FA34C">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行政单位离退休</w:t>
            </w:r>
          </w:p>
        </w:tc>
        <w:tc>
          <w:tcPr>
            <w:tcW w:w="671" w:type="pct"/>
            <w:tcBorders>
              <w:top w:val="nil"/>
              <w:left w:val="nil"/>
              <w:bottom w:val="single" w:color="auto" w:sz="4" w:space="0"/>
              <w:right w:val="single" w:color="auto" w:sz="4" w:space="0"/>
            </w:tcBorders>
            <w:shd w:val="clear" w:color="auto" w:fill="auto"/>
            <w:noWrap/>
            <w:vAlign w:val="center"/>
          </w:tcPr>
          <w:p w14:paraId="1C5BB8D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4.20</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14:paraId="7DC7450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4.20</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29094F7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326C0A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3C2F16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09F7AFB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8962D47">
        <w:tblPrEx>
          <w:tblCellMar>
            <w:top w:w="0" w:type="dxa"/>
            <w:left w:w="108" w:type="dxa"/>
            <w:bottom w:w="0" w:type="dxa"/>
            <w:right w:w="108" w:type="dxa"/>
          </w:tblCellMar>
        </w:tblPrEx>
        <w:trPr>
          <w:trHeight w:val="595" w:hRule="atLeast"/>
          <w:jc w:val="center"/>
        </w:trPr>
        <w:tc>
          <w:tcPr>
            <w:tcW w:w="5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411523">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1377" w:type="pct"/>
            <w:tcBorders>
              <w:top w:val="nil"/>
              <w:left w:val="nil"/>
              <w:bottom w:val="single" w:color="auto" w:sz="4" w:space="0"/>
              <w:right w:val="single" w:color="auto" w:sz="4" w:space="0"/>
            </w:tcBorders>
            <w:shd w:val="clear" w:color="000000" w:fill="FFFFFF"/>
            <w:noWrap/>
            <w:vAlign w:val="center"/>
          </w:tcPr>
          <w:p w14:paraId="1F81EDA6">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671" w:type="pct"/>
            <w:tcBorders>
              <w:top w:val="nil"/>
              <w:left w:val="nil"/>
              <w:bottom w:val="single" w:color="auto" w:sz="4" w:space="0"/>
              <w:right w:val="single" w:color="auto" w:sz="4" w:space="0"/>
            </w:tcBorders>
            <w:shd w:val="clear" w:color="auto" w:fill="auto"/>
            <w:noWrap/>
            <w:vAlign w:val="center"/>
          </w:tcPr>
          <w:p w14:paraId="01A1066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36.26</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14:paraId="2AFF5519">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36.26</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14B1DF2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189428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027DD43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4D22D5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489E33">
        <w:tblPrEx>
          <w:tblCellMar>
            <w:top w:w="0" w:type="dxa"/>
            <w:left w:w="108" w:type="dxa"/>
            <w:bottom w:w="0" w:type="dxa"/>
            <w:right w:w="108" w:type="dxa"/>
          </w:tblCellMar>
        </w:tblPrEx>
        <w:trPr>
          <w:trHeight w:val="595" w:hRule="atLeast"/>
          <w:jc w:val="center"/>
        </w:trPr>
        <w:tc>
          <w:tcPr>
            <w:tcW w:w="5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1024B9">
            <w:pPr>
              <w:widowControl/>
              <w:jc w:val="left"/>
              <w:rPr>
                <w:rFonts w:hint="default" w:ascii="Times New Roman" w:hAnsi="Times New Roman" w:eastAsia="仿宋_GB2312" w:cs="Times New Roman"/>
                <w:kern w:val="0"/>
                <w:sz w:val="24"/>
                <w:szCs w:val="24"/>
                <w:lang w:val="en-US" w:eastAsia="zh-CN"/>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2080801</w:t>
            </w:r>
          </w:p>
        </w:tc>
        <w:tc>
          <w:tcPr>
            <w:tcW w:w="1377" w:type="pct"/>
            <w:tcBorders>
              <w:top w:val="nil"/>
              <w:left w:val="nil"/>
              <w:bottom w:val="single" w:color="auto" w:sz="4" w:space="0"/>
              <w:right w:val="single" w:color="auto" w:sz="4" w:space="0"/>
            </w:tcBorders>
            <w:shd w:val="clear" w:color="000000" w:fill="FFFFFF"/>
            <w:noWrap/>
            <w:vAlign w:val="center"/>
          </w:tcPr>
          <w:p w14:paraId="2D0A390F">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死亡抚恤</w:t>
            </w:r>
          </w:p>
        </w:tc>
        <w:tc>
          <w:tcPr>
            <w:tcW w:w="671" w:type="pct"/>
            <w:tcBorders>
              <w:top w:val="nil"/>
              <w:left w:val="nil"/>
              <w:bottom w:val="single" w:color="auto" w:sz="4" w:space="0"/>
              <w:right w:val="single" w:color="auto" w:sz="4" w:space="0"/>
            </w:tcBorders>
            <w:shd w:val="clear" w:color="auto" w:fill="auto"/>
            <w:noWrap/>
            <w:vAlign w:val="center"/>
          </w:tcPr>
          <w:p w14:paraId="3D0404E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2.48</w:t>
            </w:r>
            <w:r>
              <w:rPr>
                <w:rFonts w:ascii="Times New Roman" w:hAnsi="Times New Roman" w:eastAsia="仿宋_GB2312" w:cs="Times New Roman"/>
              </w:rPr>
              <w:t>　</w:t>
            </w:r>
          </w:p>
        </w:tc>
        <w:tc>
          <w:tcPr>
            <w:tcW w:w="346" w:type="pct"/>
            <w:tcBorders>
              <w:top w:val="nil"/>
              <w:left w:val="nil"/>
              <w:bottom w:val="single" w:color="auto" w:sz="4" w:space="0"/>
              <w:right w:val="single" w:color="auto" w:sz="4" w:space="0"/>
            </w:tcBorders>
            <w:shd w:val="clear" w:color="auto" w:fill="auto"/>
            <w:noWrap/>
            <w:vAlign w:val="center"/>
          </w:tcPr>
          <w:p w14:paraId="35E8595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w:t>
            </w: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2E1EA1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3B6E55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6448D7A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4182CF8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EC855DD">
        <w:tblPrEx>
          <w:tblCellMar>
            <w:top w:w="0" w:type="dxa"/>
            <w:left w:w="108" w:type="dxa"/>
            <w:bottom w:w="0" w:type="dxa"/>
            <w:right w:w="108" w:type="dxa"/>
          </w:tblCellMar>
        </w:tblPrEx>
        <w:trPr>
          <w:trHeight w:val="595" w:hRule="atLeast"/>
          <w:jc w:val="center"/>
        </w:trPr>
        <w:tc>
          <w:tcPr>
            <w:tcW w:w="55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3FFF89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77" w:type="pct"/>
            <w:tcBorders>
              <w:top w:val="nil"/>
              <w:left w:val="nil"/>
              <w:bottom w:val="single" w:color="auto" w:sz="4" w:space="0"/>
              <w:right w:val="single" w:color="auto" w:sz="4" w:space="0"/>
            </w:tcBorders>
            <w:shd w:val="clear" w:color="000000" w:fill="FFFFFF"/>
            <w:noWrap/>
            <w:vAlign w:val="center"/>
          </w:tcPr>
          <w:p w14:paraId="4B738D3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14:paraId="7C300FF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677D048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73262D7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37" w:type="pct"/>
            <w:tcBorders>
              <w:top w:val="nil"/>
              <w:left w:val="nil"/>
              <w:bottom w:val="single" w:color="auto" w:sz="4" w:space="0"/>
              <w:right w:val="single" w:color="auto" w:sz="4" w:space="0"/>
            </w:tcBorders>
            <w:shd w:val="clear" w:color="auto" w:fill="auto"/>
            <w:noWrap/>
            <w:vAlign w:val="center"/>
          </w:tcPr>
          <w:p w14:paraId="02853C5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46" w:type="pct"/>
            <w:tcBorders>
              <w:top w:val="nil"/>
              <w:left w:val="nil"/>
              <w:bottom w:val="single" w:color="auto" w:sz="4" w:space="0"/>
              <w:right w:val="single" w:color="auto" w:sz="4" w:space="0"/>
            </w:tcBorders>
            <w:shd w:val="clear" w:color="auto" w:fill="auto"/>
            <w:noWrap/>
            <w:vAlign w:val="center"/>
          </w:tcPr>
          <w:p w14:paraId="61861A2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5" w:type="pct"/>
            <w:tcBorders>
              <w:top w:val="nil"/>
              <w:left w:val="nil"/>
              <w:bottom w:val="single" w:color="auto" w:sz="4" w:space="0"/>
              <w:right w:val="single" w:color="auto" w:sz="4" w:space="0"/>
            </w:tcBorders>
            <w:shd w:val="clear" w:color="auto" w:fill="auto"/>
            <w:noWrap/>
            <w:vAlign w:val="center"/>
          </w:tcPr>
          <w:p w14:paraId="0C8B636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D5DC4E5">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16093B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DE6838B">
      <w:pPr>
        <w:widowControl/>
        <w:spacing w:line="400" w:lineRule="exact"/>
        <w:jc w:val="center"/>
        <w:textAlignment w:val="center"/>
        <w:rPr>
          <w:rFonts w:ascii="Times New Roman" w:hAnsi="Times New Roman" w:eastAsia="黑体" w:cs="Times New Roman"/>
          <w:color w:val="000000"/>
          <w:kern w:val="0"/>
          <w:sz w:val="32"/>
          <w:szCs w:val="32"/>
        </w:rPr>
      </w:pPr>
    </w:p>
    <w:p w14:paraId="2AD1B404">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16EED04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C081C0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中共会同县委党校</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821"/>
        <w:gridCol w:w="2636"/>
        <w:gridCol w:w="616"/>
        <w:gridCol w:w="931"/>
        <w:gridCol w:w="1743"/>
        <w:gridCol w:w="1613"/>
        <w:gridCol w:w="1728"/>
      </w:tblGrid>
      <w:tr w14:paraId="3BBE54E1">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305C4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6405A7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3AAABF1">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56B7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FF61091">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229D9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7F36D0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B63907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382DFB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614B7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006A3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08884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73EA46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036B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E0899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C7D10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59243BA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8FBE7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F9609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1FE629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75C625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E17F6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778DA75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24EE48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5239F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77E11A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60F4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60322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580FE3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22.58</w:t>
            </w:r>
          </w:p>
        </w:tc>
        <w:tc>
          <w:tcPr>
            <w:tcW w:w="0" w:type="auto"/>
            <w:tcBorders>
              <w:top w:val="nil"/>
              <w:left w:val="nil"/>
              <w:bottom w:val="single" w:color="auto" w:sz="4" w:space="0"/>
              <w:right w:val="single" w:color="auto" w:sz="4" w:space="0"/>
            </w:tcBorders>
            <w:shd w:val="clear" w:color="auto" w:fill="auto"/>
            <w:noWrap/>
            <w:vAlign w:val="center"/>
          </w:tcPr>
          <w:p w14:paraId="515D1E8D">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22.58</w:t>
            </w:r>
          </w:p>
        </w:tc>
        <w:tc>
          <w:tcPr>
            <w:tcW w:w="0" w:type="auto"/>
            <w:tcBorders>
              <w:top w:val="nil"/>
              <w:left w:val="nil"/>
              <w:bottom w:val="single" w:color="auto" w:sz="4" w:space="0"/>
              <w:right w:val="single" w:color="auto" w:sz="4" w:space="0"/>
            </w:tcBorders>
            <w:shd w:val="clear" w:color="auto" w:fill="auto"/>
            <w:noWrap/>
            <w:vAlign w:val="center"/>
          </w:tcPr>
          <w:p w14:paraId="723208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77A33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B762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E12271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EA2E0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584874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44553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111B097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6C0DAF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D5706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4168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40E05D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F10D6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00F87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C34EB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AC16D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9A58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410F2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0A94FA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C8ABB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05305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A7229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34279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323DAD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D231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5C439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5E39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0F53E8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5E99AC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BC83F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63E4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1A14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27517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704431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A9F7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5D49D8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A0CF7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BF8B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4F49DE1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356.89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61B64E">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356.89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AC2E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0A664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50ACE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507A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72D1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7FE586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C4240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ABB6E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1D4937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8651F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363C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A068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03DF1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6CF79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6C65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716934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5D604780">
            <w:pPr>
              <w:widowControl/>
              <w:jc w:val="left"/>
              <w:textAlignment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4"/>
                <w:szCs w:val="24"/>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08B5E4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D8247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5AF5A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29F8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04C9B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85405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F787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3EDF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2E03337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749B0916">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C5A5C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EDE881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72EE82">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42.94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A1E2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5D1B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FBBD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C178F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281C31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DE7436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AF146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772B3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029C6D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7B6338">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26CC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F7F94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4F52C2F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E8A5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383D9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0369F24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B4F0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FAFBE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3802905D">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CFF13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1DFD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7786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E5DDA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7397D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F06AF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D1B0D6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B955D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7CE3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ADB69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32A29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DF1D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6589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CE5A3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EBFC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737A1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33CEB05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C8CB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4EF38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853C8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A4C4B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1D11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ACE49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D0415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EDA8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69D2BD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960664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D1CB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D6BC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C0C77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EBEF8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AF3B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ECD2A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452615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3FAA298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6170C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0328835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55E2241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F171D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68B8F3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84D18AB">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422.41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49D4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3E567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3570E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69E70E2">
      <w:pPr>
        <w:widowControl/>
        <w:jc w:val="center"/>
        <w:rPr>
          <w:rFonts w:ascii="Times New Roman" w:hAnsi="Times New Roman" w:eastAsia="方正小标宋_GBK" w:cs="Times New Roman"/>
          <w:kern w:val="0"/>
          <w:sz w:val="36"/>
          <w:szCs w:val="36"/>
        </w:rPr>
      </w:pPr>
    </w:p>
    <w:p w14:paraId="26AFD95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8DC91F9">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公开05表</w:t>
      </w:r>
    </w:p>
    <w:p w14:paraId="7C03F16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部门：中共会同县委党校</w:t>
      </w: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B3D7D3F">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E7275B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73C499D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02211CF">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48C43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829F56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483724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5CE1EE0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5E0FA62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753003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051CC3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3CEF25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7849269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5EB4008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62071DD2">
            <w:pPr>
              <w:widowControl/>
              <w:jc w:val="left"/>
              <w:rPr>
                <w:rFonts w:ascii="Times New Roman" w:hAnsi="Times New Roman" w:eastAsia="仿宋_GB2312" w:cs="Times New Roman"/>
                <w:kern w:val="0"/>
                <w:szCs w:val="21"/>
              </w:rPr>
            </w:pPr>
          </w:p>
        </w:tc>
      </w:tr>
      <w:tr w14:paraId="7B15EF14">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34FE63E">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C06D11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3B96C0C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70426F6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08086DBE">
            <w:pPr>
              <w:widowControl/>
              <w:jc w:val="left"/>
              <w:rPr>
                <w:rFonts w:ascii="Times New Roman" w:hAnsi="Times New Roman" w:eastAsia="仿宋_GB2312" w:cs="Times New Roman"/>
                <w:kern w:val="0"/>
                <w:szCs w:val="21"/>
              </w:rPr>
            </w:pPr>
          </w:p>
        </w:tc>
      </w:tr>
      <w:tr w14:paraId="7AFE37D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CDFEF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A9EC8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45E9A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CEA58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2B0AB1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73E3E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F34CC95">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422.41</w:t>
            </w:r>
          </w:p>
        </w:tc>
        <w:tc>
          <w:tcPr>
            <w:tcW w:w="3492" w:type="dxa"/>
            <w:tcBorders>
              <w:top w:val="nil"/>
              <w:left w:val="nil"/>
              <w:bottom w:val="single" w:color="auto" w:sz="4" w:space="0"/>
              <w:right w:val="single" w:color="auto" w:sz="4" w:space="0"/>
            </w:tcBorders>
            <w:shd w:val="clear" w:color="auto" w:fill="auto"/>
            <w:vAlign w:val="center"/>
          </w:tcPr>
          <w:p w14:paraId="0261F8D4">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356.57</w:t>
            </w:r>
          </w:p>
        </w:tc>
        <w:tc>
          <w:tcPr>
            <w:tcW w:w="3000" w:type="dxa"/>
            <w:tcBorders>
              <w:top w:val="nil"/>
              <w:left w:val="nil"/>
              <w:bottom w:val="single" w:color="auto" w:sz="4" w:space="0"/>
              <w:right w:val="single" w:color="auto" w:sz="8" w:space="0"/>
            </w:tcBorders>
            <w:shd w:val="clear" w:color="auto" w:fill="auto"/>
            <w:vAlign w:val="center"/>
          </w:tcPr>
          <w:p w14:paraId="22EB177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65.84</w:t>
            </w:r>
          </w:p>
        </w:tc>
      </w:tr>
      <w:tr w14:paraId="25C25FC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1F348E0">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2010301</w:t>
            </w:r>
          </w:p>
        </w:tc>
        <w:tc>
          <w:tcPr>
            <w:tcW w:w="3527" w:type="dxa"/>
            <w:tcBorders>
              <w:top w:val="nil"/>
              <w:left w:val="nil"/>
              <w:bottom w:val="single" w:color="auto" w:sz="4" w:space="0"/>
              <w:right w:val="single" w:color="auto" w:sz="4" w:space="0"/>
            </w:tcBorders>
            <w:shd w:val="clear" w:color="000000" w:fill="FFFFFF"/>
            <w:vAlign w:val="center"/>
          </w:tcPr>
          <w:p w14:paraId="2765F358">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14:paraId="4446D0A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22.58</w:t>
            </w:r>
          </w:p>
        </w:tc>
        <w:tc>
          <w:tcPr>
            <w:tcW w:w="3492" w:type="dxa"/>
            <w:tcBorders>
              <w:top w:val="nil"/>
              <w:left w:val="nil"/>
              <w:bottom w:val="single" w:color="auto" w:sz="4" w:space="0"/>
              <w:right w:val="single" w:color="auto" w:sz="4" w:space="0"/>
            </w:tcBorders>
            <w:shd w:val="clear" w:color="auto" w:fill="auto"/>
            <w:vAlign w:val="center"/>
          </w:tcPr>
          <w:p w14:paraId="5864DBD4">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22.58</w:t>
            </w:r>
          </w:p>
        </w:tc>
        <w:tc>
          <w:tcPr>
            <w:tcW w:w="3000" w:type="dxa"/>
            <w:tcBorders>
              <w:top w:val="nil"/>
              <w:left w:val="nil"/>
              <w:bottom w:val="single" w:color="auto" w:sz="4" w:space="0"/>
              <w:right w:val="single" w:color="auto" w:sz="8" w:space="0"/>
            </w:tcBorders>
            <w:shd w:val="clear" w:color="auto" w:fill="auto"/>
            <w:vAlign w:val="center"/>
          </w:tcPr>
          <w:p w14:paraId="0E0ECF48">
            <w:pPr>
              <w:widowControl/>
              <w:jc w:val="center"/>
              <w:rPr>
                <w:rFonts w:ascii="Times New Roman" w:hAnsi="Times New Roman" w:eastAsia="仿宋_GB2312" w:cs="Times New Roman"/>
                <w:kern w:val="0"/>
                <w:szCs w:val="21"/>
              </w:rPr>
            </w:pPr>
          </w:p>
        </w:tc>
      </w:tr>
      <w:tr w14:paraId="2896B93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B435C35">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2050802</w:t>
            </w:r>
          </w:p>
        </w:tc>
        <w:tc>
          <w:tcPr>
            <w:tcW w:w="3527" w:type="dxa"/>
            <w:tcBorders>
              <w:top w:val="nil"/>
              <w:left w:val="nil"/>
              <w:bottom w:val="single" w:color="auto" w:sz="4" w:space="0"/>
              <w:right w:val="single" w:color="auto" w:sz="4" w:space="0"/>
            </w:tcBorders>
            <w:shd w:val="clear" w:color="000000" w:fill="FFFFFF"/>
            <w:vAlign w:val="center"/>
          </w:tcPr>
          <w:p w14:paraId="3B5A3B8F">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干部教育</w:t>
            </w:r>
          </w:p>
        </w:tc>
        <w:tc>
          <w:tcPr>
            <w:tcW w:w="3000" w:type="dxa"/>
            <w:tcBorders>
              <w:top w:val="nil"/>
              <w:left w:val="nil"/>
              <w:bottom w:val="single" w:color="auto" w:sz="4" w:space="0"/>
              <w:right w:val="single" w:color="auto" w:sz="4" w:space="0"/>
            </w:tcBorders>
            <w:shd w:val="clear" w:color="auto" w:fill="auto"/>
            <w:vAlign w:val="center"/>
          </w:tcPr>
          <w:p w14:paraId="351967D8">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356.89</w:t>
            </w:r>
          </w:p>
        </w:tc>
        <w:tc>
          <w:tcPr>
            <w:tcW w:w="3492" w:type="dxa"/>
            <w:tcBorders>
              <w:top w:val="nil"/>
              <w:left w:val="nil"/>
              <w:bottom w:val="single" w:color="auto" w:sz="4" w:space="0"/>
              <w:right w:val="single" w:color="auto" w:sz="4" w:space="0"/>
            </w:tcBorders>
            <w:shd w:val="clear" w:color="auto" w:fill="auto"/>
            <w:vAlign w:val="center"/>
          </w:tcPr>
          <w:p w14:paraId="12D4BB0C">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291.05</w:t>
            </w:r>
          </w:p>
        </w:tc>
        <w:tc>
          <w:tcPr>
            <w:tcW w:w="3000" w:type="dxa"/>
            <w:tcBorders>
              <w:top w:val="nil"/>
              <w:left w:val="nil"/>
              <w:bottom w:val="single" w:color="auto" w:sz="4" w:space="0"/>
              <w:right w:val="single" w:color="auto" w:sz="8" w:space="0"/>
            </w:tcBorders>
            <w:shd w:val="clear" w:color="auto" w:fill="auto"/>
            <w:vAlign w:val="center"/>
          </w:tcPr>
          <w:p w14:paraId="3214828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65.84</w:t>
            </w:r>
          </w:p>
        </w:tc>
      </w:tr>
      <w:tr w14:paraId="179134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63EDABA">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2080501</w:t>
            </w:r>
          </w:p>
        </w:tc>
        <w:tc>
          <w:tcPr>
            <w:tcW w:w="3527" w:type="dxa"/>
            <w:tcBorders>
              <w:top w:val="nil"/>
              <w:left w:val="nil"/>
              <w:bottom w:val="single" w:color="auto" w:sz="4" w:space="0"/>
              <w:right w:val="single" w:color="auto" w:sz="4" w:space="0"/>
            </w:tcBorders>
            <w:shd w:val="clear" w:color="000000" w:fill="FFFFFF"/>
            <w:vAlign w:val="center"/>
          </w:tcPr>
          <w:p w14:paraId="7BEB13DF">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703E7003">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4.20</w:t>
            </w:r>
          </w:p>
        </w:tc>
        <w:tc>
          <w:tcPr>
            <w:tcW w:w="3492" w:type="dxa"/>
            <w:tcBorders>
              <w:top w:val="nil"/>
              <w:left w:val="nil"/>
              <w:bottom w:val="single" w:color="auto" w:sz="4" w:space="0"/>
              <w:right w:val="single" w:color="auto" w:sz="4" w:space="0"/>
            </w:tcBorders>
            <w:shd w:val="clear" w:color="auto" w:fill="auto"/>
            <w:vAlign w:val="center"/>
          </w:tcPr>
          <w:p w14:paraId="5B77DE89">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4.20</w:t>
            </w:r>
          </w:p>
        </w:tc>
        <w:tc>
          <w:tcPr>
            <w:tcW w:w="3000" w:type="dxa"/>
            <w:tcBorders>
              <w:top w:val="nil"/>
              <w:left w:val="nil"/>
              <w:bottom w:val="single" w:color="auto" w:sz="4" w:space="0"/>
              <w:right w:val="single" w:color="auto" w:sz="8" w:space="0"/>
            </w:tcBorders>
            <w:shd w:val="clear" w:color="auto" w:fill="auto"/>
            <w:vAlign w:val="center"/>
          </w:tcPr>
          <w:p w14:paraId="7C7804C7">
            <w:pPr>
              <w:widowControl/>
              <w:jc w:val="center"/>
              <w:rPr>
                <w:rFonts w:ascii="Times New Roman" w:hAnsi="Times New Roman" w:eastAsia="仿宋_GB2312" w:cs="Times New Roman"/>
                <w:kern w:val="0"/>
                <w:szCs w:val="21"/>
              </w:rPr>
            </w:pPr>
          </w:p>
        </w:tc>
      </w:tr>
      <w:tr w14:paraId="088D6FE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C612835">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2080505</w:t>
            </w:r>
          </w:p>
        </w:tc>
        <w:tc>
          <w:tcPr>
            <w:tcW w:w="3527" w:type="dxa"/>
            <w:tcBorders>
              <w:top w:val="nil"/>
              <w:left w:val="nil"/>
              <w:bottom w:val="single" w:color="auto" w:sz="4" w:space="0"/>
              <w:right w:val="single" w:color="auto" w:sz="4" w:space="0"/>
            </w:tcBorders>
            <w:shd w:val="clear" w:color="000000" w:fill="FFFFFF"/>
            <w:vAlign w:val="center"/>
          </w:tcPr>
          <w:p w14:paraId="6C65D35C">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0E6F845D">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36.26</w:t>
            </w:r>
          </w:p>
        </w:tc>
        <w:tc>
          <w:tcPr>
            <w:tcW w:w="3492" w:type="dxa"/>
            <w:tcBorders>
              <w:top w:val="nil"/>
              <w:left w:val="nil"/>
              <w:bottom w:val="single" w:color="auto" w:sz="4" w:space="0"/>
              <w:right w:val="single" w:color="auto" w:sz="4" w:space="0"/>
            </w:tcBorders>
            <w:shd w:val="clear" w:color="auto" w:fill="auto"/>
            <w:vAlign w:val="center"/>
          </w:tcPr>
          <w:p w14:paraId="5FB3701D">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36.26</w:t>
            </w:r>
          </w:p>
        </w:tc>
        <w:tc>
          <w:tcPr>
            <w:tcW w:w="3000" w:type="dxa"/>
            <w:tcBorders>
              <w:top w:val="nil"/>
              <w:left w:val="nil"/>
              <w:bottom w:val="single" w:color="auto" w:sz="4" w:space="0"/>
              <w:right w:val="single" w:color="auto" w:sz="8" w:space="0"/>
            </w:tcBorders>
            <w:shd w:val="clear" w:color="auto" w:fill="auto"/>
            <w:vAlign w:val="center"/>
          </w:tcPr>
          <w:p w14:paraId="00682D41">
            <w:pPr>
              <w:widowControl/>
              <w:jc w:val="center"/>
              <w:rPr>
                <w:rFonts w:ascii="Times New Roman" w:hAnsi="Times New Roman" w:eastAsia="仿宋_GB2312" w:cs="Times New Roman"/>
                <w:kern w:val="0"/>
                <w:szCs w:val="21"/>
              </w:rPr>
            </w:pPr>
          </w:p>
        </w:tc>
      </w:tr>
      <w:tr w14:paraId="31FED6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A2F32C9">
            <w:pPr>
              <w:widowControl/>
              <w:jc w:val="left"/>
              <w:rPr>
                <w:rFonts w:hint="default"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2080801</w:t>
            </w:r>
          </w:p>
        </w:tc>
        <w:tc>
          <w:tcPr>
            <w:tcW w:w="3527" w:type="dxa"/>
            <w:tcBorders>
              <w:top w:val="nil"/>
              <w:left w:val="nil"/>
              <w:bottom w:val="single" w:color="auto" w:sz="4" w:space="0"/>
              <w:right w:val="single" w:color="auto" w:sz="4" w:space="0"/>
            </w:tcBorders>
            <w:shd w:val="clear" w:color="000000" w:fill="FFFFFF"/>
            <w:vAlign w:val="center"/>
          </w:tcPr>
          <w:p w14:paraId="6349DE7F">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死亡抚恤</w:t>
            </w:r>
          </w:p>
        </w:tc>
        <w:tc>
          <w:tcPr>
            <w:tcW w:w="3000" w:type="dxa"/>
            <w:tcBorders>
              <w:top w:val="nil"/>
              <w:left w:val="nil"/>
              <w:bottom w:val="single" w:color="auto" w:sz="4" w:space="0"/>
              <w:right w:val="single" w:color="auto" w:sz="4" w:space="0"/>
            </w:tcBorders>
            <w:shd w:val="clear" w:color="auto" w:fill="auto"/>
            <w:vAlign w:val="center"/>
          </w:tcPr>
          <w:p w14:paraId="63EE080F">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2.48</w:t>
            </w:r>
          </w:p>
        </w:tc>
        <w:tc>
          <w:tcPr>
            <w:tcW w:w="3492" w:type="dxa"/>
            <w:tcBorders>
              <w:top w:val="nil"/>
              <w:left w:val="nil"/>
              <w:bottom w:val="single" w:color="auto" w:sz="4" w:space="0"/>
              <w:right w:val="single" w:color="auto" w:sz="4" w:space="0"/>
            </w:tcBorders>
            <w:shd w:val="clear" w:color="auto" w:fill="auto"/>
            <w:vAlign w:val="center"/>
          </w:tcPr>
          <w:p w14:paraId="0F62364B">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2.48</w:t>
            </w:r>
          </w:p>
        </w:tc>
        <w:tc>
          <w:tcPr>
            <w:tcW w:w="3000" w:type="dxa"/>
            <w:tcBorders>
              <w:top w:val="nil"/>
              <w:left w:val="nil"/>
              <w:bottom w:val="single" w:color="auto" w:sz="4" w:space="0"/>
              <w:right w:val="single" w:color="auto" w:sz="8" w:space="0"/>
            </w:tcBorders>
            <w:shd w:val="clear" w:color="auto" w:fill="auto"/>
            <w:vAlign w:val="center"/>
          </w:tcPr>
          <w:p w14:paraId="01D3B0BD">
            <w:pPr>
              <w:widowControl/>
              <w:jc w:val="center"/>
              <w:rPr>
                <w:rFonts w:ascii="Times New Roman" w:hAnsi="Times New Roman" w:eastAsia="仿宋_GB2312" w:cs="Times New Roman"/>
                <w:kern w:val="0"/>
                <w:szCs w:val="21"/>
              </w:rPr>
            </w:pPr>
          </w:p>
        </w:tc>
      </w:tr>
      <w:tr w14:paraId="5A98C82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08434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45051E9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69CFBC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A17B18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360ED85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595A2F58">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8AC1B7F">
      <w:pPr>
        <w:widowControl/>
        <w:jc w:val="left"/>
        <w:rPr>
          <w:rFonts w:ascii="Times New Roman" w:hAnsi="Times New Roman" w:eastAsia="仿宋_GB2312" w:cs="Times New Roman"/>
          <w:bCs/>
          <w:kern w:val="0"/>
          <w:szCs w:val="21"/>
        </w:rPr>
      </w:pPr>
    </w:p>
    <w:p w14:paraId="40BFD7EF">
      <w:pPr>
        <w:widowControl/>
        <w:jc w:val="left"/>
        <w:rPr>
          <w:rFonts w:ascii="Times New Roman" w:hAnsi="Times New Roman" w:eastAsia="仿宋_GB2312" w:cs="Times New Roman"/>
          <w:bCs/>
          <w:kern w:val="0"/>
          <w:szCs w:val="21"/>
        </w:rPr>
      </w:pPr>
      <w:r>
        <w:br w:type="page"/>
      </w:r>
    </w:p>
    <w:p w14:paraId="60579A1E">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6188CD16">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公开06表</w:t>
      </w:r>
    </w:p>
    <w:p w14:paraId="0BAC08D7">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val="en-US" w:eastAsia="zh-CN"/>
        </w:rPr>
        <w:t>中共会同县委党校</w:t>
      </w:r>
      <w:r>
        <w:rPr>
          <w:rFonts w:ascii="Times New Roman" w:hAnsi="Times New Roman" w:eastAsia="仿宋_GB2312" w:cs="Times New Roman"/>
          <w:color w:val="000000"/>
          <w:kern w:val="0"/>
          <w:szCs w:val="21"/>
        </w:rPr>
        <w:t xml:space="preserve">                                                                                                    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41C42A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DAB208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A0FBA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60BB4A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62F200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F59851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3377A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9E8BA2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437633E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25163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28929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DC2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566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63E9FA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326.60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86D4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1F254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98C09B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22.58</w:t>
            </w:r>
          </w:p>
        </w:tc>
        <w:tc>
          <w:tcPr>
            <w:tcW w:w="1217" w:type="dxa"/>
            <w:tcBorders>
              <w:top w:val="nil"/>
              <w:left w:val="nil"/>
              <w:bottom w:val="single" w:color="auto" w:sz="4" w:space="0"/>
              <w:right w:val="single" w:color="auto" w:sz="4" w:space="0"/>
            </w:tcBorders>
            <w:shd w:val="clear" w:color="auto" w:fill="auto"/>
            <w:noWrap/>
            <w:vAlign w:val="center"/>
          </w:tcPr>
          <w:p w14:paraId="7B629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39A1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64B6F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6127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A845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EE42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D7E2B5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155.11</w:t>
            </w:r>
          </w:p>
        </w:tc>
        <w:tc>
          <w:tcPr>
            <w:tcW w:w="1116" w:type="dxa"/>
            <w:tcBorders>
              <w:top w:val="nil"/>
              <w:left w:val="nil"/>
              <w:bottom w:val="single" w:color="auto" w:sz="4" w:space="0"/>
              <w:right w:val="single" w:color="auto" w:sz="4" w:space="0"/>
            </w:tcBorders>
            <w:shd w:val="clear" w:color="auto" w:fill="auto"/>
            <w:noWrap/>
            <w:vAlign w:val="center"/>
          </w:tcPr>
          <w:p w14:paraId="401A20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28DFC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37E11C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2.85</w:t>
            </w:r>
          </w:p>
        </w:tc>
        <w:tc>
          <w:tcPr>
            <w:tcW w:w="1217" w:type="dxa"/>
            <w:tcBorders>
              <w:top w:val="nil"/>
              <w:left w:val="nil"/>
              <w:bottom w:val="single" w:color="auto" w:sz="4" w:space="0"/>
              <w:right w:val="single" w:color="auto" w:sz="4" w:space="0"/>
            </w:tcBorders>
            <w:shd w:val="clear" w:color="auto" w:fill="auto"/>
            <w:noWrap/>
            <w:vAlign w:val="center"/>
          </w:tcPr>
          <w:p w14:paraId="6CCD6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8EC71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5D25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053596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02B3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13EE2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1BEF57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56.99</w:t>
            </w:r>
          </w:p>
        </w:tc>
        <w:tc>
          <w:tcPr>
            <w:tcW w:w="1116" w:type="dxa"/>
            <w:tcBorders>
              <w:top w:val="nil"/>
              <w:left w:val="nil"/>
              <w:bottom w:val="single" w:color="auto" w:sz="4" w:space="0"/>
              <w:right w:val="single" w:color="auto" w:sz="4" w:space="0"/>
            </w:tcBorders>
            <w:shd w:val="clear" w:color="auto" w:fill="auto"/>
            <w:noWrap/>
            <w:vAlign w:val="center"/>
          </w:tcPr>
          <w:p w14:paraId="371036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92AA5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88D969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217" w:type="dxa"/>
            <w:tcBorders>
              <w:top w:val="nil"/>
              <w:left w:val="nil"/>
              <w:bottom w:val="single" w:color="auto" w:sz="4" w:space="0"/>
              <w:right w:val="single" w:color="auto" w:sz="4" w:space="0"/>
            </w:tcBorders>
            <w:shd w:val="clear" w:color="auto" w:fill="auto"/>
            <w:noWrap/>
            <w:vAlign w:val="center"/>
          </w:tcPr>
          <w:p w14:paraId="1CEA30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83A7E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72882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76EE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D75B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0059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5C5493E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21.33</w:t>
            </w:r>
          </w:p>
        </w:tc>
        <w:tc>
          <w:tcPr>
            <w:tcW w:w="1116" w:type="dxa"/>
            <w:tcBorders>
              <w:top w:val="nil"/>
              <w:left w:val="nil"/>
              <w:bottom w:val="single" w:color="auto" w:sz="4" w:space="0"/>
              <w:right w:val="single" w:color="auto" w:sz="4" w:space="0"/>
            </w:tcBorders>
            <w:shd w:val="clear" w:color="auto" w:fill="auto"/>
            <w:noWrap/>
            <w:vAlign w:val="center"/>
          </w:tcPr>
          <w:p w14:paraId="038A70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BD40B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8B835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A2C81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4A533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26DF1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6B4A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B62F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F595E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0F74ADC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0.34</w:t>
            </w:r>
          </w:p>
        </w:tc>
        <w:tc>
          <w:tcPr>
            <w:tcW w:w="1116" w:type="dxa"/>
            <w:tcBorders>
              <w:top w:val="nil"/>
              <w:left w:val="nil"/>
              <w:bottom w:val="single" w:color="auto" w:sz="4" w:space="0"/>
              <w:right w:val="single" w:color="auto" w:sz="4" w:space="0"/>
            </w:tcBorders>
            <w:shd w:val="clear" w:color="auto" w:fill="auto"/>
            <w:noWrap/>
            <w:vAlign w:val="center"/>
          </w:tcPr>
          <w:p w14:paraId="2622F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8FAE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163F94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88EC9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9D77C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B93F5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30AE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258F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368E1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672C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2AA7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06A68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36FE448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0.02</w:t>
            </w:r>
          </w:p>
        </w:tc>
        <w:tc>
          <w:tcPr>
            <w:tcW w:w="1217" w:type="dxa"/>
            <w:tcBorders>
              <w:top w:val="nil"/>
              <w:left w:val="nil"/>
              <w:bottom w:val="single" w:color="auto" w:sz="4" w:space="0"/>
              <w:right w:val="single" w:color="auto" w:sz="4" w:space="0"/>
            </w:tcBorders>
            <w:shd w:val="clear" w:color="auto" w:fill="auto"/>
            <w:noWrap/>
            <w:vAlign w:val="center"/>
          </w:tcPr>
          <w:p w14:paraId="379203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050AC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4BB38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5C76E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477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33EDC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78FCD8A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48.48</w:t>
            </w:r>
          </w:p>
        </w:tc>
        <w:tc>
          <w:tcPr>
            <w:tcW w:w="1116" w:type="dxa"/>
            <w:tcBorders>
              <w:top w:val="nil"/>
              <w:left w:val="nil"/>
              <w:bottom w:val="single" w:color="auto" w:sz="4" w:space="0"/>
              <w:right w:val="single" w:color="auto" w:sz="4" w:space="0"/>
            </w:tcBorders>
            <w:shd w:val="clear" w:color="auto" w:fill="auto"/>
            <w:noWrap/>
            <w:vAlign w:val="center"/>
          </w:tcPr>
          <w:p w14:paraId="37DB4E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FD326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4288ED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0.69</w:t>
            </w:r>
          </w:p>
        </w:tc>
        <w:tc>
          <w:tcPr>
            <w:tcW w:w="1217" w:type="dxa"/>
            <w:tcBorders>
              <w:top w:val="nil"/>
              <w:left w:val="nil"/>
              <w:bottom w:val="single" w:color="auto" w:sz="4" w:space="0"/>
              <w:right w:val="single" w:color="auto" w:sz="4" w:space="0"/>
            </w:tcBorders>
            <w:shd w:val="clear" w:color="auto" w:fill="auto"/>
            <w:noWrap/>
            <w:vAlign w:val="center"/>
          </w:tcPr>
          <w:p w14:paraId="36A24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6BFAAF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520F3F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CFBC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D904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6B1F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50C4304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8.04</w:t>
            </w:r>
          </w:p>
        </w:tc>
        <w:tc>
          <w:tcPr>
            <w:tcW w:w="1116" w:type="dxa"/>
            <w:tcBorders>
              <w:top w:val="nil"/>
              <w:left w:val="nil"/>
              <w:bottom w:val="single" w:color="auto" w:sz="4" w:space="0"/>
              <w:right w:val="single" w:color="auto" w:sz="4" w:space="0"/>
            </w:tcBorders>
            <w:shd w:val="clear" w:color="auto" w:fill="auto"/>
            <w:noWrap/>
            <w:vAlign w:val="center"/>
          </w:tcPr>
          <w:p w14:paraId="555A5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1763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E7498E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0.21</w:t>
            </w:r>
          </w:p>
        </w:tc>
        <w:tc>
          <w:tcPr>
            <w:tcW w:w="1217" w:type="dxa"/>
            <w:tcBorders>
              <w:top w:val="nil"/>
              <w:left w:val="nil"/>
              <w:bottom w:val="single" w:color="auto" w:sz="4" w:space="0"/>
              <w:right w:val="single" w:color="auto" w:sz="4" w:space="0"/>
            </w:tcBorders>
            <w:shd w:val="clear" w:color="auto" w:fill="auto"/>
            <w:noWrap/>
            <w:vAlign w:val="center"/>
          </w:tcPr>
          <w:p w14:paraId="53BA28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88B7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809F9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4963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E241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2B35B0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6E21975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29.48</w:t>
            </w:r>
          </w:p>
        </w:tc>
        <w:tc>
          <w:tcPr>
            <w:tcW w:w="1116" w:type="dxa"/>
            <w:tcBorders>
              <w:top w:val="nil"/>
              <w:left w:val="nil"/>
              <w:bottom w:val="single" w:color="auto" w:sz="4" w:space="0"/>
              <w:right w:val="single" w:color="auto" w:sz="4" w:space="0"/>
            </w:tcBorders>
            <w:shd w:val="clear" w:color="auto" w:fill="auto"/>
            <w:noWrap/>
            <w:vAlign w:val="center"/>
          </w:tcPr>
          <w:p w14:paraId="416918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E1DB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71E4D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1959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5F5BB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0CD83C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04B0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AB91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29191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F0134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18A14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2C4867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E027F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8196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4543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CBDED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8AA8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42A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300873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459ACF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2.31</w:t>
            </w:r>
          </w:p>
        </w:tc>
        <w:tc>
          <w:tcPr>
            <w:tcW w:w="1116" w:type="dxa"/>
            <w:tcBorders>
              <w:top w:val="nil"/>
              <w:left w:val="nil"/>
              <w:bottom w:val="single" w:color="auto" w:sz="4" w:space="0"/>
              <w:right w:val="single" w:color="auto" w:sz="4" w:space="0"/>
            </w:tcBorders>
            <w:shd w:val="clear" w:color="auto" w:fill="auto"/>
            <w:noWrap/>
            <w:vAlign w:val="center"/>
          </w:tcPr>
          <w:p w14:paraId="61565C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8CC5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0E8E3F8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2.05</w:t>
            </w:r>
          </w:p>
        </w:tc>
        <w:tc>
          <w:tcPr>
            <w:tcW w:w="1217" w:type="dxa"/>
            <w:tcBorders>
              <w:top w:val="nil"/>
              <w:left w:val="nil"/>
              <w:bottom w:val="single" w:color="auto" w:sz="4" w:space="0"/>
              <w:right w:val="single" w:color="auto" w:sz="4" w:space="0"/>
            </w:tcBorders>
            <w:shd w:val="clear" w:color="auto" w:fill="auto"/>
            <w:noWrap/>
            <w:vAlign w:val="center"/>
          </w:tcPr>
          <w:p w14:paraId="1DA9B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CB5C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72795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2A323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936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38078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1CFEAE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3.30</w:t>
            </w:r>
          </w:p>
        </w:tc>
        <w:tc>
          <w:tcPr>
            <w:tcW w:w="1116" w:type="dxa"/>
            <w:tcBorders>
              <w:top w:val="nil"/>
              <w:left w:val="nil"/>
              <w:bottom w:val="single" w:color="auto" w:sz="4" w:space="0"/>
              <w:right w:val="single" w:color="auto" w:sz="4" w:space="0"/>
            </w:tcBorders>
            <w:shd w:val="clear" w:color="auto" w:fill="auto"/>
            <w:noWrap/>
            <w:vAlign w:val="center"/>
          </w:tcPr>
          <w:p w14:paraId="013C0D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DA757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FEE6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33211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251B8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0B20DF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333.99</w:t>
            </w:r>
          </w:p>
        </w:tc>
      </w:tr>
      <w:tr w14:paraId="208E08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A967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12D9D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9D9B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1F4E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EF742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E08E8B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0.57</w:t>
            </w:r>
          </w:p>
        </w:tc>
        <w:tc>
          <w:tcPr>
            <w:tcW w:w="1217" w:type="dxa"/>
            <w:tcBorders>
              <w:top w:val="nil"/>
              <w:left w:val="nil"/>
              <w:bottom w:val="single" w:color="auto" w:sz="4" w:space="0"/>
              <w:right w:val="single" w:color="auto" w:sz="4" w:space="0"/>
            </w:tcBorders>
            <w:shd w:val="clear" w:color="auto" w:fill="auto"/>
            <w:noWrap/>
            <w:vAlign w:val="center"/>
          </w:tcPr>
          <w:p w14:paraId="3314BD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5D395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79DB9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0415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CC0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6E5E5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EA81F5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1.21</w:t>
            </w:r>
          </w:p>
        </w:tc>
        <w:tc>
          <w:tcPr>
            <w:tcW w:w="1116" w:type="dxa"/>
            <w:tcBorders>
              <w:top w:val="nil"/>
              <w:left w:val="nil"/>
              <w:bottom w:val="single" w:color="auto" w:sz="4" w:space="0"/>
              <w:right w:val="single" w:color="auto" w:sz="4" w:space="0"/>
            </w:tcBorders>
            <w:shd w:val="clear" w:color="auto" w:fill="auto"/>
            <w:noWrap/>
            <w:vAlign w:val="center"/>
          </w:tcPr>
          <w:p w14:paraId="70AD99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40473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0E845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7FB8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D28C1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3243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E01E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12E6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672790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F8B460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7.39</w:t>
            </w:r>
          </w:p>
        </w:tc>
        <w:tc>
          <w:tcPr>
            <w:tcW w:w="1116" w:type="dxa"/>
            <w:tcBorders>
              <w:top w:val="nil"/>
              <w:left w:val="nil"/>
              <w:bottom w:val="single" w:color="auto" w:sz="4" w:space="0"/>
              <w:right w:val="single" w:color="auto" w:sz="4" w:space="0"/>
            </w:tcBorders>
            <w:shd w:val="clear" w:color="auto" w:fill="auto"/>
            <w:noWrap/>
            <w:vAlign w:val="center"/>
          </w:tcPr>
          <w:p w14:paraId="6512D7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05FA7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7BDF6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7A54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94C6F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32579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2447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59F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2FF84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87671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F8B6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40121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30460D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7.37</w:t>
            </w:r>
          </w:p>
        </w:tc>
        <w:tc>
          <w:tcPr>
            <w:tcW w:w="1217" w:type="dxa"/>
            <w:tcBorders>
              <w:top w:val="nil"/>
              <w:left w:val="nil"/>
              <w:bottom w:val="single" w:color="auto" w:sz="4" w:space="0"/>
              <w:right w:val="single" w:color="auto" w:sz="4" w:space="0"/>
            </w:tcBorders>
            <w:shd w:val="clear" w:color="auto" w:fill="auto"/>
            <w:noWrap/>
            <w:vAlign w:val="center"/>
          </w:tcPr>
          <w:p w14:paraId="6CDEE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C2EE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34AB1D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4346A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52A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636113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B55D4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086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9A6A6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E79F9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BA49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4C0CB2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BBBE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04ED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9598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6BA3A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4564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8DE71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381A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0EE6A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F3EC3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5F572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18EB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4BC2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E0E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8C164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20764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9B24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6D7E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37DB2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E33C5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77D888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6F41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C598B7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6675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07E49C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115B11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6.68</w:t>
            </w:r>
          </w:p>
        </w:tc>
        <w:tc>
          <w:tcPr>
            <w:tcW w:w="1116" w:type="dxa"/>
            <w:tcBorders>
              <w:top w:val="nil"/>
              <w:left w:val="nil"/>
              <w:bottom w:val="single" w:color="auto" w:sz="4" w:space="0"/>
              <w:right w:val="single" w:color="auto" w:sz="4" w:space="0"/>
            </w:tcBorders>
            <w:shd w:val="clear" w:color="auto" w:fill="auto"/>
            <w:noWrap/>
            <w:vAlign w:val="center"/>
          </w:tcPr>
          <w:p w14:paraId="57F92D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FDCB6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E44FA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7011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A9F75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5CAA8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558F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AAFA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559E4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368FC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2516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C6FA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56D3173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0.14</w:t>
            </w:r>
          </w:p>
        </w:tc>
        <w:tc>
          <w:tcPr>
            <w:tcW w:w="1217" w:type="dxa"/>
            <w:tcBorders>
              <w:top w:val="nil"/>
              <w:left w:val="nil"/>
              <w:bottom w:val="single" w:color="auto" w:sz="4" w:space="0"/>
              <w:right w:val="single" w:color="auto" w:sz="4" w:space="0"/>
            </w:tcBorders>
            <w:shd w:val="clear" w:color="auto" w:fill="auto"/>
            <w:noWrap/>
            <w:vAlign w:val="center"/>
          </w:tcPr>
          <w:p w14:paraId="4CDA0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C9B3E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22693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D48B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6FA6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3C445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4A6194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B5D64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AE601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CBF21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A0EFF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A870E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6CC4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D093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443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16352E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E1802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79B2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0A34CB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095001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7.82</w:t>
            </w:r>
          </w:p>
        </w:tc>
        <w:tc>
          <w:tcPr>
            <w:tcW w:w="1217" w:type="dxa"/>
            <w:tcBorders>
              <w:top w:val="nil"/>
              <w:left w:val="nil"/>
              <w:bottom w:val="single" w:color="auto" w:sz="4" w:space="0"/>
              <w:right w:val="single" w:color="auto" w:sz="4" w:space="0"/>
            </w:tcBorders>
            <w:shd w:val="clear" w:color="auto" w:fill="auto"/>
            <w:noWrap/>
            <w:vAlign w:val="center"/>
          </w:tcPr>
          <w:p w14:paraId="2C5370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8CB9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2EAC80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D44D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500A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26CC68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63DB98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0.29</w:t>
            </w:r>
          </w:p>
        </w:tc>
        <w:tc>
          <w:tcPr>
            <w:tcW w:w="1116" w:type="dxa"/>
            <w:tcBorders>
              <w:top w:val="nil"/>
              <w:left w:val="nil"/>
              <w:bottom w:val="single" w:color="auto" w:sz="4" w:space="0"/>
              <w:right w:val="single" w:color="auto" w:sz="4" w:space="0"/>
            </w:tcBorders>
            <w:shd w:val="clear" w:color="auto" w:fill="auto"/>
            <w:noWrap/>
            <w:vAlign w:val="center"/>
          </w:tcPr>
          <w:p w14:paraId="7B6967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4E38D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09D322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31A4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4900C6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68A34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ED29A0E">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3DB8B6E5">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EFF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7A2501E">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6F3CD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533413DA">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41C7DCDB">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E8D7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11DBE33F">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BB536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62DEA925">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3665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014D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2816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18A2C1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4FE3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3476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26A82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7B042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1C7A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6F2CF0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6065A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AC33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340F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2C857B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7D33EFA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0.06</w:t>
            </w:r>
          </w:p>
        </w:tc>
        <w:tc>
          <w:tcPr>
            <w:tcW w:w="1116" w:type="dxa"/>
            <w:tcBorders>
              <w:top w:val="nil"/>
              <w:left w:val="nil"/>
              <w:bottom w:val="single" w:color="auto" w:sz="4" w:space="0"/>
              <w:right w:val="single" w:color="auto" w:sz="4" w:space="0"/>
            </w:tcBorders>
            <w:shd w:val="clear" w:color="auto" w:fill="auto"/>
            <w:noWrap/>
            <w:vAlign w:val="center"/>
          </w:tcPr>
          <w:p w14:paraId="44DD8A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D4061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505A0E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0.83</w:t>
            </w:r>
          </w:p>
        </w:tc>
        <w:tc>
          <w:tcPr>
            <w:tcW w:w="1217" w:type="dxa"/>
            <w:tcBorders>
              <w:top w:val="nil"/>
              <w:left w:val="nil"/>
              <w:bottom w:val="single" w:color="auto" w:sz="4" w:space="0"/>
              <w:right w:val="single" w:color="auto" w:sz="4" w:space="0"/>
            </w:tcBorders>
            <w:shd w:val="clear" w:color="auto" w:fill="auto"/>
            <w:noWrap/>
            <w:vAlign w:val="center"/>
          </w:tcPr>
          <w:p w14:paraId="5DC4D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BD6D1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6D262E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BE4F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85C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7ECA3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DFC7E8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0.36</w:t>
            </w:r>
          </w:p>
        </w:tc>
        <w:tc>
          <w:tcPr>
            <w:tcW w:w="1116" w:type="dxa"/>
            <w:tcBorders>
              <w:top w:val="nil"/>
              <w:left w:val="nil"/>
              <w:bottom w:val="single" w:color="auto" w:sz="4" w:space="0"/>
              <w:right w:val="single" w:color="auto" w:sz="4" w:space="0"/>
            </w:tcBorders>
            <w:shd w:val="clear" w:color="auto" w:fill="auto"/>
            <w:noWrap/>
            <w:vAlign w:val="center"/>
          </w:tcPr>
          <w:p w14:paraId="018E64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06A72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B7B5F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2C043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8217F7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F6ED2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3EA43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1C58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6A230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7636841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5CA8F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80D7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9BCC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F5605D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C0E496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C7B98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E91645">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02BF5B">
            <w:pPr>
              <w:bidi w:val="0"/>
            </w:pPr>
            <w:r>
              <w:t>人</w:t>
            </w:r>
            <w:r>
              <w:rPr>
                <w:rFonts w:ascii="Times New Roman" w:hAnsi="Times New Roman" w:eastAsia="仿宋_GB2312" w:cs="Times New Roman"/>
                <w:color w:val="000000"/>
                <w:kern w:val="0"/>
                <w:szCs w:val="20"/>
              </w:rPr>
              <w:t>员经费合计</w:t>
            </w:r>
          </w:p>
        </w:tc>
        <w:tc>
          <w:tcPr>
            <w:tcW w:w="966" w:type="dxa"/>
            <w:tcBorders>
              <w:top w:val="nil"/>
              <w:left w:val="nil"/>
              <w:bottom w:val="single" w:color="auto" w:sz="4" w:space="0"/>
              <w:right w:val="single" w:color="auto" w:sz="4" w:space="0"/>
            </w:tcBorders>
            <w:shd w:val="clear" w:color="auto" w:fill="auto"/>
            <w:noWrap/>
            <w:vAlign w:val="center"/>
          </w:tcPr>
          <w:p w14:paraId="1CFD974F">
            <w:pPr>
              <w:bidi w:val="0"/>
              <w:rPr>
                <w:rFonts w:hint="default"/>
                <w:lang w:val="en-US" w:eastAsia="zh-CN"/>
              </w:rPr>
            </w:pPr>
            <w:r>
              <w:rPr>
                <w:rFonts w:hint="eastAsia" w:ascii="Times New Roman" w:hAnsi="Times New Roman" w:eastAsia="仿宋_GB2312" w:cs="Times New Roman"/>
                <w:color w:val="000000"/>
                <w:kern w:val="0"/>
                <w:szCs w:val="20"/>
                <w:lang w:val="en-US" w:eastAsia="zh-CN"/>
              </w:rPr>
              <w:t>333.99　　333.9</w:t>
            </w:r>
            <w:r>
              <w:rPr>
                <w:rFonts w:hint="eastAsia"/>
                <w:lang w:val="en-US" w:eastAsia="zh-CN"/>
              </w:rPr>
              <w:t>333.99</w:t>
            </w:r>
            <w:r>
              <w:rPr>
                <w:rFonts w:hint="eastAsia" w:ascii="Times New Roman" w:hAnsi="Times New Roman" w:eastAsia="仿宋_GB2312" w:cs="Times New Roman"/>
                <w:color w:val="000000"/>
                <w:kern w:val="0"/>
                <w:szCs w:val="21"/>
                <w:lang w:val="en-US" w:eastAsia="zh-CN"/>
              </w:rPr>
              <w:t>333.99</w:t>
            </w:r>
            <w:r>
              <w:rPr>
                <w:rFonts w:hint="eastAsia"/>
                <w:lang w:val="en-US" w:eastAsia="zh-CN"/>
              </w:rPr>
              <w:t>333.99333.99333333.99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09FA952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855BD65">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22.58</w:t>
            </w:r>
          </w:p>
        </w:tc>
      </w:tr>
    </w:tbl>
    <w:p w14:paraId="6C6B022F">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2FDDB26">
      <w:pPr>
        <w:widowControl/>
        <w:spacing w:line="400" w:lineRule="exact"/>
        <w:jc w:val="center"/>
        <w:textAlignment w:val="center"/>
        <w:rPr>
          <w:rFonts w:ascii="Times New Roman" w:hAnsi="Times New Roman" w:eastAsia="仿宋_GB2312" w:cs="Times New Roman"/>
          <w:color w:val="000000"/>
          <w:kern w:val="0"/>
          <w:sz w:val="32"/>
          <w:szCs w:val="32"/>
        </w:rPr>
      </w:pPr>
    </w:p>
    <w:p w14:paraId="248A5E9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772632AD">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6DE6E8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中共会同县委党校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9536A38">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83AA2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9"/>
                <w:rFonts w:hint="default" w:ascii="Times New Roman" w:hAnsi="Times New Roman" w:eastAsia="仿宋_GB2312" w:cs="Times New Roman"/>
                <w:b/>
                <w:bCs/>
              </w:rPr>
              <w:t xml:space="preserve">   </w:t>
            </w:r>
            <w:r>
              <w:rPr>
                <w:rStyle w:val="20"/>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BB98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894A4C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0D0BBB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3126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F51A737">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22EE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56580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923AA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FBC8D5">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9C47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C564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DFCAF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698278">
            <w:pPr>
              <w:widowControl/>
              <w:jc w:val="center"/>
              <w:rPr>
                <w:rFonts w:ascii="Times New Roman" w:hAnsi="Times New Roman" w:eastAsia="仿宋_GB2312" w:cs="Times New Roman"/>
                <w:color w:val="000000"/>
                <w:sz w:val="24"/>
                <w:szCs w:val="24"/>
              </w:rPr>
            </w:pPr>
          </w:p>
        </w:tc>
      </w:tr>
      <w:tr w14:paraId="18CF4768">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A1B7825">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54FE9E">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597D94">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BF825B">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603676">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64B814">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BD5FD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19C432">
            <w:pPr>
              <w:jc w:val="center"/>
              <w:rPr>
                <w:rFonts w:ascii="Times New Roman" w:hAnsi="Times New Roman" w:eastAsia="仿宋_GB2312" w:cs="Times New Roman"/>
                <w:color w:val="000000"/>
                <w:sz w:val="24"/>
                <w:szCs w:val="24"/>
              </w:rPr>
            </w:pPr>
          </w:p>
        </w:tc>
      </w:tr>
      <w:tr w14:paraId="46ACF006">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B8F105">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0A99B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FC9127">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B5EF8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6B203A">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44A9D7">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B87D67">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B86C11">
            <w:pPr>
              <w:jc w:val="center"/>
              <w:rPr>
                <w:rFonts w:ascii="Times New Roman" w:hAnsi="Times New Roman" w:eastAsia="仿宋_GB2312" w:cs="Times New Roman"/>
                <w:color w:val="000000"/>
                <w:sz w:val="24"/>
                <w:szCs w:val="24"/>
              </w:rPr>
            </w:pPr>
          </w:p>
        </w:tc>
      </w:tr>
      <w:tr w14:paraId="6519ACA1">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085D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8D5F5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54408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DC7BD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B8981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558B3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702B2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4099B47D">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3C25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B389A24">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EB7DA4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533E9F2">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D0D8B89">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DB351DA">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71BFF9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6E2BAA8B">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49650F5">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21B7E13">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E0F0CB1">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32558F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B2B06DA">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0D5644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2BB570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F6FB5C1">
            <w:pPr>
              <w:rPr>
                <w:rFonts w:ascii="Times New Roman" w:hAnsi="Times New Roman" w:eastAsia="仿宋_GB2312" w:cs="Times New Roman"/>
                <w:color w:val="000000"/>
                <w:sz w:val="24"/>
                <w:szCs w:val="24"/>
              </w:rPr>
            </w:pPr>
          </w:p>
        </w:tc>
      </w:tr>
      <w:tr w14:paraId="269B4815">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96F6DAC">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27F3D2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A17C30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E04E7B3">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403C74C">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248EE1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B7394F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7469551">
            <w:pPr>
              <w:rPr>
                <w:rFonts w:ascii="Times New Roman" w:hAnsi="Times New Roman" w:eastAsia="仿宋_GB2312" w:cs="Times New Roman"/>
                <w:color w:val="000000"/>
                <w:sz w:val="24"/>
                <w:szCs w:val="24"/>
              </w:rPr>
            </w:pPr>
          </w:p>
        </w:tc>
      </w:tr>
      <w:tr w14:paraId="2A01A22B">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D70B0A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427DA7C">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1B5583E">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AD87BF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BB6D4E3">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D6455E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6AF353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BCBDBF9">
            <w:pPr>
              <w:rPr>
                <w:rFonts w:ascii="Times New Roman" w:hAnsi="Times New Roman" w:eastAsia="仿宋_GB2312" w:cs="Times New Roman"/>
                <w:color w:val="000000"/>
                <w:sz w:val="24"/>
                <w:szCs w:val="24"/>
              </w:rPr>
            </w:pPr>
          </w:p>
        </w:tc>
      </w:tr>
      <w:tr w14:paraId="342990B8">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0DAC9E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102A29A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A412FE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EBDCEE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F134C26">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2CDBC98">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AFB68A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3E98F27">
            <w:pPr>
              <w:rPr>
                <w:rFonts w:ascii="Times New Roman" w:hAnsi="Times New Roman" w:eastAsia="仿宋_GB2312" w:cs="Times New Roman"/>
                <w:color w:val="000000"/>
                <w:sz w:val="24"/>
                <w:szCs w:val="24"/>
              </w:rPr>
            </w:pPr>
          </w:p>
        </w:tc>
      </w:tr>
      <w:tr w14:paraId="37E554A3">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ECE8285">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95C1D5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396808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7572DD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D7F1BD3">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B636005">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6F32427">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FFCF192">
            <w:pPr>
              <w:rPr>
                <w:rFonts w:ascii="Times New Roman" w:hAnsi="Times New Roman" w:eastAsia="仿宋_GB2312" w:cs="Times New Roman"/>
                <w:color w:val="000000"/>
                <w:sz w:val="24"/>
                <w:szCs w:val="24"/>
              </w:rPr>
            </w:pPr>
          </w:p>
        </w:tc>
      </w:tr>
      <w:tr w14:paraId="7772F637">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CB10990">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219598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609153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5FC251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1D7ADC6">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E0D203A">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5FC43F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28E2CEB">
            <w:pPr>
              <w:rPr>
                <w:rFonts w:ascii="Times New Roman" w:hAnsi="Times New Roman" w:eastAsia="仿宋_GB2312" w:cs="Times New Roman"/>
                <w:color w:val="000000"/>
                <w:sz w:val="24"/>
                <w:szCs w:val="24"/>
              </w:rPr>
            </w:pPr>
          </w:p>
        </w:tc>
      </w:tr>
    </w:tbl>
    <w:p w14:paraId="174A6C8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2922615E">
      <w:pPr>
        <w:widowControl/>
        <w:jc w:val="left"/>
        <w:textAlignment w:val="center"/>
        <w:rPr>
          <w:rFonts w:ascii="Times New Roman" w:hAnsi="Times New Roman" w:eastAsia="仿宋_GB2312" w:cs="Times New Roman"/>
          <w:color w:val="000000"/>
          <w:kern w:val="0"/>
          <w:sz w:val="24"/>
          <w:szCs w:val="24"/>
        </w:rPr>
      </w:pPr>
    </w:p>
    <w:p w14:paraId="63054A66">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5140AC53">
      <w:pPr>
        <w:widowControl/>
        <w:jc w:val="center"/>
        <w:rPr>
          <w:rFonts w:ascii="Times New Roman" w:hAnsi="Times New Roman" w:eastAsia="方正小标宋_GBK" w:cs="Times New Roman"/>
          <w:color w:val="000000"/>
          <w:kern w:val="0"/>
          <w:sz w:val="36"/>
          <w:szCs w:val="36"/>
        </w:rPr>
      </w:pPr>
    </w:p>
    <w:p w14:paraId="00BC0AAB">
      <w:pPr>
        <w:widowControl/>
        <w:spacing w:line="400" w:lineRule="exact"/>
        <w:textAlignment w:val="center"/>
        <w:rPr>
          <w:rFonts w:ascii="Times New Roman" w:hAnsi="Times New Roman" w:eastAsia="黑体" w:cs="Times New Roman"/>
          <w:color w:val="000000"/>
          <w:kern w:val="0"/>
          <w:sz w:val="36"/>
          <w:szCs w:val="36"/>
        </w:rPr>
      </w:pPr>
    </w:p>
    <w:p w14:paraId="5ACD7E0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1B4313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20E9D16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中共会同县委党校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DD57D17">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73853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1"/>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91585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CB4533F">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07FC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8834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33E5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EE0A6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08AA9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348F71C0">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2206EB">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197951">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E1D6D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07F6C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BB7C3A">
            <w:pPr>
              <w:jc w:val="center"/>
              <w:rPr>
                <w:rFonts w:ascii="Times New Roman" w:hAnsi="Times New Roman" w:eastAsia="仿宋_GB2312" w:cs="Times New Roman"/>
                <w:color w:val="000000"/>
                <w:sz w:val="24"/>
                <w:szCs w:val="24"/>
              </w:rPr>
            </w:pPr>
          </w:p>
        </w:tc>
      </w:tr>
      <w:tr w14:paraId="37424E22">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C4FFE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BB0276">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E8AD3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AB153D">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97D712">
            <w:pPr>
              <w:jc w:val="center"/>
              <w:rPr>
                <w:rFonts w:ascii="Times New Roman" w:hAnsi="Times New Roman" w:eastAsia="仿宋_GB2312" w:cs="Times New Roman"/>
                <w:color w:val="000000"/>
                <w:sz w:val="24"/>
                <w:szCs w:val="24"/>
              </w:rPr>
            </w:pPr>
          </w:p>
        </w:tc>
      </w:tr>
      <w:tr w14:paraId="24C3B5A6">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7D98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8878D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5B0B57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AE6F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6652EE3F">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91E31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8A2965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C7EBA5F">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D689D24">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3890C055">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D01C47F">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E9D001">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5BC0019">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378A6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3AD4B69">
            <w:pPr>
              <w:rPr>
                <w:rFonts w:ascii="Times New Roman" w:hAnsi="Times New Roman" w:eastAsia="仿宋_GB2312" w:cs="Times New Roman"/>
                <w:color w:val="000000"/>
                <w:sz w:val="24"/>
                <w:szCs w:val="24"/>
              </w:rPr>
            </w:pPr>
          </w:p>
        </w:tc>
      </w:tr>
      <w:tr w14:paraId="6352E2F4">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15DD987">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848185E">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FDE5BE9">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F0B0F3C">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E994CE1">
            <w:pPr>
              <w:rPr>
                <w:rFonts w:ascii="Times New Roman" w:hAnsi="Times New Roman" w:eastAsia="仿宋_GB2312" w:cs="Times New Roman"/>
                <w:color w:val="000000"/>
                <w:sz w:val="24"/>
                <w:szCs w:val="24"/>
              </w:rPr>
            </w:pPr>
          </w:p>
        </w:tc>
      </w:tr>
      <w:tr w14:paraId="48F131C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2D2670FD">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BAA8556">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3E693F2">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60E7C5">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FB4909E">
            <w:pPr>
              <w:rPr>
                <w:rFonts w:ascii="Times New Roman" w:hAnsi="Times New Roman" w:eastAsia="宋体" w:cs="Times New Roman"/>
                <w:color w:val="000000"/>
                <w:sz w:val="24"/>
                <w:szCs w:val="24"/>
              </w:rPr>
            </w:pPr>
          </w:p>
        </w:tc>
      </w:tr>
      <w:tr w14:paraId="77C23A02">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704CD22">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A56309A">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8E9555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B99122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EC5B69B">
            <w:pPr>
              <w:rPr>
                <w:rFonts w:ascii="Times New Roman" w:hAnsi="Times New Roman" w:eastAsia="宋体" w:cs="Times New Roman"/>
                <w:color w:val="000000"/>
                <w:sz w:val="24"/>
                <w:szCs w:val="24"/>
              </w:rPr>
            </w:pPr>
          </w:p>
        </w:tc>
      </w:tr>
      <w:tr w14:paraId="4FDD7CC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EFB4DBF">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F1F857F">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3D591D9">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20C42D">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0EDF70D">
            <w:pPr>
              <w:rPr>
                <w:rFonts w:ascii="Times New Roman" w:hAnsi="Times New Roman" w:eastAsia="宋体" w:cs="Times New Roman"/>
                <w:color w:val="000000"/>
                <w:sz w:val="24"/>
                <w:szCs w:val="24"/>
              </w:rPr>
            </w:pPr>
          </w:p>
        </w:tc>
      </w:tr>
      <w:tr w14:paraId="2B470B9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64E14D4">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DDD22D3">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F281DF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3F35C5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7E01E37">
            <w:pPr>
              <w:rPr>
                <w:rFonts w:ascii="Times New Roman" w:hAnsi="Times New Roman" w:eastAsia="宋体" w:cs="Times New Roman"/>
                <w:color w:val="000000"/>
                <w:sz w:val="24"/>
                <w:szCs w:val="24"/>
              </w:rPr>
            </w:pPr>
          </w:p>
        </w:tc>
      </w:tr>
    </w:tbl>
    <w:p w14:paraId="4E9A3714">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E89F839">
      <w:pPr>
        <w:widowControl/>
        <w:jc w:val="left"/>
        <w:textAlignment w:val="center"/>
        <w:rPr>
          <w:rFonts w:ascii="Times New Roman" w:hAnsi="Times New Roman" w:eastAsia="宋体" w:cs="Times New Roman"/>
          <w:color w:val="000000"/>
          <w:kern w:val="0"/>
          <w:sz w:val="24"/>
          <w:szCs w:val="24"/>
        </w:rPr>
      </w:pPr>
    </w:p>
    <w:p w14:paraId="3390EDCE">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05BB24D1">
      <w:pPr>
        <w:widowControl/>
        <w:jc w:val="center"/>
        <w:rPr>
          <w:rFonts w:ascii="Times New Roman" w:hAnsi="Times New Roman" w:eastAsia="方正小标宋_GBK" w:cs="Times New Roman"/>
          <w:color w:val="000000"/>
          <w:kern w:val="0"/>
          <w:sz w:val="36"/>
          <w:szCs w:val="36"/>
        </w:rPr>
      </w:pPr>
    </w:p>
    <w:p w14:paraId="3AAABBD0">
      <w:pPr>
        <w:pStyle w:val="9"/>
        <w:spacing w:line="400" w:lineRule="exact"/>
        <w:rPr>
          <w:rFonts w:ascii="Times New Roman" w:hAnsi="Times New Roman" w:eastAsia="华文中宋" w:cs="Times New Roman"/>
          <w:color w:val="000000"/>
          <w:kern w:val="0"/>
          <w:sz w:val="32"/>
          <w:szCs w:val="32"/>
        </w:rPr>
      </w:pPr>
    </w:p>
    <w:p w14:paraId="565F6DB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5C88C1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69D6F50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rPr>
        <w:t>中共会同县委党校</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453D6C0">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A697E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3AF4D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41D73863">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00A6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1755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0571C7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AAB2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8883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BA178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BCC7B2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CAB5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38B6EA6">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AC06C6">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520537">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58D10B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502D3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E54BCF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0E6815">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D1399F">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F906C8">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792B3C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DE0D9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693440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4C1523">
            <w:pPr>
              <w:jc w:val="center"/>
              <w:rPr>
                <w:rFonts w:ascii="Times New Roman" w:hAnsi="Times New Roman" w:eastAsia="仿宋_GB2312" w:cs="Times New Roman"/>
                <w:color w:val="000000"/>
                <w:sz w:val="22"/>
              </w:rPr>
            </w:pPr>
          </w:p>
        </w:tc>
      </w:tr>
      <w:tr w14:paraId="05D3A069">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6C66BD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74D85F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7F68C2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023F73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61DFFB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5DD243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7BCDA3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4F469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3BC1A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166D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080E84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6993AB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E29FF1F">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70482E43">
            <w:pPr>
              <w:rPr>
                <w:rFonts w:ascii="Times New Roman" w:hAnsi="Times New Roman" w:eastAsia="仿宋_GB2312" w:cs="Times New Roman"/>
                <w:color w:val="000000"/>
                <w:sz w:val="22"/>
              </w:rPr>
            </w:pP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1234AE97">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3E005CEE">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FCB5317">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7BF207A1">
            <w:pPr>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21C75FBC">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1.00</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18F6586F">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1DCB7BA">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BFD75F4">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8984372">
            <w:pPr>
              <w:jc w:val="cente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5210D595">
            <w:pPr>
              <w:jc w:val="cente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CBF9E3E">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50B0466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216531E">
      <w:pPr>
        <w:autoSpaceDE w:val="0"/>
        <w:autoSpaceDN w:val="0"/>
        <w:adjustRightInd w:val="0"/>
        <w:ind w:left="315" w:leftChars="150"/>
        <w:jc w:val="left"/>
        <w:rPr>
          <w:rFonts w:ascii="Times New Roman" w:hAnsi="Times New Roman" w:eastAsia="宋体" w:cs="Times New Roman"/>
          <w:kern w:val="0"/>
          <w:sz w:val="24"/>
          <w:szCs w:val="24"/>
        </w:rPr>
      </w:pPr>
    </w:p>
    <w:p w14:paraId="22E74BDF">
      <w:pPr>
        <w:autoSpaceDE w:val="0"/>
        <w:autoSpaceDN w:val="0"/>
        <w:adjustRightInd w:val="0"/>
        <w:ind w:left="315" w:leftChars="150"/>
        <w:jc w:val="left"/>
        <w:rPr>
          <w:rFonts w:ascii="Times New Roman" w:hAnsi="Times New Roman" w:eastAsia="宋体" w:cs="Times New Roman"/>
          <w:kern w:val="0"/>
          <w:sz w:val="24"/>
          <w:szCs w:val="24"/>
        </w:rPr>
      </w:pPr>
    </w:p>
    <w:p w14:paraId="12826D87">
      <w:pPr>
        <w:autoSpaceDE w:val="0"/>
        <w:autoSpaceDN w:val="0"/>
        <w:adjustRightInd w:val="0"/>
        <w:ind w:left="315" w:leftChars="150"/>
        <w:jc w:val="left"/>
        <w:rPr>
          <w:rFonts w:ascii="Times New Roman" w:hAnsi="Times New Roman" w:eastAsia="宋体" w:cs="Times New Roman"/>
          <w:kern w:val="0"/>
          <w:sz w:val="24"/>
          <w:szCs w:val="24"/>
        </w:rPr>
      </w:pPr>
    </w:p>
    <w:p w14:paraId="2DB807DB">
      <w:pPr>
        <w:autoSpaceDE w:val="0"/>
        <w:autoSpaceDN w:val="0"/>
        <w:adjustRightInd w:val="0"/>
        <w:ind w:left="315" w:leftChars="150"/>
        <w:jc w:val="left"/>
        <w:rPr>
          <w:rFonts w:ascii="Times New Roman" w:hAnsi="Times New Roman" w:eastAsia="宋体" w:cs="Times New Roman"/>
          <w:kern w:val="0"/>
          <w:sz w:val="24"/>
          <w:szCs w:val="24"/>
        </w:rPr>
      </w:pPr>
    </w:p>
    <w:p w14:paraId="3E0388E1">
      <w:pPr>
        <w:autoSpaceDE w:val="0"/>
        <w:autoSpaceDN w:val="0"/>
        <w:adjustRightInd w:val="0"/>
        <w:ind w:left="315" w:leftChars="150"/>
        <w:jc w:val="left"/>
        <w:rPr>
          <w:rFonts w:ascii="Times New Roman" w:hAnsi="Times New Roman" w:eastAsia="宋体" w:cs="Times New Roman"/>
          <w:kern w:val="0"/>
          <w:sz w:val="24"/>
          <w:szCs w:val="24"/>
        </w:rPr>
      </w:pPr>
    </w:p>
    <w:p w14:paraId="5A53AB5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46294F80">
      <w:pPr>
        <w:pStyle w:val="16"/>
        <w:rPr>
          <w:rFonts w:ascii="Times New Roman" w:hAnsi="Times New Roman" w:cs="Times New Roman"/>
          <w:sz w:val="72"/>
          <w:szCs w:val="72"/>
        </w:rPr>
      </w:pPr>
    </w:p>
    <w:p w14:paraId="45E67B8F">
      <w:pPr>
        <w:pStyle w:val="16"/>
        <w:rPr>
          <w:rFonts w:ascii="Times New Roman" w:hAnsi="Times New Roman" w:cs="Times New Roman"/>
          <w:sz w:val="72"/>
          <w:szCs w:val="72"/>
        </w:rPr>
      </w:pPr>
    </w:p>
    <w:p w14:paraId="1B67F53B">
      <w:pPr>
        <w:pStyle w:val="16"/>
        <w:rPr>
          <w:rFonts w:ascii="Times New Roman" w:hAnsi="Times New Roman" w:cs="Times New Roman"/>
          <w:sz w:val="72"/>
          <w:szCs w:val="72"/>
        </w:rPr>
      </w:pPr>
    </w:p>
    <w:p w14:paraId="7CE3CDD3">
      <w:pPr>
        <w:pStyle w:val="16"/>
        <w:jc w:val="center"/>
        <w:rPr>
          <w:rFonts w:ascii="Times New Roman" w:hAnsi="Times New Roman" w:cs="Times New Roman"/>
          <w:sz w:val="72"/>
          <w:szCs w:val="72"/>
        </w:rPr>
      </w:pPr>
    </w:p>
    <w:p w14:paraId="35C7C921">
      <w:pPr>
        <w:pStyle w:val="16"/>
        <w:jc w:val="center"/>
        <w:rPr>
          <w:rFonts w:ascii="Times New Roman" w:hAnsi="Times New Roman" w:eastAsia="方正小标宋_GBK" w:cs="Times New Roman"/>
          <w:sz w:val="72"/>
          <w:szCs w:val="72"/>
        </w:rPr>
      </w:pPr>
    </w:p>
    <w:p w14:paraId="6999F26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7C08C03">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D45249A">
      <w:pPr>
        <w:widowControl/>
        <w:jc w:val="left"/>
        <w:rPr>
          <w:rFonts w:ascii="Times New Roman" w:hAnsi="Times New Roman" w:cs="Times New Roman"/>
          <w:sz w:val="32"/>
          <w:szCs w:val="32"/>
        </w:rPr>
      </w:pPr>
      <w:r>
        <w:br w:type="page"/>
      </w:r>
    </w:p>
    <w:p w14:paraId="358C999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0D723DD">
      <w:pPr>
        <w:bidi w:val="0"/>
        <w:ind w:firstLine="600" w:firstLineChars="200"/>
        <w:rPr>
          <w:rFonts w:hint="default" w:ascii="仿宋" w:hAnsi="仿宋" w:eastAsia="仿宋" w:cs="仿宋"/>
          <w:color w:val="0C0C0C"/>
          <w:sz w:val="30"/>
          <w:szCs w:val="30"/>
          <w:lang w:val="en-US" w:eastAsia="zh-CN"/>
        </w:rPr>
      </w:pPr>
      <w:r>
        <w:rPr>
          <w:rFonts w:hint="eastAsia" w:ascii="仿宋" w:hAnsi="仿宋" w:eastAsia="仿宋" w:cs="仿宋"/>
          <w:color w:val="0C0C0C"/>
          <w:sz w:val="30"/>
          <w:szCs w:val="30"/>
          <w:lang w:val="en-US" w:eastAsia="zh-CN"/>
        </w:rPr>
        <w:t>2025年我单位全年收入预算为422.41万元，实际收入为422.41万元，收入预算完成率100.00%，较</w:t>
      </w:r>
      <w:r>
        <w:rPr>
          <w:rFonts w:hint="eastAsia" w:ascii="仿宋" w:hAnsi="仿宋" w:eastAsia="仿宋" w:cs="仿宋"/>
          <w:color w:val="0C0C0C"/>
          <w:sz w:val="30"/>
          <w:szCs w:val="30"/>
        </w:rPr>
        <w:t>20</w:t>
      </w:r>
      <w:r>
        <w:rPr>
          <w:rFonts w:hint="eastAsia" w:ascii="仿宋" w:hAnsi="仿宋" w:eastAsia="仿宋" w:cs="仿宋"/>
          <w:color w:val="0C0C0C"/>
          <w:sz w:val="30"/>
          <w:szCs w:val="30"/>
          <w:lang w:val="en-US" w:eastAsia="zh-CN"/>
        </w:rPr>
        <w:t>24</w:t>
      </w:r>
      <w:r>
        <w:rPr>
          <w:rFonts w:hint="eastAsia" w:ascii="仿宋" w:hAnsi="仿宋" w:eastAsia="仿宋" w:cs="仿宋"/>
          <w:color w:val="0C0C0C"/>
          <w:sz w:val="30"/>
          <w:szCs w:val="30"/>
        </w:rPr>
        <w:t>年</w:t>
      </w:r>
      <w:r>
        <w:rPr>
          <w:rFonts w:hint="eastAsia" w:ascii="仿宋" w:hAnsi="仿宋" w:eastAsia="仿宋" w:cs="仿宋"/>
          <w:color w:val="0C0C0C"/>
          <w:sz w:val="30"/>
          <w:szCs w:val="30"/>
          <w:lang w:val="en-US" w:eastAsia="zh-CN"/>
        </w:rPr>
        <w:t>增加21.2%。2025年我单位支出预算为422.41万元，实际支出为422.41万元，支出预算完成率100.00%。</w:t>
      </w:r>
      <w:r>
        <w:rPr>
          <w:rFonts w:hint="eastAsia" w:ascii="仿宋" w:hAnsi="仿宋" w:eastAsia="仿宋" w:cs="仿宋"/>
          <w:color w:val="0C0C0C"/>
          <w:sz w:val="30"/>
          <w:szCs w:val="30"/>
        </w:rPr>
        <w:t>实际支出</w:t>
      </w:r>
      <w:r>
        <w:rPr>
          <w:rFonts w:hint="eastAsia" w:ascii="仿宋" w:hAnsi="仿宋" w:eastAsia="仿宋" w:cs="仿宋"/>
          <w:color w:val="0C0C0C"/>
          <w:sz w:val="30"/>
          <w:szCs w:val="30"/>
          <w:lang w:val="en-US" w:eastAsia="zh-CN"/>
        </w:rPr>
        <w:t>422.41</w:t>
      </w:r>
      <w:r>
        <w:rPr>
          <w:rFonts w:hint="eastAsia" w:ascii="仿宋" w:hAnsi="仿宋" w:eastAsia="仿宋" w:cs="仿宋"/>
          <w:color w:val="0C0C0C"/>
          <w:sz w:val="30"/>
          <w:szCs w:val="30"/>
        </w:rPr>
        <w:t>万元，</w:t>
      </w:r>
      <w:r>
        <w:rPr>
          <w:rFonts w:hint="eastAsia" w:ascii="仿宋" w:hAnsi="仿宋" w:eastAsia="仿宋" w:cs="仿宋"/>
          <w:color w:val="0C0C0C"/>
          <w:sz w:val="30"/>
          <w:szCs w:val="30"/>
          <w:lang w:val="en-US" w:eastAsia="zh-CN"/>
        </w:rPr>
        <w:t>较</w:t>
      </w:r>
      <w:r>
        <w:rPr>
          <w:rFonts w:hint="eastAsia" w:ascii="仿宋" w:hAnsi="仿宋" w:eastAsia="仿宋" w:cs="仿宋"/>
          <w:color w:val="0C0C0C"/>
          <w:sz w:val="30"/>
          <w:szCs w:val="30"/>
        </w:rPr>
        <w:t>20</w:t>
      </w:r>
      <w:r>
        <w:rPr>
          <w:rFonts w:hint="eastAsia" w:ascii="仿宋" w:hAnsi="仿宋" w:eastAsia="仿宋" w:cs="仿宋"/>
          <w:color w:val="0C0C0C"/>
          <w:sz w:val="30"/>
          <w:szCs w:val="30"/>
          <w:lang w:val="en-US" w:eastAsia="zh-CN"/>
        </w:rPr>
        <w:t>24</w:t>
      </w:r>
      <w:r>
        <w:rPr>
          <w:rFonts w:hint="eastAsia" w:ascii="仿宋" w:hAnsi="仿宋" w:eastAsia="仿宋" w:cs="仿宋"/>
          <w:color w:val="0C0C0C"/>
          <w:sz w:val="30"/>
          <w:szCs w:val="30"/>
        </w:rPr>
        <w:t>年</w:t>
      </w:r>
      <w:r>
        <w:rPr>
          <w:rFonts w:hint="eastAsia" w:ascii="仿宋" w:hAnsi="仿宋" w:eastAsia="仿宋" w:cs="仿宋"/>
          <w:color w:val="0C0C0C"/>
          <w:sz w:val="30"/>
          <w:szCs w:val="30"/>
          <w:lang w:val="en-US" w:eastAsia="zh-CN"/>
        </w:rPr>
        <w:t>增加21.2%。收支主要变动原因：党校搬迁至坪村镇红色文化培训基地，基本培训班次增加，费用增加。人员工资调整，社保费用增加。</w:t>
      </w:r>
    </w:p>
    <w:p w14:paraId="16D8F9A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3A92172">
      <w:pPr>
        <w:bidi w:val="0"/>
        <w:ind w:firstLine="640" w:firstLineChars="200"/>
        <w:rPr>
          <w:rFonts w:hint="eastAsia" w:ascii="仿宋" w:hAnsi="仿宋" w:eastAsia="仿宋" w:cs="仿宋"/>
          <w:color w:val="0C0C0C"/>
          <w:sz w:val="30"/>
          <w:szCs w:val="30"/>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 w:hAnsi="仿宋" w:eastAsia="仿宋" w:cs="仿宋"/>
          <w:color w:val="0C0C0C"/>
          <w:sz w:val="30"/>
          <w:szCs w:val="30"/>
          <w:lang w:val="en-US" w:eastAsia="zh-CN"/>
        </w:rPr>
        <w:t>422.41</w:t>
      </w:r>
      <w:r>
        <w:rPr>
          <w:rFonts w:ascii="Times New Roman" w:hAnsi="Times New Roman" w:eastAsia="仿宋_GB2312" w:cs="Times New Roman"/>
          <w:sz w:val="32"/>
          <w:szCs w:val="32"/>
        </w:rPr>
        <w:t>万元，其中：财政拨款收入</w:t>
      </w:r>
      <w:r>
        <w:rPr>
          <w:rFonts w:hint="eastAsia" w:ascii="仿宋" w:hAnsi="仿宋" w:eastAsia="仿宋" w:cs="仿宋"/>
          <w:color w:val="0C0C0C"/>
          <w:sz w:val="30"/>
          <w:szCs w:val="30"/>
          <w:lang w:val="en-US" w:eastAsia="zh-CN"/>
        </w:rPr>
        <w:t>422.41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 w:hAnsi="仿宋" w:eastAsia="仿宋" w:cs="仿宋"/>
          <w:color w:val="0C0C0C"/>
          <w:sz w:val="30"/>
          <w:szCs w:val="30"/>
          <w:lang w:val="en-US" w:eastAsia="zh-CN"/>
        </w:rPr>
        <w:t>无政府性基金预算财政拨款收入、国有资本经营预算财政拨款收入、上级补助收入、事业收入、经营收入、附属单位上缴收入、其他收入。</w:t>
      </w:r>
    </w:p>
    <w:p w14:paraId="5F681D08">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2BB040F">
      <w:pPr>
        <w:bidi w:val="0"/>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仿宋" w:hAnsi="仿宋" w:eastAsia="仿宋" w:cs="仿宋"/>
          <w:color w:val="0C0C0C"/>
          <w:sz w:val="30"/>
          <w:szCs w:val="30"/>
        </w:rPr>
        <w:t>为</w:t>
      </w:r>
      <w:r>
        <w:rPr>
          <w:rFonts w:hint="eastAsia" w:ascii="仿宋" w:hAnsi="仿宋" w:eastAsia="仿宋" w:cs="仿宋"/>
          <w:color w:val="0C0C0C"/>
          <w:sz w:val="30"/>
          <w:szCs w:val="30"/>
          <w:lang w:val="en-US" w:eastAsia="zh-CN"/>
        </w:rPr>
        <w:t>422.41</w:t>
      </w:r>
      <w:r>
        <w:rPr>
          <w:rFonts w:hint="eastAsia" w:ascii="仿宋" w:hAnsi="仿宋" w:eastAsia="仿宋" w:cs="仿宋"/>
          <w:color w:val="0C0C0C"/>
          <w:sz w:val="30"/>
          <w:szCs w:val="30"/>
        </w:rPr>
        <w:t>万元</w:t>
      </w:r>
      <w:r>
        <w:rPr>
          <w:rFonts w:hint="eastAsia" w:ascii="仿宋" w:hAnsi="仿宋" w:eastAsia="仿宋" w:cs="仿宋"/>
          <w:color w:val="0C0C0C"/>
          <w:sz w:val="30"/>
          <w:szCs w:val="30"/>
          <w:lang w:eastAsia="zh-CN"/>
        </w:rPr>
        <w:t>，主要</w:t>
      </w:r>
      <w:r>
        <w:rPr>
          <w:rFonts w:hint="eastAsia" w:ascii="仿宋" w:hAnsi="仿宋" w:eastAsia="仿宋" w:cs="仿宋"/>
          <w:color w:val="0C0C0C"/>
          <w:sz w:val="30"/>
          <w:szCs w:val="30"/>
        </w:rPr>
        <w:t>支出</w:t>
      </w:r>
      <w:r>
        <w:rPr>
          <w:rFonts w:hint="eastAsia" w:ascii="仿宋" w:hAnsi="仿宋" w:eastAsia="仿宋" w:cs="仿宋"/>
          <w:color w:val="0C0C0C"/>
          <w:sz w:val="30"/>
          <w:szCs w:val="30"/>
          <w:lang w:eastAsia="zh-CN"/>
        </w:rPr>
        <w:t>为</w:t>
      </w:r>
      <w:r>
        <w:rPr>
          <w:rFonts w:hint="eastAsia" w:ascii="仿宋" w:hAnsi="仿宋" w:eastAsia="仿宋" w:cs="仿宋"/>
          <w:color w:val="0C0C0C"/>
          <w:sz w:val="30"/>
          <w:szCs w:val="30"/>
          <w:lang w:val="en-US" w:eastAsia="zh-CN"/>
        </w:rPr>
        <w:t>356.57</w:t>
      </w:r>
      <w:r>
        <w:rPr>
          <w:rFonts w:hint="eastAsia" w:ascii="仿宋" w:hAnsi="仿宋" w:eastAsia="仿宋" w:cs="仿宋"/>
          <w:color w:val="0C0C0C"/>
          <w:sz w:val="30"/>
          <w:szCs w:val="30"/>
        </w:rPr>
        <w:t>万元</w:t>
      </w:r>
      <w:r>
        <w:rPr>
          <w:rFonts w:hint="eastAsia" w:ascii="仿宋" w:hAnsi="仿宋" w:eastAsia="仿宋" w:cs="仿宋"/>
          <w:color w:val="0C0C0C"/>
          <w:sz w:val="30"/>
          <w:szCs w:val="30"/>
          <w:lang w:eastAsia="zh-CN"/>
        </w:rPr>
        <w:t>占</w:t>
      </w:r>
      <w:r>
        <w:rPr>
          <w:rFonts w:hint="eastAsia" w:ascii="仿宋" w:hAnsi="仿宋" w:eastAsia="仿宋" w:cs="仿宋"/>
          <w:b w:val="0"/>
          <w:bCs w:val="0"/>
          <w:color w:val="0C0C0C"/>
          <w:sz w:val="30"/>
          <w:szCs w:val="30"/>
          <w:lang w:eastAsia="zh-CN"/>
        </w:rPr>
        <w:t>总预算收入</w:t>
      </w:r>
      <w:r>
        <w:rPr>
          <w:rFonts w:hint="eastAsia" w:ascii="仿宋" w:hAnsi="仿宋" w:eastAsia="仿宋" w:cs="仿宋"/>
          <w:b w:val="0"/>
          <w:bCs w:val="0"/>
          <w:color w:val="0C0C0C"/>
          <w:sz w:val="30"/>
          <w:szCs w:val="30"/>
          <w:lang w:val="en-US" w:eastAsia="zh-CN"/>
        </w:rPr>
        <w:t>84.41%（其中人员经费支出333.99万元，公用经费支出22.58万元）</w:t>
      </w:r>
      <w:r>
        <w:rPr>
          <w:rFonts w:hint="eastAsia" w:ascii="仿宋" w:hAnsi="仿宋" w:eastAsia="仿宋" w:cs="仿宋"/>
          <w:b w:val="0"/>
          <w:bCs w:val="0"/>
          <w:color w:val="0C0C0C"/>
          <w:sz w:val="30"/>
          <w:szCs w:val="30"/>
        </w:rPr>
        <w:t>项目支出</w:t>
      </w:r>
      <w:r>
        <w:rPr>
          <w:rFonts w:hint="eastAsia" w:ascii="仿宋" w:hAnsi="仿宋" w:eastAsia="仿宋" w:cs="仿宋"/>
          <w:color w:val="0C0C0C"/>
          <w:sz w:val="30"/>
          <w:szCs w:val="30"/>
        </w:rPr>
        <w:t xml:space="preserve"> </w:t>
      </w:r>
      <w:r>
        <w:rPr>
          <w:rFonts w:hint="eastAsia" w:ascii="仿宋" w:hAnsi="仿宋" w:eastAsia="仿宋" w:cs="仿宋"/>
          <w:color w:val="0C0C0C"/>
          <w:sz w:val="30"/>
          <w:szCs w:val="30"/>
          <w:lang w:val="en-US" w:eastAsia="zh-CN"/>
        </w:rPr>
        <w:t>65.84</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eastAsia="zh-CN"/>
        </w:rPr>
        <w:t>，占总</w:t>
      </w:r>
      <w:r>
        <w:rPr>
          <w:rFonts w:hint="eastAsia" w:ascii="仿宋" w:hAnsi="仿宋" w:eastAsia="仿宋" w:cs="仿宋"/>
          <w:b w:val="0"/>
          <w:bCs w:val="0"/>
          <w:color w:val="0C0C0C"/>
          <w:sz w:val="30"/>
          <w:szCs w:val="30"/>
          <w:lang w:val="en-US" w:eastAsia="zh-CN"/>
        </w:rPr>
        <w:t>支出</w:t>
      </w:r>
      <w:r>
        <w:rPr>
          <w:rFonts w:hint="eastAsia" w:ascii="仿宋" w:hAnsi="仿宋" w:eastAsia="仿宋" w:cs="仿宋"/>
          <w:color w:val="0C0C0C"/>
          <w:sz w:val="30"/>
          <w:szCs w:val="30"/>
          <w:lang w:val="en-US" w:eastAsia="zh-CN"/>
        </w:rPr>
        <w:t>15.59</w:t>
      </w:r>
      <w:r>
        <w:rPr>
          <w:rFonts w:hint="eastAsia" w:ascii="仿宋" w:hAnsi="仿宋" w:eastAsia="仿宋" w:cs="仿宋"/>
          <w:b w:val="0"/>
          <w:bCs w:val="0"/>
          <w:color w:val="0C0C0C"/>
          <w:sz w:val="30"/>
          <w:szCs w:val="30"/>
          <w:lang w:val="en-US" w:eastAsia="zh-CN"/>
        </w:rPr>
        <w:t>%。</w:t>
      </w:r>
    </w:p>
    <w:p w14:paraId="6E24C512">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FD8F81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 w:hAnsi="仿宋" w:eastAsia="仿宋" w:cs="仿宋"/>
          <w:color w:val="0C0C0C"/>
          <w:sz w:val="30"/>
          <w:szCs w:val="30"/>
          <w:lang w:val="en-US" w:eastAsia="zh-CN"/>
        </w:rPr>
        <w:t>422.41</w:t>
      </w:r>
      <w:r>
        <w:rPr>
          <w:rFonts w:ascii="Times New Roman" w:hAnsi="Times New Roman" w:eastAsia="仿宋_GB2312" w:cs="Times New Roman"/>
          <w:sz w:val="32"/>
          <w:szCs w:val="32"/>
        </w:rPr>
        <w:t>万元，与上年相比，</w:t>
      </w:r>
      <w:r>
        <w:rPr>
          <w:rFonts w:hint="eastAsia" w:ascii="仿宋" w:hAnsi="仿宋" w:eastAsia="仿宋" w:cs="仿宋"/>
          <w:color w:val="0C0C0C"/>
          <w:sz w:val="30"/>
          <w:szCs w:val="30"/>
          <w:lang w:val="en-US" w:eastAsia="zh-CN"/>
        </w:rPr>
        <w:t>增加21.2%。收支主要变动原因：党校搬迁至坪村镇红色文化培训基地，基本培训班次增加，费用增加。人员工资调整，社保费用增加。</w:t>
      </w:r>
    </w:p>
    <w:p w14:paraId="2B6261D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5B521F8">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83F066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仿宋" w:hAnsi="仿宋" w:eastAsia="仿宋" w:cs="仿宋"/>
          <w:color w:val="0C0C0C"/>
          <w:sz w:val="30"/>
          <w:szCs w:val="30"/>
          <w:lang w:val="en-US" w:eastAsia="zh-CN"/>
        </w:rPr>
        <w:t>422.41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72.73</w:t>
      </w:r>
      <w:r>
        <w:rPr>
          <w:rFonts w:ascii="Times New Roman" w:hAnsi="Times New Roman" w:eastAsia="仿宋_GB2312" w:cs="Times New Roman"/>
          <w:sz w:val="32"/>
          <w:szCs w:val="32"/>
        </w:rPr>
        <w:t>万元，增长</w:t>
      </w:r>
      <w:r>
        <w:rPr>
          <w:rFonts w:hint="eastAsia" w:ascii="仿宋" w:hAnsi="仿宋" w:eastAsia="仿宋" w:cs="仿宋"/>
          <w:b/>
          <w:bCs/>
          <w:color w:val="0C0C0C"/>
          <w:sz w:val="30"/>
          <w:szCs w:val="30"/>
          <w:lang w:val="en-US" w:eastAsia="zh-CN"/>
        </w:rPr>
        <w:t>21.2</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，主要是因为</w:t>
      </w:r>
      <w:r>
        <w:rPr>
          <w:rFonts w:hint="eastAsia" w:ascii="仿宋" w:hAnsi="仿宋" w:eastAsia="仿宋" w:cs="仿宋"/>
          <w:color w:val="0C0C0C"/>
          <w:sz w:val="30"/>
          <w:szCs w:val="30"/>
          <w:lang w:val="en-US" w:eastAsia="zh-CN"/>
        </w:rPr>
        <w:t>党校搬迁至坪村镇红色文化培训基地，基本培训班次增加，费用增加。人员工资调整，社保费用增加。</w:t>
      </w:r>
    </w:p>
    <w:p w14:paraId="39C690C1">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3B7982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422.41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22.58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5.35</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356.89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社会保障和就业支出42.94万元，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10.16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BF83C95">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DC0F7E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349.68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349.68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51659306">
      <w:pPr>
        <w:pStyle w:val="16"/>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一般公共服务（类）党委办公厅及相关机构事务（款）行政运行（项）。</w:t>
      </w:r>
    </w:p>
    <w:p w14:paraId="1ABE6F8A">
      <w:pPr>
        <w:pStyle w:val="16"/>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22.58</w:t>
      </w:r>
      <w:r>
        <w:rPr>
          <w:rFonts w:ascii="Times New Roman" w:hAnsi="Times New Roman" w:eastAsia="仿宋_GB2312" w:cs="Times New Roman"/>
          <w:sz w:val="32"/>
          <w:szCs w:val="32"/>
        </w:rPr>
        <w:t>万元，完成年初预算的100%， 决算数等于年初预算数。</w:t>
      </w:r>
    </w:p>
    <w:p w14:paraId="39C2F44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2、教育支出（类）进修及培训（款）干部教育（项）。</w:t>
      </w:r>
    </w:p>
    <w:p w14:paraId="3D36156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356.89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356.89</w:t>
      </w:r>
      <w:r>
        <w:rPr>
          <w:rFonts w:ascii="Times New Roman" w:hAnsi="Times New Roman" w:eastAsia="仿宋_GB2312" w:cs="Times New Roman"/>
          <w:sz w:val="32"/>
          <w:szCs w:val="32"/>
        </w:rPr>
        <w:t>万元，完成年初预算</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6BCD031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社会保障和就业（类）行政事业单位养老支出（款）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12FBCE5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36.26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98F8E34">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4、社会保障和就业（类）行政事业单位养老支出（款）行政单位离退休（项）。</w:t>
      </w:r>
    </w:p>
    <w:p w14:paraId="011B2F15">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年初预算为4.2万元，支出决算为4.2万元，完成年初预算的100%。</w:t>
      </w:r>
    </w:p>
    <w:p w14:paraId="2DABD04C">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5、社会保障和就业（类）抚恤（款）死亡抚恤（项）。</w:t>
      </w:r>
    </w:p>
    <w:p w14:paraId="23292FEB">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年初预算为2.48万元，支出决算为2.48万元，完成年初预算的100%，决算数等于年初预算数。</w:t>
      </w:r>
    </w:p>
    <w:p w14:paraId="31433D3D">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5D0ABD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356.57</w:t>
      </w:r>
      <w:r>
        <w:rPr>
          <w:rFonts w:ascii="Times New Roman" w:hAnsi="Times New Roman" w:eastAsia="仿宋_GB2312" w:cs="Times New Roman"/>
          <w:sz w:val="32"/>
          <w:szCs w:val="32"/>
        </w:rPr>
        <w:t>万元，其中：</w:t>
      </w:r>
    </w:p>
    <w:p w14:paraId="23A135D4">
      <w:pPr>
        <w:pStyle w:val="16"/>
        <w:overflowPunct w:val="0"/>
        <w:autoSpaceDE/>
        <w:autoSpaceDN/>
        <w:spacing w:line="600" w:lineRule="exact"/>
        <w:ind w:firstLine="643"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333.99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93.67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w:t>
      </w:r>
      <w:r>
        <w:rPr>
          <w:rFonts w:hint="eastAsia" w:ascii="Times New Roman" w:hAnsi="Times New Roman" w:eastAsia="仿宋_GB2312" w:cs="Times New Roman"/>
          <w:sz w:val="32"/>
          <w:szCs w:val="32"/>
          <w:lang w:val="en-US" w:eastAsia="zh-CN"/>
        </w:rPr>
        <w:t>本工资155.11万元、津补贴56.99万元、奖金21.33万元、伙食补助0.34万元、养老保险费48.48万元、职业年金8.04万元、医疗保险费29.48万元、其他社会保障缴费2.31万元、住房公积金3.3万元、其他工资福利1.21万元、对个人和家庭的补助7.39万元、生活补助6.68万元、奖励金0.29万元、代缴社会保险费0.06万元、其他对个人和家庭的补助0.36万元。</w:t>
      </w:r>
    </w:p>
    <w:p w14:paraId="3E42157D">
      <w:pPr>
        <w:pStyle w:val="16"/>
        <w:overflowPunct w:val="0"/>
        <w:autoSpaceDE/>
        <w:autoSpaceDN/>
        <w:spacing w:line="600" w:lineRule="exact"/>
        <w:ind w:firstLine="643"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22.58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6.33</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办公费2.85万元、印刷费0.04万元、水费0.02万元、电费0.69万元、邮电费0.21万元、差旅费2.05万元、维修费0.57万元、培训费7.37万元、劳务费0.14万元、工会经费7.82万元、其他交通费0.83万元。</w:t>
      </w:r>
    </w:p>
    <w:p w14:paraId="2327A67A">
      <w:pPr>
        <w:pStyle w:val="16"/>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0D044090">
      <w:pPr>
        <w:pStyle w:val="16"/>
        <w:numPr>
          <w:ilvl w:val="0"/>
          <w:numId w:val="0"/>
        </w:numPr>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2B8434D">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 w:hAnsi="仿宋" w:eastAsia="仿宋" w:cs="仿宋"/>
          <w:color w:val="0C0C0C"/>
          <w:sz w:val="30"/>
          <w:szCs w:val="30"/>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仿宋" w:hAnsi="仿宋" w:eastAsia="仿宋" w:cs="仿宋"/>
          <w:color w:val="0C0C0C"/>
          <w:sz w:val="30"/>
          <w:szCs w:val="30"/>
          <w:lang w:val="en-US" w:eastAsia="zh-CN"/>
        </w:rPr>
        <w:t>减少100%</w:t>
      </w:r>
      <w:r>
        <w:rPr>
          <w:rFonts w:ascii="Times New Roman" w:hAnsi="Times New Roman" w:eastAsia="仿宋_GB2312" w:cs="Times New Roman"/>
          <w:sz w:val="32"/>
          <w:szCs w:val="32"/>
        </w:rPr>
        <w:t>。主要原因是</w:t>
      </w:r>
      <w:r>
        <w:rPr>
          <w:rFonts w:hint="eastAsia" w:ascii="仿宋_GB2312" w:hAnsi="仿宋_GB2312" w:eastAsia="仿宋_GB2312" w:cs="仿宋_GB2312"/>
          <w:snapToGrid/>
          <w:color w:val="000000"/>
          <w:kern w:val="0"/>
          <w:sz w:val="32"/>
          <w:szCs w:val="32"/>
          <w:lang w:val="en-US" w:eastAsia="zh-CN" w:bidi="ar"/>
        </w:rPr>
        <w:t>严格贯彻落实厉行节约反对浪费精神，加强公务接待管理，严格控制相关费用，支出相应减少。</w:t>
      </w:r>
    </w:p>
    <w:p w14:paraId="2BBD6214">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6719492">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万元。2024年度安排因公出国（境）团组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2BB105F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42F5A8D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264E695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43A743D">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40" w:firstLineChars="200"/>
        <w:jc w:val="both"/>
        <w:textAlignment w:val="baseline"/>
        <w:rPr>
          <w:rFonts w:hint="default" w:ascii="Times New Roman" w:hAnsi="Times New Roman" w:eastAsia="仿宋_GB2312" w:cs="Times New Roman"/>
          <w:color w:val="000000"/>
          <w:sz w:val="32"/>
          <w:szCs w:val="32"/>
          <w:lang w:val="en-US" w:eastAsia="zh-CN" w:bidi="ar-SA"/>
        </w:rPr>
      </w:pPr>
      <w:r>
        <w:rPr>
          <w:rFonts w:hint="eastAsia" w:ascii="Times New Roman" w:hAnsi="Times New Roman" w:eastAsia="仿宋_GB2312" w:cs="Times New Roman"/>
          <w:color w:val="000000"/>
          <w:sz w:val="32"/>
          <w:szCs w:val="32"/>
          <w:lang w:val="en-US" w:eastAsia="zh-CN" w:bidi="ar-SA"/>
        </w:rPr>
        <w:t>3.</w:t>
      </w:r>
      <w:r>
        <w:rPr>
          <w:rFonts w:ascii="Times New Roman" w:hAnsi="Times New Roman" w:eastAsia="仿宋_GB2312" w:cs="Times New Roman"/>
          <w:color w:val="000000"/>
          <w:sz w:val="32"/>
          <w:szCs w:val="32"/>
          <w:lang w:val="en-US" w:eastAsia="zh-CN" w:bidi="ar-SA"/>
        </w:rPr>
        <w:t>公务接待费支出预算为</w:t>
      </w:r>
      <w:r>
        <w:rPr>
          <w:rFonts w:hint="eastAsia" w:ascii="Times New Roman" w:hAnsi="Times New Roman" w:eastAsia="仿宋_GB2312" w:cs="Times New Roman"/>
          <w:color w:val="000000"/>
          <w:sz w:val="32"/>
          <w:szCs w:val="32"/>
          <w:lang w:val="en-US" w:eastAsia="zh-CN" w:bidi="ar-SA"/>
        </w:rPr>
        <w:t>1</w:t>
      </w:r>
      <w:r>
        <w:rPr>
          <w:rFonts w:ascii="Times New Roman" w:hAnsi="Times New Roman" w:eastAsia="仿宋_GB2312" w:cs="Times New Roman"/>
          <w:color w:val="000000"/>
          <w:sz w:val="32"/>
          <w:szCs w:val="32"/>
          <w:lang w:val="en-US" w:eastAsia="zh-CN" w:bidi="ar-SA"/>
        </w:rPr>
        <w:t>万元，支出决算为</w:t>
      </w:r>
      <w:r>
        <w:rPr>
          <w:rFonts w:hint="eastAsia" w:ascii="Times New Roman" w:hAnsi="Times New Roman" w:eastAsia="仿宋_GB2312" w:cs="Times New Roman"/>
          <w:color w:val="000000"/>
          <w:sz w:val="32"/>
          <w:szCs w:val="32"/>
          <w:lang w:val="en-US" w:eastAsia="zh-CN" w:bidi="ar-SA"/>
        </w:rPr>
        <w:t>0</w:t>
      </w:r>
      <w:r>
        <w:rPr>
          <w:rFonts w:ascii="Times New Roman" w:hAnsi="Times New Roman" w:eastAsia="仿宋_GB2312" w:cs="Times New Roman"/>
          <w:color w:val="000000"/>
          <w:sz w:val="32"/>
          <w:szCs w:val="32"/>
          <w:lang w:val="en-US" w:eastAsia="zh-CN" w:bidi="ar-SA"/>
        </w:rPr>
        <w:t>万元，完成预算的</w:t>
      </w:r>
      <w:r>
        <w:rPr>
          <w:rFonts w:hint="eastAsia" w:ascii="Times New Roman" w:hAnsi="Times New Roman" w:eastAsia="仿宋_GB2312" w:cs="Times New Roman"/>
          <w:color w:val="000000"/>
          <w:sz w:val="32"/>
          <w:szCs w:val="32"/>
          <w:lang w:val="en-US" w:eastAsia="zh-CN" w:bidi="ar-SA"/>
        </w:rPr>
        <w:t>0</w:t>
      </w:r>
      <w:r>
        <w:rPr>
          <w:rFonts w:ascii="Times New Roman" w:hAnsi="Times New Roman" w:eastAsia="仿宋_GB2312" w:cs="Times New Roman"/>
          <w:color w:val="000000"/>
          <w:sz w:val="32"/>
          <w:szCs w:val="32"/>
          <w:lang w:val="en-US" w:eastAsia="zh-CN" w:bidi="ar-SA"/>
        </w:rPr>
        <w:t>%；与上年相比降低</w:t>
      </w:r>
      <w:r>
        <w:rPr>
          <w:rFonts w:hint="eastAsia" w:ascii="Times New Roman" w:hAnsi="Times New Roman" w:eastAsia="仿宋_GB2312" w:cs="Times New Roman"/>
          <w:color w:val="000000"/>
          <w:sz w:val="32"/>
          <w:szCs w:val="32"/>
          <w:lang w:val="en-US" w:eastAsia="zh-CN" w:bidi="ar-SA"/>
        </w:rPr>
        <w:t>100%</w:t>
      </w:r>
      <w:r>
        <w:rPr>
          <w:rFonts w:ascii="Times New Roman" w:hAnsi="Times New Roman" w:eastAsia="仿宋_GB2312" w:cs="Times New Roman"/>
          <w:color w:val="000000"/>
          <w:sz w:val="32"/>
          <w:szCs w:val="32"/>
          <w:lang w:val="en-US" w:eastAsia="zh-CN" w:bidi="ar-SA"/>
        </w:rPr>
        <w:t>。决算数小于预算数的主要原因是</w:t>
      </w:r>
      <w:r>
        <w:rPr>
          <w:rFonts w:hint="eastAsia" w:ascii="Times New Roman" w:hAnsi="Times New Roman" w:eastAsia="仿宋_GB2312" w:cs="Times New Roman"/>
          <w:color w:val="000000"/>
          <w:sz w:val="32"/>
          <w:szCs w:val="32"/>
          <w:lang w:val="en-US" w:eastAsia="zh-CN" w:bidi="ar-SA"/>
        </w:rPr>
        <w:t>严格贯彻落实厉行节约，严格控制相关费用。</w:t>
      </w:r>
    </w:p>
    <w:p w14:paraId="75EF57E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11502E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22.58</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21.67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48.97</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w:t>
      </w:r>
    </w:p>
    <w:p w14:paraId="18770A6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4F5F621">
      <w:pPr>
        <w:pStyle w:val="16"/>
        <w:overflowPunct w:val="0"/>
        <w:autoSpaceDE/>
        <w:autoSpaceDN/>
        <w:spacing w:line="600" w:lineRule="exact"/>
        <w:ind w:firstLine="640" w:firstLineChars="200"/>
        <w:jc w:val="both"/>
        <w:rPr>
          <w:rFonts w:hint="eastAsia" w:ascii="仿宋_GB2312" w:hAnsi="仿宋" w:eastAsia="仿宋_GB2312" w:cs="仿宋"/>
          <w:b w:val="0"/>
          <w:bCs w:val="0"/>
          <w:color w:val="0C0C0C"/>
          <w:kern w:val="2"/>
          <w:sz w:val="32"/>
          <w:szCs w:val="32"/>
          <w:lang w:val="en-US" w:eastAsia="zh-CN" w:bidi="ar-SA"/>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kern w:val="2"/>
          <w:sz w:val="32"/>
          <w:szCs w:val="32"/>
          <w:lang w:val="en-US" w:eastAsia="zh-CN" w:bidi="ar-SA"/>
        </w:rPr>
        <w:t>本单位未开支会议</w:t>
      </w:r>
      <w:r>
        <w:rPr>
          <w:rFonts w:hint="eastAsia" w:ascii="Times New Roman" w:hAnsi="Times New Roman" w:eastAsia="仿宋_GB2312" w:cs="Times New Roman"/>
          <w:color w:val="auto"/>
          <w:kern w:val="2"/>
          <w:sz w:val="32"/>
          <w:szCs w:val="32"/>
          <w:lang w:val="en-US" w:eastAsia="zh-CN" w:bidi="ar-SA"/>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65.84</w:t>
      </w:r>
      <w:r>
        <w:rPr>
          <w:rFonts w:ascii="Times New Roman" w:hAnsi="Times New Roman" w:eastAsia="仿宋_GB2312" w:cs="Times New Roman"/>
          <w:sz w:val="32"/>
          <w:szCs w:val="32"/>
        </w:rPr>
        <w:t>万元，用于开展</w:t>
      </w:r>
      <w:r>
        <w:rPr>
          <w:rFonts w:hint="eastAsia" w:ascii="仿宋_GB2312" w:hAnsi="仿宋" w:eastAsia="仿宋_GB2312" w:cs="仿宋"/>
          <w:b w:val="0"/>
          <w:bCs w:val="0"/>
          <w:color w:val="0C0C0C"/>
          <w:kern w:val="2"/>
          <w:sz w:val="32"/>
          <w:szCs w:val="32"/>
          <w:lang w:val="en-US" w:eastAsia="zh-CN" w:bidi="ar-SA"/>
        </w:rPr>
        <w:t>中青班、科干班、正确政绩观培训班、乡科级副职任职培训班、初任公务员培训班等各类班次10期，培训基层党员干部1000余人。</w:t>
      </w:r>
    </w:p>
    <w:p w14:paraId="63A9132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1C99C231">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7A381A2">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C374FFF">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6624480">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97B3005">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65.84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65.84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15.59</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基本培训班1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65.84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0084BCD4">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422.41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422.41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一是高标准改善办学条件</w:t>
      </w:r>
      <w:r>
        <w:rPr>
          <w:rFonts w:hint="eastAsia" w:ascii="Times New Roman" w:hAnsi="Times New Roman" w:eastAsia="仿宋_GB2312" w:cs="Times New Roman"/>
          <w:sz w:val="32"/>
          <w:szCs w:val="32"/>
        </w:rPr>
        <w:t>。在县委县政府的高度重视和大力支持下，我校办学硬件实现了历史性飞跃。</w:t>
      </w:r>
      <w:r>
        <w:rPr>
          <w:rFonts w:hint="eastAsia" w:ascii="Times New Roman" w:hAnsi="Times New Roman" w:eastAsia="仿宋_GB2312" w:cs="Times New Roman"/>
          <w:sz w:val="32"/>
          <w:szCs w:val="32"/>
          <w:lang w:val="en-US" w:eastAsia="zh-CN"/>
        </w:rPr>
        <w:t>占地面积33.29亩，建筑面积2.5万平方米的会同县红色文化教育培训基地于2025年秋季正式投入使用，各项教学、生活设施先进完善，可容纳1000余名学员同期封闭式培训。实现了办学条件整体改善、办学规模整体优化、办学质量整体提升。</w:t>
      </w:r>
    </w:p>
    <w:p w14:paraId="73132D7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rPr>
        <w:t>推进“智慧党校”深度应用</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我</w:t>
      </w:r>
      <w:r>
        <w:rPr>
          <w:rFonts w:hint="eastAsia" w:ascii="Times New Roman" w:hAnsi="Times New Roman" w:eastAsia="仿宋_GB2312" w:cs="Times New Roman"/>
          <w:sz w:val="32"/>
          <w:szCs w:val="32"/>
          <w:lang w:eastAsia="zh-CN"/>
        </w:rPr>
        <w:t>校</w:t>
      </w:r>
      <w:r>
        <w:rPr>
          <w:rFonts w:hint="eastAsia" w:ascii="Times New Roman" w:hAnsi="Times New Roman" w:eastAsia="仿宋_GB2312" w:cs="Times New Roman"/>
          <w:sz w:val="32"/>
          <w:szCs w:val="32"/>
        </w:rPr>
        <w:t>于2025年5月顺利完成所有培训业务系统向全省“一体化信息平台”的全面迁移与融合。</w:t>
      </w:r>
      <w:r>
        <w:rPr>
          <w:rFonts w:hint="eastAsia" w:ascii="Times New Roman" w:hAnsi="Times New Roman" w:eastAsia="仿宋_GB2312" w:cs="Times New Roman"/>
          <w:sz w:val="32"/>
          <w:szCs w:val="32"/>
          <w:lang w:val="en-US" w:eastAsia="zh-CN"/>
        </w:rPr>
        <w:t>三是精准高效完成培训任务。按照“应训尽训、精准施训”原则，全年共举办中青班、科干班、正确政绩观培训班、乡科级副职任职培训班、初任公务员培训班等各类班次10期，培训基层党员干部1000余人。积极协助县财政局、医保局、政法系统等部门开展培训，开展了</w:t>
      </w:r>
      <w:r>
        <w:rPr>
          <w:rFonts w:hint="default"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lang w:val="en-US" w:eastAsia="zh-CN"/>
        </w:rPr>
        <w:t>期培训，培训1</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00多人，全年累计培训各类人员2</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00多人。</w:t>
      </w:r>
    </w:p>
    <w:p w14:paraId="4483F075">
      <w:pPr>
        <w:pStyle w:val="16"/>
        <w:ind w:firstLine="643" w:firstLineChars="200"/>
        <w:jc w:val="left"/>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val="en-US" w:eastAsia="zh-CN"/>
        </w:rPr>
        <w:t>本校将</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w:t>
      </w:r>
      <w:r>
        <w:rPr>
          <w:rFonts w:hint="eastAsia" w:ascii="仿宋_GB2312" w:hAnsi="宋体" w:eastAsia="仿宋_GB2312" w:cs="仿宋_GB2312"/>
          <w:i w:val="0"/>
          <w:iCs w:val="0"/>
          <w:caps w:val="0"/>
          <w:color w:val="333333"/>
          <w:spacing w:val="0"/>
          <w:sz w:val="32"/>
          <w:szCs w:val="32"/>
          <w:shd w:val="clear" w:fill="FFFFFF"/>
          <w:lang w:eastAsia="zh-CN"/>
        </w:rPr>
        <w:t>，</w:t>
      </w:r>
      <w:r>
        <w:rPr>
          <w:rFonts w:ascii="仿宋_GB2312" w:hAnsi="宋体" w:eastAsia="仿宋_GB2312" w:cs="仿宋_GB2312"/>
          <w:i w:val="0"/>
          <w:iCs w:val="0"/>
          <w:caps w:val="0"/>
          <w:color w:val="333333"/>
          <w:spacing w:val="0"/>
          <w:sz w:val="32"/>
          <w:szCs w:val="32"/>
          <w:shd w:val="clear" w:fill="FFFFFF"/>
        </w:rPr>
        <w:t>进一步加强预算编制的科学性和完整性，进一步完善各项管理制度；进一步加强统筹安排，提高预算执行进度，提高资金使用效益。</w:t>
      </w:r>
    </w:p>
    <w:p w14:paraId="44781870">
      <w:pPr>
        <w:pStyle w:val="16"/>
        <w:jc w:val="center"/>
        <w:rPr>
          <w:rFonts w:ascii="Times New Roman" w:hAnsi="Times New Roman" w:cs="Times New Roman"/>
          <w:sz w:val="72"/>
          <w:szCs w:val="72"/>
        </w:rPr>
      </w:pPr>
    </w:p>
    <w:p w14:paraId="72838F96">
      <w:pPr>
        <w:pStyle w:val="16"/>
        <w:jc w:val="center"/>
        <w:rPr>
          <w:rFonts w:ascii="Times New Roman" w:hAnsi="Times New Roman" w:cs="Times New Roman"/>
          <w:sz w:val="72"/>
          <w:szCs w:val="72"/>
        </w:rPr>
      </w:pPr>
    </w:p>
    <w:p w14:paraId="113B2FFD">
      <w:pPr>
        <w:pStyle w:val="16"/>
        <w:jc w:val="center"/>
        <w:rPr>
          <w:rFonts w:ascii="Times New Roman" w:hAnsi="Times New Roman" w:cs="Times New Roman"/>
          <w:sz w:val="72"/>
          <w:szCs w:val="72"/>
        </w:rPr>
      </w:pPr>
    </w:p>
    <w:p w14:paraId="1C341AB1">
      <w:pPr>
        <w:pStyle w:val="16"/>
        <w:jc w:val="center"/>
        <w:rPr>
          <w:rFonts w:ascii="Times New Roman" w:hAnsi="Times New Roman" w:cs="Times New Roman"/>
          <w:sz w:val="72"/>
          <w:szCs w:val="72"/>
        </w:rPr>
      </w:pPr>
    </w:p>
    <w:p w14:paraId="0328902F">
      <w:pPr>
        <w:pStyle w:val="16"/>
        <w:jc w:val="center"/>
        <w:rPr>
          <w:rFonts w:ascii="Times New Roman" w:hAnsi="Times New Roman" w:cs="Times New Roman"/>
          <w:sz w:val="72"/>
          <w:szCs w:val="72"/>
        </w:rPr>
      </w:pPr>
    </w:p>
    <w:p w14:paraId="1738168F">
      <w:pPr>
        <w:pStyle w:val="16"/>
        <w:jc w:val="center"/>
        <w:rPr>
          <w:rFonts w:ascii="Times New Roman" w:hAnsi="Times New Roman" w:cs="Times New Roman"/>
          <w:sz w:val="72"/>
          <w:szCs w:val="72"/>
        </w:rPr>
      </w:pPr>
    </w:p>
    <w:p w14:paraId="2A1A13B9">
      <w:pPr>
        <w:pStyle w:val="16"/>
        <w:jc w:val="center"/>
        <w:rPr>
          <w:rFonts w:ascii="Times New Roman" w:hAnsi="Times New Roman" w:cs="Times New Roman"/>
          <w:sz w:val="72"/>
          <w:szCs w:val="72"/>
        </w:rPr>
      </w:pPr>
    </w:p>
    <w:p w14:paraId="19FF83B4">
      <w:pPr>
        <w:pStyle w:val="16"/>
        <w:jc w:val="center"/>
        <w:rPr>
          <w:rFonts w:ascii="Times New Roman" w:hAnsi="Times New Roman" w:cs="Times New Roman"/>
          <w:sz w:val="72"/>
          <w:szCs w:val="72"/>
        </w:rPr>
      </w:pPr>
    </w:p>
    <w:p w14:paraId="1C143144">
      <w:pPr>
        <w:pStyle w:val="16"/>
        <w:jc w:val="both"/>
        <w:rPr>
          <w:rFonts w:ascii="Times New Roman" w:hAnsi="Times New Roman" w:cs="Times New Roman"/>
          <w:sz w:val="72"/>
          <w:szCs w:val="72"/>
        </w:rPr>
      </w:pPr>
    </w:p>
    <w:p w14:paraId="296B5847">
      <w:pPr>
        <w:pStyle w:val="16"/>
        <w:spacing w:line="360" w:lineRule="auto"/>
        <w:jc w:val="center"/>
        <w:rPr>
          <w:rFonts w:ascii="Times New Roman" w:hAnsi="Times New Roman" w:eastAsia="方正小标宋_GBK" w:cs="Times New Roman"/>
          <w:sz w:val="52"/>
          <w:szCs w:val="52"/>
        </w:rPr>
      </w:pPr>
    </w:p>
    <w:p w14:paraId="1267790D">
      <w:pPr>
        <w:pStyle w:val="16"/>
        <w:spacing w:line="360" w:lineRule="auto"/>
        <w:jc w:val="center"/>
        <w:rPr>
          <w:rFonts w:ascii="Times New Roman" w:hAnsi="Times New Roman" w:eastAsia="方正小标宋_GBK" w:cs="Times New Roman"/>
          <w:sz w:val="52"/>
          <w:szCs w:val="52"/>
        </w:rPr>
      </w:pPr>
    </w:p>
    <w:p w14:paraId="75DC05BE">
      <w:pPr>
        <w:pStyle w:val="16"/>
        <w:spacing w:line="360" w:lineRule="auto"/>
        <w:jc w:val="center"/>
        <w:rPr>
          <w:rFonts w:ascii="Times New Roman" w:hAnsi="Times New Roman" w:eastAsia="方正小标宋_GBK" w:cs="Times New Roman"/>
          <w:sz w:val="52"/>
          <w:szCs w:val="52"/>
        </w:rPr>
      </w:pPr>
    </w:p>
    <w:p w14:paraId="2F52795D">
      <w:pPr>
        <w:pStyle w:val="16"/>
        <w:spacing w:line="360" w:lineRule="auto"/>
        <w:jc w:val="center"/>
        <w:rPr>
          <w:rFonts w:ascii="Times New Roman" w:hAnsi="Times New Roman" w:eastAsia="方正小标宋_GBK" w:cs="Times New Roman"/>
          <w:sz w:val="52"/>
          <w:szCs w:val="52"/>
        </w:rPr>
      </w:pPr>
    </w:p>
    <w:p w14:paraId="26E2030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1899599">
      <w:pPr>
        <w:widowControl/>
        <w:jc w:val="left"/>
        <w:rPr>
          <w:rFonts w:ascii="Times New Roman" w:hAnsi="Times New Roman" w:cs="Times New Roman"/>
          <w:color w:val="000000"/>
          <w:kern w:val="0"/>
          <w:sz w:val="32"/>
          <w:szCs w:val="32"/>
        </w:rPr>
      </w:pPr>
    </w:p>
    <w:p w14:paraId="53FF6559">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6A1818A1">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6B23C4C8">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38E5932C">
      <w:pPr>
        <w:pStyle w:val="16"/>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3CDAA2DF">
      <w:pPr>
        <w:pStyle w:val="16"/>
        <w:spacing w:line="600" w:lineRule="exact"/>
        <w:ind w:firstLine="643"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2DCABDFC">
      <w:pPr>
        <w:pStyle w:val="16"/>
        <w:jc w:val="center"/>
        <w:rPr>
          <w:rFonts w:ascii="Times New Roman" w:hAnsi="Times New Roman" w:cs="Times New Roman"/>
          <w:sz w:val="72"/>
          <w:szCs w:val="72"/>
        </w:rPr>
      </w:pPr>
    </w:p>
    <w:p w14:paraId="220E0C88">
      <w:pPr>
        <w:pStyle w:val="16"/>
        <w:jc w:val="center"/>
        <w:rPr>
          <w:rFonts w:ascii="Times New Roman" w:hAnsi="Times New Roman" w:cs="Times New Roman"/>
          <w:sz w:val="72"/>
          <w:szCs w:val="72"/>
        </w:rPr>
      </w:pPr>
    </w:p>
    <w:p w14:paraId="436D4D25">
      <w:pPr>
        <w:pStyle w:val="16"/>
        <w:jc w:val="center"/>
        <w:rPr>
          <w:rFonts w:ascii="Times New Roman" w:hAnsi="Times New Roman" w:cs="Times New Roman"/>
          <w:sz w:val="72"/>
          <w:szCs w:val="72"/>
        </w:rPr>
      </w:pPr>
    </w:p>
    <w:p w14:paraId="7D03DB52">
      <w:pPr>
        <w:pStyle w:val="16"/>
        <w:jc w:val="center"/>
        <w:rPr>
          <w:rFonts w:ascii="Times New Roman" w:hAnsi="Times New Roman" w:cs="Times New Roman"/>
          <w:sz w:val="72"/>
          <w:szCs w:val="72"/>
        </w:rPr>
      </w:pPr>
    </w:p>
    <w:p w14:paraId="23C15F63">
      <w:pPr>
        <w:pStyle w:val="16"/>
        <w:jc w:val="center"/>
        <w:rPr>
          <w:rFonts w:ascii="Times New Roman" w:hAnsi="Times New Roman" w:cs="Times New Roman"/>
          <w:sz w:val="72"/>
          <w:szCs w:val="72"/>
        </w:rPr>
      </w:pPr>
    </w:p>
    <w:p w14:paraId="3D802E68">
      <w:pPr>
        <w:pStyle w:val="16"/>
        <w:jc w:val="center"/>
        <w:rPr>
          <w:rFonts w:ascii="Times New Roman" w:hAnsi="Times New Roman" w:cs="Times New Roman"/>
          <w:sz w:val="72"/>
          <w:szCs w:val="72"/>
        </w:rPr>
      </w:pPr>
    </w:p>
    <w:p w14:paraId="124CD742">
      <w:pPr>
        <w:pStyle w:val="16"/>
        <w:jc w:val="center"/>
        <w:rPr>
          <w:rFonts w:ascii="Times New Roman" w:hAnsi="Times New Roman" w:cs="Times New Roman"/>
          <w:sz w:val="72"/>
          <w:szCs w:val="72"/>
        </w:rPr>
      </w:pPr>
    </w:p>
    <w:p w14:paraId="04B9541B">
      <w:pPr>
        <w:pStyle w:val="16"/>
        <w:jc w:val="both"/>
        <w:rPr>
          <w:rFonts w:ascii="Times New Roman" w:hAnsi="Times New Roman" w:cs="Times New Roman"/>
          <w:sz w:val="72"/>
          <w:szCs w:val="72"/>
        </w:rPr>
      </w:pPr>
    </w:p>
    <w:p w14:paraId="0C4CAF0A">
      <w:pPr>
        <w:pStyle w:val="16"/>
        <w:spacing w:line="360" w:lineRule="auto"/>
        <w:jc w:val="center"/>
        <w:rPr>
          <w:rFonts w:ascii="Times New Roman" w:hAnsi="Times New Roman" w:eastAsia="方正小标宋_GBK" w:cs="Times New Roman"/>
          <w:sz w:val="52"/>
          <w:szCs w:val="52"/>
        </w:rPr>
      </w:pPr>
    </w:p>
    <w:p w14:paraId="19E6178F">
      <w:pPr>
        <w:pStyle w:val="16"/>
        <w:spacing w:line="360" w:lineRule="auto"/>
        <w:jc w:val="both"/>
        <w:rPr>
          <w:rFonts w:ascii="Times New Roman" w:hAnsi="Times New Roman" w:eastAsia="方正小标宋_GBK" w:cs="Times New Roman"/>
          <w:sz w:val="52"/>
          <w:szCs w:val="52"/>
        </w:rPr>
      </w:pPr>
    </w:p>
    <w:p w14:paraId="21D97F4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064242D">
      <w:pPr>
        <w:rPr>
          <w:rFonts w:ascii="Times New Roman" w:hAnsi="Times New Roman" w:cs="Times New Roman"/>
          <w:sz w:val="72"/>
          <w:szCs w:val="72"/>
        </w:rPr>
      </w:pPr>
    </w:p>
    <w:p w14:paraId="182DDEB1">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0F8AB29F">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458DB224">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7AE263B1">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2A8BB760">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035E8751">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0A0B7E35">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78CBBEF5">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01514654">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7F4319E1">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3D662A9A">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1BA3C81D">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3ED78D6D">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5C5CCC6E">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75F4EC1C">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413E637C">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p>
    <w:p w14:paraId="3C169A80">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r>
        <w:rPr>
          <w:rFonts w:hint="eastAsia" w:ascii="方正小标宋简体" w:hAnsi="方正小标宋简体" w:eastAsia="方正小标宋简体" w:cs="方正小标宋简体"/>
          <w:snapToGrid/>
          <w:color w:val="000000"/>
          <w:kern w:val="0"/>
          <w:sz w:val="44"/>
          <w:szCs w:val="44"/>
          <w:lang w:val="en-US" w:eastAsia="zh-CN" w:bidi="ar"/>
        </w:rPr>
        <w:t>2025年度中共会同县委党校整体支出</w:t>
      </w:r>
    </w:p>
    <w:p w14:paraId="4E2FCA8A">
      <w:pPr>
        <w:keepNext w:val="0"/>
        <w:keepLines w:val="0"/>
        <w:pageBreakBefore w:val="0"/>
        <w:widowControl/>
        <w:suppressLineNumbers w:val="0"/>
        <w:kinsoku/>
        <w:wordWrap/>
        <w:overflowPunct/>
        <w:topLinePunct w:val="0"/>
        <w:autoSpaceDE/>
        <w:autoSpaceDN/>
        <w:bidi w:val="0"/>
        <w:adjustRightInd/>
        <w:snapToGrid/>
        <w:spacing w:line="640" w:lineRule="exact"/>
        <w:ind w:left="0"/>
        <w:jc w:val="center"/>
        <w:textAlignment w:val="auto"/>
        <w:rPr>
          <w:rFonts w:hint="eastAsia" w:ascii="方正小标宋简体" w:hAnsi="方正小标宋简体" w:eastAsia="方正小标宋简体" w:cs="方正小标宋简体"/>
          <w:snapToGrid/>
          <w:color w:val="000000"/>
          <w:kern w:val="0"/>
          <w:sz w:val="44"/>
          <w:szCs w:val="44"/>
          <w:lang w:val="en-US" w:eastAsia="zh-CN" w:bidi="ar"/>
        </w:rPr>
      </w:pPr>
      <w:r>
        <w:rPr>
          <w:rFonts w:hint="eastAsia" w:ascii="方正小标宋简体" w:hAnsi="方正小标宋简体" w:eastAsia="方正小标宋简体" w:cs="方正小标宋简体"/>
          <w:snapToGrid/>
          <w:color w:val="000000"/>
          <w:kern w:val="0"/>
          <w:sz w:val="44"/>
          <w:szCs w:val="44"/>
          <w:lang w:val="en-US" w:eastAsia="zh-CN" w:bidi="ar"/>
        </w:rPr>
        <w:t>绩效自评报告</w:t>
      </w:r>
    </w:p>
    <w:p w14:paraId="2F1C555E">
      <w:pPr>
        <w:keepNext w:val="0"/>
        <w:keepLines w:val="0"/>
        <w:pageBreakBefore w:val="0"/>
        <w:widowControl/>
        <w:wordWrap/>
        <w:overflowPunct/>
        <w:topLinePunct w:val="0"/>
        <w:bidi w:val="0"/>
        <w:spacing w:line="560" w:lineRule="exact"/>
        <w:ind w:left="0"/>
        <w:rPr>
          <w:rFonts w:ascii="Arial"/>
          <w:sz w:val="21"/>
        </w:rPr>
      </w:pPr>
    </w:p>
    <w:p w14:paraId="0A2DFA7C">
      <w:pPr>
        <w:spacing w:line="248" w:lineRule="auto"/>
        <w:rPr>
          <w:rFonts w:ascii="Arial"/>
          <w:sz w:val="21"/>
        </w:rPr>
      </w:pPr>
    </w:p>
    <w:p w14:paraId="57205D4F">
      <w:pPr>
        <w:spacing w:line="248" w:lineRule="auto"/>
        <w:rPr>
          <w:rFonts w:ascii="Arial"/>
          <w:sz w:val="21"/>
        </w:rPr>
      </w:pPr>
    </w:p>
    <w:p w14:paraId="67040CF9">
      <w:pPr>
        <w:spacing w:line="248" w:lineRule="auto"/>
        <w:rPr>
          <w:rFonts w:ascii="Arial"/>
          <w:sz w:val="21"/>
        </w:rPr>
      </w:pPr>
    </w:p>
    <w:p w14:paraId="5190562D">
      <w:pPr>
        <w:spacing w:line="248" w:lineRule="auto"/>
        <w:rPr>
          <w:rFonts w:ascii="Arial"/>
          <w:sz w:val="21"/>
        </w:rPr>
      </w:pPr>
    </w:p>
    <w:p w14:paraId="2A60C9B2">
      <w:pPr>
        <w:spacing w:line="248" w:lineRule="auto"/>
        <w:rPr>
          <w:rFonts w:ascii="Arial"/>
          <w:sz w:val="21"/>
        </w:rPr>
      </w:pPr>
    </w:p>
    <w:p w14:paraId="2D96475B">
      <w:pPr>
        <w:spacing w:line="249" w:lineRule="auto"/>
        <w:rPr>
          <w:rFonts w:ascii="Arial"/>
          <w:sz w:val="21"/>
        </w:rPr>
      </w:pPr>
    </w:p>
    <w:p w14:paraId="7A22D620">
      <w:pPr>
        <w:spacing w:line="249" w:lineRule="auto"/>
        <w:rPr>
          <w:rFonts w:ascii="Arial"/>
          <w:sz w:val="21"/>
        </w:rPr>
      </w:pPr>
    </w:p>
    <w:p w14:paraId="1D208147">
      <w:pPr>
        <w:spacing w:line="249" w:lineRule="auto"/>
        <w:rPr>
          <w:rFonts w:ascii="Arial"/>
          <w:sz w:val="21"/>
        </w:rPr>
      </w:pPr>
    </w:p>
    <w:p w14:paraId="161C68EF">
      <w:pPr>
        <w:spacing w:line="249" w:lineRule="auto"/>
        <w:rPr>
          <w:rFonts w:ascii="Arial"/>
          <w:sz w:val="21"/>
        </w:rPr>
      </w:pPr>
    </w:p>
    <w:p w14:paraId="1E9857AA">
      <w:pPr>
        <w:spacing w:line="249" w:lineRule="auto"/>
        <w:rPr>
          <w:rFonts w:ascii="Arial"/>
          <w:sz w:val="21"/>
        </w:rPr>
      </w:pPr>
    </w:p>
    <w:p w14:paraId="061D198A">
      <w:pPr>
        <w:spacing w:line="249" w:lineRule="auto"/>
        <w:rPr>
          <w:rFonts w:ascii="Arial"/>
          <w:sz w:val="21"/>
        </w:rPr>
      </w:pPr>
    </w:p>
    <w:p w14:paraId="7462A8E2">
      <w:pPr>
        <w:spacing w:line="249" w:lineRule="auto"/>
        <w:rPr>
          <w:rFonts w:ascii="Arial"/>
          <w:sz w:val="21"/>
        </w:rPr>
      </w:pPr>
    </w:p>
    <w:p w14:paraId="3F5AD970">
      <w:pPr>
        <w:spacing w:line="249" w:lineRule="auto"/>
        <w:rPr>
          <w:rFonts w:ascii="Arial"/>
          <w:sz w:val="21"/>
        </w:rPr>
      </w:pPr>
    </w:p>
    <w:p w14:paraId="79C85A30">
      <w:pPr>
        <w:spacing w:line="249" w:lineRule="auto"/>
        <w:rPr>
          <w:rFonts w:ascii="Arial"/>
          <w:sz w:val="21"/>
        </w:rPr>
      </w:pPr>
    </w:p>
    <w:p w14:paraId="178D1D5E">
      <w:pPr>
        <w:spacing w:line="249" w:lineRule="auto"/>
        <w:rPr>
          <w:rFonts w:ascii="Arial"/>
          <w:sz w:val="21"/>
        </w:rPr>
      </w:pPr>
    </w:p>
    <w:p w14:paraId="18557181">
      <w:pPr>
        <w:spacing w:line="249" w:lineRule="auto"/>
        <w:rPr>
          <w:rFonts w:ascii="Arial"/>
          <w:sz w:val="21"/>
        </w:rPr>
      </w:pPr>
    </w:p>
    <w:p w14:paraId="5307ECC3">
      <w:pPr>
        <w:spacing w:line="249" w:lineRule="auto"/>
        <w:rPr>
          <w:rFonts w:ascii="Arial"/>
          <w:sz w:val="21"/>
        </w:rPr>
      </w:pPr>
    </w:p>
    <w:p w14:paraId="3A6603B2">
      <w:pPr>
        <w:spacing w:line="249" w:lineRule="auto"/>
        <w:rPr>
          <w:rFonts w:ascii="Arial"/>
          <w:sz w:val="21"/>
        </w:rPr>
      </w:pPr>
    </w:p>
    <w:p w14:paraId="0E750EE9">
      <w:pPr>
        <w:spacing w:line="249" w:lineRule="auto"/>
        <w:rPr>
          <w:rFonts w:ascii="Arial"/>
          <w:sz w:val="21"/>
        </w:rPr>
      </w:pPr>
    </w:p>
    <w:p w14:paraId="6F603C04">
      <w:pPr>
        <w:spacing w:line="249" w:lineRule="auto"/>
        <w:rPr>
          <w:rFonts w:ascii="Arial"/>
          <w:sz w:val="21"/>
        </w:rPr>
      </w:pPr>
    </w:p>
    <w:p w14:paraId="5D2BF7C0">
      <w:pPr>
        <w:spacing w:line="249" w:lineRule="auto"/>
        <w:rPr>
          <w:rFonts w:ascii="Arial"/>
          <w:sz w:val="21"/>
        </w:rPr>
      </w:pPr>
    </w:p>
    <w:p w14:paraId="6F85FC15">
      <w:pPr>
        <w:spacing w:line="249" w:lineRule="auto"/>
        <w:rPr>
          <w:rFonts w:ascii="Arial"/>
          <w:sz w:val="21"/>
        </w:rPr>
      </w:pPr>
    </w:p>
    <w:p w14:paraId="785F743F">
      <w:pPr>
        <w:spacing w:line="249" w:lineRule="auto"/>
        <w:rPr>
          <w:rFonts w:ascii="Arial"/>
          <w:sz w:val="21"/>
        </w:rPr>
      </w:pPr>
    </w:p>
    <w:p w14:paraId="0E476786">
      <w:pPr>
        <w:keepNext w:val="0"/>
        <w:keepLines w:val="0"/>
        <w:pageBreakBefore w:val="0"/>
        <w:widowControl/>
        <w:kinsoku w:val="0"/>
        <w:wordWrap/>
        <w:overflowPunct/>
        <w:topLinePunct w:val="0"/>
        <w:autoSpaceDE w:val="0"/>
        <w:autoSpaceDN w:val="0"/>
        <w:bidi w:val="0"/>
        <w:adjustRightInd w:val="0"/>
        <w:snapToGrid w:val="0"/>
        <w:spacing w:line="224" w:lineRule="auto"/>
        <w:ind w:left="0"/>
        <w:jc w:val="center"/>
        <w:textAlignment w:val="baseline"/>
        <w:rPr>
          <w:rFonts w:ascii="黑体" w:hAnsi="黑体" w:eastAsia="黑体" w:cs="黑体"/>
          <w:sz w:val="37"/>
          <w:szCs w:val="37"/>
        </w:rPr>
      </w:pPr>
      <w:r>
        <w:rPr>
          <w:rFonts w:ascii="黑体" w:hAnsi="黑体" w:eastAsia="黑体" w:cs="黑体"/>
          <w:b/>
          <w:bCs/>
          <w:spacing w:val="25"/>
          <w:sz w:val="37"/>
          <w:szCs w:val="37"/>
        </w:rPr>
        <w:t>单位名称(盖章):</w:t>
      </w:r>
    </w:p>
    <w:p w14:paraId="68328A25">
      <w:pPr>
        <w:spacing w:line="256" w:lineRule="auto"/>
        <w:rPr>
          <w:rFonts w:ascii="Arial"/>
          <w:sz w:val="21"/>
        </w:rPr>
      </w:pPr>
    </w:p>
    <w:p w14:paraId="00DA5255">
      <w:pPr>
        <w:spacing w:line="256" w:lineRule="auto"/>
        <w:rPr>
          <w:rFonts w:ascii="Arial"/>
          <w:sz w:val="21"/>
        </w:rPr>
      </w:pPr>
    </w:p>
    <w:p w14:paraId="1B761B1E">
      <w:pPr>
        <w:spacing w:line="256" w:lineRule="auto"/>
        <w:rPr>
          <w:rFonts w:ascii="Arial"/>
          <w:sz w:val="21"/>
        </w:rPr>
      </w:pPr>
    </w:p>
    <w:p w14:paraId="5F7BDAD0">
      <w:pPr>
        <w:spacing w:line="256" w:lineRule="auto"/>
        <w:rPr>
          <w:rFonts w:ascii="Arial"/>
          <w:sz w:val="21"/>
        </w:rPr>
      </w:pPr>
    </w:p>
    <w:p w14:paraId="139742DC">
      <w:pPr>
        <w:spacing w:line="256" w:lineRule="auto"/>
        <w:rPr>
          <w:rFonts w:ascii="Arial"/>
          <w:sz w:val="21"/>
        </w:rPr>
      </w:pPr>
    </w:p>
    <w:p w14:paraId="1C9EBC9B">
      <w:pPr>
        <w:spacing w:line="256" w:lineRule="auto"/>
        <w:rPr>
          <w:rFonts w:ascii="Arial"/>
          <w:sz w:val="21"/>
        </w:rPr>
      </w:pPr>
    </w:p>
    <w:p w14:paraId="37FA32D8">
      <w:pPr>
        <w:spacing w:line="256" w:lineRule="auto"/>
        <w:rPr>
          <w:rFonts w:ascii="Arial"/>
          <w:sz w:val="21"/>
        </w:rPr>
      </w:pPr>
    </w:p>
    <w:p w14:paraId="2C10164F">
      <w:pPr>
        <w:spacing w:line="256" w:lineRule="auto"/>
        <w:rPr>
          <w:rFonts w:ascii="Arial"/>
          <w:sz w:val="21"/>
        </w:rPr>
      </w:pPr>
    </w:p>
    <w:p w14:paraId="2B336DDF">
      <w:pPr>
        <w:spacing w:line="256" w:lineRule="auto"/>
        <w:rPr>
          <w:rFonts w:ascii="Arial"/>
          <w:sz w:val="21"/>
        </w:rPr>
      </w:pPr>
    </w:p>
    <w:p w14:paraId="16E800CE">
      <w:pPr>
        <w:spacing w:line="256" w:lineRule="auto"/>
        <w:rPr>
          <w:rFonts w:ascii="Arial"/>
          <w:sz w:val="21"/>
        </w:rPr>
      </w:pPr>
    </w:p>
    <w:p w14:paraId="6A1C3852">
      <w:pPr>
        <w:spacing w:line="224" w:lineRule="auto"/>
        <w:rPr>
          <w:sz w:val="32"/>
          <w:szCs w:val="32"/>
        </w:rPr>
      </w:pPr>
    </w:p>
    <w:p w14:paraId="4B184E85">
      <w:pPr>
        <w:spacing w:line="224" w:lineRule="auto"/>
        <w:rPr>
          <w:sz w:val="32"/>
          <w:szCs w:val="32"/>
        </w:rPr>
        <w:sectPr>
          <w:footerReference r:id="rId7" w:type="default"/>
          <w:pgSz w:w="12040" w:h="16960"/>
          <w:pgMar w:top="2041" w:right="1531" w:bottom="1757" w:left="1531" w:header="0" w:footer="959" w:gutter="0"/>
          <w:pgNumType w:fmt="numberInDash"/>
          <w:cols w:space="720" w:num="1"/>
        </w:sectPr>
      </w:pPr>
    </w:p>
    <w:p w14:paraId="02E65CB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一、基本情况</w:t>
      </w:r>
    </w:p>
    <w:p w14:paraId="67C8752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right="0" w:firstLine="643" w:firstLineChars="200"/>
        <w:textAlignment w:val="auto"/>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(一)部门(单位)基本情况</w:t>
      </w:r>
    </w:p>
    <w:p w14:paraId="4717C225">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1、机构设置情况</w:t>
      </w:r>
    </w:p>
    <w:p w14:paraId="6A682FB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我单位内设机构包括行政办公室、组织人事部门、行政财务部、教务教研部、理论科研部、信息化工作部。各部门职能明确,工作职责分工明确,各司其职,密切配合,共同推动单位工作的顺利开展，本单位无二级机构。</w:t>
      </w:r>
    </w:p>
    <w:p w14:paraId="77A9AC54">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default"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2、</w:t>
      </w:r>
      <w:r>
        <w:rPr>
          <w:rFonts w:hint="default" w:ascii="仿宋_GB2312" w:hAnsi="仿宋_GB2312" w:eastAsia="仿宋_GB2312" w:cs="仿宋_GB2312"/>
          <w:snapToGrid/>
          <w:color w:val="000000"/>
          <w:kern w:val="0"/>
          <w:sz w:val="32"/>
          <w:szCs w:val="32"/>
          <w:lang w:val="en-US" w:eastAsia="zh-CN" w:bidi="ar"/>
        </w:rPr>
        <w:t>人员编制情况</w:t>
      </w:r>
    </w:p>
    <w:p w14:paraId="09FB1F3D">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人员编制24人，2025年底在编在岗22人，其中行政管理人员10人，专职教师12人（高级讲师4人、中级讲师5人，初级讲师3人）。</w:t>
      </w:r>
    </w:p>
    <w:p w14:paraId="42E768F8">
      <w:pPr>
        <w:keepNext w:val="0"/>
        <w:keepLines w:val="0"/>
        <w:pageBreakBefore w:val="0"/>
        <w:widowControl/>
        <w:numPr>
          <w:ilvl w:val="0"/>
          <w:numId w:val="3"/>
        </w:numPr>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部门(单位)年度整体支出绩效目标，本级专项资金绩效目标、其他项目支出(除本级专项资金以外)绩效目标</w:t>
      </w:r>
    </w:p>
    <w:p w14:paraId="3C1A08B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我校本着“统筹兼顾、量入为出、突出重点、有保有压”的思路，坚持厉行节约，从严从紧编制预算。严格控制“三公”经费等一般性消耗性支出，努力达到资金的科学调度、合理分配，保障党校相关工作的顺利进行。</w:t>
      </w:r>
    </w:p>
    <w:p w14:paraId="60D39532">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一般公共预算支出情况</w:t>
      </w:r>
    </w:p>
    <w:p w14:paraId="7ABEE9B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2025年度总支出为422.41万元。与2024年度相比，增加74.01万元，增加21.2%。主要支出为356.57万元占总预算收入84.41%（其中人员经费支出333.99万元，公用经费支出22.58万元）项目支出 65.84万元，占总预算支出15.59%。</w:t>
      </w:r>
    </w:p>
    <w:p w14:paraId="7B60786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(一)基本支出情况</w:t>
      </w:r>
    </w:p>
    <w:p w14:paraId="627D34E3">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本年基本支出356.57万元，占全年收入的84.41%。</w:t>
      </w:r>
    </w:p>
    <w:p w14:paraId="3A055D4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 w:hAnsi="仿宋" w:eastAsia="仿宋" w:cs="仿宋"/>
          <w:b w:val="0"/>
          <w:bCs w:val="0"/>
          <w:color w:val="0C0C0C"/>
          <w:sz w:val="30"/>
          <w:szCs w:val="30"/>
          <w:lang w:eastAsia="zh-CN"/>
        </w:rPr>
      </w:pPr>
      <w:r>
        <w:rPr>
          <w:rFonts w:hint="eastAsia" w:ascii="仿宋_GB2312" w:hAnsi="仿宋_GB2312" w:eastAsia="仿宋_GB2312" w:cs="仿宋_GB2312"/>
          <w:snapToGrid/>
          <w:color w:val="000000"/>
          <w:kern w:val="0"/>
          <w:sz w:val="32"/>
          <w:szCs w:val="32"/>
          <w:lang w:val="en-US" w:eastAsia="zh-CN" w:bidi="ar"/>
        </w:rPr>
        <w:t>1.</w:t>
      </w:r>
      <w:r>
        <w:rPr>
          <w:rFonts w:hint="eastAsia" w:ascii="仿宋" w:hAnsi="仿宋" w:eastAsia="仿宋" w:cs="仿宋"/>
          <w:b w:val="0"/>
          <w:bCs w:val="0"/>
          <w:color w:val="0C0C0C"/>
          <w:sz w:val="30"/>
          <w:szCs w:val="30"/>
        </w:rPr>
        <w:t>工资性支出</w:t>
      </w:r>
      <w:r>
        <w:rPr>
          <w:rFonts w:hint="eastAsia" w:ascii="仿宋" w:hAnsi="仿宋" w:eastAsia="仿宋" w:cs="仿宋"/>
          <w:color w:val="0C0C0C"/>
          <w:sz w:val="30"/>
          <w:szCs w:val="30"/>
          <w:lang w:val="en-US" w:eastAsia="zh-CN" w:bidi="ar"/>
        </w:rPr>
        <w:t>326.6</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val="en-US" w:eastAsia="zh-CN"/>
        </w:rPr>
        <w:t>,</w:t>
      </w:r>
      <w:r>
        <w:rPr>
          <w:rFonts w:hint="eastAsia" w:ascii="仿宋" w:hAnsi="仿宋" w:eastAsia="仿宋" w:cs="仿宋"/>
          <w:b w:val="0"/>
          <w:bCs w:val="0"/>
          <w:color w:val="0C0C0C"/>
          <w:sz w:val="30"/>
          <w:szCs w:val="30"/>
          <w:lang w:eastAsia="zh-CN"/>
        </w:rPr>
        <w:t>占总支出</w:t>
      </w:r>
      <w:r>
        <w:rPr>
          <w:rFonts w:hint="eastAsia" w:ascii="仿宋" w:hAnsi="仿宋" w:eastAsia="仿宋" w:cs="仿宋"/>
          <w:color w:val="0C0C0C"/>
          <w:sz w:val="30"/>
          <w:szCs w:val="30"/>
          <w:lang w:val="en-US" w:eastAsia="zh-CN" w:bidi="ar"/>
        </w:rPr>
        <w:t>77.32</w:t>
      </w:r>
      <w:r>
        <w:rPr>
          <w:rFonts w:hint="eastAsia" w:ascii="仿宋" w:hAnsi="仿宋" w:eastAsia="仿宋" w:cs="仿宋"/>
          <w:b w:val="0"/>
          <w:bCs w:val="0"/>
          <w:color w:val="0C0C0C"/>
          <w:sz w:val="30"/>
          <w:szCs w:val="30"/>
          <w:lang w:val="en-US" w:eastAsia="zh-CN"/>
        </w:rPr>
        <w:t>%</w:t>
      </w:r>
      <w:r>
        <w:rPr>
          <w:rFonts w:hint="eastAsia" w:ascii="仿宋" w:hAnsi="仿宋" w:eastAsia="仿宋" w:cs="仿宋"/>
          <w:b w:val="0"/>
          <w:bCs w:val="0"/>
          <w:color w:val="0C0C0C"/>
          <w:sz w:val="30"/>
          <w:szCs w:val="30"/>
          <w:lang w:eastAsia="zh-CN"/>
        </w:rPr>
        <w:t>：</w:t>
      </w:r>
    </w:p>
    <w:p w14:paraId="58879EF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00" w:firstLineChars="200"/>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 w:hAnsi="仿宋" w:eastAsia="仿宋" w:cs="仿宋"/>
          <w:b w:val="0"/>
          <w:bCs w:val="0"/>
          <w:color w:val="0C0C0C"/>
          <w:sz w:val="30"/>
          <w:szCs w:val="30"/>
          <w:lang w:eastAsia="zh-CN"/>
        </w:rPr>
        <w:t>（</w:t>
      </w:r>
      <w:r>
        <w:rPr>
          <w:rFonts w:hint="eastAsia" w:ascii="仿宋" w:hAnsi="仿宋" w:eastAsia="仿宋" w:cs="仿宋"/>
          <w:b w:val="0"/>
          <w:bCs w:val="0"/>
          <w:color w:val="0C0C0C"/>
          <w:sz w:val="30"/>
          <w:szCs w:val="30"/>
        </w:rPr>
        <w:t>其中基本工资</w:t>
      </w:r>
      <w:r>
        <w:rPr>
          <w:rFonts w:hint="eastAsia" w:ascii="仿宋" w:hAnsi="仿宋" w:eastAsia="仿宋" w:cs="仿宋"/>
          <w:b w:val="0"/>
          <w:bCs w:val="0"/>
          <w:color w:val="0C0C0C"/>
          <w:sz w:val="30"/>
          <w:szCs w:val="30"/>
          <w:lang w:val="en-US" w:eastAsia="zh-CN"/>
        </w:rPr>
        <w:t>155.11</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val="en-US" w:eastAsia="zh-CN"/>
        </w:rPr>
        <w:t>、</w:t>
      </w:r>
      <w:r>
        <w:rPr>
          <w:rFonts w:hint="eastAsia" w:ascii="仿宋" w:hAnsi="仿宋" w:eastAsia="仿宋" w:cs="仿宋"/>
          <w:b w:val="0"/>
          <w:bCs w:val="0"/>
          <w:color w:val="0C0C0C"/>
          <w:sz w:val="30"/>
          <w:szCs w:val="30"/>
        </w:rPr>
        <w:t>津补贴</w:t>
      </w:r>
      <w:r>
        <w:rPr>
          <w:rFonts w:hint="eastAsia" w:ascii="仿宋" w:hAnsi="仿宋" w:eastAsia="仿宋" w:cs="仿宋"/>
          <w:b w:val="0"/>
          <w:bCs w:val="0"/>
          <w:color w:val="0C0C0C"/>
          <w:sz w:val="30"/>
          <w:szCs w:val="30"/>
          <w:lang w:val="en-US" w:eastAsia="zh-CN"/>
        </w:rPr>
        <w:t>56.99</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val="en-US" w:eastAsia="zh-CN"/>
        </w:rPr>
        <w:t>、</w:t>
      </w:r>
      <w:r>
        <w:rPr>
          <w:rFonts w:hint="eastAsia" w:ascii="仿宋" w:hAnsi="仿宋" w:eastAsia="仿宋" w:cs="仿宋"/>
          <w:b w:val="0"/>
          <w:bCs w:val="0"/>
          <w:color w:val="0C0C0C"/>
          <w:sz w:val="30"/>
          <w:szCs w:val="30"/>
        </w:rPr>
        <w:t>奖金</w:t>
      </w:r>
      <w:r>
        <w:rPr>
          <w:rFonts w:hint="eastAsia" w:ascii="仿宋" w:hAnsi="仿宋" w:eastAsia="仿宋" w:cs="仿宋"/>
          <w:b w:val="0"/>
          <w:bCs w:val="0"/>
          <w:color w:val="0C0C0C"/>
          <w:sz w:val="30"/>
          <w:szCs w:val="30"/>
          <w:lang w:val="en-US" w:eastAsia="zh-CN"/>
        </w:rPr>
        <w:t>21.33</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val="en-US" w:eastAsia="zh-CN"/>
        </w:rPr>
        <w:t>、</w:t>
      </w:r>
      <w:r>
        <w:rPr>
          <w:rFonts w:hint="eastAsia" w:ascii="仿宋" w:hAnsi="仿宋" w:eastAsia="仿宋" w:cs="仿宋"/>
          <w:b w:val="0"/>
          <w:bCs w:val="0"/>
          <w:color w:val="0C0C0C"/>
          <w:sz w:val="30"/>
          <w:szCs w:val="30"/>
          <w:lang w:eastAsia="zh-CN"/>
        </w:rPr>
        <w:t>养老保险</w:t>
      </w:r>
      <w:r>
        <w:rPr>
          <w:rFonts w:hint="eastAsia" w:ascii="仿宋" w:hAnsi="仿宋" w:eastAsia="仿宋" w:cs="仿宋"/>
          <w:b w:val="0"/>
          <w:bCs w:val="0"/>
          <w:color w:val="0C0C0C"/>
          <w:sz w:val="30"/>
          <w:szCs w:val="30"/>
        </w:rPr>
        <w:t>费</w:t>
      </w:r>
      <w:r>
        <w:rPr>
          <w:rFonts w:hint="eastAsia" w:ascii="仿宋" w:hAnsi="仿宋" w:eastAsia="仿宋" w:cs="仿宋"/>
          <w:b w:val="0"/>
          <w:bCs w:val="0"/>
          <w:color w:val="0C0C0C"/>
          <w:sz w:val="30"/>
          <w:szCs w:val="30"/>
          <w:lang w:val="en-US" w:eastAsia="zh-CN"/>
        </w:rPr>
        <w:t>48.48</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val="en-US" w:eastAsia="zh-CN"/>
        </w:rPr>
        <w:t>、</w:t>
      </w:r>
      <w:r>
        <w:rPr>
          <w:rFonts w:hint="eastAsia" w:ascii="仿宋" w:hAnsi="仿宋" w:eastAsia="仿宋" w:cs="仿宋"/>
          <w:b w:val="0"/>
          <w:bCs w:val="0"/>
          <w:color w:val="0C0C0C"/>
          <w:sz w:val="30"/>
          <w:szCs w:val="30"/>
          <w:lang w:eastAsia="zh-CN"/>
        </w:rPr>
        <w:t>医疗保险费</w:t>
      </w:r>
      <w:r>
        <w:rPr>
          <w:rFonts w:hint="eastAsia" w:ascii="仿宋" w:hAnsi="仿宋" w:eastAsia="仿宋" w:cs="仿宋"/>
          <w:b w:val="0"/>
          <w:bCs w:val="0"/>
          <w:color w:val="0C0C0C"/>
          <w:sz w:val="30"/>
          <w:szCs w:val="30"/>
          <w:lang w:val="en-US" w:eastAsia="zh-CN"/>
        </w:rPr>
        <w:t>29.48万元、</w:t>
      </w:r>
      <w:r>
        <w:rPr>
          <w:rFonts w:hint="eastAsia" w:ascii="仿宋" w:hAnsi="仿宋" w:eastAsia="仿宋" w:cs="仿宋"/>
          <w:b w:val="0"/>
          <w:bCs w:val="0"/>
          <w:color w:val="0C0C0C"/>
          <w:sz w:val="30"/>
          <w:szCs w:val="30"/>
        </w:rPr>
        <w:t>其他社会保障缴费</w:t>
      </w:r>
      <w:r>
        <w:rPr>
          <w:rFonts w:hint="eastAsia" w:ascii="仿宋" w:hAnsi="仿宋" w:eastAsia="仿宋" w:cs="仿宋"/>
          <w:b w:val="0"/>
          <w:bCs w:val="0"/>
          <w:color w:val="0C0C0C"/>
          <w:sz w:val="30"/>
          <w:szCs w:val="30"/>
          <w:lang w:val="en-US" w:eastAsia="zh-CN"/>
        </w:rPr>
        <w:t>2.31</w:t>
      </w:r>
      <w:r>
        <w:rPr>
          <w:rFonts w:hint="eastAsia" w:ascii="仿宋" w:hAnsi="仿宋" w:eastAsia="仿宋" w:cs="仿宋"/>
          <w:b w:val="0"/>
          <w:bCs w:val="0"/>
          <w:color w:val="0C0C0C"/>
          <w:sz w:val="30"/>
          <w:szCs w:val="30"/>
        </w:rPr>
        <w:t>万元</w:t>
      </w:r>
      <w:r>
        <w:rPr>
          <w:rFonts w:hint="eastAsia" w:ascii="仿宋" w:hAnsi="仿宋" w:eastAsia="仿宋" w:cs="仿宋"/>
          <w:b w:val="0"/>
          <w:bCs w:val="0"/>
          <w:color w:val="0C0C0C"/>
          <w:sz w:val="30"/>
          <w:szCs w:val="30"/>
          <w:lang w:val="en-US" w:eastAsia="zh-CN"/>
        </w:rPr>
        <w:t>、住房公积金3.3万元、伙食补助0.34万元</w:t>
      </w:r>
      <w:r>
        <w:rPr>
          <w:rFonts w:hint="eastAsia" w:ascii="仿宋" w:hAnsi="仿宋" w:eastAsia="仿宋" w:cs="仿宋"/>
          <w:b w:val="0"/>
          <w:bCs w:val="0"/>
          <w:color w:val="0C0C0C"/>
          <w:sz w:val="30"/>
          <w:szCs w:val="30"/>
          <w:lang w:eastAsia="zh-CN"/>
        </w:rPr>
        <w:t>）。</w:t>
      </w:r>
    </w:p>
    <w:p w14:paraId="52FC9AB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2.商品和服务支出</w:t>
      </w:r>
      <w:r>
        <w:rPr>
          <w:rFonts w:hint="eastAsia" w:ascii="仿宋" w:hAnsi="仿宋" w:eastAsia="仿宋" w:cs="仿宋"/>
          <w:color w:val="0C0C0C"/>
          <w:sz w:val="30"/>
          <w:szCs w:val="30"/>
          <w:lang w:val="en-US" w:eastAsia="zh-CN"/>
        </w:rPr>
        <w:t>22.58</w:t>
      </w:r>
      <w:r>
        <w:rPr>
          <w:rFonts w:hint="eastAsia" w:ascii="仿宋_GB2312" w:hAnsi="仿宋_GB2312" w:eastAsia="仿宋_GB2312" w:cs="仿宋_GB2312"/>
          <w:snapToGrid/>
          <w:color w:val="000000"/>
          <w:kern w:val="0"/>
          <w:sz w:val="32"/>
          <w:szCs w:val="32"/>
          <w:lang w:val="en-US" w:eastAsia="zh-CN" w:bidi="ar"/>
        </w:rPr>
        <w:t>万元，占总支出5.35%：</w:t>
      </w:r>
    </w:p>
    <w:p w14:paraId="6766E586">
      <w:pPr>
        <w:pStyle w:val="3"/>
        <w:keepNext w:val="0"/>
        <w:keepLines w:val="0"/>
        <w:pageBreakBefore w:val="0"/>
        <w:widowControl/>
        <w:kinsoku w:val="0"/>
        <w:wordWrap/>
        <w:overflowPunct/>
        <w:topLinePunct w:val="0"/>
        <w:autoSpaceDE w:val="0"/>
        <w:autoSpaceDN w:val="0"/>
        <w:bidi w:val="0"/>
        <w:adjustRightInd w:val="0"/>
        <w:snapToGrid w:val="0"/>
        <w:spacing w:line="560" w:lineRule="exact"/>
        <w:ind w:right="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(其中办公费2.85万元、印刷费0.04万元、水费0.02万元、电费0.69万元、邮电费0.21万元、差旅费2.05万元、维修费0.57万元、培训费7.37万元、劳务费0.13万元、工会经费7.82万元、其他交通费0.83万元）。</w:t>
      </w:r>
    </w:p>
    <w:p w14:paraId="503635B4">
      <w:pPr>
        <w:pStyle w:val="3"/>
        <w:keepNext w:val="0"/>
        <w:keepLines w:val="0"/>
        <w:pageBreakBefore w:val="0"/>
        <w:widowControl/>
        <w:numPr>
          <w:ilvl w:val="0"/>
          <w:numId w:val="5"/>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对个人和家庭的补助7.39万元，占总支出1.74%：</w:t>
      </w:r>
    </w:p>
    <w:p w14:paraId="23072A1F">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（其中生活补贴6.68万元、奖励金0.29万元、代缴社会保险0.06万元、其他对个人和家庭的补助0.36万元）。</w:t>
      </w:r>
    </w:p>
    <w:p w14:paraId="4279039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(二)项目支出情况</w:t>
      </w:r>
    </w:p>
    <w:p w14:paraId="44F0B376">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我单位2025年项目实际支出</w:t>
      </w:r>
      <w:r>
        <w:rPr>
          <w:rFonts w:hint="eastAsia" w:ascii="仿宋" w:hAnsi="仿宋" w:eastAsia="仿宋" w:cs="仿宋"/>
          <w:color w:val="0C0C0C"/>
          <w:sz w:val="30"/>
          <w:szCs w:val="30"/>
          <w:lang w:val="en-US" w:eastAsia="zh-CN"/>
        </w:rPr>
        <w:t>65.84</w:t>
      </w:r>
      <w:r>
        <w:rPr>
          <w:rFonts w:hint="eastAsia" w:ascii="仿宋_GB2312" w:hAnsi="仿宋_GB2312" w:eastAsia="仿宋_GB2312" w:cs="仿宋_GB2312"/>
          <w:snapToGrid/>
          <w:color w:val="000000"/>
          <w:kern w:val="0"/>
          <w:sz w:val="32"/>
          <w:szCs w:val="32"/>
          <w:lang w:val="en-US" w:eastAsia="zh-CN" w:bidi="ar"/>
        </w:rPr>
        <w:t>万元，占总支出的15.59%（其中党校基本培训班经费</w:t>
      </w:r>
      <w:r>
        <w:rPr>
          <w:rFonts w:hint="eastAsia" w:ascii="仿宋" w:hAnsi="仿宋" w:eastAsia="仿宋" w:cs="仿宋"/>
          <w:color w:val="0C0C0C"/>
          <w:sz w:val="30"/>
          <w:szCs w:val="30"/>
          <w:lang w:val="en-US" w:eastAsia="zh-CN"/>
        </w:rPr>
        <w:t>65.84</w:t>
      </w:r>
      <w:r>
        <w:rPr>
          <w:rFonts w:hint="eastAsia" w:ascii="仿宋_GB2312" w:hAnsi="仿宋_GB2312" w:eastAsia="仿宋_GB2312" w:cs="仿宋_GB2312"/>
          <w:snapToGrid/>
          <w:color w:val="000000"/>
          <w:kern w:val="0"/>
          <w:sz w:val="32"/>
          <w:szCs w:val="32"/>
          <w:lang w:val="en-US" w:eastAsia="zh-CN" w:bidi="ar"/>
        </w:rPr>
        <w:t>万元，主要用于开展中青班、科干班等其他基本培训班教研教学的日常教学运转等方面）：</w:t>
      </w:r>
    </w:p>
    <w:p w14:paraId="517795C6">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320" w:firstLineChars="1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1.党校基本培训班经费共支出</w:t>
      </w:r>
      <w:r>
        <w:rPr>
          <w:rFonts w:hint="eastAsia" w:ascii="仿宋" w:hAnsi="仿宋" w:eastAsia="仿宋" w:cs="仿宋"/>
          <w:color w:val="0C0C0C"/>
          <w:sz w:val="30"/>
          <w:szCs w:val="30"/>
          <w:lang w:val="en-US" w:eastAsia="zh-CN"/>
        </w:rPr>
        <w:t>65.84</w:t>
      </w:r>
      <w:r>
        <w:rPr>
          <w:rFonts w:hint="eastAsia" w:ascii="仿宋_GB2312" w:hAnsi="仿宋_GB2312" w:eastAsia="仿宋_GB2312" w:cs="仿宋_GB2312"/>
          <w:snapToGrid/>
          <w:color w:val="000000"/>
          <w:kern w:val="0"/>
          <w:sz w:val="32"/>
          <w:szCs w:val="32"/>
          <w:lang w:val="en-US" w:eastAsia="zh-CN" w:bidi="ar"/>
        </w:rPr>
        <w:t>万元,占总支出的15.59%：办公费13.89万元、印刷费4.11万元、水费0.43万元、电费2.57万元、邮电费2.63万元、差旅费7.57万元、维护费1.24万元、培训费31.91万元、其他交通费用1.43万元、劳务费0.06万元。</w:t>
      </w:r>
    </w:p>
    <w:p w14:paraId="0C001F5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_GB2312" w:hAnsi="宋体" w:eastAsia="楷体_GB2312" w:cs="楷体_GB2312"/>
          <w:b/>
          <w:bCs/>
          <w:snapToGrid/>
          <w:color w:val="000000"/>
          <w:kern w:val="0"/>
          <w:sz w:val="32"/>
          <w:szCs w:val="32"/>
          <w:lang w:val="en-US" w:eastAsia="zh-CN" w:bidi="ar"/>
        </w:rPr>
      </w:pPr>
      <w:r>
        <w:rPr>
          <w:rFonts w:hint="eastAsia" w:ascii="楷体_GB2312" w:hAnsi="宋体" w:eastAsia="楷体_GB2312" w:cs="楷体_GB2312"/>
          <w:b/>
          <w:bCs/>
          <w:snapToGrid/>
          <w:color w:val="000000"/>
          <w:kern w:val="0"/>
          <w:sz w:val="32"/>
          <w:szCs w:val="32"/>
          <w:lang w:val="en-US" w:eastAsia="zh-CN" w:bidi="ar"/>
        </w:rPr>
        <w:t>(三)</w:t>
      </w:r>
      <w:r>
        <w:rPr>
          <w:rFonts w:hint="eastAsia" w:ascii="仿宋" w:hAnsi="仿宋" w:eastAsia="仿宋" w:cs="仿宋"/>
          <w:b/>
          <w:bCs/>
          <w:sz w:val="30"/>
          <w:szCs w:val="30"/>
          <w:lang w:val="en-US" w:eastAsia="zh-CN"/>
        </w:rPr>
        <w:t>“三公”经费支出情况</w:t>
      </w:r>
    </w:p>
    <w:p w14:paraId="07C6DDBE">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本单位2025年支出0万元，与2024年相比减少100%。</w:t>
      </w:r>
    </w:p>
    <w:p w14:paraId="369D8426">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default"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其中：因公出国（境）支出0.00万元，公务用车购置及运行维护费支出0.00万元，公务接待费支出0万元。主要原因是严格贯彻落实厉行节约反对浪费精神，加强公务接待管理，严格控制相关费用，支出相应减少。</w:t>
      </w:r>
    </w:p>
    <w:p w14:paraId="312B4A8E">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三、政府性基金预算支出情况</w:t>
      </w:r>
    </w:p>
    <w:p w14:paraId="44F125BE">
      <w:pPr>
        <w:pStyle w:val="10"/>
        <w:keepNext w:val="0"/>
        <w:keepLines w:val="0"/>
        <w:widowControl/>
        <w:suppressLineNumbers w:val="0"/>
        <w:spacing w:before="0" w:beforeAutospacing="0" w:after="0" w:afterAutospacing="0" w:line="600" w:lineRule="atLeast"/>
        <w:ind w:left="0" w:right="0" w:firstLine="640"/>
        <w:jc w:val="both"/>
        <w:rPr>
          <w:rFonts w:ascii="黑体" w:hAnsi="黑体" w:eastAsia="黑体" w:cs="黑体"/>
          <w:sz w:val="32"/>
          <w:szCs w:val="32"/>
        </w:rPr>
      </w:pPr>
      <w:r>
        <w:rPr>
          <w:rFonts w:hint="default" w:ascii="Times New Roman" w:hAnsi="Times New Roman" w:eastAsia="仿宋" w:cs="Times New Roman"/>
          <w:color w:val="000000"/>
          <w:sz w:val="32"/>
          <w:szCs w:val="32"/>
        </w:rPr>
        <w:t>202</w:t>
      </w:r>
      <w:r>
        <w:rPr>
          <w:rFonts w:hint="eastAsia" w:ascii="Times New Roman" w:hAnsi="Times New Roman" w:eastAsia="仿宋" w:cs="Times New Roman"/>
          <w:color w:val="000000"/>
          <w:sz w:val="32"/>
          <w:szCs w:val="32"/>
          <w:lang w:val="en-US" w:eastAsia="zh-CN"/>
        </w:rPr>
        <w:t>5</w:t>
      </w:r>
      <w:r>
        <w:rPr>
          <w:rFonts w:hint="eastAsia" w:ascii="仿宋" w:hAnsi="仿宋" w:eastAsia="仿宋" w:cs="仿宋"/>
          <w:color w:val="000000"/>
          <w:sz w:val="32"/>
          <w:szCs w:val="32"/>
        </w:rPr>
        <w:t>年度我校无政府性基金安排的支出。</w:t>
      </w:r>
    </w:p>
    <w:p w14:paraId="7E1BD8C3">
      <w:pPr>
        <w:pStyle w:val="10"/>
        <w:keepNext w:val="0"/>
        <w:keepLines w:val="0"/>
        <w:widowControl/>
        <w:suppressLineNumbers w:val="0"/>
        <w:spacing w:before="0" w:beforeAutospacing="0" w:after="0" w:afterAutospacing="0" w:line="600" w:lineRule="atLeast"/>
        <w:ind w:left="0" w:right="0" w:firstLine="640"/>
        <w:jc w:val="both"/>
        <w:rPr>
          <w:rFonts w:ascii="黑体" w:hAnsi="黑体" w:eastAsia="黑体" w:cs="黑体"/>
          <w:sz w:val="32"/>
          <w:szCs w:val="32"/>
        </w:rPr>
      </w:pPr>
      <w:r>
        <w:rPr>
          <w:rFonts w:ascii="黑体" w:hAnsi="黑体" w:eastAsia="黑体" w:cs="黑体"/>
          <w:sz w:val="32"/>
          <w:szCs w:val="32"/>
        </w:rPr>
        <w:t>四、国有资本经营预算支出情况</w:t>
      </w:r>
    </w:p>
    <w:p w14:paraId="5CB83F55">
      <w:pPr>
        <w:pStyle w:val="10"/>
        <w:keepNext w:val="0"/>
        <w:keepLines w:val="0"/>
        <w:widowControl/>
        <w:suppressLineNumbers w:val="0"/>
        <w:spacing w:before="0" w:beforeAutospacing="0" w:after="0" w:afterAutospacing="0" w:line="600" w:lineRule="atLeast"/>
        <w:ind w:left="0" w:right="0" w:firstLine="640"/>
        <w:jc w:val="both"/>
        <w:rPr>
          <w:rFonts w:ascii="黑体" w:hAnsi="黑体" w:eastAsia="黑体" w:cs="黑体"/>
          <w:sz w:val="32"/>
          <w:szCs w:val="32"/>
        </w:rPr>
      </w:pPr>
      <w:r>
        <w:rPr>
          <w:rFonts w:hint="default" w:ascii="Times New Roman" w:hAnsi="Times New Roman" w:eastAsia="仿宋" w:cs="Times New Roman"/>
          <w:color w:val="000000"/>
          <w:sz w:val="32"/>
          <w:szCs w:val="32"/>
        </w:rPr>
        <w:t>202</w:t>
      </w:r>
      <w:r>
        <w:rPr>
          <w:rFonts w:hint="eastAsia" w:ascii="Times New Roman" w:hAnsi="Times New Roman" w:eastAsia="仿宋" w:cs="Times New Roman"/>
          <w:color w:val="000000"/>
          <w:sz w:val="32"/>
          <w:szCs w:val="32"/>
          <w:lang w:val="en-US" w:eastAsia="zh-CN"/>
        </w:rPr>
        <w:t>5</w:t>
      </w:r>
      <w:r>
        <w:rPr>
          <w:rFonts w:hint="eastAsia" w:ascii="仿宋" w:hAnsi="仿宋" w:eastAsia="仿宋" w:cs="仿宋"/>
          <w:color w:val="000000"/>
          <w:sz w:val="32"/>
          <w:szCs w:val="32"/>
        </w:rPr>
        <w:t>年度我校无国有资本经营预算支出。</w:t>
      </w:r>
    </w:p>
    <w:p w14:paraId="65D8BBA4">
      <w:pPr>
        <w:keepNext w:val="0"/>
        <w:keepLines w:val="0"/>
        <w:pageBreakBefore w:val="0"/>
        <w:widowControl/>
        <w:numPr>
          <w:ilvl w:val="0"/>
          <w:numId w:val="6"/>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社会保险基金预算支出情况</w:t>
      </w:r>
    </w:p>
    <w:p w14:paraId="6E731563">
      <w:pPr>
        <w:pStyle w:val="10"/>
        <w:keepNext w:val="0"/>
        <w:keepLines w:val="0"/>
        <w:widowControl/>
        <w:suppressLineNumbers w:val="0"/>
        <w:spacing w:before="0" w:beforeAutospacing="0" w:after="0" w:afterAutospacing="0" w:line="600" w:lineRule="atLeast"/>
        <w:ind w:left="0" w:right="0" w:firstLine="640"/>
        <w:jc w:val="both"/>
        <w:rPr>
          <w:rFonts w:ascii="黑体" w:hAnsi="黑体" w:eastAsia="黑体" w:cs="黑体"/>
          <w:sz w:val="32"/>
          <w:szCs w:val="32"/>
        </w:rPr>
      </w:pPr>
      <w:r>
        <w:rPr>
          <w:rFonts w:hint="default" w:ascii="Times New Roman" w:hAnsi="Times New Roman" w:eastAsia="仿宋" w:cs="Times New Roman"/>
          <w:color w:val="000000"/>
          <w:sz w:val="32"/>
          <w:szCs w:val="32"/>
        </w:rPr>
        <w:t>202</w:t>
      </w:r>
      <w:r>
        <w:rPr>
          <w:rFonts w:hint="eastAsia" w:ascii="Times New Roman" w:hAnsi="Times New Roman" w:eastAsia="仿宋" w:cs="Times New Roman"/>
          <w:color w:val="000000"/>
          <w:sz w:val="32"/>
          <w:szCs w:val="32"/>
          <w:lang w:val="en-US" w:eastAsia="zh-CN"/>
        </w:rPr>
        <w:t>5</w:t>
      </w:r>
      <w:r>
        <w:rPr>
          <w:rFonts w:hint="eastAsia" w:ascii="仿宋" w:hAnsi="仿宋" w:eastAsia="仿宋" w:cs="仿宋"/>
          <w:color w:val="000000"/>
          <w:sz w:val="32"/>
          <w:szCs w:val="32"/>
        </w:rPr>
        <w:t>年度我校无社会保险基金预算支出。</w:t>
      </w:r>
    </w:p>
    <w:p w14:paraId="21BB456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ascii="黑体" w:hAnsi="黑体" w:eastAsia="黑体" w:cs="黑体"/>
          <w:sz w:val="32"/>
          <w:szCs w:val="32"/>
        </w:rPr>
      </w:pPr>
      <w:r>
        <w:rPr>
          <w:rFonts w:ascii="黑体" w:hAnsi="黑体" w:eastAsia="黑体" w:cs="黑体"/>
          <w:sz w:val="32"/>
          <w:szCs w:val="32"/>
        </w:rPr>
        <w:t>六、部门整体支出绩效情况</w:t>
      </w:r>
    </w:p>
    <w:p w14:paraId="333525E7">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default"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（一）综合评价结论。</w:t>
      </w:r>
    </w:p>
    <w:p w14:paraId="208D7F03">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经自评，2025年度我校整体支出绩效评价结论为“优”， 自查评分为93分。</w:t>
      </w:r>
    </w:p>
    <w:p w14:paraId="4B8CE331">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default"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评价指标分析（或综合评价情况）</w:t>
      </w:r>
    </w:p>
    <w:p w14:paraId="2CBC7BF7">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1.</w:t>
      </w:r>
      <w:r>
        <w:rPr>
          <w:rFonts w:hint="eastAsia" w:ascii="仿宋_GB2312" w:hAnsi="仿宋_GB2312" w:eastAsia="仿宋_GB2312" w:cs="仿宋_GB2312"/>
          <w:snapToGrid/>
          <w:color w:val="000000"/>
          <w:kern w:val="0"/>
          <w:sz w:val="32"/>
          <w:szCs w:val="32"/>
          <w:lang w:val="en-US" w:eastAsia="zh-CN" w:bidi="ar"/>
        </w:rPr>
        <w:t>履职效能情况分析</w:t>
      </w:r>
      <w:r>
        <w:rPr>
          <w:rFonts w:hint="default" w:ascii="仿宋_GB2312" w:hAnsi="仿宋_GB2312" w:eastAsia="仿宋_GB2312" w:cs="仿宋_GB2312"/>
          <w:snapToGrid/>
          <w:color w:val="000000"/>
          <w:kern w:val="0"/>
          <w:sz w:val="32"/>
          <w:szCs w:val="32"/>
          <w:lang w:val="en-US" w:eastAsia="zh-CN" w:bidi="ar"/>
        </w:rPr>
        <w:t xml:space="preserve"> </w:t>
      </w:r>
    </w:p>
    <w:p w14:paraId="5F87A2A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（1）、高层次盘活资源，建强红色学府</w:t>
      </w:r>
    </w:p>
    <w:p w14:paraId="02EEA85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C0C0C"/>
          <w:sz w:val="32"/>
          <w:szCs w:val="32"/>
          <w:lang w:val="en-US" w:eastAsia="zh-CN"/>
        </w:rPr>
      </w:pPr>
      <w:r>
        <w:rPr>
          <w:rFonts w:hint="eastAsia" w:ascii="仿宋_GB2312" w:hAnsi="仿宋_GB2312" w:eastAsia="仿宋_GB2312" w:cs="仿宋_GB2312"/>
          <w:snapToGrid/>
          <w:color w:val="000000"/>
          <w:kern w:val="0"/>
          <w:sz w:val="32"/>
          <w:szCs w:val="32"/>
          <w:lang w:val="en-US" w:eastAsia="zh-CN" w:bidi="ar"/>
        </w:rPr>
        <w:t>在县委县政府的高度重视和大力支持下，我校办学硬件实现了历史性飞跃。占地面积33.29亩，建筑面积2.5万平方米</w:t>
      </w:r>
      <w:r>
        <w:rPr>
          <w:rFonts w:hint="eastAsia" w:ascii="仿宋" w:hAnsi="仿宋" w:eastAsia="仿宋" w:cs="仿宋"/>
          <w:color w:val="0C0C0C"/>
          <w:sz w:val="32"/>
          <w:szCs w:val="32"/>
          <w:lang w:val="en-US" w:eastAsia="zh-CN"/>
        </w:rPr>
        <w:t>的会同县红色文化教育培训基地于2025年秋季正式投入使用，实现了办学条件整体改善、办学规模整体优化、办学质量整体提升。</w:t>
      </w:r>
    </w:p>
    <w:p w14:paraId="2C3CA87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（2）、高质量为党育才，完成基本培训任务</w:t>
      </w:r>
    </w:p>
    <w:p w14:paraId="2E6CB9A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按照“应训尽训、精准施训”原则，全年共举办中青班、科干班、正确政绩观培训班、乡科级副职任职培训班、初任公务员培训班等各类班次10期，培训基层党员干部1000余人。积极协助县财政局、医保局、政法系统等部门开展培训，开展了</w:t>
      </w:r>
      <w:r>
        <w:rPr>
          <w:rFonts w:hint="default" w:ascii="仿宋_GB2312" w:hAnsi="仿宋_GB2312" w:eastAsia="仿宋_GB2312" w:cs="仿宋_GB2312"/>
          <w:snapToGrid/>
          <w:color w:val="000000"/>
          <w:kern w:val="0"/>
          <w:sz w:val="32"/>
          <w:szCs w:val="32"/>
          <w:lang w:val="en-US" w:eastAsia="zh-CN" w:bidi="ar"/>
        </w:rPr>
        <w:t>9</w:t>
      </w:r>
      <w:r>
        <w:rPr>
          <w:rFonts w:hint="eastAsia" w:ascii="仿宋_GB2312" w:hAnsi="仿宋_GB2312" w:eastAsia="仿宋_GB2312" w:cs="仿宋_GB2312"/>
          <w:snapToGrid/>
          <w:color w:val="000000"/>
          <w:kern w:val="0"/>
          <w:sz w:val="32"/>
          <w:szCs w:val="32"/>
          <w:lang w:val="en-US" w:eastAsia="zh-CN" w:bidi="ar"/>
        </w:rPr>
        <w:t>期培训，培训1</w:t>
      </w: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00多人，全年累计培训各类人员2</w:t>
      </w: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00多人，实现基本培训全覆盖。通过前期调研走访、学员需求问卷等方式，建立“需求清单—课程匹配—效果反馈”闭环机制，确保培训内容与岗位需求精准对接。</w:t>
      </w:r>
    </w:p>
    <w:p w14:paraId="5DD4AD7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（3）、高水平为党献策，提升科研资政水平</w:t>
      </w:r>
    </w:p>
    <w:p w14:paraId="56BFE5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紧扣县委县政府中心工作，开展有组织的调研活动，成果转化成效明显。理论论文方面，在县委宣传部组织开展的“理论赋能谋发展 献策会同大家谈”理论文章征集活动中我校教师共提交8篇论文，此次活动全县共30篇论文获奖，其中我校取得二等奖1项，三等奖3项，优胜奖2项的优异成绩。在2025年度全市党校系统理研会上共提交8篇论文，获二等奖1项，三等奖4项。</w:t>
      </w:r>
    </w:p>
    <w:p w14:paraId="707020D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在科研方面，立项市委党校社科课题5项，立项市社科联课题1项，新申报2项省文旅融合发展研究专项课题。资政报告《探索“错位发展”新路径，写好县域经济大文章》获县委、政府主要领导肯定性批示，并吸收纳入县“十五五”规划建议。</w:t>
      </w:r>
    </w:p>
    <w:p w14:paraId="6B55780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（4）、高效能质量立校，围绕中心工作履职尽责</w:t>
      </w:r>
    </w:p>
    <w:p w14:paraId="59614AE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9月以来，积极筹划《办学指南》宣传画册，有效提升了我校对外宣传品味。积极筹备并录制我为红色湖南代言“党校老师讲红色湖南”系列活动——《粟裕故居和纪念馆景区》。打造《田野里的诗行 文化自信的绽放》专题片荣获全市党员教育电视片观摩交流优秀作品一等奖，并参加市委宣传部2025年怀化“理响五溪”理论微宣讲大赛，荣获三等奖。</w:t>
      </w:r>
    </w:p>
    <w:p w14:paraId="15253EBD">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2.</w:t>
      </w:r>
      <w:r>
        <w:rPr>
          <w:rFonts w:hint="eastAsia" w:ascii="仿宋_GB2312" w:hAnsi="仿宋_GB2312" w:eastAsia="仿宋_GB2312" w:cs="仿宋_GB2312"/>
          <w:snapToGrid/>
          <w:color w:val="000000"/>
          <w:kern w:val="0"/>
          <w:sz w:val="32"/>
          <w:szCs w:val="32"/>
          <w:lang w:val="en-US" w:eastAsia="zh-CN" w:bidi="ar"/>
        </w:rPr>
        <w:t>管理效率情况分析</w:t>
      </w:r>
    </w:p>
    <w:p w14:paraId="7E63A071">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预算编制基本完整，预算执行率达到标准。收入支出管理规范，内控制度有效，资产管理规范，部门固定资产利用率符合目标，信息化建设和管理制度建设有效。</w:t>
      </w:r>
      <w:r>
        <w:rPr>
          <w:rFonts w:hint="default" w:ascii="仿宋_GB2312" w:hAnsi="仿宋_GB2312" w:eastAsia="仿宋_GB2312" w:cs="仿宋_GB2312"/>
          <w:snapToGrid/>
          <w:color w:val="000000"/>
          <w:kern w:val="0"/>
          <w:sz w:val="32"/>
          <w:szCs w:val="32"/>
          <w:lang w:val="en-US" w:eastAsia="zh-CN" w:bidi="ar"/>
        </w:rPr>
        <w:t xml:space="preserve"> </w:t>
      </w:r>
    </w:p>
    <w:p w14:paraId="5882DE2C">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default"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3.</w:t>
      </w:r>
      <w:r>
        <w:rPr>
          <w:rFonts w:hint="eastAsia" w:ascii="仿宋_GB2312" w:hAnsi="仿宋_GB2312" w:eastAsia="仿宋_GB2312" w:cs="仿宋_GB2312"/>
          <w:snapToGrid/>
          <w:color w:val="000000"/>
          <w:kern w:val="0"/>
          <w:sz w:val="32"/>
          <w:szCs w:val="32"/>
          <w:lang w:val="en-US" w:eastAsia="zh-CN" w:bidi="ar"/>
        </w:rPr>
        <w:t>运行成本控制情况分析</w:t>
      </w:r>
      <w:r>
        <w:rPr>
          <w:rFonts w:hint="default" w:ascii="仿宋_GB2312" w:hAnsi="仿宋_GB2312" w:eastAsia="仿宋_GB2312" w:cs="仿宋_GB2312"/>
          <w:snapToGrid/>
          <w:color w:val="000000"/>
          <w:kern w:val="0"/>
          <w:sz w:val="32"/>
          <w:szCs w:val="32"/>
          <w:lang w:val="en-US" w:eastAsia="zh-CN" w:bidi="ar"/>
        </w:rPr>
        <w:t xml:space="preserve"> </w:t>
      </w:r>
    </w:p>
    <w:p w14:paraId="45318287">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w:t>
      </w:r>
      <w:r>
        <w:rPr>
          <w:rFonts w:hint="eastAsia" w:ascii="仿宋_GB2312" w:hAnsi="仿宋_GB2312" w:eastAsia="仿宋_GB2312" w:cs="仿宋_GB2312"/>
          <w:snapToGrid/>
          <w:color w:val="000000"/>
          <w:kern w:val="0"/>
          <w:sz w:val="32"/>
          <w:szCs w:val="32"/>
          <w:lang w:val="en-US" w:eastAsia="zh-CN" w:bidi="ar"/>
        </w:rPr>
        <w:t>三公经费</w:t>
      </w:r>
      <w:r>
        <w:rPr>
          <w:rFonts w:hint="default" w:ascii="仿宋_GB2312" w:hAnsi="仿宋_GB2312" w:eastAsia="仿宋_GB2312" w:cs="仿宋_GB2312"/>
          <w:snapToGrid/>
          <w:color w:val="000000"/>
          <w:kern w:val="0"/>
          <w:sz w:val="32"/>
          <w:szCs w:val="32"/>
          <w:lang w:val="en-US" w:eastAsia="zh-CN" w:bidi="ar"/>
        </w:rPr>
        <w:t>”</w:t>
      </w:r>
      <w:r>
        <w:rPr>
          <w:rFonts w:hint="eastAsia" w:ascii="仿宋_GB2312" w:hAnsi="仿宋_GB2312" w:eastAsia="仿宋_GB2312" w:cs="仿宋_GB2312"/>
          <w:snapToGrid/>
          <w:color w:val="000000"/>
          <w:kern w:val="0"/>
          <w:sz w:val="32"/>
          <w:szCs w:val="32"/>
          <w:lang w:val="en-US" w:eastAsia="zh-CN" w:bidi="ar"/>
        </w:rPr>
        <w:t>、项目支出均控制在预算范围内。</w:t>
      </w:r>
    </w:p>
    <w:p w14:paraId="7D416560">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default" w:ascii="仿宋_GB2312" w:hAnsi="仿宋_GB2312" w:eastAsia="仿宋_GB2312" w:cs="仿宋_GB2312"/>
          <w:snapToGrid/>
          <w:color w:val="000000"/>
          <w:kern w:val="0"/>
          <w:sz w:val="32"/>
          <w:szCs w:val="32"/>
          <w:lang w:val="en-US" w:eastAsia="zh-CN" w:bidi="ar"/>
        </w:rPr>
        <w:t>4.</w:t>
      </w:r>
      <w:r>
        <w:rPr>
          <w:rFonts w:hint="eastAsia" w:ascii="仿宋_GB2312" w:hAnsi="仿宋_GB2312" w:eastAsia="仿宋_GB2312" w:cs="仿宋_GB2312"/>
          <w:snapToGrid/>
          <w:color w:val="000000"/>
          <w:kern w:val="0"/>
          <w:sz w:val="32"/>
          <w:szCs w:val="32"/>
          <w:lang w:val="en-US" w:eastAsia="zh-CN" w:bidi="ar"/>
        </w:rPr>
        <w:t>可持续性影响情况分析</w:t>
      </w:r>
    </w:p>
    <w:p w14:paraId="43A9A3A8">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严格公务接待、公务用车管理，做到了调度有序、管理到位。落实过</w:t>
      </w:r>
      <w:r>
        <w:rPr>
          <w:rFonts w:hint="default" w:ascii="仿宋_GB2312" w:hAnsi="仿宋_GB2312" w:eastAsia="仿宋_GB2312" w:cs="仿宋_GB2312"/>
          <w:snapToGrid/>
          <w:color w:val="000000"/>
          <w:kern w:val="0"/>
          <w:sz w:val="32"/>
          <w:szCs w:val="32"/>
          <w:lang w:val="en-US" w:eastAsia="zh-CN" w:bidi="ar"/>
        </w:rPr>
        <w:t>“</w:t>
      </w:r>
      <w:r>
        <w:rPr>
          <w:rFonts w:hint="eastAsia" w:ascii="仿宋_GB2312" w:hAnsi="仿宋_GB2312" w:eastAsia="仿宋_GB2312" w:cs="仿宋_GB2312"/>
          <w:snapToGrid/>
          <w:color w:val="000000"/>
          <w:kern w:val="0"/>
          <w:sz w:val="32"/>
          <w:szCs w:val="32"/>
          <w:lang w:val="en-US" w:eastAsia="zh-CN" w:bidi="ar"/>
        </w:rPr>
        <w:t>紧日子</w:t>
      </w:r>
      <w:r>
        <w:rPr>
          <w:rFonts w:hint="default" w:ascii="仿宋_GB2312" w:hAnsi="仿宋_GB2312" w:eastAsia="仿宋_GB2312" w:cs="仿宋_GB2312"/>
          <w:snapToGrid/>
          <w:color w:val="000000"/>
          <w:kern w:val="0"/>
          <w:sz w:val="32"/>
          <w:szCs w:val="32"/>
          <w:lang w:val="en-US" w:eastAsia="zh-CN" w:bidi="ar"/>
        </w:rPr>
        <w:t>”</w:t>
      </w:r>
      <w:r>
        <w:rPr>
          <w:rFonts w:hint="eastAsia" w:ascii="仿宋_GB2312" w:hAnsi="仿宋_GB2312" w:eastAsia="仿宋_GB2312" w:cs="仿宋_GB2312"/>
          <w:snapToGrid/>
          <w:color w:val="000000"/>
          <w:kern w:val="0"/>
          <w:sz w:val="32"/>
          <w:szCs w:val="32"/>
          <w:lang w:val="en-US" w:eastAsia="zh-CN" w:bidi="ar"/>
        </w:rPr>
        <w:t>要求，严格执行预算管理，努力开源节流。积极推进节约型机关和平安党校创建工作，日常运转井然有序。</w:t>
      </w:r>
    </w:p>
    <w:p w14:paraId="0E5AA71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bidi="ar"/>
        </w:rPr>
      </w:pPr>
      <w:r>
        <w:rPr>
          <w:rFonts w:hint="eastAsia" w:ascii="黑体" w:hAnsi="宋体" w:eastAsia="黑体" w:cs="黑体"/>
          <w:snapToGrid/>
          <w:color w:val="000000"/>
          <w:kern w:val="0"/>
          <w:sz w:val="32"/>
          <w:szCs w:val="32"/>
          <w:lang w:val="en-US" w:eastAsia="zh-CN" w:bidi="ar"/>
        </w:rPr>
        <w:t>七、存在的问题及原因分析</w:t>
      </w:r>
    </w:p>
    <w:p w14:paraId="74B870AA">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一是绩效管理理念没有深入人心。虽然近年来各级都在反复强调预算绩效的问题，但在底层落实难度还比较大，有的人认为预算绩效管理是财务人员的事、与业务股室关系不大，开展起来比较被动。</w:t>
      </w:r>
    </w:p>
    <w:p w14:paraId="63EBE5EE">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二是</w:t>
      </w:r>
      <w:bookmarkStart w:id="3" w:name="_GoBack"/>
      <w:bookmarkEnd w:id="3"/>
      <w:r>
        <w:rPr>
          <w:rFonts w:hint="eastAsia" w:ascii="仿宋_GB2312" w:hAnsi="仿宋_GB2312" w:eastAsia="仿宋_GB2312" w:cs="仿宋_GB2312"/>
          <w:snapToGrid/>
          <w:color w:val="000000"/>
          <w:kern w:val="0"/>
          <w:sz w:val="32"/>
          <w:szCs w:val="32"/>
          <w:lang w:val="en-US" w:eastAsia="zh-CN" w:bidi="ar"/>
        </w:rPr>
        <w:t>资源整合与利用率偏低。虽然今年理论科研取得了不错的成绩‌，但是实际‌课程设置理论内容偏多而实践案例较少，缺乏互动性和针对性，导致学员参与度低、学用转化效果欠佳。</w:t>
      </w:r>
    </w:p>
    <w:p w14:paraId="6599A9CB">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right="0" w:firstLine="640" w:firstLineChars="200"/>
        <w:jc w:val="both"/>
        <w:textAlignment w:val="baseline"/>
        <w:outlineLvl w:val="1"/>
        <w:rPr>
          <w:rFonts w:hint="eastAsia" w:ascii="黑体" w:hAnsi="宋体" w:eastAsia="黑体" w:cs="黑体"/>
          <w:snapToGrid/>
          <w:color w:val="000000"/>
          <w:kern w:val="0"/>
          <w:sz w:val="32"/>
          <w:szCs w:val="32"/>
          <w:lang w:val="en-US" w:eastAsia="zh-CN" w:bidi="ar"/>
        </w:rPr>
      </w:pPr>
      <w:r>
        <w:rPr>
          <w:rFonts w:hint="eastAsia" w:ascii="黑体" w:hAnsi="宋体" w:eastAsia="黑体" w:cs="黑体"/>
          <w:snapToGrid/>
          <w:color w:val="000000"/>
          <w:kern w:val="0"/>
          <w:sz w:val="32"/>
          <w:szCs w:val="32"/>
          <w:lang w:val="en-US" w:eastAsia="zh-CN" w:bidi="ar"/>
        </w:rPr>
        <w:t>下一步改进措施</w:t>
      </w:r>
    </w:p>
    <w:p w14:paraId="56F82BC7">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(一)提高认识,突出重点</w:t>
      </w:r>
    </w:p>
    <w:p w14:paraId="0FDB3354">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1.提高对预算绩效管理的认识，充分理解财政绩效评价指标体系,注重绩效目标、评价指标的关联性，依据部门职责和年度工作重点，更加科学合理地确定部门绩效目标。</w:t>
      </w:r>
    </w:p>
    <w:p w14:paraId="10C54064">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2.强化全过程预算绩效管理理念,强化部门项目选择与部门职责的相关性。按财政管理要求进一步建立完善项目库和内部项目选择机制,完善项目管理制度，实施项目事前评估，绩效跟踪和绩效评价。</w:t>
      </w:r>
    </w:p>
    <w:p w14:paraId="55C22B87">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3.注重各项指标的可衡量性。可衡量性不仅是指标的量化,还包括对定性指标的分级分档表述。</w:t>
      </w:r>
    </w:p>
    <w:p w14:paraId="41D02345">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(二)提升教育培训实效性，按需求导向课程设计‌</w:t>
      </w:r>
    </w:p>
    <w:p w14:paraId="600B01C7">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建立培训需求调研机制，通过问卷、座谈等方式收集学员实际需求，按需定制"订单式"课程，增加乡村振兴、基层治理等实务内容占比。推广"课堂+基地"教学模式，结合本地红色资源、产业园区开展现场教学，每年现场教学课时不低于总课时的30%。</w:t>
      </w:r>
    </w:p>
    <w:p w14:paraId="7470F30F">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eastAsia" w:ascii="黑体" w:hAnsi="宋体" w:eastAsia="黑体" w:cs="黑体"/>
          <w:snapToGrid/>
          <w:color w:val="000000"/>
          <w:kern w:val="0"/>
          <w:sz w:val="32"/>
          <w:szCs w:val="32"/>
          <w:lang w:val="en-US" w:eastAsia="zh-CN" w:bidi="ar"/>
        </w:rPr>
      </w:pPr>
      <w:r>
        <w:rPr>
          <w:rFonts w:hint="eastAsia" w:ascii="黑体" w:hAnsi="宋体" w:eastAsia="黑体" w:cs="黑体"/>
          <w:snapToGrid/>
          <w:color w:val="000000"/>
          <w:kern w:val="0"/>
          <w:sz w:val="32"/>
          <w:szCs w:val="32"/>
          <w:lang w:val="en-US" w:eastAsia="zh-CN" w:bidi="ar"/>
        </w:rPr>
        <w:t>绩效自评结果拟应用和公开情况</w:t>
      </w:r>
    </w:p>
    <w:p w14:paraId="7BF896D2">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将自评结果作为2026年预算调整依据。中共会同县委党校按财政局要求挂网公示完整自评表及报告，包含资金执行率、目标完成度等核心指标。</w:t>
      </w:r>
    </w:p>
    <w:p w14:paraId="261DFC67">
      <w:pPr>
        <w:keepNext w:val="0"/>
        <w:keepLines w:val="0"/>
        <w:pageBreakBefore w:val="0"/>
        <w:widowControl/>
        <w:numPr>
          <w:ilvl w:val="0"/>
          <w:numId w:val="7"/>
        </w:numPr>
        <w:kinsoku w:val="0"/>
        <w:wordWrap/>
        <w:overflowPunct/>
        <w:topLinePunct w:val="0"/>
        <w:autoSpaceDE w:val="0"/>
        <w:autoSpaceDN w:val="0"/>
        <w:bidi w:val="0"/>
        <w:adjustRightInd w:val="0"/>
        <w:snapToGrid w:val="0"/>
        <w:spacing w:line="560" w:lineRule="exact"/>
        <w:ind w:left="0" w:leftChars="0" w:right="0" w:firstLine="640" w:firstLineChars="200"/>
        <w:jc w:val="both"/>
        <w:textAlignment w:val="baseline"/>
        <w:outlineLvl w:val="1"/>
        <w:rPr>
          <w:rFonts w:hint="eastAsia" w:ascii="黑体" w:hAnsi="宋体" w:eastAsia="黑体" w:cs="黑体"/>
          <w:snapToGrid/>
          <w:color w:val="000000"/>
          <w:kern w:val="0"/>
          <w:sz w:val="32"/>
          <w:szCs w:val="32"/>
          <w:lang w:val="en-US" w:eastAsia="zh-CN" w:bidi="ar"/>
        </w:rPr>
      </w:pPr>
      <w:r>
        <w:rPr>
          <w:rFonts w:hint="eastAsia" w:ascii="黑体" w:hAnsi="宋体" w:eastAsia="黑体" w:cs="黑体"/>
          <w:snapToGrid/>
          <w:color w:val="000000"/>
          <w:kern w:val="0"/>
          <w:sz w:val="32"/>
          <w:szCs w:val="32"/>
          <w:lang w:val="en-US" w:eastAsia="zh-CN" w:bidi="ar"/>
        </w:rPr>
        <w:t>其他需要说明的情况</w:t>
      </w:r>
    </w:p>
    <w:p w14:paraId="7AADFE0C">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200" w:right="0" w:rightChars="0" w:firstLine="640" w:firstLineChars="200"/>
        <w:jc w:val="both"/>
        <w:textAlignment w:val="baseline"/>
        <w:rPr>
          <w:rFonts w:hint="default"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无</w:t>
      </w:r>
    </w:p>
    <w:p w14:paraId="1ED9437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报告需要以下附件：</w:t>
      </w:r>
    </w:p>
    <w:p w14:paraId="7E25E5CF">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1.部门整体支出绩效评价基础数据表(必填)</w:t>
      </w:r>
    </w:p>
    <w:p w14:paraId="013A3AC9">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2.部门整体支出绩效自评表(必填)</w:t>
      </w:r>
    </w:p>
    <w:p w14:paraId="77422DA7">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3.项目支出绩效自评表(每个一级项目支出一张表)</w:t>
      </w:r>
    </w:p>
    <w:p w14:paraId="1DDEA7F0">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4.政府性基金预算支出情况表(选填)</w:t>
      </w:r>
    </w:p>
    <w:p w14:paraId="4B4763E1">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napToGrid/>
          <w:color w:val="000000"/>
          <w:kern w:val="0"/>
          <w:sz w:val="32"/>
          <w:szCs w:val="32"/>
          <w:lang w:val="en-US" w:eastAsia="zh-CN" w:bidi="ar"/>
        </w:rPr>
      </w:pPr>
      <w:r>
        <w:rPr>
          <w:rFonts w:hint="eastAsia" w:ascii="仿宋_GB2312" w:hAnsi="仿宋_GB2312" w:eastAsia="仿宋_GB2312" w:cs="仿宋_GB2312"/>
          <w:snapToGrid/>
          <w:color w:val="000000"/>
          <w:kern w:val="0"/>
          <w:sz w:val="32"/>
          <w:szCs w:val="32"/>
          <w:lang w:val="en-US" w:eastAsia="zh-CN" w:bidi="ar"/>
        </w:rPr>
        <w:t>5.国有资本经营预算支出情况表(选填)</w:t>
      </w:r>
    </w:p>
    <w:p w14:paraId="176497BC">
      <w:pPr>
        <w:pStyle w:val="3"/>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sz w:val="32"/>
          <w:szCs w:val="32"/>
        </w:rPr>
        <w:sectPr>
          <w:footerReference r:id="rId8" w:type="default"/>
          <w:pgSz w:w="12020" w:h="16960"/>
          <w:pgMar w:top="2041" w:right="1531" w:bottom="1757" w:left="1531" w:header="0" w:footer="1011" w:gutter="0"/>
          <w:pgNumType w:fmt="numberInDash"/>
          <w:cols w:space="720" w:num="1"/>
        </w:sectPr>
      </w:pPr>
      <w:r>
        <w:rPr>
          <w:rFonts w:hint="eastAsia" w:ascii="仿宋_GB2312" w:hAnsi="仿宋_GB2312" w:eastAsia="仿宋_GB2312" w:cs="仿宋_GB2312"/>
          <w:snapToGrid/>
          <w:color w:val="000000"/>
          <w:kern w:val="0"/>
          <w:sz w:val="32"/>
          <w:szCs w:val="32"/>
          <w:lang w:val="en-US" w:eastAsia="zh-CN" w:bidi="ar"/>
        </w:rPr>
        <w:t>6.社会保险基金预算支出情况表(选填)</w:t>
      </w:r>
    </w:p>
    <w:p w14:paraId="0A866697">
      <w:pPr>
        <w:pStyle w:val="16"/>
        <w:jc w:val="center"/>
        <w:rPr>
          <w:rFonts w:ascii="Times New Roman" w:hAnsi="Times New Roman" w:cs="Times New Roman"/>
          <w:sz w:val="72"/>
          <w:szCs w:val="72"/>
        </w:rPr>
      </w:pPr>
    </w:p>
    <w:p w14:paraId="0941A0F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335E34D-6153-48E4-B723-D6F68CB01C01}"/>
  </w:font>
  <w:font w:name="黑体">
    <w:panose1 w:val="02010609060101010101"/>
    <w:charset w:val="86"/>
    <w:family w:val="auto"/>
    <w:pitch w:val="default"/>
    <w:sig w:usb0="800002BF" w:usb1="38CF7CFA" w:usb2="00000016" w:usb3="00000000" w:csb0="00040001" w:csb1="00000000"/>
    <w:embedRegular r:id="rId2" w:fontKey="{7FE87BAD-F97D-4157-ABC0-EA49CFC17DB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embedRegular r:id="rId3" w:fontKey="{80872121-4B75-4128-B8C4-6E77C823374B}"/>
  </w:font>
  <w:font w:name="方正小标宋简体">
    <w:panose1 w:val="02000000000000000000"/>
    <w:charset w:val="86"/>
    <w:family w:val="auto"/>
    <w:pitch w:val="default"/>
    <w:sig w:usb0="00000001" w:usb1="08000000" w:usb2="00000000" w:usb3="00000000" w:csb0="00040000" w:csb1="00000000"/>
    <w:embedRegular r:id="rId4" w:fontKey="{203A4039-CF4C-48AB-8B37-C3EB60EB8A64}"/>
  </w:font>
  <w:font w:name="方正小标宋_GBK">
    <w:altName w:val="微软雅黑"/>
    <w:panose1 w:val="03000509000000000000"/>
    <w:charset w:val="86"/>
    <w:family w:val="script"/>
    <w:pitch w:val="default"/>
    <w:sig w:usb0="00000000" w:usb1="00000000" w:usb2="00000000" w:usb3="00000000" w:csb0="00040000" w:csb1="00000000"/>
    <w:embedRegular r:id="rId5" w:fontKey="{BF5BC50F-9D22-40B6-8A40-AA624C7BE13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6" w:fontKey="{D1DCCA4D-84EC-4172-9299-3446AD85B59B}"/>
  </w:font>
  <w:font w:name="华文中宋">
    <w:altName w:val="宋体"/>
    <w:panose1 w:val="02010600040101010101"/>
    <w:charset w:val="86"/>
    <w:family w:val="auto"/>
    <w:pitch w:val="default"/>
    <w:sig w:usb0="00000000" w:usb1="00000000" w:usb2="00000000" w:usb3="00000000" w:csb0="0004009F" w:csb1="DFD70000"/>
    <w:embedRegular r:id="rId7" w:fontKey="{058BAB23-3D25-4F1B-BF14-1DE3E0F7948F}"/>
  </w:font>
  <w:font w:name="楷体_GB2312">
    <w:altName w:val="楷体"/>
    <w:panose1 w:val="02010609030101010101"/>
    <w:charset w:val="86"/>
    <w:family w:val="modern"/>
    <w:pitch w:val="default"/>
    <w:sig w:usb0="00000000" w:usb1="00000000" w:usb2="00000000" w:usb3="00000000" w:csb0="00040000" w:csb1="00000000"/>
    <w:embedRegular r:id="rId8" w:fontKey="{E1DE80B4-DC0B-475D-A1D7-8FB05AB253A7}"/>
  </w:font>
  <w:font w:name="楷体">
    <w:panose1 w:val="02010609060101010101"/>
    <w:charset w:val="86"/>
    <w:family w:val="modern"/>
    <w:pitch w:val="default"/>
    <w:sig w:usb0="800002BF" w:usb1="38CF7CFA" w:usb2="00000016" w:usb3="00000000" w:csb0="00040001" w:csb1="00000000"/>
    <w:embedRegular r:id="rId9" w:fontKey="{96542873-4214-4831-A71D-C098622792A0}"/>
  </w:font>
  <w:font w:name="WPSEMBED1">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A3E7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58E44">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F5D58">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E0163">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3C656">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913C656">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0E0C7">
    <w:pPr>
      <w:spacing w:line="173" w:lineRule="auto"/>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6ED116">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6ED116">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6FE99">
    <w:pPr>
      <w:spacing w:line="172" w:lineRule="auto"/>
      <w:ind w:left="4097"/>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1034CE">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D1034CE">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9F17A"/>
    <w:multiLevelType w:val="singleLevel"/>
    <w:tmpl w:val="8069F17A"/>
    <w:lvl w:ilvl="0" w:tentative="0">
      <w:start w:val="8"/>
      <w:numFmt w:val="chineseCounting"/>
      <w:suff w:val="nothing"/>
      <w:lvlText w:val="%1、"/>
      <w:lvlJc w:val="left"/>
      <w:rPr>
        <w:rFonts w:hint="eastAsia"/>
      </w:rPr>
    </w:lvl>
  </w:abstractNum>
  <w:abstractNum w:abstractNumId="1">
    <w:nsid w:val="8C1795E6"/>
    <w:multiLevelType w:val="singleLevel"/>
    <w:tmpl w:val="8C1795E6"/>
    <w:lvl w:ilvl="0" w:tentative="0">
      <w:start w:val="5"/>
      <w:numFmt w:val="chineseCounting"/>
      <w:suff w:val="nothing"/>
      <w:lvlText w:val="%1、"/>
      <w:lvlJc w:val="left"/>
      <w:rPr>
        <w:rFonts w:hint="eastAsia"/>
      </w:rPr>
    </w:lvl>
  </w:abstractNum>
  <w:abstractNum w:abstractNumId="2">
    <w:nsid w:val="D3199661"/>
    <w:multiLevelType w:val="singleLevel"/>
    <w:tmpl w:val="D3199661"/>
    <w:lvl w:ilvl="0" w:tentative="0">
      <w:start w:val="3"/>
      <w:numFmt w:val="decimal"/>
      <w:lvlText w:val="%1."/>
      <w:lvlJc w:val="left"/>
      <w:pPr>
        <w:tabs>
          <w:tab w:val="left" w:pos="312"/>
        </w:tabs>
      </w:pPr>
    </w:lvl>
  </w:abstractNum>
  <w:abstractNum w:abstractNumId="3">
    <w:nsid w:val="2C89411D"/>
    <w:multiLevelType w:val="singleLevel"/>
    <w:tmpl w:val="2C89411D"/>
    <w:lvl w:ilvl="0" w:tentative="0">
      <w:start w:val="2"/>
      <w:numFmt w:val="chineseCounting"/>
      <w:lvlText w:val="(%1)"/>
      <w:lvlJc w:val="left"/>
      <w:pPr>
        <w:tabs>
          <w:tab w:val="left" w:pos="312"/>
        </w:tabs>
      </w:pPr>
      <w:rPr>
        <w:rFonts w:hint="eastAsia"/>
      </w:rPr>
    </w:lvl>
  </w:abstractNum>
  <w:abstractNum w:abstractNumId="4">
    <w:nsid w:val="5DF64B01"/>
    <w:multiLevelType w:val="singleLevel"/>
    <w:tmpl w:val="5DF64B01"/>
    <w:lvl w:ilvl="0" w:tentative="0">
      <w:start w:val="2"/>
      <w:numFmt w:val="chineseCounting"/>
      <w:suff w:val="nothing"/>
      <w:lvlText w:val="%1、"/>
      <w:lvlJc w:val="left"/>
      <w:rPr>
        <w:rFonts w:hint="eastAsia"/>
      </w:rPr>
    </w:lvl>
  </w:abstractNum>
  <w:abstractNum w:abstractNumId="5">
    <w:nsid w:val="60369AF3"/>
    <w:multiLevelType w:val="singleLevel"/>
    <w:tmpl w:val="60369AF3"/>
    <w:lvl w:ilvl="0" w:tentative="0">
      <w:start w:val="7"/>
      <w:numFmt w:val="chineseCounting"/>
      <w:suff w:val="nothing"/>
      <w:lvlText w:val="%1、"/>
      <w:lvlJc w:val="left"/>
      <w:rPr>
        <w:rFonts w:hint="eastAsia"/>
      </w:rPr>
    </w:lvl>
  </w:abstractNum>
  <w:abstractNum w:abstractNumId="6">
    <w:nsid w:val="71D7BF13"/>
    <w:multiLevelType w:val="singleLevel"/>
    <w:tmpl w:val="71D7BF13"/>
    <w:lvl w:ilvl="0" w:tentative="0">
      <w:start w:val="1"/>
      <w:numFmt w:val="decimal"/>
      <w:suff w:val="nothing"/>
      <w:lvlText w:val="%1、"/>
      <w:lvlJc w:val="left"/>
    </w:lvl>
  </w:abstractNum>
  <w:num w:numId="1">
    <w:abstractNumId w:val="6"/>
  </w:num>
  <w:num w:numId="2">
    <w:abstractNumId w:val="5"/>
  </w:num>
  <w:num w:numId="3">
    <w:abstractNumId w:val="3"/>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D7178"/>
    <w:rsid w:val="03CD394B"/>
    <w:rsid w:val="0DE01021"/>
    <w:rsid w:val="129675E6"/>
    <w:rsid w:val="131B5F46"/>
    <w:rsid w:val="217C709F"/>
    <w:rsid w:val="57465EFE"/>
    <w:rsid w:val="5C563555"/>
    <w:rsid w:val="5D311666"/>
    <w:rsid w:val="61BB4AC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pPr>
      <w:ind w:left="1680"/>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next w:val="2"/>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
    <w:name w:val="页眉 Char"/>
    <w:basedOn w:val="13"/>
    <w:link w:val="8"/>
    <w:qFormat/>
    <w:uiPriority w:val="99"/>
    <w:rPr>
      <w:sz w:val="18"/>
      <w:szCs w:val="18"/>
    </w:rPr>
  </w:style>
  <w:style w:type="character" w:customStyle="1" w:styleId="15">
    <w:name w:val="页脚 Char"/>
    <w:basedOn w:val="13"/>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dd3a65e-3bce-4f55-9689-a7322a86735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9163</Words>
  <Characters>10830</Characters>
  <Lines>69</Lines>
  <Paragraphs>19</Paragraphs>
  <TotalTime>2</TotalTime>
  <ScaleCrop>false</ScaleCrop>
  <LinksUpToDate>false</LinksUpToDate>
  <CharactersWithSpaces>12124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2026-10-21T02:33:43Z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BE1138B859BB405BBC4F6F70402B21A9_13</vt:lpwstr>
  </property>
  <property fmtid="{D5CDD505-2E9C-101B-9397-08002B2CF9AE}" pid="4" name="KSOTemplateDocerSaveRecord">
    <vt:lpwstr>eyJoZGlkIjoiMjczMzY5YThhNWFjZDE4OTkyYTIxZTVkMjk0MGIyYjIiLCJ1c2VySWQiOiI2MjQyMjY1MTUifQ==</vt:lpwstr>
  </property>
</Properties>
</file>