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8C668">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71EDBBF8">
      <w:pPr>
        <w:pStyle w:val="14"/>
        <w:jc w:val="center"/>
        <w:rPr>
          <w:rFonts w:ascii="Times New Roman" w:hAnsi="Times New Roman" w:cs="Times New Roman"/>
          <w:sz w:val="56"/>
          <w:szCs w:val="56"/>
        </w:rPr>
      </w:pPr>
    </w:p>
    <w:p w14:paraId="5560E673">
      <w:pPr>
        <w:pStyle w:val="14"/>
        <w:jc w:val="center"/>
        <w:rPr>
          <w:rFonts w:ascii="Times New Roman" w:hAnsi="Times New Roman" w:cs="Times New Roman"/>
          <w:sz w:val="84"/>
          <w:szCs w:val="84"/>
        </w:rPr>
      </w:pPr>
    </w:p>
    <w:p w14:paraId="3E8A4ABD">
      <w:pPr>
        <w:pStyle w:val="14"/>
        <w:jc w:val="center"/>
        <w:rPr>
          <w:rFonts w:ascii="Times New Roman" w:hAnsi="Times New Roman" w:cs="Times New Roman"/>
          <w:sz w:val="84"/>
          <w:szCs w:val="84"/>
        </w:rPr>
      </w:pPr>
    </w:p>
    <w:p w14:paraId="7205E19A">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1FF12710">
      <w:pPr>
        <w:pStyle w:val="14"/>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中共会同县委社会工作部</w:t>
      </w:r>
    </w:p>
    <w:p w14:paraId="0F7E18F9">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77329A3">
      <w:pPr>
        <w:pStyle w:val="14"/>
        <w:jc w:val="center"/>
        <w:rPr>
          <w:rFonts w:ascii="Times New Roman" w:hAnsi="Times New Roman" w:eastAsia="方正小标宋_GBK" w:cs="Times New Roman"/>
          <w:sz w:val="56"/>
          <w:szCs w:val="56"/>
        </w:rPr>
      </w:pPr>
    </w:p>
    <w:p w14:paraId="4D556B64">
      <w:pPr>
        <w:pStyle w:val="14"/>
        <w:jc w:val="center"/>
        <w:rPr>
          <w:rFonts w:ascii="Times New Roman" w:hAnsi="Times New Roman" w:cs="Times New Roman"/>
          <w:sz w:val="56"/>
          <w:szCs w:val="56"/>
        </w:rPr>
      </w:pPr>
    </w:p>
    <w:p w14:paraId="4A138552">
      <w:pPr>
        <w:pStyle w:val="14"/>
        <w:rPr>
          <w:rFonts w:ascii="Times New Roman" w:hAnsi="Times New Roman" w:cs="Times New Roman"/>
          <w:sz w:val="56"/>
          <w:szCs w:val="56"/>
        </w:rPr>
      </w:pPr>
    </w:p>
    <w:p w14:paraId="0FFB9512">
      <w:pPr>
        <w:pStyle w:val="14"/>
        <w:jc w:val="center"/>
        <w:rPr>
          <w:rFonts w:ascii="Times New Roman" w:hAnsi="Times New Roman" w:cs="Times New Roman"/>
          <w:sz w:val="32"/>
          <w:szCs w:val="32"/>
        </w:rPr>
      </w:pPr>
    </w:p>
    <w:p w14:paraId="75984F96">
      <w:pPr>
        <w:pStyle w:val="14"/>
        <w:jc w:val="center"/>
        <w:rPr>
          <w:rFonts w:ascii="Times New Roman" w:hAnsi="Times New Roman" w:cs="Times New Roman"/>
          <w:sz w:val="32"/>
          <w:szCs w:val="32"/>
        </w:rPr>
      </w:pPr>
    </w:p>
    <w:p w14:paraId="78D8CE01">
      <w:pPr>
        <w:pStyle w:val="14"/>
        <w:jc w:val="center"/>
        <w:rPr>
          <w:rFonts w:ascii="Times New Roman" w:hAnsi="Times New Roman" w:cs="Times New Roman"/>
          <w:sz w:val="32"/>
          <w:szCs w:val="32"/>
        </w:rPr>
      </w:pPr>
    </w:p>
    <w:p w14:paraId="7D1E6305">
      <w:pPr>
        <w:pStyle w:val="14"/>
        <w:jc w:val="center"/>
        <w:rPr>
          <w:rFonts w:ascii="Times New Roman" w:hAnsi="Times New Roman" w:cs="Times New Roman"/>
          <w:sz w:val="32"/>
          <w:szCs w:val="32"/>
        </w:rPr>
      </w:pPr>
    </w:p>
    <w:p w14:paraId="02317CE3">
      <w:pPr>
        <w:pStyle w:val="14"/>
        <w:jc w:val="center"/>
        <w:rPr>
          <w:rFonts w:ascii="Times New Roman" w:hAnsi="Times New Roman" w:cs="Times New Roman"/>
          <w:sz w:val="32"/>
          <w:szCs w:val="32"/>
        </w:rPr>
      </w:pPr>
    </w:p>
    <w:p w14:paraId="0ED5ACAD">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D3069F0">
      <w:pPr>
        <w:pStyle w:val="14"/>
        <w:spacing w:line="600" w:lineRule="exact"/>
        <w:jc w:val="both"/>
        <w:rPr>
          <w:rFonts w:ascii="Times New Roman" w:hAnsi="Times New Roman" w:cs="Times New Roman"/>
          <w:b/>
          <w:sz w:val="36"/>
          <w:szCs w:val="28"/>
        </w:rPr>
      </w:pPr>
    </w:p>
    <w:p w14:paraId="32600BB9">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085335E">
      <w:pPr>
        <w:pStyle w:val="14"/>
        <w:spacing w:line="600" w:lineRule="exact"/>
        <w:jc w:val="center"/>
        <w:rPr>
          <w:rFonts w:ascii="Times New Roman" w:hAnsi="Times New Roman" w:cs="Times New Roman"/>
          <w:b/>
          <w:sz w:val="36"/>
          <w:szCs w:val="28"/>
        </w:rPr>
      </w:pPr>
    </w:p>
    <w:p w14:paraId="59FAC211">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中共会同县委社会工作部部门</w:t>
      </w:r>
      <w:r>
        <w:rPr>
          <w:rFonts w:ascii="Times New Roman" w:hAnsi="Times New Roman" w:cs="Times New Roman"/>
          <w:bCs/>
          <w:sz w:val="32"/>
          <w:szCs w:val="32"/>
        </w:rPr>
        <w:t>概况</w:t>
      </w:r>
    </w:p>
    <w:p w14:paraId="4001B5E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9DBFC3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41037AD">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960A36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4E825E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C9341E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C80F9A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452A94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AE42C7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8FC83A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C134A6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8086F1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B71C817">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04A8DC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CEC080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6A4A8C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570768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469865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1E68CA7">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54C4668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0B081B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F65182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588374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3C5A734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1B56A4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F4CFD5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43F713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w:t>
      </w:r>
      <w:r>
        <w:rPr>
          <w:rFonts w:hint="default" w:ascii="Nimbus Roman" w:hAnsi="Nimbus Roman" w:eastAsia="仿宋_GB2312" w:cs="Nimbus Roman"/>
          <w:sz w:val="32"/>
          <w:szCs w:val="32"/>
        </w:rPr>
        <w:t>202</w:t>
      </w:r>
      <w:r>
        <w:rPr>
          <w:rFonts w:hint="default" w:ascii="Nimbus Roman" w:hAnsi="Nimbus Roman" w:eastAsia="仿宋_GB2312" w:cs="Nimbus Roman"/>
          <w:sz w:val="32"/>
          <w:szCs w:val="32"/>
          <w:lang w:val="en-US" w:eastAsia="zh-CN"/>
        </w:rPr>
        <w:t>5</w:t>
      </w:r>
      <w:r>
        <w:rPr>
          <w:rFonts w:ascii="Times New Roman" w:hAnsi="Times New Roman" w:eastAsia="仿宋_GB2312" w:cs="Times New Roman"/>
          <w:sz w:val="32"/>
          <w:szCs w:val="32"/>
        </w:rPr>
        <w:t>年度预算绩效管理情况的说明</w:t>
      </w:r>
    </w:p>
    <w:p w14:paraId="7FE51F49">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B1AFA65">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E2AD216">
      <w:pPr>
        <w:pStyle w:val="14"/>
        <w:spacing w:line="600" w:lineRule="exact"/>
        <w:rPr>
          <w:rFonts w:ascii="Times New Roman" w:hAnsi="Times New Roman" w:cs="Times New Roman"/>
          <w:bCs/>
          <w:sz w:val="28"/>
          <w:szCs w:val="28"/>
        </w:rPr>
      </w:pPr>
    </w:p>
    <w:p w14:paraId="4FDA6ED2">
      <w:pPr>
        <w:jc w:val="center"/>
        <w:rPr>
          <w:rFonts w:ascii="Times New Roman" w:hAnsi="Times New Roman" w:cs="Times New Roman"/>
          <w:sz w:val="72"/>
          <w:szCs w:val="72"/>
        </w:rPr>
      </w:pPr>
    </w:p>
    <w:p w14:paraId="2F618F6F">
      <w:pPr>
        <w:jc w:val="center"/>
        <w:rPr>
          <w:rFonts w:ascii="Times New Roman" w:hAnsi="Times New Roman" w:cs="Times New Roman"/>
          <w:sz w:val="72"/>
          <w:szCs w:val="72"/>
        </w:rPr>
      </w:pPr>
    </w:p>
    <w:p w14:paraId="78E32BFE">
      <w:pPr>
        <w:jc w:val="center"/>
        <w:rPr>
          <w:rFonts w:ascii="Times New Roman" w:hAnsi="Times New Roman" w:cs="Times New Roman"/>
          <w:sz w:val="72"/>
          <w:szCs w:val="72"/>
        </w:rPr>
      </w:pPr>
    </w:p>
    <w:p w14:paraId="29D07F1B">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F788322">
      <w:pPr>
        <w:rPr>
          <w:rFonts w:ascii="Times New Roman" w:hAnsi="Times New Roman" w:eastAsia="方正小标宋_GBK" w:cs="Times New Roman"/>
          <w:sz w:val="72"/>
          <w:szCs w:val="72"/>
        </w:rPr>
      </w:pPr>
    </w:p>
    <w:p w14:paraId="6576C2E3">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06A8D4A6">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中共会同县委社会工作部</w:t>
      </w:r>
      <w:r>
        <w:rPr>
          <w:rFonts w:ascii="Times New Roman" w:hAnsi="Times New Roman" w:eastAsia="方正小标宋_GBK" w:cs="Times New Roman"/>
          <w:sz w:val="52"/>
          <w:szCs w:val="52"/>
        </w:rPr>
        <w:t>部门概况</w:t>
      </w:r>
    </w:p>
    <w:p w14:paraId="36FA1729">
      <w:pPr>
        <w:pStyle w:val="4"/>
        <w:ind w:left="0" w:leftChars="0" w:firstLine="0" w:firstLineChars="0"/>
        <w:rPr>
          <w:rFonts w:ascii="Times New Roman" w:hAnsi="Times New Roman" w:cs="Times New Roman"/>
        </w:rPr>
      </w:pPr>
    </w:p>
    <w:p w14:paraId="3FE00DC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一、部门职责</w:t>
      </w:r>
    </w:p>
    <w:p w14:paraId="305C08FE">
      <w:pPr>
        <w:snapToGrid w:val="0"/>
        <w:spacing w:line="520" w:lineRule="exact"/>
        <w:ind w:firstLine="640" w:firstLineChars="200"/>
        <w:jc w:val="both"/>
        <w:rPr>
          <w:rFonts w:hint="eastAsia" w:ascii="仿宋_GB2312" w:hAnsi="仿宋" w:eastAsia="仿宋_GB2312"/>
          <w:sz w:val="32"/>
          <w:szCs w:val="32"/>
          <w:lang w:val="en-US" w:eastAsia="zh-CN"/>
        </w:rPr>
      </w:pPr>
      <w:r>
        <w:rPr>
          <w:rFonts w:ascii="Times New Roman" w:hAnsi="Times New Roman" w:eastAsia="仿宋_GB2312" w:cs="Times New Roman"/>
          <w:sz w:val="32"/>
          <w:szCs w:val="32"/>
        </w:rPr>
        <w:t>（一）</w:t>
      </w:r>
      <w:r>
        <w:rPr>
          <w:rFonts w:hint="eastAsia" w:ascii="仿宋_GB2312" w:hAnsi="仿宋" w:eastAsia="仿宋_GB2312"/>
          <w:sz w:val="32"/>
          <w:szCs w:val="32"/>
          <w:lang w:val="en-US" w:eastAsia="zh-CN"/>
        </w:rPr>
        <w:t>研究相关理论、政策和规划，参与拟定相关规范性文件并组织实施。深入调查研究，及时向县委报告工作情况并提出建议。接受市委社会工作部领导、指导并报告有关工作。</w:t>
      </w:r>
    </w:p>
    <w:p w14:paraId="38D01543">
      <w:pPr>
        <w:snapToGrid w:val="0"/>
        <w:spacing w:line="520" w:lineRule="exact"/>
        <w:ind w:firstLine="640" w:firstLineChars="200"/>
        <w:jc w:val="both"/>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二）统筹指导群众利益协调、诉求表达、矛盾调处、权益保障等人民信访工作，协调解决人民群众急难愁盼的重大问题。指导人民建议征集工作，负责征集、办理公民、法人和其他组织提出的意见建议，向县委、县人民政府及时反映公民、法人和其他组织提出的有关重要意见建议。指导、规范和监督全县民意反映渠道的运行管理工作。</w:t>
      </w:r>
    </w:p>
    <w:p w14:paraId="4183FA54">
      <w:pPr>
        <w:snapToGrid w:val="0"/>
        <w:spacing w:line="520" w:lineRule="exact"/>
        <w:ind w:firstLine="640" w:firstLineChars="200"/>
        <w:jc w:val="both"/>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（三）统筹推进党建引领基层治理和基层政权建设，协调推进城乡社区治理体系和治理能力建设，推动基层民主政治建设，指导监督基层群众自治制度的有效实施，健全基层群众自制机制。</w:t>
      </w:r>
    </w:p>
    <w:p w14:paraId="4433092D">
      <w:pPr>
        <w:snapToGrid w:val="0"/>
        <w:spacing w:line="520" w:lineRule="exact"/>
        <w:ind w:firstLine="640" w:firstLineChars="200"/>
        <w:jc w:val="both"/>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四）指导混合所有制企业、非公有制企业和新经济组织、新社会组织、新就业群体党建工作，指导协调相关企业单位、社会组织、就业群体中党员的教育、管理、监督和服务工作，研究完善相关领域群众利益协调机制。</w:t>
      </w:r>
    </w:p>
    <w:p w14:paraId="3D614035">
      <w:pPr>
        <w:snapToGrid w:val="0"/>
        <w:spacing w:line="520" w:lineRule="exact"/>
        <w:ind w:firstLine="640" w:firstLineChars="200"/>
        <w:jc w:val="both"/>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（五）指导全县性社会组织党建工作，统一领导全县行业协会商会党的工作，协调推动行业协会商会深化改革和转型发展。</w:t>
      </w:r>
    </w:p>
    <w:p w14:paraId="64AD8C03">
      <w:pPr>
        <w:snapToGrid w:val="0"/>
        <w:spacing w:line="520" w:lineRule="exact"/>
        <w:ind w:firstLine="640" w:firstLineChars="200"/>
        <w:jc w:val="both"/>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（六）负责全县志愿服务工作的统筹规划、协调指导、督促检查。指导社会工作人才队伍建设。</w:t>
      </w:r>
    </w:p>
    <w:p w14:paraId="41C2150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二、机构设置及决算单位构成</w:t>
      </w:r>
    </w:p>
    <w:p w14:paraId="0CA9873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lang w:eastAsia="zh-CN"/>
        </w:rPr>
      </w:pPr>
      <w:r>
        <w:rPr>
          <w:rFonts w:hint="eastAsia" w:ascii="方正楷体_GBK" w:hAnsi="方正楷体_GBK" w:eastAsia="方正楷体_GBK" w:cs="方正楷体_GBK"/>
          <w:bCs/>
          <w:kern w:val="0"/>
          <w:sz w:val="32"/>
          <w:szCs w:val="32"/>
        </w:rPr>
        <w:t>（一）内设机构设置。</w:t>
      </w:r>
      <w:r>
        <w:rPr>
          <w:rFonts w:hint="eastAsia" w:ascii="Times New Roman" w:hAnsi="Times New Roman" w:eastAsia="仿宋_GB2312" w:cs="Times New Roman"/>
          <w:bCs/>
          <w:kern w:val="0"/>
          <w:sz w:val="32"/>
          <w:szCs w:val="32"/>
          <w:lang w:eastAsia="zh-CN"/>
        </w:rPr>
        <w:t>中共会同县委社会工作部</w:t>
      </w:r>
      <w:r>
        <w:rPr>
          <w:rFonts w:ascii="Times New Roman" w:hAnsi="Times New Roman" w:eastAsia="仿宋_GB2312" w:cs="Times New Roman"/>
          <w:bCs/>
          <w:kern w:val="0"/>
          <w:sz w:val="32"/>
          <w:szCs w:val="32"/>
        </w:rPr>
        <w:t>内设机构包括：</w:t>
      </w:r>
      <w:r>
        <w:rPr>
          <w:rFonts w:hint="eastAsia" w:ascii="Times New Roman" w:hAnsi="Times New Roman" w:eastAsia="仿宋_GB2312" w:cs="Times New Roman"/>
          <w:bCs/>
          <w:kern w:val="0"/>
          <w:sz w:val="32"/>
          <w:szCs w:val="32"/>
          <w:lang w:eastAsia="zh-CN"/>
        </w:rPr>
        <w:t>办公室（人民建议征集和</w:t>
      </w:r>
      <w:r>
        <w:rPr>
          <w:rFonts w:hint="default" w:ascii="Nimbus Roman" w:hAnsi="Nimbus Roman" w:eastAsia="仿宋_GB2312" w:cs="Nimbus Roman"/>
          <w:bCs/>
          <w:kern w:val="0"/>
          <w:sz w:val="32"/>
          <w:szCs w:val="32"/>
          <w:lang w:val="en-US" w:eastAsia="zh-CN"/>
        </w:rPr>
        <w:t>12345</w:t>
      </w:r>
      <w:r>
        <w:rPr>
          <w:rFonts w:hint="eastAsia" w:ascii="Times New Roman" w:hAnsi="Times New Roman" w:eastAsia="仿宋_GB2312" w:cs="Times New Roman"/>
          <w:bCs/>
          <w:kern w:val="0"/>
          <w:sz w:val="32"/>
          <w:szCs w:val="32"/>
          <w:lang w:val="en-US" w:eastAsia="zh-CN"/>
        </w:rPr>
        <w:t>热线管理室</w:t>
      </w:r>
      <w:r>
        <w:rPr>
          <w:rFonts w:hint="eastAsia" w:ascii="Times New Roman" w:hAnsi="Times New Roman" w:eastAsia="仿宋_GB2312" w:cs="Times New Roman"/>
          <w:bCs/>
          <w:kern w:val="0"/>
          <w:sz w:val="32"/>
          <w:szCs w:val="32"/>
          <w:lang w:eastAsia="zh-CN"/>
        </w:rPr>
        <w:t>）、基层治理和基层政权建设室、“两企三新”党建和行业协会商会工作室、志愿服务和社会工作服务室四个职能科室，下设会同县社会工作事务中心。</w:t>
      </w:r>
    </w:p>
    <w:p w14:paraId="443653BD">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lang w:eastAsia="zh-CN"/>
        </w:rPr>
      </w:pPr>
      <w:r>
        <w:rPr>
          <w:rFonts w:hint="eastAsia" w:ascii="方正楷体_GBK" w:hAnsi="方正楷体_GBK" w:eastAsia="方正楷体_GBK" w:cs="方正楷体_GBK"/>
          <w:bCs/>
          <w:kern w:val="0"/>
          <w:sz w:val="32"/>
          <w:szCs w:val="32"/>
        </w:rPr>
        <w:t>（二）决算单位构成。</w:t>
      </w:r>
      <w:r>
        <w:rPr>
          <w:rFonts w:hint="eastAsia" w:ascii="Times New Roman" w:hAnsi="Times New Roman" w:eastAsia="仿宋_GB2312" w:cs="Times New Roman"/>
          <w:bCs/>
          <w:kern w:val="0"/>
          <w:sz w:val="32"/>
          <w:szCs w:val="32"/>
          <w:lang w:eastAsia="zh-CN"/>
        </w:rPr>
        <w:t>中共会同县委社会工作部</w:t>
      </w:r>
      <w:r>
        <w:rPr>
          <w:rFonts w:hint="default" w:ascii="Nimbus Roman" w:hAnsi="Nimbus Roman" w:eastAsia="仿宋_GB2312" w:cs="Nimbus Roman"/>
          <w:bCs/>
          <w:kern w:val="0"/>
          <w:sz w:val="32"/>
          <w:szCs w:val="32"/>
          <w:lang w:val="en-US" w:eastAsia="zh-CN"/>
        </w:rPr>
        <w:t>202</w:t>
      </w:r>
      <w:r>
        <w:rPr>
          <w:rFonts w:hint="eastAsia" w:ascii="Nimbus Roman" w:hAnsi="Nimbus Roman" w:eastAsia="仿宋_GB2312" w:cs="Nimbus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中共会同县委社会工作部</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231BDBA9">
      <w:pPr>
        <w:widowControl/>
        <w:spacing w:line="600" w:lineRule="exact"/>
        <w:rPr>
          <w:rFonts w:ascii="Times New Roman" w:hAnsi="Times New Roman" w:eastAsia="仿宋_GB2312" w:cs="Times New Roman"/>
          <w:bCs/>
          <w:kern w:val="0"/>
          <w:sz w:val="32"/>
          <w:szCs w:val="32"/>
        </w:rPr>
      </w:pPr>
    </w:p>
    <w:p w14:paraId="687567AF">
      <w:pPr>
        <w:jc w:val="left"/>
        <w:rPr>
          <w:rFonts w:ascii="Times New Roman" w:hAnsi="Times New Roman" w:eastAsia="仿宋_GB2312" w:cs="Times New Roman"/>
          <w:sz w:val="28"/>
          <w:szCs w:val="32"/>
        </w:rPr>
      </w:pPr>
    </w:p>
    <w:p w14:paraId="28A6C1DF">
      <w:pPr>
        <w:jc w:val="center"/>
        <w:rPr>
          <w:rFonts w:ascii="Times New Roman" w:hAnsi="Times New Roman" w:eastAsia="黑体" w:cs="Times New Roman"/>
          <w:sz w:val="28"/>
          <w:szCs w:val="28"/>
        </w:rPr>
      </w:pPr>
    </w:p>
    <w:p w14:paraId="58D77090">
      <w:pPr>
        <w:jc w:val="center"/>
        <w:rPr>
          <w:rFonts w:ascii="Times New Roman" w:hAnsi="Times New Roman" w:eastAsia="黑体" w:cs="Times New Roman"/>
          <w:sz w:val="28"/>
          <w:szCs w:val="28"/>
        </w:rPr>
      </w:pPr>
    </w:p>
    <w:p w14:paraId="53F5AC3E">
      <w:pPr>
        <w:jc w:val="center"/>
        <w:rPr>
          <w:rFonts w:ascii="Times New Roman" w:hAnsi="Times New Roman" w:eastAsia="黑体" w:cs="Times New Roman"/>
          <w:sz w:val="28"/>
          <w:szCs w:val="28"/>
        </w:rPr>
      </w:pPr>
    </w:p>
    <w:p w14:paraId="3E052D48">
      <w:pPr>
        <w:jc w:val="center"/>
        <w:rPr>
          <w:rFonts w:ascii="Times New Roman" w:hAnsi="Times New Roman" w:eastAsia="黑体" w:cs="Times New Roman"/>
          <w:sz w:val="28"/>
          <w:szCs w:val="28"/>
        </w:rPr>
      </w:pPr>
    </w:p>
    <w:p w14:paraId="4B5ABD2C">
      <w:pPr>
        <w:jc w:val="center"/>
        <w:rPr>
          <w:rFonts w:ascii="Times New Roman" w:hAnsi="Times New Roman" w:eastAsia="黑体" w:cs="Times New Roman"/>
          <w:sz w:val="28"/>
          <w:szCs w:val="28"/>
        </w:rPr>
      </w:pPr>
    </w:p>
    <w:p w14:paraId="2E7B3E8E">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142DC9AA">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D9AD8AF">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4E83E966">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w:t>
      </w:r>
      <w:r>
        <w:rPr>
          <w:rFonts w:hint="default" w:ascii="Nimbus Roman" w:hAnsi="Nimbus Roman" w:eastAsia="仿宋_GB2312" w:cs="Nimbus Roman"/>
          <w:color w:val="000000"/>
          <w:kern w:val="0"/>
          <w:sz w:val="20"/>
          <w:szCs w:val="20"/>
        </w:rPr>
        <w:t>01</w:t>
      </w:r>
      <w:r>
        <w:rPr>
          <w:rFonts w:ascii="Times New Roman" w:hAnsi="Times New Roman" w:eastAsia="仿宋_GB2312" w:cs="Times New Roman"/>
          <w:color w:val="000000"/>
          <w:kern w:val="0"/>
          <w:sz w:val="20"/>
          <w:szCs w:val="20"/>
        </w:rPr>
        <w:t>表</w:t>
      </w:r>
    </w:p>
    <w:p w14:paraId="1BF4285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中共会同县委社会工作部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5000" w:type="pct"/>
        <w:jc w:val="center"/>
        <w:tblLayout w:type="autofit"/>
        <w:tblCellMar>
          <w:top w:w="0" w:type="dxa"/>
          <w:left w:w="108" w:type="dxa"/>
          <w:bottom w:w="0" w:type="dxa"/>
          <w:right w:w="108" w:type="dxa"/>
        </w:tblCellMar>
      </w:tblPr>
      <w:tblGrid>
        <w:gridCol w:w="3736"/>
        <w:gridCol w:w="656"/>
        <w:gridCol w:w="3239"/>
        <w:gridCol w:w="3516"/>
        <w:gridCol w:w="656"/>
        <w:gridCol w:w="2417"/>
      </w:tblGrid>
      <w:tr w14:paraId="53FAC0C1">
        <w:tblPrEx>
          <w:tblCellMar>
            <w:top w:w="0" w:type="dxa"/>
            <w:left w:w="108" w:type="dxa"/>
            <w:bottom w:w="0" w:type="dxa"/>
            <w:right w:w="108" w:type="dxa"/>
          </w:tblCellMar>
        </w:tblPrEx>
        <w:trPr>
          <w:trHeight w:val="454" w:hRule="exact"/>
          <w:jc w:val="center"/>
        </w:trPr>
        <w:tc>
          <w:tcPr>
            <w:tcW w:w="2643" w:type="pct"/>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0907EBC">
            <w:pPr>
              <w:keepNext w:val="0"/>
              <w:keepLines w:val="0"/>
              <w:widowControl/>
              <w:suppressLineNumbers w:val="0"/>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收入</w:t>
            </w:r>
          </w:p>
        </w:tc>
        <w:tc>
          <w:tcPr>
            <w:tcW w:w="2356" w:type="pct"/>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7DEF1AD2">
            <w:pPr>
              <w:keepNext w:val="0"/>
              <w:keepLines w:val="0"/>
              <w:widowControl/>
              <w:suppressLineNumbers w:val="0"/>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支出</w:t>
            </w:r>
          </w:p>
        </w:tc>
      </w:tr>
      <w:tr w14:paraId="2C0D75D1">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86F8578">
            <w:pPr>
              <w:keepNext w:val="0"/>
              <w:keepLines w:val="0"/>
              <w:widowControl/>
              <w:suppressLineNumbers w:val="0"/>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项目</w:t>
            </w: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08DC212">
            <w:pPr>
              <w:keepNext w:val="0"/>
              <w:keepLines w:val="0"/>
              <w:widowControl/>
              <w:suppressLineNumbers w:val="0"/>
              <w:jc w:val="center"/>
              <w:textAlignment w:val="center"/>
              <w:rPr>
                <w:rFonts w:hint="eastAsia" w:ascii="方正仿宋_GBK" w:hAnsi="方正仿宋_GBK" w:eastAsia="方正仿宋_GBK" w:cs="方正仿宋_GBK"/>
              </w:rPr>
            </w:pPr>
            <w:r>
              <w:rPr>
                <w:rFonts w:hint="eastAsia" w:ascii="方正仿宋_GBK" w:hAnsi="方正仿宋_GBK" w:eastAsia="方正仿宋_GBK" w:cs="方正仿宋_GBK"/>
                <w:i w:val="0"/>
                <w:iCs w:val="0"/>
                <w:color w:val="000000"/>
                <w:kern w:val="0"/>
                <w:sz w:val="22"/>
                <w:szCs w:val="22"/>
                <w:u w:val="none"/>
                <w:lang w:val="en-US" w:eastAsia="zh-CN" w:bidi="ar"/>
              </w:rPr>
              <w:t>行次</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2D6D69F">
            <w:pPr>
              <w:keepNext w:val="0"/>
              <w:keepLines w:val="0"/>
              <w:widowControl/>
              <w:suppressLineNumbers w:val="0"/>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决算数</w:t>
            </w: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BDF8719">
            <w:pPr>
              <w:keepNext w:val="0"/>
              <w:keepLines w:val="0"/>
              <w:widowControl/>
              <w:suppressLineNumbers w:val="0"/>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项目</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80C7751">
            <w:pPr>
              <w:keepNext w:val="0"/>
              <w:keepLines w:val="0"/>
              <w:widowControl/>
              <w:suppressLineNumbers w:val="0"/>
              <w:jc w:val="center"/>
              <w:textAlignment w:val="center"/>
              <w:rPr>
                <w:rFonts w:hint="eastAsia" w:ascii="方正仿宋_GBK" w:hAnsi="方正仿宋_GBK" w:eastAsia="方正仿宋_GBK" w:cs="方正仿宋_GBK"/>
              </w:rPr>
            </w:pPr>
            <w:r>
              <w:rPr>
                <w:rFonts w:hint="eastAsia" w:ascii="方正仿宋_GBK" w:hAnsi="方正仿宋_GBK" w:eastAsia="方正仿宋_GBK" w:cs="方正仿宋_GBK"/>
                <w:i w:val="0"/>
                <w:iCs w:val="0"/>
                <w:color w:val="000000"/>
                <w:kern w:val="0"/>
                <w:sz w:val="22"/>
                <w:szCs w:val="22"/>
                <w:u w:val="none"/>
                <w:lang w:val="en-US" w:eastAsia="zh-CN" w:bidi="ar"/>
              </w:rPr>
              <w:t>行次</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8A5C129">
            <w:pPr>
              <w:keepNext w:val="0"/>
              <w:keepLines w:val="0"/>
              <w:widowControl/>
              <w:suppressLineNumbers w:val="0"/>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决算数</w:t>
            </w:r>
          </w:p>
        </w:tc>
      </w:tr>
      <w:tr w14:paraId="4F8B5B0E">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C6B6BBF">
            <w:pPr>
              <w:keepNext w:val="0"/>
              <w:keepLines w:val="0"/>
              <w:widowControl/>
              <w:suppressLineNumbers w:val="0"/>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栏次</w:t>
            </w: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3A70AD3">
            <w:pPr>
              <w:jc w:val="center"/>
              <w:rPr>
                <w:rFonts w:hint="eastAsia" w:ascii="方正仿宋_GBK" w:hAnsi="方正仿宋_GBK" w:eastAsia="方正仿宋_GBK" w:cs="方正仿宋_GBK"/>
              </w:rPr>
            </w:pP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895F166">
            <w:pPr>
              <w:keepNext w:val="0"/>
              <w:keepLines w:val="0"/>
              <w:widowControl/>
              <w:suppressLineNumbers w:val="0"/>
              <w:jc w:val="center"/>
              <w:textAlignment w:val="center"/>
              <w:rPr>
                <w:rFonts w:hint="eastAsia" w:ascii="方正仿宋_GBK" w:hAnsi="方正仿宋_GBK" w:eastAsia="方正仿宋_GBK" w:cs="方正仿宋_GBK"/>
                <w:color w:val="000000"/>
                <w:sz w:val="24"/>
                <w:szCs w:val="24"/>
              </w:rPr>
            </w:pPr>
            <w:r>
              <w:rPr>
                <w:rFonts w:hint="default" w:ascii="Nimbus Roman" w:hAnsi="Nimbus Roman" w:eastAsia="方正仿宋_GBK" w:cs="Nimbus Roman"/>
                <w:i w:val="0"/>
                <w:iCs w:val="0"/>
                <w:color w:val="000000"/>
                <w:kern w:val="0"/>
                <w:sz w:val="22"/>
                <w:szCs w:val="22"/>
                <w:u w:val="none"/>
                <w:lang w:val="en-US" w:eastAsia="zh-CN" w:bidi="ar"/>
              </w:rPr>
              <w:t>1</w:t>
            </w: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3356657">
            <w:pPr>
              <w:keepNext w:val="0"/>
              <w:keepLines w:val="0"/>
              <w:widowControl/>
              <w:suppressLineNumbers w:val="0"/>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栏次</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230DE06">
            <w:pPr>
              <w:jc w:val="center"/>
              <w:rPr>
                <w:rFonts w:hint="eastAsia" w:ascii="方正仿宋_GBK" w:hAnsi="方正仿宋_GBK" w:eastAsia="方正仿宋_GBK" w:cs="方正仿宋_GBK"/>
              </w:rPr>
            </w:pP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FDD83B9">
            <w:pPr>
              <w:keepNext w:val="0"/>
              <w:keepLines w:val="0"/>
              <w:widowControl/>
              <w:suppressLineNumbers w:val="0"/>
              <w:jc w:val="center"/>
              <w:textAlignment w:val="center"/>
              <w:rPr>
                <w:rFonts w:hint="eastAsia" w:ascii="方正仿宋_GBK" w:hAnsi="方正仿宋_GBK" w:eastAsia="方正仿宋_GBK" w:cs="方正仿宋_GBK"/>
                <w:color w:val="000000"/>
                <w:sz w:val="24"/>
                <w:szCs w:val="24"/>
              </w:rPr>
            </w:pPr>
            <w:r>
              <w:rPr>
                <w:rFonts w:hint="default" w:ascii="Nimbus Roman" w:hAnsi="Nimbus Roman" w:eastAsia="方正仿宋_GBK" w:cs="Nimbus Roman"/>
                <w:i w:val="0"/>
                <w:iCs w:val="0"/>
                <w:color w:val="000000"/>
                <w:kern w:val="0"/>
                <w:sz w:val="22"/>
                <w:szCs w:val="22"/>
                <w:u w:val="none"/>
                <w:lang w:val="en-US" w:eastAsia="zh-CN" w:bidi="ar"/>
              </w:rPr>
              <w:t>2</w:t>
            </w:r>
          </w:p>
        </w:tc>
      </w:tr>
      <w:tr w14:paraId="407C7628">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490093">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一、一般公共预算财政拨款收入</w:t>
            </w:r>
          </w:p>
        </w:tc>
        <w:tc>
          <w:tcPr>
            <w:tcW w:w="14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7A9858">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1</w:t>
            </w:r>
          </w:p>
        </w:tc>
        <w:tc>
          <w:tcPr>
            <w:tcW w:w="2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BC74B8">
            <w:pPr>
              <w:keepNext w:val="0"/>
              <w:keepLines w:val="0"/>
              <w:widowControl/>
              <w:suppressLineNumbers w:val="0"/>
              <w:jc w:val="right"/>
              <w:textAlignment w:val="center"/>
              <w:rPr>
                <w:rFonts w:hint="default" w:ascii="Nimbus Roman" w:hAnsi="Nimbus Roman" w:eastAsia="方正仿宋_GBK" w:cs="Nimbus Roman"/>
                <w:color w:val="000000"/>
                <w:sz w:val="22"/>
              </w:rPr>
            </w:pPr>
            <w:r>
              <w:rPr>
                <w:rFonts w:hint="default" w:ascii="Nimbus Roman" w:hAnsi="Nimbus Roman" w:eastAsia="方正仿宋_GBK" w:cs="Nimbus Roman"/>
                <w:i w:val="0"/>
                <w:iCs w:val="0"/>
                <w:color w:val="000000"/>
                <w:kern w:val="0"/>
                <w:sz w:val="22"/>
                <w:szCs w:val="22"/>
                <w:u w:val="none"/>
                <w:lang w:val="en-US" w:eastAsia="zh-CN" w:bidi="ar"/>
              </w:rPr>
              <w:t xml:space="preserve">210.26 </w:t>
            </w: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90F8BB9">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一、一般公共服务支出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991BA02">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31</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D76763C">
            <w:pPr>
              <w:keepNext w:val="0"/>
              <w:keepLines w:val="0"/>
              <w:widowControl/>
              <w:suppressLineNumbers w:val="0"/>
              <w:jc w:val="right"/>
              <w:textAlignment w:val="center"/>
              <w:rPr>
                <w:rFonts w:hint="default" w:ascii="Nimbus Roman" w:hAnsi="Nimbus Roman" w:eastAsia="方正仿宋_GBK" w:cs="Nimbus Roman"/>
                <w:color w:val="000000"/>
                <w:sz w:val="22"/>
              </w:rPr>
            </w:pPr>
            <w:r>
              <w:rPr>
                <w:rFonts w:hint="default" w:ascii="Nimbus Roman" w:hAnsi="Nimbus Roman" w:eastAsia="方正仿宋_GBK" w:cs="Nimbus Roman"/>
                <w:i w:val="0"/>
                <w:iCs w:val="0"/>
                <w:color w:val="000000"/>
                <w:kern w:val="0"/>
                <w:sz w:val="22"/>
                <w:szCs w:val="22"/>
                <w:u w:val="none"/>
                <w:lang w:val="en-US" w:eastAsia="zh-CN" w:bidi="ar"/>
              </w:rPr>
              <w:t xml:space="preserve">38.14 </w:t>
            </w:r>
          </w:p>
        </w:tc>
      </w:tr>
      <w:tr w14:paraId="25F01C80">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3975231">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二、政府性基金预算财政拨款收入</w:t>
            </w: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4857493">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2</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6B405F2">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F03BABC">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二、外交支出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22620DB">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32</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D061C5D">
            <w:pPr>
              <w:jc w:val="right"/>
              <w:rPr>
                <w:rFonts w:hint="default" w:ascii="Nimbus Roman" w:hAnsi="Nimbus Roman" w:eastAsia="方正仿宋_GBK" w:cs="Nimbus Roman"/>
                <w:color w:val="000000"/>
                <w:sz w:val="22"/>
              </w:rPr>
            </w:pPr>
          </w:p>
        </w:tc>
      </w:tr>
      <w:tr w14:paraId="777E01A3">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BAEE23">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三、国有资本经营预算财政拨款收入</w:t>
            </w:r>
          </w:p>
        </w:tc>
        <w:tc>
          <w:tcPr>
            <w:tcW w:w="14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5DFDA5">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3</w:t>
            </w:r>
          </w:p>
        </w:tc>
        <w:tc>
          <w:tcPr>
            <w:tcW w:w="2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52F8C2">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7BAC056">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三、国防支出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DD91031">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33</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CDAD509">
            <w:pPr>
              <w:jc w:val="right"/>
              <w:rPr>
                <w:rFonts w:hint="default" w:ascii="Nimbus Roman" w:hAnsi="Nimbus Roman" w:eastAsia="方正仿宋_GBK" w:cs="Nimbus Roman"/>
                <w:color w:val="000000"/>
                <w:sz w:val="22"/>
              </w:rPr>
            </w:pPr>
          </w:p>
        </w:tc>
      </w:tr>
      <w:tr w14:paraId="35687E5C">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0C54A63">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四、上级补助收入</w:t>
            </w: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D8A8132">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4</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E19BB1A">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D31497D">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四、公共安全支出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A1F90DC">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34</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4ABC56B">
            <w:pPr>
              <w:jc w:val="right"/>
              <w:rPr>
                <w:rFonts w:hint="default" w:ascii="Nimbus Roman" w:hAnsi="Nimbus Roman" w:eastAsia="方正仿宋_GBK" w:cs="Nimbus Roman"/>
                <w:color w:val="000000"/>
                <w:sz w:val="22"/>
              </w:rPr>
            </w:pPr>
          </w:p>
        </w:tc>
      </w:tr>
      <w:tr w14:paraId="7774FA23">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9A7F25F">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五、事业收入</w:t>
            </w: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3841177">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5</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5E10DC9">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9D4FB2B">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五、教育支出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75DA9BB">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35</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0A8D47F">
            <w:pPr>
              <w:jc w:val="right"/>
              <w:rPr>
                <w:rFonts w:hint="default" w:ascii="Nimbus Roman" w:hAnsi="Nimbus Roman" w:eastAsia="方正仿宋_GBK" w:cs="Nimbus Roman"/>
                <w:color w:val="000000"/>
                <w:sz w:val="22"/>
              </w:rPr>
            </w:pPr>
          </w:p>
        </w:tc>
      </w:tr>
      <w:tr w14:paraId="4EFE5133">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510B9B4">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六、经营收入</w:t>
            </w: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4D07C32">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6</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26E9620">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3AA8887">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六、科学技术支出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834A079">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36</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FC56067">
            <w:pPr>
              <w:jc w:val="right"/>
              <w:rPr>
                <w:rFonts w:hint="default" w:ascii="Nimbus Roman" w:hAnsi="Nimbus Roman" w:eastAsia="方正仿宋_GBK" w:cs="Nimbus Roman"/>
                <w:color w:val="000000"/>
                <w:sz w:val="22"/>
              </w:rPr>
            </w:pPr>
          </w:p>
        </w:tc>
      </w:tr>
      <w:tr w14:paraId="4A57D18D">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E362B31">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七、附属单位上缴收入</w:t>
            </w: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3512FDE">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7</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E2D2D84">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6784C9">
            <w:pPr>
              <w:keepNext w:val="0"/>
              <w:keepLines w:val="0"/>
              <w:widowControl/>
              <w:suppressLineNumbers w:val="0"/>
              <w:jc w:val="left"/>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七、文化旅游体育与传媒支出</w:t>
            </w:r>
          </w:p>
        </w:tc>
        <w:tc>
          <w:tcPr>
            <w:tcW w:w="14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849C03">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37</w:t>
            </w:r>
          </w:p>
        </w:tc>
        <w:tc>
          <w:tcPr>
            <w:tcW w:w="2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52FC5B">
            <w:pPr>
              <w:jc w:val="right"/>
              <w:rPr>
                <w:rFonts w:hint="default" w:ascii="Nimbus Roman" w:hAnsi="Nimbus Roman" w:eastAsia="方正仿宋_GBK" w:cs="Nimbus Roman"/>
                <w:color w:val="000000"/>
                <w:sz w:val="22"/>
              </w:rPr>
            </w:pPr>
          </w:p>
        </w:tc>
      </w:tr>
      <w:tr w14:paraId="04C8FCB7">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C899C16">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八、其他收入</w:t>
            </w: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A13324E">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8</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510B392">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02EADC">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八、社会保障和就业支出</w:t>
            </w:r>
          </w:p>
        </w:tc>
        <w:tc>
          <w:tcPr>
            <w:tcW w:w="14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0FAE46">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38</w:t>
            </w:r>
          </w:p>
        </w:tc>
        <w:tc>
          <w:tcPr>
            <w:tcW w:w="2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BB1ECF">
            <w:pPr>
              <w:keepNext w:val="0"/>
              <w:keepLines w:val="0"/>
              <w:widowControl/>
              <w:suppressLineNumbers w:val="0"/>
              <w:jc w:val="right"/>
              <w:textAlignment w:val="center"/>
              <w:rPr>
                <w:rFonts w:hint="default" w:ascii="Nimbus Roman" w:hAnsi="Nimbus Roman" w:eastAsia="方正仿宋_GBK" w:cs="Nimbus Roman"/>
                <w:color w:val="000000"/>
                <w:sz w:val="22"/>
              </w:rPr>
            </w:pPr>
            <w:r>
              <w:rPr>
                <w:rFonts w:hint="default" w:ascii="Nimbus Roman" w:hAnsi="Nimbus Roman" w:eastAsia="方正仿宋_GBK" w:cs="Nimbus Roman"/>
                <w:i w:val="0"/>
                <w:iCs w:val="0"/>
                <w:color w:val="000000"/>
                <w:kern w:val="0"/>
                <w:sz w:val="22"/>
                <w:szCs w:val="22"/>
                <w:u w:val="none"/>
                <w:lang w:val="en-US" w:eastAsia="zh-CN" w:bidi="ar"/>
              </w:rPr>
              <w:t xml:space="preserve">107.86 </w:t>
            </w:r>
          </w:p>
        </w:tc>
      </w:tr>
      <w:tr w14:paraId="06E5B603">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F9F9BE">
            <w:pPr>
              <w:jc w:val="left"/>
              <w:rPr>
                <w:rFonts w:hint="eastAsia" w:ascii="方正仿宋_GBK" w:hAnsi="方正仿宋_GBK" w:eastAsia="方正仿宋_GBK" w:cs="方正仿宋_GBK"/>
                <w:color w:val="000000"/>
                <w:sz w:val="20"/>
                <w:szCs w:val="20"/>
              </w:rPr>
            </w:pPr>
          </w:p>
        </w:tc>
        <w:tc>
          <w:tcPr>
            <w:tcW w:w="14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7FFCD2">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9</w:t>
            </w:r>
          </w:p>
        </w:tc>
        <w:tc>
          <w:tcPr>
            <w:tcW w:w="2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4F36E5">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73BA8B">
            <w:pPr>
              <w:keepNext w:val="0"/>
              <w:keepLines w:val="0"/>
              <w:widowControl/>
              <w:suppressLineNumbers w:val="0"/>
              <w:jc w:val="left"/>
              <w:textAlignment w:val="center"/>
              <w:rPr>
                <w:rFonts w:hint="eastAsia" w:ascii="方正仿宋_GBK" w:hAnsi="方正仿宋_GBK" w:eastAsia="方正仿宋_GBK" w:cs="方正仿宋_GBK"/>
                <w:color w:val="000000"/>
                <w:sz w:val="20"/>
                <w:szCs w:val="20"/>
              </w:rPr>
            </w:pPr>
            <w:r>
              <w:rPr>
                <w:rFonts w:hint="eastAsia" w:ascii="方正仿宋_GBK" w:hAnsi="方正仿宋_GBK" w:eastAsia="方正仿宋_GBK" w:cs="方正仿宋_GBK"/>
                <w:i w:val="0"/>
                <w:iCs w:val="0"/>
                <w:color w:val="000000"/>
                <w:kern w:val="0"/>
                <w:sz w:val="22"/>
                <w:szCs w:val="22"/>
                <w:u w:val="none"/>
                <w:lang w:val="en-US" w:eastAsia="zh-CN" w:bidi="ar"/>
              </w:rPr>
              <w:t>九、卫生健康支出</w:t>
            </w:r>
          </w:p>
        </w:tc>
        <w:tc>
          <w:tcPr>
            <w:tcW w:w="14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E3A09B">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39</w:t>
            </w:r>
          </w:p>
        </w:tc>
        <w:tc>
          <w:tcPr>
            <w:tcW w:w="2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3E9828">
            <w:pPr>
              <w:keepNext w:val="0"/>
              <w:keepLines w:val="0"/>
              <w:widowControl/>
              <w:suppressLineNumbers w:val="0"/>
              <w:jc w:val="right"/>
              <w:textAlignment w:val="center"/>
              <w:rPr>
                <w:rFonts w:hint="default" w:ascii="Nimbus Roman" w:hAnsi="Nimbus Roman" w:eastAsia="方正仿宋_GBK" w:cs="Nimbus Roman"/>
                <w:b/>
                <w:color w:val="000000"/>
                <w:sz w:val="22"/>
              </w:rPr>
            </w:pPr>
            <w:r>
              <w:rPr>
                <w:rFonts w:hint="default" w:ascii="Nimbus Roman" w:hAnsi="Nimbus Roman" w:eastAsia="方正仿宋_GBK" w:cs="Nimbus Roman"/>
                <w:i w:val="0"/>
                <w:iCs w:val="0"/>
                <w:color w:val="000000"/>
                <w:kern w:val="0"/>
                <w:sz w:val="22"/>
                <w:szCs w:val="22"/>
                <w:u w:val="none"/>
                <w:lang w:val="en-US" w:eastAsia="zh-CN" w:bidi="ar"/>
              </w:rPr>
              <w:t xml:space="preserve">7.26 </w:t>
            </w:r>
          </w:p>
        </w:tc>
      </w:tr>
      <w:tr w14:paraId="369624BC">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B099D6">
            <w:pPr>
              <w:jc w:val="left"/>
              <w:rPr>
                <w:rFonts w:hint="eastAsia" w:ascii="方正仿宋_GBK" w:hAnsi="方正仿宋_GBK" w:eastAsia="方正仿宋_GBK" w:cs="方正仿宋_GBK"/>
                <w:b/>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4993C8">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10</w:t>
            </w:r>
          </w:p>
        </w:tc>
        <w:tc>
          <w:tcPr>
            <w:tcW w:w="2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FDB3AB">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A00723">
            <w:pPr>
              <w:keepNext w:val="0"/>
              <w:keepLines w:val="0"/>
              <w:widowControl/>
              <w:suppressLineNumbers w:val="0"/>
              <w:jc w:val="left"/>
              <w:textAlignment w:val="center"/>
              <w:rPr>
                <w:rFonts w:hint="eastAsia" w:ascii="方正仿宋_GBK" w:hAnsi="方正仿宋_GBK" w:eastAsia="方正仿宋_GBK" w:cs="方正仿宋_GBK"/>
                <w:b/>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十、节能环保支出</w:t>
            </w:r>
          </w:p>
        </w:tc>
        <w:tc>
          <w:tcPr>
            <w:tcW w:w="14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13D0F4">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40</w:t>
            </w:r>
          </w:p>
        </w:tc>
        <w:tc>
          <w:tcPr>
            <w:tcW w:w="2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FE30E6">
            <w:pPr>
              <w:jc w:val="right"/>
              <w:rPr>
                <w:rFonts w:hint="default" w:ascii="Nimbus Roman" w:hAnsi="Nimbus Roman" w:eastAsia="方正仿宋_GBK" w:cs="Nimbus Roman"/>
                <w:color w:val="000000"/>
                <w:sz w:val="22"/>
              </w:rPr>
            </w:pPr>
          </w:p>
        </w:tc>
      </w:tr>
      <w:tr w14:paraId="76FFA4E3">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A89F09">
            <w:pPr>
              <w:jc w:val="left"/>
              <w:rPr>
                <w:rFonts w:hint="eastAsia" w:ascii="方正仿宋_GBK" w:hAnsi="方正仿宋_GBK" w:eastAsia="方正仿宋_GBK" w:cs="方正仿宋_GBK"/>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40EF53">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11</w:t>
            </w:r>
          </w:p>
        </w:tc>
        <w:tc>
          <w:tcPr>
            <w:tcW w:w="2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DA1986">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D924F5">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十一、城乡社区支出</w:t>
            </w:r>
          </w:p>
        </w:tc>
        <w:tc>
          <w:tcPr>
            <w:tcW w:w="14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19D91F">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41</w:t>
            </w:r>
          </w:p>
        </w:tc>
        <w:tc>
          <w:tcPr>
            <w:tcW w:w="2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3750B7">
            <w:pPr>
              <w:keepNext w:val="0"/>
              <w:keepLines w:val="0"/>
              <w:widowControl/>
              <w:suppressLineNumbers w:val="0"/>
              <w:jc w:val="right"/>
              <w:textAlignment w:val="center"/>
              <w:rPr>
                <w:rFonts w:hint="default" w:ascii="Nimbus Roman" w:hAnsi="Nimbus Roman" w:eastAsia="方正仿宋_GBK" w:cs="Nimbus Roman"/>
                <w:color w:val="000000"/>
                <w:sz w:val="22"/>
              </w:rPr>
            </w:pPr>
            <w:r>
              <w:rPr>
                <w:rFonts w:hint="default" w:ascii="Nimbus Roman" w:hAnsi="Nimbus Roman" w:eastAsia="方正仿宋_GBK" w:cs="Nimbus Roman"/>
                <w:i w:val="0"/>
                <w:iCs w:val="0"/>
                <w:color w:val="000000"/>
                <w:kern w:val="0"/>
                <w:sz w:val="22"/>
                <w:szCs w:val="22"/>
                <w:u w:val="none"/>
                <w:lang w:val="en-US" w:eastAsia="zh-CN" w:bidi="ar"/>
              </w:rPr>
              <w:t xml:space="preserve">57.00 </w:t>
            </w:r>
          </w:p>
        </w:tc>
      </w:tr>
      <w:tr w14:paraId="7113AA8E">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5EB09B">
            <w:pPr>
              <w:jc w:val="left"/>
              <w:rPr>
                <w:rFonts w:hint="eastAsia" w:ascii="方正仿宋_GBK" w:hAnsi="方正仿宋_GBK" w:eastAsia="方正仿宋_GBK" w:cs="方正仿宋_GBK"/>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EBEB38">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12</w:t>
            </w:r>
          </w:p>
        </w:tc>
        <w:tc>
          <w:tcPr>
            <w:tcW w:w="2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8D53FE">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E07B78">
            <w:pPr>
              <w:keepNext w:val="0"/>
              <w:keepLines w:val="0"/>
              <w:widowControl/>
              <w:suppressLineNumbers w:val="0"/>
              <w:jc w:val="left"/>
              <w:textAlignment w:val="center"/>
              <w:rPr>
                <w:rFonts w:hint="eastAsia" w:ascii="方正仿宋_GBK" w:hAnsi="方正仿宋_GBK" w:eastAsia="方正仿宋_GBK" w:cs="方正仿宋_GBK"/>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十二、农林水支出</w:t>
            </w:r>
          </w:p>
        </w:tc>
        <w:tc>
          <w:tcPr>
            <w:tcW w:w="14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24E31E">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42</w:t>
            </w:r>
          </w:p>
        </w:tc>
        <w:tc>
          <w:tcPr>
            <w:tcW w:w="2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075780">
            <w:pPr>
              <w:jc w:val="right"/>
              <w:rPr>
                <w:rFonts w:hint="default" w:ascii="Nimbus Roman" w:hAnsi="Nimbus Roman" w:eastAsia="方正仿宋_GBK" w:cs="Nimbus Roman"/>
                <w:color w:val="000000"/>
                <w:sz w:val="22"/>
              </w:rPr>
            </w:pPr>
          </w:p>
        </w:tc>
      </w:tr>
      <w:tr w14:paraId="19EBD177">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7AED137">
            <w:pPr>
              <w:jc w:val="left"/>
              <w:rPr>
                <w:rFonts w:hint="eastAsia" w:ascii="方正仿宋_GBK" w:hAnsi="方正仿宋_GBK" w:eastAsia="方正仿宋_GBK" w:cs="方正仿宋_GBK"/>
                <w:b/>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A8C3BF9">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13</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2024E87">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69F1A54">
            <w:pPr>
              <w:keepNext w:val="0"/>
              <w:keepLines w:val="0"/>
              <w:widowControl/>
              <w:suppressLineNumbers w:val="0"/>
              <w:jc w:val="left"/>
              <w:textAlignment w:val="center"/>
              <w:rPr>
                <w:rFonts w:hint="eastAsia" w:ascii="方正仿宋_GBK" w:hAnsi="方正仿宋_GBK" w:eastAsia="方正仿宋_GBK" w:cs="方正仿宋_GBK"/>
                <w:b/>
                <w:color w:val="000000"/>
                <w:sz w:val="22"/>
              </w:rPr>
            </w:pPr>
            <w:r>
              <w:rPr>
                <w:rFonts w:hint="eastAsia" w:ascii="方正仿宋_GBK" w:hAnsi="方正仿宋_GBK" w:eastAsia="方正仿宋_GBK" w:cs="方正仿宋_GBK"/>
                <w:i w:val="0"/>
                <w:iCs w:val="0"/>
                <w:color w:val="000000"/>
                <w:kern w:val="0"/>
                <w:sz w:val="22"/>
                <w:szCs w:val="22"/>
                <w:u w:val="none"/>
                <w:lang w:val="en-US" w:eastAsia="zh-CN" w:bidi="ar"/>
              </w:rPr>
              <w:t>十三、交通运输支出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0769800">
            <w:pPr>
              <w:keepNext w:val="0"/>
              <w:keepLines w:val="0"/>
              <w:widowControl/>
              <w:suppressLineNumbers w:val="0"/>
              <w:jc w:val="center"/>
              <w:textAlignment w:val="center"/>
              <w:rPr>
                <w:rFonts w:hint="default" w:ascii="Nimbus Roman" w:hAnsi="Nimbus Roman" w:eastAsia="方正仿宋_GBK" w:cs="Nimbus Roman"/>
              </w:rPr>
            </w:pPr>
            <w:r>
              <w:rPr>
                <w:rFonts w:hint="default" w:ascii="Nimbus Roman" w:hAnsi="Nimbus Roman" w:eastAsia="方正仿宋_GBK" w:cs="Nimbus Roman"/>
                <w:i w:val="0"/>
                <w:iCs w:val="0"/>
                <w:color w:val="000000"/>
                <w:kern w:val="0"/>
                <w:sz w:val="22"/>
                <w:szCs w:val="22"/>
                <w:u w:val="none"/>
                <w:lang w:val="en-US" w:eastAsia="zh-CN" w:bidi="ar"/>
              </w:rPr>
              <w:t>43</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E6B686E">
            <w:pPr>
              <w:jc w:val="right"/>
              <w:rPr>
                <w:rFonts w:hint="default" w:ascii="Nimbus Roman" w:hAnsi="Nimbus Roman" w:eastAsia="方正仿宋_GBK" w:cs="Nimbus Roman"/>
                <w:b/>
                <w:color w:val="000000"/>
                <w:sz w:val="22"/>
              </w:rPr>
            </w:pPr>
          </w:p>
        </w:tc>
      </w:tr>
      <w:tr w14:paraId="44E49E1F">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9141976">
            <w:pPr>
              <w:jc w:val="left"/>
              <w:rPr>
                <w:rFonts w:hint="eastAsia" w:ascii="方正仿宋_GBK" w:hAnsi="方正仿宋_GBK" w:eastAsia="方正仿宋_GBK" w:cs="方正仿宋_GBK"/>
                <w:b/>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96D44E5">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14</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5421056">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F641C30">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十四、资源勘探工业信息等支出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A9770F0">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44</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304670E">
            <w:pPr>
              <w:jc w:val="right"/>
              <w:rPr>
                <w:rFonts w:hint="default" w:ascii="Nimbus Roman" w:hAnsi="Nimbus Roman" w:eastAsia="方正仿宋_GBK" w:cs="Nimbus Roman"/>
                <w:b/>
                <w:color w:val="000000"/>
                <w:sz w:val="22"/>
              </w:rPr>
            </w:pPr>
          </w:p>
        </w:tc>
      </w:tr>
      <w:tr w14:paraId="211927D6">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ABB9D9C">
            <w:pPr>
              <w:jc w:val="left"/>
              <w:rPr>
                <w:rFonts w:hint="eastAsia" w:ascii="方正仿宋_GBK" w:hAnsi="方正仿宋_GBK" w:eastAsia="方正仿宋_GBK" w:cs="方正仿宋_GBK"/>
                <w:b/>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9519722">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15</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EBD6284">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39AB9F3">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十五、商业服务业等支出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9F03479">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45</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0371A93">
            <w:pPr>
              <w:jc w:val="right"/>
              <w:rPr>
                <w:rFonts w:hint="default" w:ascii="Nimbus Roman" w:hAnsi="Nimbus Roman" w:eastAsia="方正仿宋_GBK" w:cs="Nimbus Roman"/>
                <w:b/>
                <w:color w:val="000000"/>
                <w:sz w:val="22"/>
              </w:rPr>
            </w:pPr>
          </w:p>
        </w:tc>
      </w:tr>
      <w:tr w14:paraId="1C7F0C4F">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7D24C7D">
            <w:pPr>
              <w:jc w:val="left"/>
              <w:rPr>
                <w:rFonts w:hint="eastAsia" w:ascii="方正仿宋_GBK" w:hAnsi="方正仿宋_GBK" w:eastAsia="方正仿宋_GBK" w:cs="方正仿宋_GBK"/>
                <w:b/>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E7B6DE9">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16</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DEE4F6B">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D873BBB">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十六、金融支出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FFA4CBA">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46</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86FD1C4">
            <w:pPr>
              <w:jc w:val="right"/>
              <w:rPr>
                <w:rFonts w:hint="default" w:ascii="Nimbus Roman" w:hAnsi="Nimbus Roman" w:eastAsia="方正仿宋_GBK" w:cs="Nimbus Roman"/>
                <w:b/>
                <w:color w:val="000000"/>
                <w:sz w:val="22"/>
              </w:rPr>
            </w:pPr>
          </w:p>
        </w:tc>
      </w:tr>
      <w:tr w14:paraId="46F96364">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10710FD">
            <w:pPr>
              <w:jc w:val="left"/>
              <w:rPr>
                <w:rFonts w:hint="eastAsia" w:ascii="方正仿宋_GBK" w:hAnsi="方正仿宋_GBK" w:eastAsia="方正仿宋_GBK" w:cs="方正仿宋_GBK"/>
                <w:b/>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009B328">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17</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D42848B">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ACE10A0">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十七、援助其他地区支出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1EAC235">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47</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667958A">
            <w:pPr>
              <w:jc w:val="right"/>
              <w:rPr>
                <w:rFonts w:hint="default" w:ascii="Nimbus Roman" w:hAnsi="Nimbus Roman" w:eastAsia="方正仿宋_GBK" w:cs="Nimbus Roman"/>
                <w:b/>
                <w:color w:val="000000"/>
                <w:sz w:val="22"/>
              </w:rPr>
            </w:pPr>
          </w:p>
        </w:tc>
      </w:tr>
      <w:tr w14:paraId="603D5AD7">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85DA571">
            <w:pPr>
              <w:jc w:val="left"/>
              <w:rPr>
                <w:rFonts w:hint="eastAsia" w:ascii="方正仿宋_GBK" w:hAnsi="方正仿宋_GBK" w:eastAsia="方正仿宋_GBK" w:cs="方正仿宋_GBK"/>
                <w:b/>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83F3E2F">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18</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F8B3441">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52F29FC">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十八、自然资源海洋气象等支出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31461BC">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48</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2A73746">
            <w:pPr>
              <w:jc w:val="right"/>
              <w:rPr>
                <w:rFonts w:hint="default" w:ascii="Nimbus Roman" w:hAnsi="Nimbus Roman" w:eastAsia="方正仿宋_GBK" w:cs="Nimbus Roman"/>
                <w:b/>
                <w:color w:val="000000"/>
                <w:sz w:val="22"/>
              </w:rPr>
            </w:pPr>
          </w:p>
        </w:tc>
      </w:tr>
      <w:tr w14:paraId="27FAA143">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6C81BF0">
            <w:pPr>
              <w:jc w:val="left"/>
              <w:rPr>
                <w:rFonts w:hint="eastAsia" w:ascii="方正仿宋_GBK" w:hAnsi="方正仿宋_GBK" w:eastAsia="方正仿宋_GBK" w:cs="方正仿宋_GBK"/>
                <w:b/>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E4E0C6C">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19</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73FD258">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3E94919">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十九、住房保障支出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0C8AEDA">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49</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DCB5D38">
            <w:pPr>
              <w:jc w:val="right"/>
              <w:rPr>
                <w:rFonts w:hint="default" w:ascii="Nimbus Roman" w:hAnsi="Nimbus Roman" w:eastAsia="方正仿宋_GBK" w:cs="Nimbus Roman"/>
                <w:b/>
                <w:color w:val="000000"/>
                <w:sz w:val="22"/>
              </w:rPr>
            </w:pPr>
          </w:p>
        </w:tc>
      </w:tr>
      <w:tr w14:paraId="4E7DDD50">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D165163">
            <w:pPr>
              <w:jc w:val="left"/>
              <w:rPr>
                <w:rFonts w:hint="eastAsia" w:ascii="方正仿宋_GBK" w:hAnsi="方正仿宋_GBK" w:eastAsia="方正仿宋_GBK" w:cs="方正仿宋_GBK"/>
                <w:b/>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F280114">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20</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6D11316">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327B3C4">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二十、粮油物资储备支出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813E7DE">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50</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DDDBE91">
            <w:pPr>
              <w:jc w:val="right"/>
              <w:rPr>
                <w:rFonts w:hint="default" w:ascii="Nimbus Roman" w:hAnsi="Nimbus Roman" w:eastAsia="方正仿宋_GBK" w:cs="Nimbus Roman"/>
                <w:b/>
                <w:color w:val="000000"/>
                <w:sz w:val="22"/>
              </w:rPr>
            </w:pPr>
          </w:p>
        </w:tc>
      </w:tr>
      <w:tr w14:paraId="1CA0310A">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AB689FA">
            <w:pPr>
              <w:jc w:val="left"/>
              <w:rPr>
                <w:rFonts w:hint="eastAsia" w:ascii="方正仿宋_GBK" w:hAnsi="方正仿宋_GBK" w:eastAsia="方正仿宋_GBK" w:cs="方正仿宋_GBK"/>
                <w:b/>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984390F">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21</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19C4E99">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3047200">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二十一、国有资本经营预算支出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360CCDC">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51</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BA08FF4">
            <w:pPr>
              <w:jc w:val="right"/>
              <w:rPr>
                <w:rFonts w:hint="default" w:ascii="Nimbus Roman" w:hAnsi="Nimbus Roman" w:eastAsia="方正仿宋_GBK" w:cs="Nimbus Roman"/>
                <w:b/>
                <w:color w:val="000000"/>
                <w:sz w:val="22"/>
              </w:rPr>
            </w:pPr>
          </w:p>
        </w:tc>
      </w:tr>
      <w:tr w14:paraId="0BE0B870">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FBD11FE">
            <w:pPr>
              <w:jc w:val="left"/>
              <w:rPr>
                <w:rFonts w:hint="eastAsia" w:ascii="方正仿宋_GBK" w:hAnsi="方正仿宋_GBK" w:eastAsia="方正仿宋_GBK" w:cs="方正仿宋_GBK"/>
                <w:b/>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9090B85">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22</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1E15C27">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9B7E893">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二十二、灾害防治及应急管理支出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A559A9A">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52</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BF2E24C">
            <w:pPr>
              <w:jc w:val="right"/>
              <w:rPr>
                <w:rFonts w:hint="default" w:ascii="Nimbus Roman" w:hAnsi="Nimbus Roman" w:eastAsia="方正仿宋_GBK" w:cs="Nimbus Roman"/>
                <w:b/>
                <w:color w:val="000000"/>
                <w:sz w:val="22"/>
              </w:rPr>
            </w:pPr>
          </w:p>
        </w:tc>
      </w:tr>
      <w:tr w14:paraId="3856BC47">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8E969D0">
            <w:pPr>
              <w:jc w:val="left"/>
              <w:rPr>
                <w:rFonts w:hint="eastAsia" w:ascii="方正仿宋_GBK" w:hAnsi="方正仿宋_GBK" w:eastAsia="方正仿宋_GBK" w:cs="方正仿宋_GBK"/>
                <w:b/>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47EAFD3">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23</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2B0BDFD">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A2A92D1">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二十三、其他支出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0327A12">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53</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EC18AA6">
            <w:pPr>
              <w:jc w:val="right"/>
              <w:rPr>
                <w:rFonts w:hint="default" w:ascii="Nimbus Roman" w:hAnsi="Nimbus Roman" w:eastAsia="方正仿宋_GBK" w:cs="Nimbus Roman"/>
                <w:b/>
                <w:color w:val="000000"/>
                <w:sz w:val="22"/>
              </w:rPr>
            </w:pPr>
          </w:p>
        </w:tc>
      </w:tr>
      <w:tr w14:paraId="650BA216">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22E1D21">
            <w:pPr>
              <w:jc w:val="left"/>
              <w:rPr>
                <w:rFonts w:hint="eastAsia" w:ascii="方正仿宋_GBK" w:hAnsi="方正仿宋_GBK" w:eastAsia="方正仿宋_GBK" w:cs="方正仿宋_GBK"/>
                <w:b/>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CD4BAD8">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24</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71C9F37">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ED4B739">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二十四、债务还本支出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22B476D">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54</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09DD731">
            <w:pPr>
              <w:jc w:val="right"/>
              <w:rPr>
                <w:rFonts w:hint="default" w:ascii="Nimbus Roman" w:hAnsi="Nimbus Roman" w:eastAsia="方正仿宋_GBK" w:cs="Nimbus Roman"/>
                <w:b/>
                <w:color w:val="000000"/>
                <w:sz w:val="22"/>
              </w:rPr>
            </w:pPr>
          </w:p>
        </w:tc>
      </w:tr>
      <w:tr w14:paraId="3AAA8B81">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CC1B4FF">
            <w:pPr>
              <w:jc w:val="left"/>
              <w:rPr>
                <w:rFonts w:hint="eastAsia" w:ascii="方正仿宋_GBK" w:hAnsi="方正仿宋_GBK" w:eastAsia="方正仿宋_GBK" w:cs="方正仿宋_GBK"/>
                <w:b/>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3447E28">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25</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AE852E8">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E24CBF9">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二十五、债务付息支出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2E98685">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55</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974B9AE">
            <w:pPr>
              <w:jc w:val="right"/>
              <w:rPr>
                <w:rFonts w:hint="default" w:ascii="Nimbus Roman" w:hAnsi="Nimbus Roman" w:eastAsia="方正仿宋_GBK" w:cs="Nimbus Roman"/>
                <w:b/>
                <w:color w:val="000000"/>
                <w:sz w:val="22"/>
              </w:rPr>
            </w:pPr>
          </w:p>
        </w:tc>
      </w:tr>
      <w:tr w14:paraId="45EFCC12">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EFDC034">
            <w:pPr>
              <w:jc w:val="left"/>
              <w:rPr>
                <w:rFonts w:hint="eastAsia" w:ascii="方正仿宋_GBK" w:hAnsi="方正仿宋_GBK" w:eastAsia="方正仿宋_GBK" w:cs="方正仿宋_GBK"/>
                <w:b/>
                <w:color w:val="000000"/>
                <w:sz w:val="22"/>
              </w:rPr>
            </w:pP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31E92CF">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26</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7A6F611">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3FFF622">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二十六、抗疫特别国债安排的支出</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BC77CF4">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56</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89FDD71">
            <w:pPr>
              <w:jc w:val="right"/>
              <w:rPr>
                <w:rFonts w:hint="default" w:ascii="Nimbus Roman" w:hAnsi="Nimbus Roman" w:eastAsia="方正仿宋_GBK" w:cs="Nimbus Roman"/>
                <w:b/>
                <w:color w:val="000000"/>
                <w:sz w:val="22"/>
              </w:rPr>
            </w:pPr>
          </w:p>
        </w:tc>
      </w:tr>
      <w:tr w14:paraId="18920E74">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8A74E58">
            <w:pPr>
              <w:jc w:val="center"/>
              <w:rPr>
                <w:rFonts w:hint="eastAsia" w:ascii="方正仿宋_GBK" w:hAnsi="方正仿宋_GBK" w:eastAsia="方正仿宋_GBK" w:cs="方正仿宋_GBK"/>
                <w:b/>
                <w:color w:val="000000"/>
                <w:sz w:val="22"/>
              </w:rPr>
            </w:pPr>
            <w:r>
              <w:rPr>
                <w:rFonts w:hint="eastAsia" w:ascii="方正仿宋_GBK" w:hAnsi="方正仿宋_GBK" w:eastAsia="方正仿宋_GBK" w:cs="方正仿宋_GBK"/>
                <w:b/>
                <w:color w:val="000000"/>
                <w:sz w:val="22"/>
              </w:rPr>
              <w:t>本年收入合计</w:t>
            </w: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3012C96">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27</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08E309F">
            <w:pPr>
              <w:jc w:val="right"/>
              <w:rPr>
                <w:rFonts w:hint="default" w:ascii="Nimbus Roman" w:hAnsi="Nimbus Roman" w:eastAsia="方正仿宋_GBK" w:cs="Nimbus Roman"/>
                <w:color w:val="000000"/>
                <w:sz w:val="22"/>
                <w:lang w:val="en-US" w:eastAsia="zh-CN"/>
              </w:rPr>
            </w:pPr>
            <w:r>
              <w:rPr>
                <w:rFonts w:hint="default" w:ascii="Nimbus Roman" w:hAnsi="Nimbus Roman" w:eastAsia="方正仿宋_GBK" w:cs="Nimbus Roman"/>
                <w:color w:val="000000"/>
                <w:sz w:val="22"/>
                <w:lang w:val="en-US" w:eastAsia="zh-CN"/>
              </w:rPr>
              <w:t>210.26</w:t>
            </w: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A4C7D9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b/>
                <w:bCs/>
                <w:i w:val="0"/>
                <w:iCs w:val="0"/>
                <w:color w:val="000000"/>
                <w:kern w:val="0"/>
                <w:sz w:val="22"/>
                <w:szCs w:val="22"/>
                <w:u w:val="none"/>
                <w:lang w:val="en-US" w:eastAsia="zh-CN" w:bidi="ar"/>
              </w:rPr>
              <w:t>本年支出合计</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20BB6D3">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57</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7F77A50">
            <w:pPr>
              <w:jc w:val="right"/>
              <w:rPr>
                <w:rFonts w:hint="default" w:ascii="Nimbus Roman" w:hAnsi="Nimbus Roman" w:eastAsia="方正仿宋_GBK" w:cs="Nimbus Roman"/>
                <w:b w:val="0"/>
                <w:bCs/>
                <w:color w:val="000000"/>
                <w:sz w:val="22"/>
                <w:lang w:val="en-US" w:eastAsia="zh-CN"/>
              </w:rPr>
            </w:pPr>
            <w:r>
              <w:rPr>
                <w:rFonts w:hint="default" w:ascii="Nimbus Roman" w:hAnsi="Nimbus Roman" w:eastAsia="方正仿宋_GBK" w:cs="Nimbus Roman"/>
                <w:b w:val="0"/>
                <w:bCs/>
                <w:color w:val="000000"/>
                <w:sz w:val="22"/>
                <w:lang w:val="en-US" w:eastAsia="zh-CN"/>
              </w:rPr>
              <w:t>210.26</w:t>
            </w:r>
          </w:p>
        </w:tc>
      </w:tr>
      <w:tr w14:paraId="1A38D725">
        <w:tblPrEx>
          <w:tblCellMar>
            <w:top w:w="0" w:type="dxa"/>
            <w:left w:w="108" w:type="dxa"/>
            <w:bottom w:w="0" w:type="dxa"/>
            <w:right w:w="108" w:type="dxa"/>
          </w:tblCellMar>
        </w:tblPrEx>
        <w:trPr>
          <w:trHeight w:val="46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7CFE972">
            <w:pPr>
              <w:jc w:val="left"/>
              <w:rPr>
                <w:rFonts w:hint="eastAsia" w:ascii="方正仿宋_GBK" w:hAnsi="方正仿宋_GBK" w:eastAsia="方正仿宋_GBK" w:cs="方正仿宋_GBK"/>
                <w:b/>
                <w:color w:val="000000"/>
                <w:sz w:val="22"/>
              </w:rPr>
            </w:pPr>
            <w:r>
              <w:rPr>
                <w:rFonts w:hint="eastAsia" w:ascii="方正仿宋_GBK" w:hAnsi="方正仿宋_GBK" w:eastAsia="方正仿宋_GBK" w:cs="方正仿宋_GBK"/>
                <w:b w:val="0"/>
                <w:bCs/>
                <w:color w:val="000000"/>
                <w:sz w:val="22"/>
              </w:rPr>
              <w:t>使用非财政拨款结余（含专用结余）</w:t>
            </w: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0FD51A6">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28</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1B4231C">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FFA0D7C">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结余分配</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8D9E69B">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58</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E0E145B">
            <w:pPr>
              <w:jc w:val="right"/>
              <w:rPr>
                <w:rFonts w:hint="default" w:ascii="Nimbus Roman" w:hAnsi="Nimbus Roman" w:eastAsia="方正仿宋_GBK" w:cs="Nimbus Roman"/>
                <w:b w:val="0"/>
                <w:bCs/>
                <w:color w:val="000000"/>
                <w:sz w:val="22"/>
              </w:rPr>
            </w:pPr>
          </w:p>
        </w:tc>
      </w:tr>
      <w:tr w14:paraId="2C20AAB8">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29FE80A">
            <w:pPr>
              <w:jc w:val="left"/>
              <w:rPr>
                <w:rFonts w:hint="eastAsia" w:ascii="方正仿宋_GBK" w:hAnsi="方正仿宋_GBK" w:eastAsia="方正仿宋_GBK" w:cs="方正仿宋_GBK"/>
                <w:b/>
                <w:color w:val="000000"/>
                <w:sz w:val="22"/>
              </w:rPr>
            </w:pPr>
            <w:r>
              <w:rPr>
                <w:rFonts w:hint="eastAsia" w:ascii="方正仿宋_GBK" w:hAnsi="方正仿宋_GBK" w:eastAsia="方正仿宋_GBK" w:cs="方正仿宋_GBK"/>
                <w:b w:val="0"/>
                <w:bCs/>
                <w:color w:val="000000"/>
                <w:sz w:val="22"/>
              </w:rPr>
              <w:t>年初结转和结余</w:t>
            </w: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878C433">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29</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188D1F9">
            <w:pPr>
              <w:jc w:val="right"/>
              <w:rPr>
                <w:rFonts w:hint="default" w:ascii="Nimbus Roman" w:hAnsi="Nimbus Roman" w:eastAsia="方正仿宋_GBK" w:cs="Nimbus Roman"/>
                <w:color w:val="000000"/>
                <w:sz w:val="22"/>
              </w:rPr>
            </w:pP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A789D8B">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年末结转和结余</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633C81E">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59</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5E8371F">
            <w:pPr>
              <w:jc w:val="right"/>
              <w:rPr>
                <w:rFonts w:hint="default" w:ascii="Nimbus Roman" w:hAnsi="Nimbus Roman" w:eastAsia="方正仿宋_GBK" w:cs="Nimbus Roman"/>
                <w:b w:val="0"/>
                <w:bCs/>
                <w:color w:val="000000"/>
                <w:sz w:val="22"/>
                <w:lang w:val="en-US" w:eastAsia="zh-CN"/>
              </w:rPr>
            </w:pPr>
            <w:r>
              <w:rPr>
                <w:rFonts w:hint="default" w:ascii="Nimbus Roman" w:hAnsi="Nimbus Roman" w:eastAsia="方正仿宋_GBK" w:cs="Nimbus Roman"/>
                <w:b w:val="0"/>
                <w:bCs/>
                <w:color w:val="000000"/>
                <w:sz w:val="22"/>
                <w:lang w:val="en-US" w:eastAsia="zh-CN"/>
              </w:rPr>
              <w:t>0.00</w:t>
            </w:r>
          </w:p>
        </w:tc>
      </w:tr>
      <w:tr w14:paraId="119434EF">
        <w:tblPrEx>
          <w:tblCellMar>
            <w:top w:w="0" w:type="dxa"/>
            <w:left w:w="108" w:type="dxa"/>
            <w:bottom w:w="0" w:type="dxa"/>
            <w:right w:w="108" w:type="dxa"/>
          </w:tblCellMar>
        </w:tblPrEx>
        <w:trPr>
          <w:trHeight w:val="454" w:hRule="exact"/>
          <w:jc w:val="center"/>
        </w:trPr>
        <w:tc>
          <w:tcPr>
            <w:tcW w:w="20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E82C0C7">
            <w:pPr>
              <w:jc w:val="center"/>
              <w:rPr>
                <w:rFonts w:hint="eastAsia" w:ascii="方正仿宋_GBK" w:hAnsi="方正仿宋_GBK" w:eastAsia="方正仿宋_GBK" w:cs="方正仿宋_GBK"/>
                <w:b/>
                <w:bCs w:val="0"/>
                <w:color w:val="000000"/>
                <w:sz w:val="22"/>
                <w:lang w:eastAsia="zh-CN"/>
              </w:rPr>
            </w:pPr>
            <w:r>
              <w:rPr>
                <w:rFonts w:hint="eastAsia" w:ascii="方正仿宋_GBK" w:hAnsi="方正仿宋_GBK" w:eastAsia="方正仿宋_GBK" w:cs="方正仿宋_GBK"/>
                <w:b/>
                <w:bCs w:val="0"/>
                <w:color w:val="000000"/>
                <w:sz w:val="22"/>
                <w:lang w:eastAsia="zh-CN"/>
              </w:rPr>
              <w:t>总计</w:t>
            </w:r>
          </w:p>
        </w:tc>
        <w:tc>
          <w:tcPr>
            <w:tcW w:w="14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739F910">
            <w:pPr>
              <w:keepNext w:val="0"/>
              <w:keepLines w:val="0"/>
              <w:widowControl/>
              <w:suppressLineNumbers w:val="0"/>
              <w:jc w:val="center"/>
              <w:textAlignment w:val="center"/>
              <w:rPr>
                <w:rFonts w:hint="default" w:ascii="Nimbus Roman" w:hAnsi="Nimbus Roman" w:eastAsia="方正仿宋_GBK" w:cs="Nimbus Roman"/>
                <w:i w:val="0"/>
                <w:iCs w:val="0"/>
                <w:color w:val="000000"/>
                <w:kern w:val="0"/>
                <w:sz w:val="22"/>
                <w:szCs w:val="22"/>
                <w:u w:val="none"/>
                <w:lang w:val="en-US" w:eastAsia="zh-CN" w:bidi="ar"/>
              </w:rPr>
            </w:pPr>
            <w:r>
              <w:rPr>
                <w:rFonts w:hint="default" w:ascii="Nimbus Roman" w:hAnsi="Nimbus Roman" w:eastAsia="方正仿宋_GBK" w:cs="Nimbus Roman"/>
                <w:i w:val="0"/>
                <w:iCs w:val="0"/>
                <w:color w:val="000000"/>
                <w:kern w:val="0"/>
                <w:sz w:val="22"/>
                <w:szCs w:val="22"/>
                <w:u w:val="none"/>
                <w:lang w:val="en-US" w:eastAsia="zh-CN" w:bidi="ar"/>
              </w:rPr>
              <w:t>30</w:t>
            </w:r>
          </w:p>
        </w:tc>
        <w:tc>
          <w:tcPr>
            <w:tcW w:w="229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3B1DA6C">
            <w:pPr>
              <w:jc w:val="right"/>
              <w:rPr>
                <w:rFonts w:hint="default" w:ascii="Nimbus Roman" w:hAnsi="Nimbus Roman" w:eastAsia="方正仿宋_GBK" w:cs="Nimbus Roman"/>
                <w:color w:val="000000"/>
                <w:sz w:val="22"/>
                <w:lang w:val="en-US" w:eastAsia="zh-CN"/>
              </w:rPr>
            </w:pPr>
            <w:r>
              <w:rPr>
                <w:rFonts w:hint="default" w:ascii="Nimbus Roman" w:hAnsi="Nimbus Roman" w:eastAsia="方正仿宋_GBK" w:cs="Nimbus Roman"/>
                <w:color w:val="000000"/>
                <w:sz w:val="22"/>
                <w:lang w:val="en-US" w:eastAsia="zh-CN"/>
              </w:rPr>
              <w:t>210.26</w:t>
            </w:r>
          </w:p>
        </w:tc>
        <w:tc>
          <w:tcPr>
            <w:tcW w:w="2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C74C1D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b/>
                <w:bCs w:val="0"/>
                <w:color w:val="000000"/>
                <w:sz w:val="22"/>
                <w:lang w:eastAsia="zh-CN"/>
              </w:rPr>
              <w:t>总计</w:t>
            </w:r>
          </w:p>
        </w:tc>
        <w:tc>
          <w:tcPr>
            <w:tcW w:w="14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0DA0F51">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60</w:t>
            </w:r>
          </w:p>
        </w:tc>
        <w:tc>
          <w:tcPr>
            <w:tcW w:w="2003"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E214B5B">
            <w:pPr>
              <w:jc w:val="right"/>
              <w:rPr>
                <w:rFonts w:hint="default" w:ascii="Nimbus Roman" w:hAnsi="Nimbus Roman" w:eastAsia="方正仿宋_GBK" w:cs="Nimbus Roman"/>
                <w:b w:val="0"/>
                <w:bCs/>
                <w:color w:val="000000"/>
                <w:sz w:val="22"/>
                <w:lang w:val="en-US" w:eastAsia="zh-CN"/>
              </w:rPr>
            </w:pPr>
            <w:r>
              <w:rPr>
                <w:rFonts w:hint="default" w:ascii="Nimbus Roman" w:hAnsi="Nimbus Roman" w:eastAsia="方正仿宋_GBK" w:cs="Nimbus Roman"/>
                <w:b w:val="0"/>
                <w:bCs/>
                <w:color w:val="000000"/>
                <w:sz w:val="22"/>
                <w:lang w:val="en-US" w:eastAsia="zh-CN"/>
              </w:rPr>
              <w:t>210.26</w:t>
            </w:r>
          </w:p>
        </w:tc>
      </w:tr>
    </w:tbl>
    <w:p w14:paraId="7CCA1055">
      <w:pPr>
        <w:widowControl/>
        <w:jc w:val="left"/>
        <w:textAlignment w:val="center"/>
        <w:rPr>
          <w:rFonts w:ascii="Times New Roman" w:hAnsi="Times New Roman" w:eastAsia="宋体" w:cs="Times New Roman"/>
          <w:color w:val="000000"/>
          <w:kern w:val="0"/>
          <w:sz w:val="24"/>
          <w:szCs w:val="24"/>
        </w:rPr>
      </w:pPr>
    </w:p>
    <w:p w14:paraId="710B477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w:t>
      </w:r>
      <w:r>
        <w:rPr>
          <w:rFonts w:hint="default" w:ascii="Nimbus Roman" w:hAnsi="Nimbus Roman" w:eastAsia="仿宋_GB2312" w:cs="Nimbus Roman"/>
          <w:color w:val="000000"/>
          <w:kern w:val="0"/>
          <w:sz w:val="24"/>
          <w:szCs w:val="24"/>
        </w:rPr>
        <w:t>1.</w:t>
      </w:r>
      <w:r>
        <w:rPr>
          <w:rFonts w:ascii="Times New Roman" w:hAnsi="Times New Roman" w:eastAsia="仿宋_GB2312" w:cs="Times New Roman"/>
          <w:color w:val="000000"/>
          <w:kern w:val="0"/>
          <w:sz w:val="24"/>
          <w:szCs w:val="24"/>
        </w:rPr>
        <w:t>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w:t>
      </w:r>
      <w:r>
        <w:rPr>
          <w:rFonts w:hint="default" w:ascii="Nimbus Roman" w:hAnsi="Nimbus Roman" w:eastAsia="仿宋_GB2312" w:cs="Nimbus Roman"/>
          <w:color w:val="000000"/>
          <w:kern w:val="0"/>
          <w:sz w:val="24"/>
          <w:szCs w:val="24"/>
        </w:rPr>
        <w:t>2.</w:t>
      </w:r>
      <w:r>
        <w:rPr>
          <w:rFonts w:ascii="Times New Roman" w:hAnsi="Times New Roman" w:eastAsia="仿宋_GB2312" w:cs="Times New Roman"/>
          <w:color w:val="000000"/>
          <w:kern w:val="0"/>
          <w:sz w:val="24"/>
          <w:szCs w:val="24"/>
        </w:rPr>
        <w:t>本套报表金额单位转换时可能存在尾数误差。</w:t>
      </w:r>
    </w:p>
    <w:p w14:paraId="19539875">
      <w:pPr>
        <w:rPr>
          <w:rFonts w:ascii="Times New Roman" w:hAnsi="Times New Roman" w:eastAsia="华文中宋" w:cs="Times New Roman"/>
          <w:color w:val="000000"/>
          <w:sz w:val="32"/>
          <w:szCs w:val="32"/>
        </w:rPr>
      </w:pPr>
      <w:r>
        <w:br w:type="page"/>
      </w:r>
    </w:p>
    <w:p w14:paraId="0390B377">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336D94ED">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w:t>
      </w:r>
      <w:r>
        <w:rPr>
          <w:rFonts w:hint="default" w:ascii="Nimbus Roman" w:hAnsi="Nimbus Roman" w:eastAsia="仿宋_GB2312" w:cs="Nimbus Roman"/>
          <w:color w:val="000000"/>
          <w:sz w:val="20"/>
          <w:szCs w:val="20"/>
        </w:rPr>
        <w:t>02</w:t>
      </w:r>
      <w:r>
        <w:rPr>
          <w:rFonts w:ascii="Times New Roman" w:hAnsi="Times New Roman" w:eastAsia="仿宋_GB2312" w:cs="Times New Roman"/>
          <w:color w:val="000000"/>
          <w:sz w:val="20"/>
          <w:szCs w:val="20"/>
        </w:rPr>
        <w:t>表</w:t>
      </w:r>
    </w:p>
    <w:p w14:paraId="4A138B7C">
      <w:pPr>
        <w:tabs>
          <w:tab w:val="left" w:pos="315"/>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中共会同县委社会工作部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hint="eastAsia" w:ascii="Times New Roman" w:hAnsi="Times New Roman" w:eastAsia="仿宋_GB2312" w:cs="Times New Roman"/>
          <w:sz w:val="24"/>
          <w:szCs w:val="24"/>
          <w:lang w:val="en-US" w:eastAsia="zh-CN"/>
        </w:rPr>
        <w:t xml:space="preserve">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731"/>
        <w:gridCol w:w="3660"/>
        <w:gridCol w:w="1500"/>
        <w:gridCol w:w="1395"/>
        <w:gridCol w:w="1395"/>
        <w:gridCol w:w="1050"/>
        <w:gridCol w:w="1095"/>
        <w:gridCol w:w="1845"/>
        <w:gridCol w:w="995"/>
      </w:tblGrid>
      <w:tr w14:paraId="6C89F277">
        <w:tblPrEx>
          <w:tblCellMar>
            <w:top w:w="0" w:type="dxa"/>
            <w:left w:w="0" w:type="dxa"/>
            <w:bottom w:w="0" w:type="dxa"/>
            <w:right w:w="0" w:type="dxa"/>
          </w:tblCellMar>
        </w:tblPrEx>
        <w:trPr>
          <w:trHeight w:val="450" w:hRule="atLeast"/>
          <w:jc w:val="center"/>
        </w:trPr>
        <w:tc>
          <w:tcPr>
            <w:tcW w:w="539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4B6FE6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C6CFB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39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87035C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9F969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0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E6DFF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0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A1919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4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35685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9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78AAA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9226FC2">
        <w:tblPrEx>
          <w:tblCellMar>
            <w:top w:w="0" w:type="dxa"/>
            <w:left w:w="0" w:type="dxa"/>
            <w:bottom w:w="0" w:type="dxa"/>
            <w:right w:w="0" w:type="dxa"/>
          </w:tblCellMar>
        </w:tblPrEx>
        <w:trPr>
          <w:trHeight w:val="334" w:hRule="exact"/>
          <w:jc w:val="center"/>
        </w:trPr>
        <w:tc>
          <w:tcPr>
            <w:tcW w:w="173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000F5C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66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673F1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14:paraId="6F898EEC">
            <w:pPr>
              <w:rPr>
                <w:rFonts w:ascii="Times New Roman" w:hAnsi="Times New Roman" w:eastAsia="仿宋_GB2312" w:cs="Times New Roman"/>
                <w:sz w:val="24"/>
                <w:szCs w:val="24"/>
              </w:rPr>
            </w:pPr>
          </w:p>
        </w:tc>
        <w:tc>
          <w:tcPr>
            <w:tcW w:w="1395" w:type="dxa"/>
            <w:vMerge w:val="continue"/>
            <w:tcBorders>
              <w:top w:val="single" w:color="auto" w:sz="4" w:space="0"/>
              <w:left w:val="single" w:color="auto" w:sz="4" w:space="0"/>
              <w:bottom w:val="single" w:color="auto" w:sz="4" w:space="0"/>
              <w:right w:val="single" w:color="auto" w:sz="4" w:space="0"/>
            </w:tcBorders>
            <w:vAlign w:val="center"/>
          </w:tcPr>
          <w:p w14:paraId="00F595CA">
            <w:pPr>
              <w:rPr>
                <w:rFonts w:ascii="Times New Roman" w:hAnsi="Times New Roman" w:eastAsia="仿宋_GB2312" w:cs="Times New Roman"/>
                <w:sz w:val="24"/>
                <w:szCs w:val="24"/>
              </w:rPr>
            </w:pPr>
          </w:p>
        </w:tc>
        <w:tc>
          <w:tcPr>
            <w:tcW w:w="1395" w:type="dxa"/>
            <w:vMerge w:val="continue"/>
            <w:tcBorders>
              <w:top w:val="single" w:color="auto" w:sz="4" w:space="0"/>
              <w:left w:val="single" w:color="auto" w:sz="4" w:space="0"/>
              <w:bottom w:val="single" w:color="auto" w:sz="4" w:space="0"/>
              <w:right w:val="single" w:color="auto" w:sz="4" w:space="0"/>
            </w:tcBorders>
            <w:vAlign w:val="center"/>
          </w:tcPr>
          <w:p w14:paraId="553284C0">
            <w:pPr>
              <w:rPr>
                <w:rFonts w:ascii="Times New Roman" w:hAnsi="Times New Roman" w:eastAsia="仿宋_GB2312" w:cs="Times New Roman"/>
                <w:sz w:val="24"/>
                <w:szCs w:val="24"/>
              </w:rPr>
            </w:pPr>
          </w:p>
        </w:tc>
        <w:tc>
          <w:tcPr>
            <w:tcW w:w="1050" w:type="dxa"/>
            <w:vMerge w:val="continue"/>
            <w:tcBorders>
              <w:top w:val="single" w:color="auto" w:sz="4" w:space="0"/>
              <w:left w:val="single" w:color="auto" w:sz="4" w:space="0"/>
              <w:bottom w:val="single" w:color="auto" w:sz="4" w:space="0"/>
              <w:right w:val="single" w:color="auto" w:sz="4" w:space="0"/>
            </w:tcBorders>
            <w:vAlign w:val="center"/>
          </w:tcPr>
          <w:p w14:paraId="4942032D">
            <w:pPr>
              <w:rPr>
                <w:rFonts w:ascii="Times New Roman" w:hAnsi="Times New Roman" w:eastAsia="仿宋_GB2312" w:cs="Times New Roman"/>
                <w:sz w:val="24"/>
                <w:szCs w:val="24"/>
              </w:rPr>
            </w:pPr>
          </w:p>
        </w:tc>
        <w:tc>
          <w:tcPr>
            <w:tcW w:w="1095" w:type="dxa"/>
            <w:vMerge w:val="continue"/>
            <w:tcBorders>
              <w:top w:val="single" w:color="auto" w:sz="4" w:space="0"/>
              <w:left w:val="single" w:color="auto" w:sz="4" w:space="0"/>
              <w:bottom w:val="single" w:color="auto" w:sz="4" w:space="0"/>
              <w:right w:val="single" w:color="auto" w:sz="4" w:space="0"/>
            </w:tcBorders>
            <w:vAlign w:val="center"/>
          </w:tcPr>
          <w:p w14:paraId="23A7ED55">
            <w:pPr>
              <w:rPr>
                <w:rFonts w:ascii="Times New Roman" w:hAnsi="Times New Roman" w:eastAsia="仿宋_GB2312" w:cs="Times New Roman"/>
                <w:sz w:val="24"/>
                <w:szCs w:val="24"/>
              </w:rPr>
            </w:pPr>
          </w:p>
        </w:tc>
        <w:tc>
          <w:tcPr>
            <w:tcW w:w="1845" w:type="dxa"/>
            <w:vMerge w:val="continue"/>
            <w:tcBorders>
              <w:top w:val="single" w:color="auto" w:sz="4" w:space="0"/>
              <w:left w:val="single" w:color="auto" w:sz="4" w:space="0"/>
              <w:bottom w:val="single" w:color="auto" w:sz="4" w:space="0"/>
              <w:right w:val="single" w:color="auto" w:sz="4" w:space="0"/>
            </w:tcBorders>
            <w:vAlign w:val="center"/>
          </w:tcPr>
          <w:p w14:paraId="058D32DD">
            <w:pPr>
              <w:rPr>
                <w:rFonts w:ascii="Times New Roman" w:hAnsi="Times New Roman" w:eastAsia="仿宋_GB2312" w:cs="Times New Roman"/>
                <w:sz w:val="24"/>
                <w:szCs w:val="24"/>
              </w:rPr>
            </w:pPr>
          </w:p>
        </w:tc>
        <w:tc>
          <w:tcPr>
            <w:tcW w:w="995" w:type="dxa"/>
            <w:vMerge w:val="continue"/>
            <w:tcBorders>
              <w:top w:val="single" w:color="auto" w:sz="4" w:space="0"/>
              <w:left w:val="single" w:color="auto" w:sz="4" w:space="0"/>
              <w:bottom w:val="single" w:color="auto" w:sz="4" w:space="0"/>
              <w:right w:val="single" w:color="auto" w:sz="4" w:space="0"/>
            </w:tcBorders>
            <w:vAlign w:val="center"/>
          </w:tcPr>
          <w:p w14:paraId="291694A0">
            <w:pPr>
              <w:rPr>
                <w:rFonts w:ascii="Times New Roman" w:hAnsi="Times New Roman" w:eastAsia="仿宋_GB2312" w:cs="Times New Roman"/>
                <w:sz w:val="24"/>
                <w:szCs w:val="24"/>
              </w:rPr>
            </w:pPr>
          </w:p>
        </w:tc>
      </w:tr>
      <w:tr w14:paraId="5379BBDD">
        <w:tblPrEx>
          <w:tblCellMar>
            <w:top w:w="0" w:type="dxa"/>
            <w:left w:w="0" w:type="dxa"/>
            <w:bottom w:w="0" w:type="dxa"/>
            <w:right w:w="0" w:type="dxa"/>
          </w:tblCellMar>
        </w:tblPrEx>
        <w:trPr>
          <w:trHeight w:val="312" w:hRule="atLeast"/>
          <w:jc w:val="center"/>
        </w:trPr>
        <w:tc>
          <w:tcPr>
            <w:tcW w:w="1731" w:type="dxa"/>
            <w:vMerge w:val="continue"/>
            <w:tcBorders>
              <w:top w:val="single" w:color="auto" w:sz="4" w:space="0"/>
              <w:left w:val="single" w:color="auto" w:sz="4" w:space="0"/>
              <w:bottom w:val="single" w:color="auto" w:sz="4" w:space="0"/>
              <w:right w:val="single" w:color="auto" w:sz="4" w:space="0"/>
            </w:tcBorders>
            <w:vAlign w:val="center"/>
          </w:tcPr>
          <w:p w14:paraId="050ED218">
            <w:pPr>
              <w:rPr>
                <w:rFonts w:ascii="Times New Roman" w:hAnsi="Times New Roman" w:eastAsia="仿宋_GB2312" w:cs="Times New Roman"/>
                <w:sz w:val="24"/>
                <w:szCs w:val="24"/>
              </w:rPr>
            </w:pPr>
          </w:p>
        </w:tc>
        <w:tc>
          <w:tcPr>
            <w:tcW w:w="3660" w:type="dxa"/>
            <w:vMerge w:val="continue"/>
            <w:tcBorders>
              <w:top w:val="nil"/>
              <w:left w:val="single" w:color="auto" w:sz="4" w:space="0"/>
              <w:bottom w:val="single" w:color="auto" w:sz="4" w:space="0"/>
              <w:right w:val="single" w:color="auto" w:sz="4" w:space="0"/>
            </w:tcBorders>
            <w:vAlign w:val="center"/>
          </w:tcPr>
          <w:p w14:paraId="5AD85CD5">
            <w:pPr>
              <w:rPr>
                <w:rFonts w:ascii="Times New Roman" w:hAnsi="Times New Roman" w:eastAsia="仿宋_GB2312" w:cs="Times New Roman"/>
                <w:sz w:val="24"/>
                <w:szCs w:val="24"/>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14:paraId="05BBE40C">
            <w:pPr>
              <w:rPr>
                <w:rFonts w:ascii="Times New Roman" w:hAnsi="Times New Roman" w:eastAsia="仿宋_GB2312" w:cs="Times New Roman"/>
                <w:sz w:val="24"/>
                <w:szCs w:val="24"/>
              </w:rPr>
            </w:pPr>
          </w:p>
        </w:tc>
        <w:tc>
          <w:tcPr>
            <w:tcW w:w="1395" w:type="dxa"/>
            <w:vMerge w:val="continue"/>
            <w:tcBorders>
              <w:top w:val="single" w:color="auto" w:sz="4" w:space="0"/>
              <w:left w:val="single" w:color="auto" w:sz="4" w:space="0"/>
              <w:bottom w:val="single" w:color="auto" w:sz="4" w:space="0"/>
              <w:right w:val="single" w:color="auto" w:sz="4" w:space="0"/>
            </w:tcBorders>
            <w:vAlign w:val="center"/>
          </w:tcPr>
          <w:p w14:paraId="1E82EF97">
            <w:pPr>
              <w:rPr>
                <w:rFonts w:ascii="Times New Roman" w:hAnsi="Times New Roman" w:eastAsia="仿宋_GB2312" w:cs="Times New Roman"/>
                <w:sz w:val="24"/>
                <w:szCs w:val="24"/>
              </w:rPr>
            </w:pPr>
          </w:p>
        </w:tc>
        <w:tc>
          <w:tcPr>
            <w:tcW w:w="1395" w:type="dxa"/>
            <w:vMerge w:val="continue"/>
            <w:tcBorders>
              <w:top w:val="single" w:color="auto" w:sz="4" w:space="0"/>
              <w:left w:val="single" w:color="auto" w:sz="4" w:space="0"/>
              <w:bottom w:val="single" w:color="auto" w:sz="4" w:space="0"/>
              <w:right w:val="single" w:color="auto" w:sz="4" w:space="0"/>
            </w:tcBorders>
            <w:vAlign w:val="center"/>
          </w:tcPr>
          <w:p w14:paraId="6025FA52">
            <w:pPr>
              <w:rPr>
                <w:rFonts w:ascii="Times New Roman" w:hAnsi="Times New Roman" w:eastAsia="仿宋_GB2312" w:cs="Times New Roman"/>
                <w:sz w:val="24"/>
                <w:szCs w:val="24"/>
              </w:rPr>
            </w:pPr>
          </w:p>
        </w:tc>
        <w:tc>
          <w:tcPr>
            <w:tcW w:w="1050" w:type="dxa"/>
            <w:vMerge w:val="continue"/>
            <w:tcBorders>
              <w:top w:val="single" w:color="auto" w:sz="4" w:space="0"/>
              <w:left w:val="single" w:color="auto" w:sz="4" w:space="0"/>
              <w:bottom w:val="single" w:color="auto" w:sz="4" w:space="0"/>
              <w:right w:val="single" w:color="auto" w:sz="4" w:space="0"/>
            </w:tcBorders>
            <w:vAlign w:val="center"/>
          </w:tcPr>
          <w:p w14:paraId="337B4AF7">
            <w:pPr>
              <w:rPr>
                <w:rFonts w:ascii="Times New Roman" w:hAnsi="Times New Roman" w:eastAsia="仿宋_GB2312" w:cs="Times New Roman"/>
                <w:sz w:val="24"/>
                <w:szCs w:val="24"/>
              </w:rPr>
            </w:pPr>
          </w:p>
        </w:tc>
        <w:tc>
          <w:tcPr>
            <w:tcW w:w="1095" w:type="dxa"/>
            <w:vMerge w:val="continue"/>
            <w:tcBorders>
              <w:top w:val="single" w:color="auto" w:sz="4" w:space="0"/>
              <w:left w:val="single" w:color="auto" w:sz="4" w:space="0"/>
              <w:bottom w:val="single" w:color="auto" w:sz="4" w:space="0"/>
              <w:right w:val="single" w:color="auto" w:sz="4" w:space="0"/>
            </w:tcBorders>
            <w:vAlign w:val="center"/>
          </w:tcPr>
          <w:p w14:paraId="3F744BFD">
            <w:pPr>
              <w:rPr>
                <w:rFonts w:ascii="Times New Roman" w:hAnsi="Times New Roman" w:eastAsia="仿宋_GB2312" w:cs="Times New Roman"/>
                <w:sz w:val="24"/>
                <w:szCs w:val="24"/>
              </w:rPr>
            </w:pPr>
          </w:p>
        </w:tc>
        <w:tc>
          <w:tcPr>
            <w:tcW w:w="1845" w:type="dxa"/>
            <w:vMerge w:val="continue"/>
            <w:tcBorders>
              <w:top w:val="single" w:color="auto" w:sz="4" w:space="0"/>
              <w:left w:val="single" w:color="auto" w:sz="4" w:space="0"/>
              <w:bottom w:val="single" w:color="auto" w:sz="4" w:space="0"/>
              <w:right w:val="single" w:color="auto" w:sz="4" w:space="0"/>
            </w:tcBorders>
            <w:vAlign w:val="center"/>
          </w:tcPr>
          <w:p w14:paraId="2BD563AC">
            <w:pPr>
              <w:rPr>
                <w:rFonts w:ascii="Times New Roman" w:hAnsi="Times New Roman" w:eastAsia="仿宋_GB2312" w:cs="Times New Roman"/>
                <w:sz w:val="24"/>
                <w:szCs w:val="24"/>
              </w:rPr>
            </w:pPr>
          </w:p>
        </w:tc>
        <w:tc>
          <w:tcPr>
            <w:tcW w:w="995" w:type="dxa"/>
            <w:vMerge w:val="continue"/>
            <w:tcBorders>
              <w:top w:val="single" w:color="auto" w:sz="4" w:space="0"/>
              <w:left w:val="single" w:color="auto" w:sz="4" w:space="0"/>
              <w:bottom w:val="single" w:color="auto" w:sz="4" w:space="0"/>
              <w:right w:val="single" w:color="auto" w:sz="4" w:space="0"/>
            </w:tcBorders>
            <w:vAlign w:val="center"/>
          </w:tcPr>
          <w:p w14:paraId="530E2093">
            <w:pPr>
              <w:rPr>
                <w:rFonts w:ascii="Times New Roman" w:hAnsi="Times New Roman" w:eastAsia="仿宋_GB2312" w:cs="Times New Roman"/>
                <w:sz w:val="24"/>
                <w:szCs w:val="24"/>
              </w:rPr>
            </w:pPr>
          </w:p>
        </w:tc>
      </w:tr>
      <w:tr w14:paraId="676048F0">
        <w:tblPrEx>
          <w:tblCellMar>
            <w:top w:w="0" w:type="dxa"/>
            <w:left w:w="0" w:type="dxa"/>
            <w:bottom w:w="0" w:type="dxa"/>
            <w:right w:w="0" w:type="dxa"/>
          </w:tblCellMar>
        </w:tblPrEx>
        <w:trPr>
          <w:trHeight w:val="450" w:hRule="atLeast"/>
          <w:jc w:val="center"/>
        </w:trPr>
        <w:tc>
          <w:tcPr>
            <w:tcW w:w="53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3CF24C">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3F9CE1">
            <w:pPr>
              <w:jc w:val="center"/>
              <w:rPr>
                <w:rFonts w:hint="default" w:ascii="Nimbus Roman" w:hAnsi="Nimbus Roman" w:eastAsia="仿宋_GB2312" w:cs="Nimbus Roman"/>
                <w:sz w:val="24"/>
                <w:szCs w:val="24"/>
              </w:rPr>
            </w:pPr>
            <w:r>
              <w:rPr>
                <w:rFonts w:hint="default" w:ascii="Nimbus Roman" w:hAnsi="Nimbus Roman" w:eastAsia="仿宋_GB2312" w:cs="Nimbus Roman"/>
              </w:rPr>
              <w:t>1</w:t>
            </w:r>
          </w:p>
        </w:tc>
        <w:tc>
          <w:tcPr>
            <w:tcW w:w="13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B11F3D">
            <w:pPr>
              <w:jc w:val="center"/>
              <w:rPr>
                <w:rFonts w:hint="default" w:ascii="Nimbus Roman" w:hAnsi="Nimbus Roman" w:eastAsia="仿宋_GB2312" w:cs="Nimbus Roman"/>
                <w:sz w:val="24"/>
                <w:szCs w:val="24"/>
              </w:rPr>
            </w:pPr>
            <w:r>
              <w:rPr>
                <w:rFonts w:hint="default" w:ascii="Nimbus Roman" w:hAnsi="Nimbus Roman" w:eastAsia="仿宋_GB2312" w:cs="Nimbus Roman"/>
              </w:rPr>
              <w:t>2</w:t>
            </w:r>
          </w:p>
        </w:tc>
        <w:tc>
          <w:tcPr>
            <w:tcW w:w="13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3843BE">
            <w:pPr>
              <w:jc w:val="center"/>
              <w:rPr>
                <w:rFonts w:hint="default" w:ascii="Nimbus Roman" w:hAnsi="Nimbus Roman" w:eastAsia="仿宋_GB2312" w:cs="Nimbus Roman"/>
                <w:sz w:val="24"/>
                <w:szCs w:val="24"/>
              </w:rPr>
            </w:pPr>
            <w:r>
              <w:rPr>
                <w:rFonts w:hint="default" w:ascii="Nimbus Roman" w:hAnsi="Nimbus Roman" w:eastAsia="仿宋_GB2312" w:cs="Nimbus Roman"/>
              </w:rPr>
              <w:t>3</w:t>
            </w:r>
          </w:p>
        </w:tc>
        <w:tc>
          <w:tcPr>
            <w:tcW w:w="10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5E297F">
            <w:pPr>
              <w:jc w:val="center"/>
              <w:rPr>
                <w:rFonts w:hint="default" w:ascii="Nimbus Roman" w:hAnsi="Nimbus Roman" w:eastAsia="仿宋_GB2312" w:cs="Nimbus Roman"/>
                <w:sz w:val="24"/>
                <w:szCs w:val="24"/>
              </w:rPr>
            </w:pPr>
            <w:r>
              <w:rPr>
                <w:rFonts w:hint="default" w:ascii="Nimbus Roman" w:hAnsi="Nimbus Roman" w:eastAsia="仿宋_GB2312" w:cs="Nimbus Roman"/>
              </w:rPr>
              <w:t>4</w:t>
            </w:r>
          </w:p>
        </w:tc>
        <w:tc>
          <w:tcPr>
            <w:tcW w:w="10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24737B">
            <w:pPr>
              <w:jc w:val="center"/>
              <w:rPr>
                <w:rFonts w:hint="default" w:ascii="Nimbus Roman" w:hAnsi="Nimbus Roman" w:eastAsia="仿宋_GB2312" w:cs="Nimbus Roman"/>
                <w:sz w:val="24"/>
                <w:szCs w:val="24"/>
              </w:rPr>
            </w:pPr>
            <w:r>
              <w:rPr>
                <w:rFonts w:hint="default" w:ascii="Nimbus Roman" w:hAnsi="Nimbus Roman" w:eastAsia="仿宋_GB2312" w:cs="Nimbus Roman"/>
              </w:rPr>
              <w:t>5</w:t>
            </w:r>
          </w:p>
        </w:tc>
        <w:tc>
          <w:tcPr>
            <w:tcW w:w="18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098998">
            <w:pPr>
              <w:jc w:val="center"/>
              <w:rPr>
                <w:rFonts w:hint="default" w:ascii="Nimbus Roman" w:hAnsi="Nimbus Roman" w:eastAsia="仿宋_GB2312" w:cs="Nimbus Roman"/>
                <w:sz w:val="24"/>
                <w:szCs w:val="24"/>
              </w:rPr>
            </w:pPr>
            <w:r>
              <w:rPr>
                <w:rFonts w:hint="default" w:ascii="Nimbus Roman" w:hAnsi="Nimbus Roman" w:eastAsia="仿宋_GB2312" w:cs="Nimbus Roman"/>
              </w:rPr>
              <w:t>6</w:t>
            </w:r>
          </w:p>
        </w:tc>
        <w:tc>
          <w:tcPr>
            <w:tcW w:w="9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98D774">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74FDD9F3">
        <w:tblPrEx>
          <w:tblCellMar>
            <w:top w:w="0" w:type="dxa"/>
            <w:left w:w="0" w:type="dxa"/>
            <w:bottom w:w="0" w:type="dxa"/>
            <w:right w:w="0" w:type="dxa"/>
          </w:tblCellMar>
        </w:tblPrEx>
        <w:trPr>
          <w:trHeight w:val="23" w:hRule="atLeast"/>
          <w:jc w:val="center"/>
        </w:trPr>
        <w:tc>
          <w:tcPr>
            <w:tcW w:w="53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E7482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F68421">
            <w:pPr>
              <w:jc w:val="right"/>
              <w:rPr>
                <w:rFonts w:hint="default" w:ascii="Nimbus Roman" w:hAnsi="Nimbus Roman" w:eastAsia="仿宋_GB2312" w:cs="Nimbus Roman"/>
                <w:sz w:val="24"/>
                <w:szCs w:val="24"/>
              </w:rPr>
            </w:pPr>
            <w:r>
              <w:rPr>
                <w:rFonts w:hint="default" w:ascii="Nimbus Roman" w:hAnsi="Nimbus Roman" w:eastAsia="仿宋_GB2312" w:cs="Nimbus Roman"/>
                <w:lang w:val="en-US" w:eastAsia="zh-CN"/>
              </w:rPr>
              <w:t>210.26</w:t>
            </w:r>
            <w:r>
              <w:rPr>
                <w:rFonts w:hint="default" w:ascii="Nimbus Roman" w:hAnsi="Nimbus Roman" w:eastAsia="仿宋_GB2312" w:cs="Nimbus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A73FA4">
            <w:pPr>
              <w:jc w:val="right"/>
              <w:rPr>
                <w:rFonts w:hint="default" w:ascii="Nimbus Roman" w:hAnsi="Nimbus Roman" w:eastAsia="仿宋_GB2312" w:cs="Nimbus Roman"/>
                <w:sz w:val="24"/>
                <w:szCs w:val="24"/>
                <w:lang w:val="en-US" w:eastAsia="zh-CN"/>
              </w:rPr>
            </w:pPr>
            <w:r>
              <w:rPr>
                <w:rFonts w:hint="eastAsia" w:ascii="Nimbus Roman" w:hAnsi="Nimbus Roman" w:eastAsia="仿宋_GB2312" w:cs="Nimbus Roman"/>
                <w:lang w:val="en-US" w:eastAsia="zh-CN"/>
              </w:rPr>
              <w:t>210.26</w:t>
            </w:r>
            <w:r>
              <w:rPr>
                <w:rFonts w:hint="default" w:ascii="Nimbus Roman" w:hAnsi="Nimbus Roman" w:eastAsia="仿宋_GB2312" w:cs="Nimbus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4FDBA2">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57D3C9">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0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E02885">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6BE67B">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9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2FAF4">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r>
      <w:tr w14:paraId="10B26CFC">
        <w:tblPrEx>
          <w:tblCellMar>
            <w:top w:w="0" w:type="dxa"/>
            <w:left w:w="0" w:type="dxa"/>
            <w:bottom w:w="0" w:type="dxa"/>
            <w:right w:w="0" w:type="dxa"/>
          </w:tblCellMar>
        </w:tblPrEx>
        <w:trPr>
          <w:trHeight w:val="23" w:hRule="atLeast"/>
          <w:jc w:val="center"/>
        </w:trPr>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6EE813">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Nimbus Roman" w:hAnsi="Nimbus Roman" w:eastAsia="方正仿宋_GBK" w:cs="Nimbus Roman"/>
                <w:sz w:val="24"/>
                <w:szCs w:val="24"/>
                <w:lang w:val="en-US" w:eastAsia="zh-CN"/>
              </w:rPr>
            </w:pPr>
            <w:r>
              <w:rPr>
                <w:rFonts w:hint="default" w:ascii="Nimbus Roman" w:hAnsi="Nimbus Roman" w:eastAsia="方正仿宋_GBK" w:cs="Nimbus Roman"/>
              </w:rPr>
              <w:t>　</w:t>
            </w:r>
            <w:r>
              <w:rPr>
                <w:rFonts w:hint="default" w:ascii="Nimbus Roman" w:hAnsi="Nimbus Roman" w:eastAsia="方正仿宋_GBK" w:cs="Nimbus Roman"/>
                <w:lang w:val="en-US" w:eastAsia="zh-CN"/>
              </w:rPr>
              <w:t>2010301</w:t>
            </w:r>
          </w:p>
        </w:tc>
        <w:tc>
          <w:tcPr>
            <w:tcW w:w="36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4ADD48">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1B701F">
            <w:pPr>
              <w:jc w:val="right"/>
              <w:rPr>
                <w:rFonts w:hint="default" w:ascii="Nimbus Roman" w:hAnsi="Nimbus Roman" w:eastAsia="仿宋_GB2312" w:cs="Nimbus Roman"/>
                <w:sz w:val="24"/>
                <w:szCs w:val="24"/>
              </w:rPr>
            </w:pPr>
            <w:r>
              <w:rPr>
                <w:rFonts w:hint="eastAsia" w:ascii="Nimbus Roman" w:hAnsi="Nimbus Roman" w:eastAsia="仿宋_GB2312" w:cs="Nimbus Roman"/>
                <w:lang w:val="en-US" w:eastAsia="zh-CN"/>
              </w:rPr>
              <w:t>0.48</w:t>
            </w:r>
            <w:r>
              <w:rPr>
                <w:rFonts w:hint="default" w:ascii="Nimbus Roman" w:hAnsi="Nimbus Roman" w:eastAsia="仿宋_GB2312" w:cs="Nimbus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89C92">
            <w:pPr>
              <w:jc w:val="right"/>
              <w:rPr>
                <w:rFonts w:hint="default" w:ascii="Nimbus Roman" w:hAnsi="Nimbus Roman" w:eastAsia="仿宋_GB2312" w:cs="Nimbus Roman"/>
                <w:sz w:val="24"/>
                <w:szCs w:val="24"/>
                <w:lang w:val="en-US" w:eastAsia="zh-CN"/>
              </w:rPr>
            </w:pPr>
            <w:r>
              <w:rPr>
                <w:rFonts w:hint="default" w:ascii="Nimbus Roman" w:hAnsi="Nimbus Roman" w:eastAsia="仿宋_GB2312" w:cs="Nimbus Roman"/>
              </w:rPr>
              <w:t>　</w:t>
            </w:r>
            <w:r>
              <w:rPr>
                <w:rFonts w:hint="eastAsia" w:ascii="Nimbus Roman" w:hAnsi="Nimbus Roman" w:eastAsia="仿宋_GB2312" w:cs="Nimbus Roman"/>
                <w:lang w:val="en-US" w:eastAsia="zh-CN"/>
              </w:rPr>
              <w:t>0.48</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7136E7">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070FC0">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0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E6A79F">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BA669F">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9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F1A6E7">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r>
      <w:tr w14:paraId="230DD6E8">
        <w:tblPrEx>
          <w:tblCellMar>
            <w:top w:w="0" w:type="dxa"/>
            <w:left w:w="0" w:type="dxa"/>
            <w:bottom w:w="0" w:type="dxa"/>
            <w:right w:w="0" w:type="dxa"/>
          </w:tblCellMar>
        </w:tblPrEx>
        <w:trPr>
          <w:trHeight w:val="23" w:hRule="atLeast"/>
          <w:jc w:val="center"/>
        </w:trPr>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9DB30D">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Nimbus Roman" w:hAnsi="Nimbus Roman" w:eastAsia="方正仿宋_GBK" w:cs="Nimbus Roman"/>
                <w:sz w:val="24"/>
                <w:szCs w:val="24"/>
                <w:lang w:val="en-US" w:eastAsia="zh-CN"/>
              </w:rPr>
            </w:pPr>
            <w:r>
              <w:rPr>
                <w:rFonts w:hint="default" w:ascii="Nimbus Roman" w:hAnsi="Nimbus Roman" w:eastAsia="方正仿宋_GBK" w:cs="Nimbus Roman"/>
              </w:rPr>
              <w:t>　</w:t>
            </w:r>
            <w:r>
              <w:rPr>
                <w:rFonts w:hint="default" w:ascii="Nimbus Roman" w:hAnsi="Nimbus Roman" w:eastAsia="方正仿宋_GBK" w:cs="Nimbus Roman"/>
                <w:lang w:val="en-US" w:eastAsia="zh-CN"/>
              </w:rPr>
              <w:t>2013901</w:t>
            </w:r>
          </w:p>
        </w:tc>
        <w:tc>
          <w:tcPr>
            <w:tcW w:w="36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D3765F">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912923">
            <w:pPr>
              <w:jc w:val="right"/>
              <w:rPr>
                <w:rFonts w:hint="default" w:ascii="Nimbus Roman" w:hAnsi="Nimbus Roman" w:eastAsia="仿宋_GB2312" w:cs="Nimbus Roman"/>
                <w:sz w:val="24"/>
                <w:szCs w:val="24"/>
              </w:rPr>
            </w:pPr>
            <w:r>
              <w:rPr>
                <w:rFonts w:hint="eastAsia" w:ascii="Nimbus Roman" w:hAnsi="Nimbus Roman" w:eastAsia="仿宋_GB2312" w:cs="Nimbus Roman"/>
                <w:lang w:val="en-US" w:eastAsia="zh-CN"/>
              </w:rPr>
              <w:t>17.26</w:t>
            </w:r>
            <w:r>
              <w:rPr>
                <w:rFonts w:hint="default" w:ascii="Nimbus Roman" w:hAnsi="Nimbus Roman" w:eastAsia="仿宋_GB2312" w:cs="Nimbus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ED68B1">
            <w:pPr>
              <w:jc w:val="right"/>
              <w:rPr>
                <w:rFonts w:hint="default" w:ascii="Nimbus Roman" w:hAnsi="Nimbus Roman" w:eastAsia="仿宋_GB2312" w:cs="Nimbus Roman"/>
                <w:sz w:val="24"/>
                <w:szCs w:val="24"/>
              </w:rPr>
            </w:pPr>
            <w:r>
              <w:rPr>
                <w:rFonts w:hint="eastAsia" w:ascii="Nimbus Roman" w:hAnsi="Nimbus Roman" w:eastAsia="仿宋_GB2312" w:cs="Nimbus Roman"/>
                <w:lang w:val="en-US" w:eastAsia="zh-CN"/>
              </w:rPr>
              <w:t>17.26</w:t>
            </w:r>
            <w:r>
              <w:rPr>
                <w:rFonts w:hint="default" w:ascii="Nimbus Roman" w:hAnsi="Nimbus Roman" w:eastAsia="仿宋_GB2312" w:cs="Nimbus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3D3646">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67B070">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0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87D8B6">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E08A44">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9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7FD3B6">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r>
      <w:tr w14:paraId="37794900">
        <w:tblPrEx>
          <w:tblCellMar>
            <w:top w:w="0" w:type="dxa"/>
            <w:left w:w="0" w:type="dxa"/>
            <w:bottom w:w="0" w:type="dxa"/>
            <w:right w:w="0" w:type="dxa"/>
          </w:tblCellMar>
        </w:tblPrEx>
        <w:trPr>
          <w:trHeight w:val="23" w:hRule="atLeast"/>
          <w:jc w:val="center"/>
        </w:trPr>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E78895">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Nimbus Roman" w:hAnsi="Nimbus Roman" w:eastAsia="方正仿宋_GBK" w:cs="Nimbus Roman"/>
                <w:sz w:val="24"/>
                <w:szCs w:val="24"/>
                <w:lang w:val="en-US" w:eastAsia="zh-CN"/>
              </w:rPr>
            </w:pPr>
            <w:r>
              <w:rPr>
                <w:rFonts w:hint="default" w:ascii="Nimbus Roman" w:hAnsi="Nimbus Roman" w:eastAsia="方正仿宋_GBK" w:cs="Nimbus Roman"/>
              </w:rPr>
              <w:t>　</w:t>
            </w:r>
            <w:r>
              <w:rPr>
                <w:rFonts w:hint="default" w:ascii="Nimbus Roman" w:hAnsi="Nimbus Roman" w:eastAsia="方正仿宋_GBK" w:cs="Nimbus Roman"/>
                <w:lang w:val="en-US" w:eastAsia="zh-CN"/>
              </w:rPr>
              <w:t>2013999</w:t>
            </w:r>
          </w:p>
        </w:tc>
        <w:tc>
          <w:tcPr>
            <w:tcW w:w="36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84779B">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仿宋_GB2312" w:cs="Times New Roman"/>
                <w:sz w:val="24"/>
                <w:szCs w:val="24"/>
              </w:rPr>
            </w:pPr>
            <w:r>
              <w:rPr>
                <w:rFonts w:hint="eastAsia" w:ascii="Times New Roman" w:hAnsi="Times New Roman" w:eastAsia="仿宋_GB2312" w:cs="Times New Roman"/>
              </w:rPr>
              <w:t>其他社会工作事务支出</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8DCA6">
            <w:pPr>
              <w:jc w:val="right"/>
              <w:rPr>
                <w:rFonts w:hint="default" w:ascii="Nimbus Roman" w:hAnsi="Nimbus Roman" w:eastAsia="仿宋_GB2312" w:cs="Nimbus Roman"/>
                <w:sz w:val="24"/>
                <w:szCs w:val="24"/>
              </w:rPr>
            </w:pPr>
            <w:r>
              <w:rPr>
                <w:rFonts w:hint="eastAsia" w:ascii="Nimbus Roman" w:hAnsi="Nimbus Roman" w:eastAsia="仿宋_GB2312" w:cs="Nimbus Roman"/>
                <w:lang w:val="en-US" w:eastAsia="zh-CN"/>
              </w:rPr>
              <w:t>20.40</w:t>
            </w:r>
            <w:r>
              <w:rPr>
                <w:rFonts w:hint="default" w:ascii="Nimbus Roman" w:hAnsi="Nimbus Roman" w:eastAsia="仿宋_GB2312" w:cs="Nimbus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46C8EE">
            <w:pPr>
              <w:jc w:val="right"/>
              <w:rPr>
                <w:rFonts w:hint="default" w:ascii="Nimbus Roman" w:hAnsi="Nimbus Roman" w:eastAsia="仿宋_GB2312" w:cs="Nimbus Roman"/>
                <w:sz w:val="24"/>
                <w:szCs w:val="24"/>
              </w:rPr>
            </w:pPr>
            <w:r>
              <w:rPr>
                <w:rFonts w:hint="eastAsia" w:ascii="Nimbus Roman" w:hAnsi="Nimbus Roman" w:eastAsia="仿宋_GB2312" w:cs="Nimbus Roman"/>
                <w:lang w:val="en-US" w:eastAsia="zh-CN"/>
              </w:rPr>
              <w:t>20.10</w:t>
            </w:r>
            <w:r>
              <w:rPr>
                <w:rFonts w:hint="default" w:ascii="Nimbus Roman" w:hAnsi="Nimbus Roman" w:eastAsia="仿宋_GB2312" w:cs="Nimbus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6EDDC5">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4D8CC3">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0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6DA1E7">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D1B6D5">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9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C0E36E">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r>
      <w:tr w14:paraId="6FD24D07">
        <w:tblPrEx>
          <w:tblCellMar>
            <w:top w:w="0" w:type="dxa"/>
            <w:left w:w="0" w:type="dxa"/>
            <w:bottom w:w="0" w:type="dxa"/>
            <w:right w:w="0" w:type="dxa"/>
          </w:tblCellMar>
        </w:tblPrEx>
        <w:trPr>
          <w:trHeight w:val="340" w:hRule="atLeast"/>
          <w:jc w:val="center"/>
        </w:trPr>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FB6A8B">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Nimbus Roman" w:hAnsi="Nimbus Roman" w:eastAsia="方正仿宋_GBK" w:cs="Nimbus Roman"/>
                <w:sz w:val="24"/>
                <w:szCs w:val="24"/>
                <w:lang w:val="en-US" w:eastAsia="zh-CN"/>
              </w:rPr>
            </w:pPr>
            <w:r>
              <w:rPr>
                <w:rFonts w:hint="default" w:ascii="Nimbus Roman" w:hAnsi="Nimbus Roman" w:eastAsia="方正仿宋_GBK" w:cs="Nimbus Roman"/>
              </w:rPr>
              <w:t>　</w:t>
            </w:r>
            <w:r>
              <w:rPr>
                <w:rFonts w:hint="default" w:ascii="Nimbus Roman" w:hAnsi="Nimbus Roman" w:eastAsia="方正仿宋_GBK" w:cs="Nimbus Roman"/>
                <w:lang w:val="en-US" w:eastAsia="zh-CN"/>
              </w:rPr>
              <w:t>2080101</w:t>
            </w:r>
          </w:p>
        </w:tc>
        <w:tc>
          <w:tcPr>
            <w:tcW w:w="36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D02BF1">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C1BCBB">
            <w:pPr>
              <w:jc w:val="right"/>
              <w:rPr>
                <w:rFonts w:hint="default" w:ascii="Nimbus Roman" w:hAnsi="Nimbus Roman" w:eastAsia="仿宋_GB2312" w:cs="Nimbus Roman"/>
                <w:sz w:val="24"/>
                <w:szCs w:val="24"/>
              </w:rPr>
            </w:pPr>
            <w:r>
              <w:rPr>
                <w:rFonts w:hint="eastAsia" w:ascii="Nimbus Roman" w:hAnsi="Nimbus Roman" w:eastAsia="仿宋_GB2312" w:cs="Nimbus Roman"/>
                <w:lang w:val="en-US" w:eastAsia="zh-CN"/>
              </w:rPr>
              <w:t>88.70</w:t>
            </w:r>
            <w:r>
              <w:rPr>
                <w:rFonts w:hint="default" w:ascii="Nimbus Roman" w:hAnsi="Nimbus Roman" w:eastAsia="仿宋_GB2312" w:cs="Nimbus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0646B7">
            <w:pPr>
              <w:jc w:val="right"/>
              <w:rPr>
                <w:rFonts w:hint="default" w:ascii="Nimbus Roman" w:hAnsi="Nimbus Roman" w:eastAsia="仿宋_GB2312" w:cs="Nimbus Roman"/>
                <w:sz w:val="24"/>
                <w:szCs w:val="24"/>
              </w:rPr>
            </w:pPr>
            <w:r>
              <w:rPr>
                <w:rFonts w:hint="eastAsia" w:ascii="Nimbus Roman" w:hAnsi="Nimbus Roman" w:eastAsia="仿宋_GB2312" w:cs="Nimbus Roman"/>
                <w:lang w:val="en-US" w:eastAsia="zh-CN"/>
              </w:rPr>
              <w:t>88.70</w:t>
            </w:r>
            <w:r>
              <w:rPr>
                <w:rFonts w:hint="default" w:ascii="Nimbus Roman" w:hAnsi="Nimbus Roman" w:eastAsia="仿宋_GB2312" w:cs="Nimbus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6268BB">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BDE0B2">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0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7844E3">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24599">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9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8F353C">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r>
      <w:tr w14:paraId="5952ACA4">
        <w:tblPrEx>
          <w:tblCellMar>
            <w:top w:w="0" w:type="dxa"/>
            <w:left w:w="0" w:type="dxa"/>
            <w:bottom w:w="0" w:type="dxa"/>
            <w:right w:w="0" w:type="dxa"/>
          </w:tblCellMar>
        </w:tblPrEx>
        <w:trPr>
          <w:trHeight w:val="23" w:hRule="atLeast"/>
          <w:jc w:val="center"/>
        </w:trPr>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00F0ED">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Nimbus Roman" w:hAnsi="Nimbus Roman" w:eastAsia="方正仿宋_GBK" w:cs="Nimbus Roman"/>
                <w:sz w:val="24"/>
                <w:szCs w:val="24"/>
                <w:lang w:val="en-US" w:eastAsia="zh-CN"/>
              </w:rPr>
            </w:pPr>
            <w:r>
              <w:rPr>
                <w:rFonts w:hint="default" w:ascii="Nimbus Roman" w:hAnsi="Nimbus Roman" w:eastAsia="方正仿宋_GBK" w:cs="Nimbus Roman"/>
              </w:rPr>
              <w:t>　</w:t>
            </w:r>
            <w:r>
              <w:rPr>
                <w:rFonts w:hint="default" w:ascii="Nimbus Roman" w:hAnsi="Nimbus Roman" w:eastAsia="方正仿宋_GBK" w:cs="Nimbus Roman"/>
                <w:lang w:val="en-US" w:eastAsia="zh-CN"/>
              </w:rPr>
              <w:t>2080505</w:t>
            </w:r>
          </w:p>
        </w:tc>
        <w:tc>
          <w:tcPr>
            <w:tcW w:w="36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1D10F6">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机关事业单位基本养老保险缴费支出</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FB921E">
            <w:pPr>
              <w:jc w:val="right"/>
              <w:rPr>
                <w:rFonts w:hint="default" w:ascii="Nimbus Roman" w:hAnsi="Nimbus Roman" w:eastAsia="仿宋_GB2312" w:cs="Nimbus Roman"/>
                <w:sz w:val="24"/>
                <w:szCs w:val="24"/>
              </w:rPr>
            </w:pPr>
            <w:r>
              <w:rPr>
                <w:rFonts w:hint="eastAsia" w:ascii="Nimbus Roman" w:hAnsi="Nimbus Roman" w:eastAsia="仿宋_GB2312" w:cs="Nimbus Roman"/>
                <w:lang w:val="en-US" w:eastAsia="zh-CN"/>
              </w:rPr>
              <w:t>12.08</w:t>
            </w:r>
            <w:r>
              <w:rPr>
                <w:rFonts w:hint="default" w:ascii="Nimbus Roman" w:hAnsi="Nimbus Roman" w:eastAsia="仿宋_GB2312" w:cs="Nimbus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F5973B">
            <w:pPr>
              <w:jc w:val="right"/>
              <w:rPr>
                <w:rFonts w:hint="default" w:ascii="Nimbus Roman" w:hAnsi="Nimbus Roman" w:eastAsia="仿宋_GB2312" w:cs="Nimbus Roman"/>
                <w:sz w:val="24"/>
                <w:szCs w:val="24"/>
              </w:rPr>
            </w:pPr>
            <w:r>
              <w:rPr>
                <w:rFonts w:hint="eastAsia" w:ascii="Nimbus Roman" w:hAnsi="Nimbus Roman" w:eastAsia="仿宋_GB2312" w:cs="Nimbus Roman"/>
                <w:lang w:val="en-US" w:eastAsia="zh-CN"/>
              </w:rPr>
              <w:t>12.08</w:t>
            </w:r>
            <w:r>
              <w:rPr>
                <w:rFonts w:hint="default" w:ascii="Nimbus Roman" w:hAnsi="Nimbus Roman" w:eastAsia="仿宋_GB2312" w:cs="Nimbus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E8A351">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D0D6D9">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0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3E2613">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537109">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9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ACC9C8">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r>
      <w:tr w14:paraId="70E5BE2A">
        <w:tblPrEx>
          <w:tblCellMar>
            <w:top w:w="0" w:type="dxa"/>
            <w:left w:w="0" w:type="dxa"/>
            <w:bottom w:w="0" w:type="dxa"/>
            <w:right w:w="0" w:type="dxa"/>
          </w:tblCellMar>
        </w:tblPrEx>
        <w:trPr>
          <w:trHeight w:val="23" w:hRule="atLeast"/>
          <w:jc w:val="center"/>
        </w:trPr>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565838">
            <w:pPr>
              <w:keepNext w:val="0"/>
              <w:keepLines w:val="0"/>
              <w:pageBreakBefore w:val="0"/>
              <w:widowControl w:val="0"/>
              <w:kinsoku/>
              <w:wordWrap/>
              <w:overflowPunct/>
              <w:topLinePunct w:val="0"/>
              <w:autoSpaceDE/>
              <w:autoSpaceDN/>
              <w:bidi w:val="0"/>
              <w:adjustRightInd/>
              <w:snapToGrid/>
              <w:spacing w:line="240" w:lineRule="exact"/>
              <w:ind w:firstLine="210" w:firstLineChars="100"/>
              <w:jc w:val="both"/>
              <w:textAlignment w:val="auto"/>
              <w:rPr>
                <w:rFonts w:hint="default" w:ascii="Nimbus Roman" w:hAnsi="Nimbus Roman" w:eastAsia="方正仿宋_GBK" w:cs="Nimbus Roman"/>
                <w:lang w:val="en-US" w:eastAsia="zh-CN"/>
              </w:rPr>
            </w:pPr>
            <w:r>
              <w:rPr>
                <w:rFonts w:hint="default" w:ascii="Nimbus Roman" w:hAnsi="Nimbus Roman" w:eastAsia="方正仿宋_GBK" w:cs="Nimbus Roman"/>
                <w:lang w:val="en-US" w:eastAsia="zh-CN"/>
              </w:rPr>
              <w:t>2089999</w:t>
            </w:r>
          </w:p>
        </w:tc>
        <w:tc>
          <w:tcPr>
            <w:tcW w:w="36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58FBA6">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仿宋_GB2312" w:cs="Times New Roman"/>
              </w:rPr>
            </w:pPr>
            <w:r>
              <w:rPr>
                <w:rFonts w:hint="eastAsia" w:ascii="Times New Roman" w:hAnsi="Times New Roman" w:eastAsia="仿宋_GB2312" w:cs="Times New Roman"/>
              </w:rPr>
              <w:t>其他社会保障和就业支出</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F03C4F">
            <w:pPr>
              <w:jc w:val="right"/>
              <w:rPr>
                <w:rFonts w:hint="default" w:ascii="Nimbus Roman" w:hAnsi="Nimbus Roman" w:eastAsia="仿宋_GB2312" w:cs="Nimbus Roman"/>
                <w:lang w:val="en-US" w:eastAsia="zh-CN"/>
              </w:rPr>
            </w:pPr>
            <w:r>
              <w:rPr>
                <w:rFonts w:hint="eastAsia" w:ascii="Nimbus Roman" w:hAnsi="Nimbus Roman" w:eastAsia="仿宋_GB2312" w:cs="Nimbus Roman"/>
                <w:lang w:val="en-US" w:eastAsia="zh-CN"/>
              </w:rPr>
              <w:t>7.08</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09283D">
            <w:pPr>
              <w:jc w:val="right"/>
              <w:rPr>
                <w:rFonts w:hint="default" w:ascii="Nimbus Roman" w:hAnsi="Nimbus Roman" w:eastAsia="仿宋_GB2312" w:cs="Nimbus Roman"/>
                <w:lang w:val="en-US" w:eastAsia="zh-CN"/>
              </w:rPr>
            </w:pPr>
            <w:r>
              <w:rPr>
                <w:rFonts w:hint="eastAsia" w:ascii="Nimbus Roman" w:hAnsi="Nimbus Roman" w:eastAsia="仿宋_GB2312" w:cs="Nimbus Roman"/>
                <w:lang w:val="en-US" w:eastAsia="zh-CN"/>
              </w:rPr>
              <w:t>7.08</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57FB1E">
            <w:pPr>
              <w:jc w:val="right"/>
              <w:rPr>
                <w:rFonts w:hint="default" w:ascii="Nimbus Roman" w:hAnsi="Nimbus Roman" w:eastAsia="仿宋_GB2312" w:cs="Nimbus Roman"/>
              </w:rPr>
            </w:pPr>
          </w:p>
        </w:tc>
        <w:tc>
          <w:tcPr>
            <w:tcW w:w="1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65E8D9">
            <w:pPr>
              <w:jc w:val="right"/>
              <w:rPr>
                <w:rFonts w:hint="default" w:ascii="Nimbus Roman" w:hAnsi="Nimbus Roman" w:eastAsia="仿宋_GB2312" w:cs="Nimbus Roman"/>
              </w:rPr>
            </w:pPr>
          </w:p>
        </w:tc>
        <w:tc>
          <w:tcPr>
            <w:tcW w:w="10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037C07">
            <w:pPr>
              <w:jc w:val="right"/>
              <w:rPr>
                <w:rFonts w:hint="default" w:ascii="Nimbus Roman" w:hAnsi="Nimbus Roman" w:eastAsia="仿宋_GB2312" w:cs="Nimbus Roman"/>
              </w:rPr>
            </w:pP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5B38A">
            <w:pPr>
              <w:jc w:val="right"/>
              <w:rPr>
                <w:rFonts w:hint="default" w:ascii="Nimbus Roman" w:hAnsi="Nimbus Roman" w:eastAsia="仿宋_GB2312" w:cs="Nimbus Roman"/>
              </w:rPr>
            </w:pPr>
          </w:p>
        </w:tc>
        <w:tc>
          <w:tcPr>
            <w:tcW w:w="9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D7F10B">
            <w:pPr>
              <w:jc w:val="right"/>
              <w:rPr>
                <w:rFonts w:hint="default" w:ascii="Nimbus Roman" w:hAnsi="Nimbus Roman" w:eastAsia="仿宋_GB2312" w:cs="Nimbus Roman"/>
              </w:rPr>
            </w:pPr>
          </w:p>
        </w:tc>
      </w:tr>
      <w:tr w14:paraId="5B284F1F">
        <w:tblPrEx>
          <w:tblCellMar>
            <w:top w:w="0" w:type="dxa"/>
            <w:left w:w="0" w:type="dxa"/>
            <w:bottom w:w="0" w:type="dxa"/>
            <w:right w:w="0" w:type="dxa"/>
          </w:tblCellMar>
        </w:tblPrEx>
        <w:trPr>
          <w:trHeight w:val="23" w:hRule="atLeast"/>
          <w:jc w:val="center"/>
        </w:trPr>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6B657B">
            <w:pPr>
              <w:ind w:firstLine="210" w:firstLineChars="100"/>
              <w:jc w:val="both"/>
              <w:rPr>
                <w:rFonts w:hint="default" w:ascii="Nimbus Roman" w:hAnsi="Nimbus Roman" w:eastAsia="方正仿宋_GBK" w:cs="Nimbus Roman"/>
                <w:sz w:val="24"/>
                <w:szCs w:val="24"/>
                <w:lang w:val="en-US" w:eastAsia="zh-CN"/>
              </w:rPr>
            </w:pPr>
            <w:r>
              <w:rPr>
                <w:rFonts w:hint="default" w:ascii="Nimbus Roman" w:hAnsi="Nimbus Roman" w:eastAsia="方正仿宋_GBK" w:cs="Nimbus Roman"/>
                <w:lang w:val="en-US" w:eastAsia="zh-CN"/>
              </w:rPr>
              <w:t>2101101</w:t>
            </w:r>
          </w:p>
        </w:tc>
        <w:tc>
          <w:tcPr>
            <w:tcW w:w="366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E24435">
            <w:pPr>
              <w:rPr>
                <w:rFonts w:ascii="Times New Roman" w:hAnsi="Times New Roman" w:eastAsia="仿宋_GB2312" w:cs="Times New Roman"/>
                <w:sz w:val="24"/>
                <w:szCs w:val="24"/>
              </w:rPr>
            </w:pPr>
            <w:r>
              <w:rPr>
                <w:rFonts w:hint="eastAsia" w:ascii="Times New Roman" w:hAnsi="Times New Roman" w:eastAsia="仿宋_GB2312" w:cs="Times New Roman"/>
              </w:rPr>
              <w:t>行政单位医疗</w:t>
            </w:r>
          </w:p>
        </w:tc>
        <w:tc>
          <w:tcPr>
            <w:tcW w:w="15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BE6A05">
            <w:pPr>
              <w:jc w:val="right"/>
              <w:rPr>
                <w:rFonts w:hint="default" w:ascii="Nimbus Roman" w:hAnsi="Nimbus Roman" w:eastAsia="仿宋_GB2312" w:cs="Nimbus Roman"/>
                <w:sz w:val="24"/>
                <w:szCs w:val="24"/>
              </w:rPr>
            </w:pPr>
            <w:r>
              <w:rPr>
                <w:rFonts w:hint="eastAsia" w:ascii="Nimbus Roman" w:hAnsi="Nimbus Roman" w:eastAsia="仿宋_GB2312" w:cs="Nimbus Roman"/>
                <w:lang w:val="en-US" w:eastAsia="zh-CN"/>
              </w:rPr>
              <w:t>5.46</w:t>
            </w:r>
            <w:r>
              <w:rPr>
                <w:rFonts w:hint="default" w:ascii="Nimbus Roman" w:hAnsi="Nimbus Roman" w:eastAsia="仿宋_GB2312" w:cs="Nimbus Roman"/>
              </w:rPr>
              <w:t>　</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8597E2">
            <w:pPr>
              <w:jc w:val="right"/>
              <w:rPr>
                <w:rFonts w:hint="default" w:ascii="Nimbus Roman" w:hAnsi="Nimbus Roman" w:eastAsia="仿宋_GB2312" w:cs="Nimbus Roman"/>
                <w:sz w:val="24"/>
                <w:szCs w:val="24"/>
              </w:rPr>
            </w:pPr>
            <w:r>
              <w:rPr>
                <w:rFonts w:hint="eastAsia" w:ascii="Nimbus Roman" w:hAnsi="Nimbus Roman" w:eastAsia="仿宋_GB2312" w:cs="Nimbus Roman"/>
                <w:lang w:val="en-US" w:eastAsia="zh-CN"/>
              </w:rPr>
              <w:t>5.46</w:t>
            </w:r>
            <w:r>
              <w:rPr>
                <w:rFonts w:hint="default" w:ascii="Nimbus Roman" w:hAnsi="Nimbus Roman" w:eastAsia="仿宋_GB2312" w:cs="Nimbus Roman"/>
              </w:rPr>
              <w:t>　</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14A84C">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0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453B47">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F7B3EB">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253FDC">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E581E3">
            <w:pPr>
              <w:jc w:val="right"/>
              <w:rPr>
                <w:rFonts w:hint="default" w:ascii="Nimbus Roman" w:hAnsi="Nimbus Roman" w:eastAsia="仿宋_GB2312" w:cs="Nimbus Roman"/>
                <w:sz w:val="24"/>
                <w:szCs w:val="24"/>
              </w:rPr>
            </w:pPr>
            <w:r>
              <w:rPr>
                <w:rFonts w:hint="default" w:ascii="Nimbus Roman" w:hAnsi="Nimbus Roman" w:eastAsia="仿宋_GB2312" w:cs="Nimbus Roman"/>
              </w:rPr>
              <w:t>　</w:t>
            </w:r>
          </w:p>
        </w:tc>
      </w:tr>
      <w:tr w14:paraId="34A34332">
        <w:tblPrEx>
          <w:tblCellMar>
            <w:top w:w="0" w:type="dxa"/>
            <w:left w:w="0" w:type="dxa"/>
            <w:bottom w:w="0" w:type="dxa"/>
            <w:right w:w="0" w:type="dxa"/>
          </w:tblCellMar>
        </w:tblPrEx>
        <w:trPr>
          <w:trHeight w:val="450" w:hRule="atLeast"/>
          <w:jc w:val="center"/>
        </w:trPr>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A62AAC">
            <w:pPr>
              <w:ind w:firstLine="210" w:firstLineChars="100"/>
              <w:jc w:val="both"/>
              <w:rPr>
                <w:rFonts w:hint="default" w:ascii="Nimbus Roman" w:hAnsi="Nimbus Roman" w:eastAsia="方正仿宋_GBK" w:cs="Nimbus Roman"/>
                <w:lang w:val="en-US" w:eastAsia="zh-CN"/>
              </w:rPr>
            </w:pPr>
            <w:r>
              <w:rPr>
                <w:rFonts w:hint="eastAsia" w:ascii="Nimbus Roman" w:hAnsi="Nimbus Roman" w:eastAsia="方正仿宋_GBK" w:cs="Nimbus Roman"/>
                <w:lang w:val="en-US" w:eastAsia="zh-CN"/>
              </w:rPr>
              <w:t>2101199</w:t>
            </w:r>
          </w:p>
        </w:tc>
        <w:tc>
          <w:tcPr>
            <w:tcW w:w="366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CC36D2">
            <w:pPr>
              <w:rPr>
                <w:rFonts w:ascii="Times New Roman" w:hAnsi="Times New Roman" w:eastAsia="仿宋_GB2312" w:cs="Times New Roman"/>
              </w:rPr>
            </w:pPr>
            <w:r>
              <w:rPr>
                <w:rFonts w:hint="eastAsia" w:ascii="Times New Roman" w:hAnsi="Times New Roman" w:eastAsia="仿宋_GB2312" w:cs="Times New Roman"/>
              </w:rPr>
              <w:t>其他行政事业单位医疗支出</w:t>
            </w:r>
          </w:p>
        </w:tc>
        <w:tc>
          <w:tcPr>
            <w:tcW w:w="15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6FD244">
            <w:pPr>
              <w:jc w:val="right"/>
              <w:rPr>
                <w:rFonts w:hint="default" w:ascii="Nimbus Roman" w:hAnsi="Nimbus Roman" w:eastAsia="仿宋_GB2312" w:cs="Nimbus Roman"/>
                <w:lang w:val="en-US" w:eastAsia="zh-CN"/>
              </w:rPr>
            </w:pPr>
            <w:r>
              <w:rPr>
                <w:rFonts w:hint="eastAsia" w:ascii="Nimbus Roman" w:hAnsi="Nimbus Roman" w:eastAsia="仿宋_GB2312" w:cs="Nimbus Roman"/>
                <w:lang w:val="en-US" w:eastAsia="zh-CN"/>
              </w:rPr>
              <w:t>1.80</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DB2252">
            <w:pPr>
              <w:jc w:val="right"/>
              <w:rPr>
                <w:rFonts w:hint="default" w:ascii="Nimbus Roman" w:hAnsi="Nimbus Roman" w:eastAsia="仿宋_GB2312" w:cs="Nimbus Roman"/>
                <w:lang w:val="en-US" w:eastAsia="zh-CN"/>
              </w:rPr>
            </w:pPr>
            <w:r>
              <w:rPr>
                <w:rFonts w:hint="eastAsia" w:ascii="Nimbus Roman" w:hAnsi="Nimbus Roman" w:eastAsia="仿宋_GB2312" w:cs="Nimbus Roman"/>
                <w:lang w:val="en-US" w:eastAsia="zh-CN"/>
              </w:rPr>
              <w:t>1.80</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3F815A">
            <w:pPr>
              <w:jc w:val="right"/>
              <w:rPr>
                <w:rFonts w:hint="default" w:ascii="Nimbus Roman" w:hAnsi="Nimbus Roman" w:eastAsia="仿宋_GB2312" w:cs="Nimbus Roman"/>
              </w:rPr>
            </w:pPr>
          </w:p>
        </w:tc>
        <w:tc>
          <w:tcPr>
            <w:tcW w:w="10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35FB59">
            <w:pPr>
              <w:jc w:val="right"/>
              <w:rPr>
                <w:rFonts w:hint="default" w:ascii="Nimbus Roman" w:hAnsi="Nimbus Roman" w:eastAsia="仿宋_GB2312" w:cs="Nimbus Roman"/>
              </w:rPr>
            </w:pP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92CE7E">
            <w:pPr>
              <w:jc w:val="right"/>
              <w:rPr>
                <w:rFonts w:hint="default" w:ascii="Nimbus Roman" w:hAnsi="Nimbus Roman" w:eastAsia="仿宋_GB2312" w:cs="Nimbus Roman"/>
              </w:rPr>
            </w:pP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D12788">
            <w:pPr>
              <w:jc w:val="right"/>
              <w:rPr>
                <w:rFonts w:hint="default" w:ascii="Nimbus Roman" w:hAnsi="Nimbus Roman" w:eastAsia="仿宋_GB2312" w:cs="Nimbus Roman"/>
              </w:rPr>
            </w:pP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F5667E">
            <w:pPr>
              <w:jc w:val="right"/>
              <w:rPr>
                <w:rFonts w:hint="default" w:ascii="Nimbus Roman" w:hAnsi="Nimbus Roman" w:eastAsia="仿宋_GB2312" w:cs="Nimbus Roman"/>
              </w:rPr>
            </w:pPr>
          </w:p>
        </w:tc>
      </w:tr>
      <w:tr w14:paraId="415216FA">
        <w:tblPrEx>
          <w:tblCellMar>
            <w:top w:w="0" w:type="dxa"/>
            <w:left w:w="0" w:type="dxa"/>
            <w:bottom w:w="0" w:type="dxa"/>
            <w:right w:w="0" w:type="dxa"/>
          </w:tblCellMar>
        </w:tblPrEx>
        <w:trPr>
          <w:trHeight w:val="450" w:hRule="atLeast"/>
          <w:jc w:val="center"/>
        </w:trPr>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D5006B">
            <w:pPr>
              <w:ind w:firstLine="210" w:firstLineChars="100"/>
              <w:jc w:val="both"/>
              <w:rPr>
                <w:rFonts w:hint="default" w:ascii="Nimbus Roman" w:hAnsi="Nimbus Roman" w:eastAsia="方正仿宋_GBK" w:cs="Nimbus Roman"/>
                <w:lang w:val="en-US" w:eastAsia="zh-CN"/>
              </w:rPr>
            </w:pPr>
            <w:r>
              <w:rPr>
                <w:rFonts w:hint="eastAsia" w:ascii="Nimbus Roman" w:hAnsi="Nimbus Roman" w:eastAsia="方正仿宋_GBK" w:cs="Nimbus Roman"/>
                <w:lang w:val="en-US" w:eastAsia="zh-CN"/>
              </w:rPr>
              <w:t>2120199</w:t>
            </w:r>
          </w:p>
        </w:tc>
        <w:tc>
          <w:tcPr>
            <w:tcW w:w="366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B13AD4">
            <w:pPr>
              <w:rPr>
                <w:rFonts w:ascii="Times New Roman" w:hAnsi="Times New Roman" w:eastAsia="仿宋_GB2312" w:cs="Times New Roman"/>
              </w:rPr>
            </w:pPr>
            <w:r>
              <w:rPr>
                <w:rFonts w:hint="eastAsia" w:ascii="Times New Roman" w:hAnsi="Times New Roman" w:eastAsia="仿宋_GB2312" w:cs="Times New Roman"/>
              </w:rPr>
              <w:t>其他城乡社区管理事务支出</w:t>
            </w:r>
          </w:p>
        </w:tc>
        <w:tc>
          <w:tcPr>
            <w:tcW w:w="15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C78774">
            <w:pPr>
              <w:jc w:val="right"/>
              <w:rPr>
                <w:rFonts w:hint="default" w:ascii="Nimbus Roman" w:hAnsi="Nimbus Roman" w:eastAsia="仿宋_GB2312" w:cs="Nimbus Roman"/>
                <w:lang w:val="en-US" w:eastAsia="zh-CN"/>
              </w:rPr>
            </w:pPr>
            <w:r>
              <w:rPr>
                <w:rFonts w:hint="eastAsia" w:ascii="Nimbus Roman" w:hAnsi="Nimbus Roman" w:eastAsia="仿宋_GB2312" w:cs="Nimbus Roman"/>
                <w:lang w:val="en-US" w:eastAsia="zh-CN"/>
              </w:rPr>
              <w:t>57.00</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976B6F">
            <w:pPr>
              <w:jc w:val="right"/>
              <w:rPr>
                <w:rFonts w:hint="default" w:ascii="Nimbus Roman" w:hAnsi="Nimbus Roman" w:eastAsia="仿宋_GB2312" w:cs="Nimbus Roman"/>
                <w:lang w:val="en-US" w:eastAsia="zh-CN"/>
              </w:rPr>
            </w:pPr>
            <w:r>
              <w:rPr>
                <w:rFonts w:hint="eastAsia" w:ascii="Nimbus Roman" w:hAnsi="Nimbus Roman" w:eastAsia="仿宋_GB2312" w:cs="Nimbus Roman"/>
                <w:lang w:val="en-US" w:eastAsia="zh-CN"/>
              </w:rPr>
              <w:t>57.00</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1C9447">
            <w:pPr>
              <w:jc w:val="right"/>
              <w:rPr>
                <w:rFonts w:hint="default" w:ascii="Nimbus Roman" w:hAnsi="Nimbus Roman" w:eastAsia="仿宋_GB2312" w:cs="Nimbus Roman"/>
              </w:rPr>
            </w:pPr>
          </w:p>
        </w:tc>
        <w:tc>
          <w:tcPr>
            <w:tcW w:w="10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F3072D">
            <w:pPr>
              <w:jc w:val="right"/>
              <w:rPr>
                <w:rFonts w:hint="default" w:ascii="Nimbus Roman" w:hAnsi="Nimbus Roman" w:eastAsia="仿宋_GB2312" w:cs="Nimbus Roman"/>
              </w:rPr>
            </w:pP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642097">
            <w:pPr>
              <w:jc w:val="right"/>
              <w:rPr>
                <w:rFonts w:hint="default" w:ascii="Nimbus Roman" w:hAnsi="Nimbus Roman" w:eastAsia="仿宋_GB2312" w:cs="Nimbus Roman"/>
              </w:rPr>
            </w:pP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B14A4D">
            <w:pPr>
              <w:jc w:val="right"/>
              <w:rPr>
                <w:rFonts w:hint="default" w:ascii="Nimbus Roman" w:hAnsi="Nimbus Roman" w:eastAsia="仿宋_GB2312" w:cs="Nimbus Roman"/>
              </w:rPr>
            </w:pP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3D1192">
            <w:pPr>
              <w:jc w:val="right"/>
              <w:rPr>
                <w:rFonts w:hint="default" w:ascii="Nimbus Roman" w:hAnsi="Nimbus Roman" w:eastAsia="仿宋_GB2312" w:cs="Nimbus Roman"/>
              </w:rPr>
            </w:pPr>
          </w:p>
        </w:tc>
      </w:tr>
    </w:tbl>
    <w:p w14:paraId="06CEF338">
      <w:pPr>
        <w:spacing w:before="120"/>
        <w:rPr>
          <w:rFonts w:ascii="Times New Roman" w:hAnsi="Times New Roman" w:eastAsia="黑体" w:cs="Times New Roman"/>
          <w:color w:val="000000"/>
          <w:kern w:val="0"/>
          <w:sz w:val="32"/>
          <w:szCs w:val="32"/>
        </w:rPr>
      </w:pPr>
      <w:r>
        <w:rPr>
          <w:rFonts w:ascii="Times New Roman" w:hAnsi="Times New Roman" w:eastAsia="仿宋_GB2312" w:cs="Times New Roman"/>
        </w:rPr>
        <w:t>注：本表反映部门本年度取得的各项收入情况。</w:t>
      </w:r>
    </w:p>
    <w:p w14:paraId="5972D390">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25AE875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w:t>
      </w:r>
      <w:r>
        <w:rPr>
          <w:rFonts w:hint="default" w:ascii="Nimbus Roman" w:hAnsi="Nimbus Roman" w:eastAsia="仿宋_GB2312" w:cs="Nimbus Roman"/>
          <w:color w:val="000000"/>
          <w:kern w:val="0"/>
          <w:sz w:val="20"/>
          <w:szCs w:val="20"/>
        </w:rPr>
        <w:t>03</w:t>
      </w:r>
      <w:r>
        <w:rPr>
          <w:rFonts w:ascii="Times New Roman" w:hAnsi="Times New Roman" w:eastAsia="仿宋_GB2312" w:cs="Times New Roman"/>
          <w:color w:val="000000"/>
          <w:kern w:val="0"/>
          <w:sz w:val="20"/>
          <w:szCs w:val="20"/>
        </w:rPr>
        <w:t>表</w:t>
      </w:r>
    </w:p>
    <w:p w14:paraId="2F8652E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中共会同县委社会工作部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5061" w:type="pct"/>
        <w:jc w:val="center"/>
        <w:tblLayout w:type="autofit"/>
        <w:tblCellMar>
          <w:top w:w="0" w:type="dxa"/>
          <w:left w:w="108" w:type="dxa"/>
          <w:bottom w:w="0" w:type="dxa"/>
          <w:right w:w="108" w:type="dxa"/>
        </w:tblCellMar>
      </w:tblPr>
      <w:tblGrid>
        <w:gridCol w:w="2201"/>
        <w:gridCol w:w="3587"/>
        <w:gridCol w:w="1703"/>
        <w:gridCol w:w="1210"/>
        <w:gridCol w:w="1322"/>
        <w:gridCol w:w="1743"/>
        <w:gridCol w:w="1184"/>
        <w:gridCol w:w="1443"/>
      </w:tblGrid>
      <w:tr w14:paraId="26908A77">
        <w:tblPrEx>
          <w:tblCellMar>
            <w:top w:w="0" w:type="dxa"/>
            <w:left w:w="108" w:type="dxa"/>
            <w:bottom w:w="0" w:type="dxa"/>
            <w:right w:w="108" w:type="dxa"/>
          </w:tblCellMar>
        </w:tblPrEx>
        <w:trPr>
          <w:trHeight w:val="509" w:hRule="atLeast"/>
          <w:jc w:val="center"/>
        </w:trPr>
        <w:tc>
          <w:tcPr>
            <w:tcW w:w="2009"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CE5269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9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D85F9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2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E83405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695F87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0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C4C41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1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8796A3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50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693389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D841F24">
        <w:tblPrEx>
          <w:tblCellMar>
            <w:top w:w="0" w:type="dxa"/>
            <w:left w:w="108" w:type="dxa"/>
            <w:bottom w:w="0" w:type="dxa"/>
            <w:right w:w="108" w:type="dxa"/>
          </w:tblCellMar>
        </w:tblPrEx>
        <w:trPr>
          <w:trHeight w:val="312" w:hRule="exact"/>
          <w:jc w:val="center"/>
        </w:trPr>
        <w:tc>
          <w:tcPr>
            <w:tcW w:w="76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16D7B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45" w:type="pct"/>
            <w:vMerge w:val="restart"/>
            <w:tcBorders>
              <w:top w:val="nil"/>
              <w:left w:val="single" w:color="auto" w:sz="4" w:space="0"/>
              <w:bottom w:val="single" w:color="auto" w:sz="4" w:space="0"/>
              <w:right w:val="single" w:color="auto" w:sz="4" w:space="0"/>
            </w:tcBorders>
            <w:shd w:val="clear" w:color="000000" w:fill="FFFFFF"/>
            <w:vAlign w:val="center"/>
          </w:tcPr>
          <w:p w14:paraId="33FF92F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91" w:type="pct"/>
            <w:vMerge w:val="continue"/>
            <w:tcBorders>
              <w:top w:val="single" w:color="auto" w:sz="4" w:space="0"/>
              <w:left w:val="single" w:color="auto" w:sz="4" w:space="0"/>
              <w:bottom w:val="single" w:color="auto" w:sz="4" w:space="0"/>
              <w:right w:val="single" w:color="auto" w:sz="4" w:space="0"/>
            </w:tcBorders>
            <w:vAlign w:val="center"/>
          </w:tcPr>
          <w:p w14:paraId="611CD6BD">
            <w:pPr>
              <w:widowControl/>
              <w:jc w:val="left"/>
              <w:rPr>
                <w:rFonts w:ascii="Times New Roman" w:hAnsi="Times New Roman" w:eastAsia="仿宋_GB2312" w:cs="Times New Roman"/>
                <w:b/>
                <w:bCs/>
                <w:kern w:val="0"/>
                <w:sz w:val="24"/>
                <w:szCs w:val="24"/>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14:paraId="31E5E3BF">
            <w:pPr>
              <w:widowControl/>
              <w:jc w:val="left"/>
              <w:rPr>
                <w:rFonts w:ascii="Times New Roman" w:hAnsi="Times New Roman" w:eastAsia="仿宋_GB2312" w:cs="Times New Roman"/>
                <w:b/>
                <w:bCs/>
                <w:kern w:val="0"/>
                <w:sz w:val="24"/>
                <w:szCs w:val="24"/>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2649747D">
            <w:pPr>
              <w:widowControl/>
              <w:jc w:val="left"/>
              <w:rPr>
                <w:rFonts w:ascii="Times New Roman" w:hAnsi="Times New Roman" w:eastAsia="仿宋_GB2312" w:cs="Times New Roman"/>
                <w:b/>
                <w:bCs/>
                <w:kern w:val="0"/>
                <w:sz w:val="24"/>
                <w:szCs w:val="24"/>
              </w:rPr>
            </w:pPr>
          </w:p>
        </w:tc>
        <w:tc>
          <w:tcPr>
            <w:tcW w:w="605" w:type="pct"/>
            <w:vMerge w:val="continue"/>
            <w:tcBorders>
              <w:top w:val="single" w:color="auto" w:sz="4" w:space="0"/>
              <w:left w:val="single" w:color="auto" w:sz="4" w:space="0"/>
              <w:bottom w:val="single" w:color="auto" w:sz="4" w:space="0"/>
              <w:right w:val="single" w:color="auto" w:sz="4" w:space="0"/>
            </w:tcBorders>
            <w:vAlign w:val="center"/>
          </w:tcPr>
          <w:p w14:paraId="04EF7668">
            <w:pPr>
              <w:widowControl/>
              <w:jc w:val="left"/>
              <w:rPr>
                <w:rFonts w:ascii="Times New Roman" w:hAnsi="Times New Roman" w:eastAsia="仿宋_GB2312" w:cs="Times New Roman"/>
                <w:b/>
                <w:bCs/>
                <w:kern w:val="0"/>
                <w:sz w:val="24"/>
                <w:szCs w:val="24"/>
              </w:rPr>
            </w:pPr>
          </w:p>
        </w:tc>
        <w:tc>
          <w:tcPr>
            <w:tcW w:w="411" w:type="pct"/>
            <w:vMerge w:val="continue"/>
            <w:tcBorders>
              <w:top w:val="single" w:color="auto" w:sz="4" w:space="0"/>
              <w:left w:val="single" w:color="auto" w:sz="4" w:space="0"/>
              <w:bottom w:val="single" w:color="auto" w:sz="4" w:space="0"/>
              <w:right w:val="single" w:color="auto" w:sz="4" w:space="0"/>
            </w:tcBorders>
            <w:vAlign w:val="center"/>
          </w:tcPr>
          <w:p w14:paraId="3481818E">
            <w:pPr>
              <w:widowControl/>
              <w:jc w:val="left"/>
              <w:rPr>
                <w:rFonts w:ascii="Times New Roman" w:hAnsi="Times New Roman" w:eastAsia="仿宋_GB2312" w:cs="Times New Roman"/>
                <w:b/>
                <w:bCs/>
                <w:kern w:val="0"/>
                <w:sz w:val="24"/>
                <w:szCs w:val="24"/>
              </w:rPr>
            </w:pPr>
          </w:p>
        </w:tc>
        <w:tc>
          <w:tcPr>
            <w:tcW w:w="501" w:type="pct"/>
            <w:vMerge w:val="continue"/>
            <w:tcBorders>
              <w:top w:val="single" w:color="auto" w:sz="4" w:space="0"/>
              <w:left w:val="single" w:color="auto" w:sz="4" w:space="0"/>
              <w:bottom w:val="single" w:color="auto" w:sz="4" w:space="0"/>
              <w:right w:val="single" w:color="auto" w:sz="4" w:space="0"/>
            </w:tcBorders>
            <w:vAlign w:val="center"/>
          </w:tcPr>
          <w:p w14:paraId="79F03A00">
            <w:pPr>
              <w:widowControl/>
              <w:jc w:val="left"/>
              <w:rPr>
                <w:rFonts w:ascii="Times New Roman" w:hAnsi="Times New Roman" w:eastAsia="仿宋_GB2312" w:cs="Times New Roman"/>
                <w:b/>
                <w:bCs/>
                <w:kern w:val="0"/>
                <w:sz w:val="24"/>
                <w:szCs w:val="24"/>
              </w:rPr>
            </w:pPr>
          </w:p>
        </w:tc>
      </w:tr>
      <w:tr w14:paraId="22A6AA82">
        <w:tblPrEx>
          <w:tblCellMar>
            <w:top w:w="0" w:type="dxa"/>
            <w:left w:w="108" w:type="dxa"/>
            <w:bottom w:w="0" w:type="dxa"/>
            <w:right w:w="108" w:type="dxa"/>
          </w:tblCellMar>
        </w:tblPrEx>
        <w:trPr>
          <w:trHeight w:val="312" w:hRule="atLeast"/>
          <w:jc w:val="center"/>
        </w:trPr>
        <w:tc>
          <w:tcPr>
            <w:tcW w:w="764" w:type="pct"/>
            <w:vMerge w:val="continue"/>
            <w:tcBorders>
              <w:top w:val="single" w:color="auto" w:sz="4" w:space="0"/>
              <w:left w:val="single" w:color="auto" w:sz="4" w:space="0"/>
              <w:bottom w:val="single" w:color="auto" w:sz="4" w:space="0"/>
              <w:right w:val="single" w:color="auto" w:sz="4" w:space="0"/>
            </w:tcBorders>
            <w:vAlign w:val="center"/>
          </w:tcPr>
          <w:p w14:paraId="4B522E98">
            <w:pPr>
              <w:widowControl/>
              <w:jc w:val="left"/>
              <w:rPr>
                <w:rFonts w:ascii="Times New Roman" w:hAnsi="Times New Roman" w:eastAsia="仿宋_GB2312" w:cs="Times New Roman"/>
                <w:kern w:val="0"/>
                <w:sz w:val="24"/>
                <w:szCs w:val="24"/>
              </w:rPr>
            </w:pPr>
          </w:p>
        </w:tc>
        <w:tc>
          <w:tcPr>
            <w:tcW w:w="1245" w:type="pct"/>
            <w:vMerge w:val="continue"/>
            <w:tcBorders>
              <w:top w:val="nil"/>
              <w:left w:val="single" w:color="auto" w:sz="4" w:space="0"/>
              <w:bottom w:val="single" w:color="auto" w:sz="4" w:space="0"/>
              <w:right w:val="single" w:color="auto" w:sz="4" w:space="0"/>
            </w:tcBorders>
            <w:vAlign w:val="center"/>
          </w:tcPr>
          <w:p w14:paraId="466E6CEB">
            <w:pPr>
              <w:widowControl/>
              <w:jc w:val="left"/>
              <w:rPr>
                <w:rFonts w:ascii="Times New Roman" w:hAnsi="Times New Roman" w:eastAsia="仿宋_GB2312" w:cs="Times New Roman"/>
                <w:kern w:val="0"/>
                <w:sz w:val="24"/>
                <w:szCs w:val="24"/>
              </w:rPr>
            </w:pPr>
          </w:p>
        </w:tc>
        <w:tc>
          <w:tcPr>
            <w:tcW w:w="591" w:type="pct"/>
            <w:vMerge w:val="continue"/>
            <w:tcBorders>
              <w:top w:val="single" w:color="auto" w:sz="4" w:space="0"/>
              <w:left w:val="single" w:color="auto" w:sz="4" w:space="0"/>
              <w:bottom w:val="single" w:color="auto" w:sz="4" w:space="0"/>
              <w:right w:val="single" w:color="auto" w:sz="4" w:space="0"/>
            </w:tcBorders>
            <w:vAlign w:val="center"/>
          </w:tcPr>
          <w:p w14:paraId="415887E3">
            <w:pPr>
              <w:widowControl/>
              <w:jc w:val="left"/>
              <w:rPr>
                <w:rFonts w:ascii="Times New Roman" w:hAnsi="Times New Roman" w:eastAsia="仿宋_GB2312" w:cs="Times New Roman"/>
                <w:kern w:val="0"/>
                <w:sz w:val="24"/>
                <w:szCs w:val="24"/>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14:paraId="007AE571">
            <w:pPr>
              <w:widowControl/>
              <w:jc w:val="left"/>
              <w:rPr>
                <w:rFonts w:ascii="Times New Roman" w:hAnsi="Times New Roman" w:eastAsia="仿宋_GB2312" w:cs="Times New Roman"/>
                <w:kern w:val="0"/>
                <w:sz w:val="24"/>
                <w:szCs w:val="24"/>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1F285C8D">
            <w:pPr>
              <w:widowControl/>
              <w:jc w:val="left"/>
              <w:rPr>
                <w:rFonts w:ascii="Times New Roman" w:hAnsi="Times New Roman" w:eastAsia="仿宋_GB2312" w:cs="Times New Roman"/>
                <w:kern w:val="0"/>
                <w:sz w:val="24"/>
                <w:szCs w:val="24"/>
              </w:rPr>
            </w:pPr>
          </w:p>
        </w:tc>
        <w:tc>
          <w:tcPr>
            <w:tcW w:w="605" w:type="pct"/>
            <w:vMerge w:val="continue"/>
            <w:tcBorders>
              <w:top w:val="single" w:color="auto" w:sz="4" w:space="0"/>
              <w:left w:val="single" w:color="auto" w:sz="4" w:space="0"/>
              <w:bottom w:val="single" w:color="auto" w:sz="4" w:space="0"/>
              <w:right w:val="single" w:color="auto" w:sz="4" w:space="0"/>
            </w:tcBorders>
            <w:vAlign w:val="center"/>
          </w:tcPr>
          <w:p w14:paraId="64F15CC1">
            <w:pPr>
              <w:widowControl/>
              <w:jc w:val="left"/>
              <w:rPr>
                <w:rFonts w:ascii="Times New Roman" w:hAnsi="Times New Roman" w:eastAsia="仿宋_GB2312" w:cs="Times New Roman"/>
                <w:kern w:val="0"/>
                <w:sz w:val="24"/>
                <w:szCs w:val="24"/>
              </w:rPr>
            </w:pPr>
          </w:p>
        </w:tc>
        <w:tc>
          <w:tcPr>
            <w:tcW w:w="411" w:type="pct"/>
            <w:vMerge w:val="continue"/>
            <w:tcBorders>
              <w:top w:val="single" w:color="auto" w:sz="4" w:space="0"/>
              <w:left w:val="single" w:color="auto" w:sz="4" w:space="0"/>
              <w:bottom w:val="single" w:color="auto" w:sz="4" w:space="0"/>
              <w:right w:val="single" w:color="auto" w:sz="4" w:space="0"/>
            </w:tcBorders>
            <w:vAlign w:val="center"/>
          </w:tcPr>
          <w:p w14:paraId="284828DE">
            <w:pPr>
              <w:widowControl/>
              <w:jc w:val="left"/>
              <w:rPr>
                <w:rFonts w:ascii="Times New Roman" w:hAnsi="Times New Roman" w:eastAsia="仿宋_GB2312" w:cs="Times New Roman"/>
                <w:kern w:val="0"/>
                <w:sz w:val="24"/>
                <w:szCs w:val="24"/>
              </w:rPr>
            </w:pPr>
          </w:p>
        </w:tc>
        <w:tc>
          <w:tcPr>
            <w:tcW w:w="501" w:type="pct"/>
            <w:vMerge w:val="continue"/>
            <w:tcBorders>
              <w:top w:val="single" w:color="auto" w:sz="4" w:space="0"/>
              <w:left w:val="single" w:color="auto" w:sz="4" w:space="0"/>
              <w:bottom w:val="single" w:color="auto" w:sz="4" w:space="0"/>
              <w:right w:val="single" w:color="auto" w:sz="4" w:space="0"/>
            </w:tcBorders>
            <w:vAlign w:val="center"/>
          </w:tcPr>
          <w:p w14:paraId="7846033A">
            <w:pPr>
              <w:widowControl/>
              <w:jc w:val="left"/>
              <w:rPr>
                <w:rFonts w:ascii="Times New Roman" w:hAnsi="Times New Roman" w:eastAsia="仿宋_GB2312" w:cs="Times New Roman"/>
                <w:kern w:val="0"/>
                <w:sz w:val="24"/>
                <w:szCs w:val="24"/>
              </w:rPr>
            </w:pPr>
          </w:p>
        </w:tc>
      </w:tr>
      <w:tr w14:paraId="1A14D023">
        <w:tblPrEx>
          <w:tblCellMar>
            <w:top w:w="0" w:type="dxa"/>
            <w:left w:w="108" w:type="dxa"/>
            <w:bottom w:w="0" w:type="dxa"/>
            <w:right w:w="108" w:type="dxa"/>
          </w:tblCellMar>
        </w:tblPrEx>
        <w:trPr>
          <w:trHeight w:val="429" w:hRule="atLeast"/>
          <w:jc w:val="center"/>
        </w:trPr>
        <w:tc>
          <w:tcPr>
            <w:tcW w:w="200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F18C2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91" w:type="pct"/>
            <w:tcBorders>
              <w:top w:val="nil"/>
              <w:left w:val="nil"/>
              <w:bottom w:val="single" w:color="auto" w:sz="4" w:space="0"/>
              <w:right w:val="single" w:color="auto" w:sz="4" w:space="0"/>
            </w:tcBorders>
            <w:shd w:val="clear" w:color="000000" w:fill="FFFFFF"/>
            <w:noWrap/>
            <w:vAlign w:val="center"/>
          </w:tcPr>
          <w:p w14:paraId="2C16BBF3">
            <w:pPr>
              <w:widowControl/>
              <w:jc w:val="center"/>
              <w:rPr>
                <w:rFonts w:hint="default" w:ascii="Nimbus Roman" w:hAnsi="Nimbus Roman" w:eastAsia="仿宋_GB2312" w:cs="Nimbus Roman"/>
                <w:kern w:val="0"/>
                <w:sz w:val="24"/>
                <w:szCs w:val="24"/>
              </w:rPr>
            </w:pPr>
            <w:r>
              <w:rPr>
                <w:rFonts w:hint="default" w:ascii="Nimbus Roman" w:hAnsi="Nimbus Roman" w:eastAsia="仿宋_GB2312" w:cs="Nimbus Roman"/>
                <w:kern w:val="0"/>
                <w:sz w:val="24"/>
                <w:szCs w:val="24"/>
              </w:rPr>
              <w:t>1</w:t>
            </w:r>
          </w:p>
        </w:tc>
        <w:tc>
          <w:tcPr>
            <w:tcW w:w="420" w:type="pct"/>
            <w:tcBorders>
              <w:top w:val="nil"/>
              <w:left w:val="nil"/>
              <w:bottom w:val="single" w:color="auto" w:sz="4" w:space="0"/>
              <w:right w:val="single" w:color="auto" w:sz="4" w:space="0"/>
            </w:tcBorders>
            <w:shd w:val="clear" w:color="000000" w:fill="FFFFFF"/>
            <w:noWrap/>
            <w:vAlign w:val="center"/>
          </w:tcPr>
          <w:p w14:paraId="5B8FDF99">
            <w:pPr>
              <w:widowControl/>
              <w:jc w:val="center"/>
              <w:rPr>
                <w:rFonts w:hint="default" w:ascii="Nimbus Roman" w:hAnsi="Nimbus Roman" w:eastAsia="仿宋_GB2312" w:cs="Nimbus Roman"/>
                <w:kern w:val="0"/>
                <w:sz w:val="24"/>
                <w:szCs w:val="24"/>
              </w:rPr>
            </w:pPr>
            <w:r>
              <w:rPr>
                <w:rFonts w:hint="default" w:ascii="Nimbus Roman" w:hAnsi="Nimbus Roman" w:eastAsia="仿宋_GB2312" w:cs="Nimbus Roman"/>
                <w:kern w:val="0"/>
                <w:sz w:val="24"/>
                <w:szCs w:val="24"/>
              </w:rPr>
              <w:t>2</w:t>
            </w:r>
          </w:p>
        </w:tc>
        <w:tc>
          <w:tcPr>
            <w:tcW w:w="459" w:type="pct"/>
            <w:tcBorders>
              <w:top w:val="nil"/>
              <w:left w:val="nil"/>
              <w:bottom w:val="single" w:color="auto" w:sz="4" w:space="0"/>
              <w:right w:val="single" w:color="auto" w:sz="4" w:space="0"/>
            </w:tcBorders>
            <w:shd w:val="clear" w:color="000000" w:fill="FFFFFF"/>
            <w:noWrap/>
            <w:vAlign w:val="center"/>
          </w:tcPr>
          <w:p w14:paraId="1CE7583C">
            <w:pPr>
              <w:widowControl/>
              <w:jc w:val="center"/>
              <w:rPr>
                <w:rFonts w:hint="default" w:ascii="Nimbus Roman" w:hAnsi="Nimbus Roman" w:eastAsia="仿宋_GB2312" w:cs="Nimbus Roman"/>
                <w:kern w:val="0"/>
                <w:sz w:val="24"/>
                <w:szCs w:val="24"/>
              </w:rPr>
            </w:pPr>
            <w:r>
              <w:rPr>
                <w:rFonts w:hint="default" w:ascii="Nimbus Roman" w:hAnsi="Nimbus Roman" w:eastAsia="仿宋_GB2312" w:cs="Nimbus Roman"/>
                <w:kern w:val="0"/>
                <w:sz w:val="24"/>
                <w:szCs w:val="24"/>
              </w:rPr>
              <w:t>3</w:t>
            </w:r>
          </w:p>
        </w:tc>
        <w:tc>
          <w:tcPr>
            <w:tcW w:w="605" w:type="pct"/>
            <w:tcBorders>
              <w:top w:val="nil"/>
              <w:left w:val="nil"/>
              <w:bottom w:val="single" w:color="auto" w:sz="4" w:space="0"/>
              <w:right w:val="single" w:color="auto" w:sz="4" w:space="0"/>
            </w:tcBorders>
            <w:shd w:val="clear" w:color="000000" w:fill="FFFFFF"/>
            <w:noWrap/>
            <w:vAlign w:val="center"/>
          </w:tcPr>
          <w:p w14:paraId="70EA6D60">
            <w:pPr>
              <w:widowControl/>
              <w:jc w:val="center"/>
              <w:rPr>
                <w:rFonts w:hint="default" w:ascii="Nimbus Roman" w:hAnsi="Nimbus Roman" w:eastAsia="仿宋_GB2312" w:cs="Nimbus Roman"/>
                <w:kern w:val="0"/>
                <w:sz w:val="24"/>
                <w:szCs w:val="24"/>
              </w:rPr>
            </w:pPr>
            <w:r>
              <w:rPr>
                <w:rFonts w:hint="default" w:ascii="Nimbus Roman" w:hAnsi="Nimbus Roman" w:eastAsia="仿宋_GB2312" w:cs="Nimbus Roman"/>
                <w:kern w:val="0"/>
                <w:sz w:val="24"/>
                <w:szCs w:val="24"/>
              </w:rPr>
              <w:t>4</w:t>
            </w:r>
          </w:p>
        </w:tc>
        <w:tc>
          <w:tcPr>
            <w:tcW w:w="411" w:type="pct"/>
            <w:tcBorders>
              <w:top w:val="nil"/>
              <w:left w:val="nil"/>
              <w:bottom w:val="single" w:color="auto" w:sz="4" w:space="0"/>
              <w:right w:val="single" w:color="auto" w:sz="4" w:space="0"/>
            </w:tcBorders>
            <w:shd w:val="clear" w:color="000000" w:fill="FFFFFF"/>
            <w:noWrap/>
            <w:vAlign w:val="center"/>
          </w:tcPr>
          <w:p w14:paraId="0ECC894C">
            <w:pPr>
              <w:widowControl/>
              <w:jc w:val="center"/>
              <w:rPr>
                <w:rFonts w:hint="default" w:ascii="Nimbus Roman" w:hAnsi="Nimbus Roman" w:eastAsia="仿宋_GB2312" w:cs="Nimbus Roman"/>
                <w:kern w:val="0"/>
                <w:sz w:val="24"/>
                <w:szCs w:val="24"/>
              </w:rPr>
            </w:pPr>
            <w:r>
              <w:rPr>
                <w:rFonts w:hint="default" w:ascii="Nimbus Roman" w:hAnsi="Nimbus Roman" w:eastAsia="仿宋_GB2312" w:cs="Nimbus Roman"/>
                <w:kern w:val="0"/>
                <w:sz w:val="24"/>
                <w:szCs w:val="24"/>
              </w:rPr>
              <w:t>5</w:t>
            </w:r>
          </w:p>
        </w:tc>
        <w:tc>
          <w:tcPr>
            <w:tcW w:w="501" w:type="pct"/>
            <w:tcBorders>
              <w:top w:val="nil"/>
              <w:left w:val="nil"/>
              <w:bottom w:val="single" w:color="auto" w:sz="4" w:space="0"/>
              <w:right w:val="single" w:color="auto" w:sz="4" w:space="0"/>
            </w:tcBorders>
            <w:shd w:val="clear" w:color="000000" w:fill="FFFFFF"/>
            <w:noWrap/>
            <w:vAlign w:val="center"/>
          </w:tcPr>
          <w:p w14:paraId="599DE2AA">
            <w:pPr>
              <w:widowControl/>
              <w:jc w:val="center"/>
              <w:rPr>
                <w:rFonts w:hint="default" w:ascii="Nimbus Roman" w:hAnsi="Nimbus Roman" w:eastAsia="仿宋_GB2312" w:cs="Nimbus Roman"/>
                <w:kern w:val="0"/>
                <w:sz w:val="24"/>
                <w:szCs w:val="24"/>
              </w:rPr>
            </w:pPr>
            <w:r>
              <w:rPr>
                <w:rFonts w:hint="default" w:ascii="Nimbus Roman" w:hAnsi="Nimbus Roman" w:eastAsia="仿宋_GB2312" w:cs="Nimbus Roman"/>
                <w:kern w:val="0"/>
                <w:sz w:val="24"/>
                <w:szCs w:val="24"/>
              </w:rPr>
              <w:t>6</w:t>
            </w:r>
          </w:p>
        </w:tc>
      </w:tr>
      <w:tr w14:paraId="30184361">
        <w:tblPrEx>
          <w:tblCellMar>
            <w:top w:w="0" w:type="dxa"/>
            <w:left w:w="108" w:type="dxa"/>
            <w:bottom w:w="0" w:type="dxa"/>
            <w:right w:w="108" w:type="dxa"/>
          </w:tblCellMar>
        </w:tblPrEx>
        <w:trPr>
          <w:trHeight w:val="444" w:hRule="atLeast"/>
          <w:jc w:val="center"/>
        </w:trPr>
        <w:tc>
          <w:tcPr>
            <w:tcW w:w="200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03BAEC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91" w:type="pct"/>
            <w:tcBorders>
              <w:top w:val="nil"/>
              <w:left w:val="nil"/>
              <w:bottom w:val="single" w:color="auto" w:sz="4" w:space="0"/>
              <w:right w:val="single" w:color="auto" w:sz="4" w:space="0"/>
            </w:tcBorders>
            <w:shd w:val="clear" w:color="auto" w:fill="auto"/>
            <w:noWrap/>
            <w:vAlign w:val="center"/>
          </w:tcPr>
          <w:p w14:paraId="130BB0C6">
            <w:pPr>
              <w:widowControl/>
              <w:jc w:val="right"/>
              <w:rPr>
                <w:rFonts w:hint="default" w:ascii="Nimbus Roman" w:hAnsi="Nimbus Roman" w:eastAsia="仿宋_GB2312" w:cs="Nimbus Roman"/>
                <w:kern w:val="0"/>
                <w:sz w:val="22"/>
                <w:szCs w:val="22"/>
              </w:rPr>
            </w:pPr>
            <w:r>
              <w:rPr>
                <w:rFonts w:hint="eastAsia" w:ascii="Nimbus Roman" w:hAnsi="Nimbus Roman" w:eastAsia="仿宋_GB2312" w:cs="Nimbus Roman"/>
                <w:kern w:val="0"/>
                <w:sz w:val="22"/>
                <w:szCs w:val="22"/>
                <w:lang w:val="en-US" w:eastAsia="zh-CN"/>
              </w:rPr>
              <w:t>210.26</w:t>
            </w:r>
            <w:r>
              <w:rPr>
                <w:rFonts w:hint="default" w:ascii="Nimbus Roman" w:hAnsi="Nimbus Roman" w:eastAsia="仿宋_GB2312" w:cs="Nimbus Roman"/>
                <w:kern w:val="0"/>
                <w:sz w:val="22"/>
                <w:szCs w:val="22"/>
              </w:rPr>
              <w:t>　</w:t>
            </w:r>
          </w:p>
        </w:tc>
        <w:tc>
          <w:tcPr>
            <w:tcW w:w="420" w:type="pct"/>
            <w:tcBorders>
              <w:top w:val="nil"/>
              <w:left w:val="nil"/>
              <w:bottom w:val="single" w:color="auto" w:sz="4" w:space="0"/>
              <w:right w:val="single" w:color="auto" w:sz="4" w:space="0"/>
            </w:tcBorders>
            <w:shd w:val="clear" w:color="auto" w:fill="auto"/>
            <w:noWrap/>
            <w:vAlign w:val="center"/>
          </w:tcPr>
          <w:p w14:paraId="05654F70">
            <w:pPr>
              <w:widowControl/>
              <w:jc w:val="right"/>
              <w:rPr>
                <w:rFonts w:hint="default" w:ascii="Nimbus Roman" w:hAnsi="Nimbus Roman" w:eastAsia="仿宋_GB2312" w:cs="Nimbus Roman"/>
                <w:kern w:val="0"/>
                <w:sz w:val="22"/>
                <w:szCs w:val="22"/>
              </w:rPr>
            </w:pPr>
            <w:r>
              <w:rPr>
                <w:rFonts w:hint="eastAsia" w:ascii="Nimbus Roman" w:hAnsi="Nimbus Roman" w:eastAsia="仿宋_GB2312" w:cs="Nimbus Roman"/>
                <w:kern w:val="0"/>
                <w:sz w:val="22"/>
                <w:szCs w:val="22"/>
                <w:lang w:val="en-US" w:eastAsia="zh-CN"/>
              </w:rPr>
              <w:t>145.03</w:t>
            </w:r>
            <w:r>
              <w:rPr>
                <w:rFonts w:hint="default" w:ascii="Nimbus Roman" w:hAnsi="Nimbus Roman" w:eastAsia="仿宋_GB2312" w:cs="Nimbus Roman"/>
                <w:kern w:val="0"/>
                <w:sz w:val="22"/>
                <w:szCs w:val="22"/>
              </w:rPr>
              <w:t>　</w:t>
            </w:r>
          </w:p>
        </w:tc>
        <w:tc>
          <w:tcPr>
            <w:tcW w:w="459" w:type="pct"/>
            <w:tcBorders>
              <w:top w:val="nil"/>
              <w:left w:val="nil"/>
              <w:bottom w:val="single" w:color="auto" w:sz="4" w:space="0"/>
              <w:right w:val="single" w:color="auto" w:sz="4" w:space="0"/>
            </w:tcBorders>
            <w:shd w:val="clear" w:color="auto" w:fill="auto"/>
            <w:noWrap/>
            <w:vAlign w:val="center"/>
          </w:tcPr>
          <w:p w14:paraId="66D3518C">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605" w:type="pct"/>
            <w:tcBorders>
              <w:top w:val="nil"/>
              <w:left w:val="nil"/>
              <w:bottom w:val="single" w:color="auto" w:sz="4" w:space="0"/>
              <w:right w:val="single" w:color="auto" w:sz="4" w:space="0"/>
            </w:tcBorders>
            <w:shd w:val="clear" w:color="auto" w:fill="auto"/>
            <w:noWrap/>
            <w:vAlign w:val="center"/>
          </w:tcPr>
          <w:p w14:paraId="3A284D38">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411" w:type="pct"/>
            <w:tcBorders>
              <w:top w:val="nil"/>
              <w:left w:val="nil"/>
              <w:bottom w:val="single" w:color="auto" w:sz="4" w:space="0"/>
              <w:right w:val="single" w:color="auto" w:sz="4" w:space="0"/>
            </w:tcBorders>
            <w:shd w:val="clear" w:color="auto" w:fill="auto"/>
            <w:noWrap/>
            <w:vAlign w:val="center"/>
          </w:tcPr>
          <w:p w14:paraId="59FE3C43">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501" w:type="pct"/>
            <w:tcBorders>
              <w:top w:val="nil"/>
              <w:left w:val="nil"/>
              <w:bottom w:val="single" w:color="auto" w:sz="4" w:space="0"/>
              <w:right w:val="single" w:color="auto" w:sz="4" w:space="0"/>
            </w:tcBorders>
            <w:shd w:val="clear" w:color="auto" w:fill="auto"/>
            <w:noWrap/>
            <w:vAlign w:val="center"/>
          </w:tcPr>
          <w:p w14:paraId="7CB3FDB3">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r>
      <w:tr w14:paraId="6D12B3D9">
        <w:tblPrEx>
          <w:tblCellMar>
            <w:top w:w="0" w:type="dxa"/>
            <w:left w:w="108" w:type="dxa"/>
            <w:bottom w:w="0" w:type="dxa"/>
            <w:right w:w="108" w:type="dxa"/>
          </w:tblCellMar>
        </w:tblPrEx>
        <w:trPr>
          <w:trHeight w:val="510" w:hRule="atLeast"/>
          <w:jc w:val="center"/>
        </w:trPr>
        <w:tc>
          <w:tcPr>
            <w:tcW w:w="76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6DC18C9">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Nimbus Roman" w:hAnsi="Nimbus Roman" w:eastAsia="方正仿宋_GBK" w:cs="Nimbus Roman"/>
                <w:kern w:val="2"/>
                <w:sz w:val="24"/>
                <w:szCs w:val="24"/>
                <w:lang w:val="en-US" w:eastAsia="zh-CN" w:bidi="ar-SA"/>
              </w:rPr>
            </w:pPr>
            <w:r>
              <w:rPr>
                <w:rFonts w:hint="default" w:ascii="Nimbus Roman" w:hAnsi="Nimbus Roman" w:eastAsia="方正仿宋_GBK" w:cs="Nimbus Roman"/>
              </w:rPr>
              <w:t>　</w:t>
            </w:r>
            <w:r>
              <w:rPr>
                <w:rFonts w:hint="default" w:ascii="Nimbus Roman" w:hAnsi="Nimbus Roman" w:eastAsia="方正仿宋_GBK" w:cs="Nimbus Roman"/>
                <w:lang w:val="en-US" w:eastAsia="zh-CN"/>
              </w:rPr>
              <w:t>2010301</w:t>
            </w:r>
          </w:p>
        </w:tc>
        <w:tc>
          <w:tcPr>
            <w:tcW w:w="1245" w:type="pct"/>
            <w:tcBorders>
              <w:top w:val="nil"/>
              <w:left w:val="nil"/>
              <w:bottom w:val="single" w:color="auto" w:sz="4" w:space="0"/>
              <w:right w:val="single" w:color="auto" w:sz="4" w:space="0"/>
            </w:tcBorders>
            <w:shd w:val="clear" w:color="000000" w:fill="FFFFFF"/>
            <w:noWrap/>
            <w:vAlign w:val="center"/>
          </w:tcPr>
          <w:p w14:paraId="407C26EC">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行政运行</w:t>
            </w:r>
          </w:p>
        </w:tc>
        <w:tc>
          <w:tcPr>
            <w:tcW w:w="591" w:type="pct"/>
            <w:tcBorders>
              <w:top w:val="nil"/>
              <w:left w:val="nil"/>
              <w:bottom w:val="single" w:color="auto" w:sz="4" w:space="0"/>
              <w:right w:val="single" w:color="auto" w:sz="4" w:space="0"/>
            </w:tcBorders>
            <w:shd w:val="clear" w:color="auto" w:fill="auto"/>
            <w:noWrap/>
            <w:vAlign w:val="center"/>
          </w:tcPr>
          <w:p w14:paraId="59124191">
            <w:pPr>
              <w:widowControl/>
              <w:jc w:val="right"/>
              <w:rPr>
                <w:rFonts w:hint="default" w:ascii="Nimbus Roman" w:hAnsi="Nimbus Roman" w:eastAsia="仿宋_GB2312" w:cs="Nimbus Roman"/>
                <w:kern w:val="0"/>
                <w:sz w:val="22"/>
                <w:szCs w:val="22"/>
              </w:rPr>
            </w:pPr>
            <w:r>
              <w:rPr>
                <w:rFonts w:hint="eastAsia" w:ascii="Nimbus Roman" w:hAnsi="Nimbus Roman" w:eastAsia="仿宋_GB2312" w:cs="Nimbus Roman"/>
                <w:kern w:val="0"/>
                <w:sz w:val="22"/>
                <w:szCs w:val="22"/>
                <w:lang w:val="en-US" w:eastAsia="zh-CN"/>
              </w:rPr>
              <w:t>0.48</w:t>
            </w:r>
            <w:r>
              <w:rPr>
                <w:rFonts w:hint="default" w:ascii="Nimbus Roman" w:hAnsi="Nimbus Roman" w:eastAsia="仿宋_GB2312" w:cs="Nimbus Roman"/>
                <w:kern w:val="0"/>
                <w:sz w:val="22"/>
                <w:szCs w:val="22"/>
              </w:rPr>
              <w:t>　</w:t>
            </w:r>
          </w:p>
        </w:tc>
        <w:tc>
          <w:tcPr>
            <w:tcW w:w="420" w:type="pct"/>
            <w:tcBorders>
              <w:top w:val="nil"/>
              <w:left w:val="nil"/>
              <w:bottom w:val="single" w:color="auto" w:sz="4" w:space="0"/>
              <w:right w:val="single" w:color="auto" w:sz="4" w:space="0"/>
            </w:tcBorders>
            <w:shd w:val="clear" w:color="auto" w:fill="auto"/>
            <w:noWrap/>
            <w:vAlign w:val="center"/>
          </w:tcPr>
          <w:p w14:paraId="65653CD5">
            <w:pPr>
              <w:widowControl/>
              <w:jc w:val="right"/>
              <w:rPr>
                <w:rFonts w:hint="default" w:ascii="Nimbus Roman" w:hAnsi="Nimbus Roman" w:eastAsia="仿宋_GB2312" w:cs="Nimbus Roman"/>
                <w:kern w:val="0"/>
                <w:sz w:val="22"/>
                <w:szCs w:val="22"/>
              </w:rPr>
            </w:pPr>
            <w:r>
              <w:rPr>
                <w:rFonts w:hint="eastAsia" w:ascii="Nimbus Roman" w:hAnsi="Nimbus Roman" w:eastAsia="仿宋_GB2312" w:cs="Nimbus Roman"/>
                <w:kern w:val="0"/>
                <w:sz w:val="22"/>
                <w:szCs w:val="22"/>
                <w:lang w:val="en-US" w:eastAsia="zh-CN"/>
              </w:rPr>
              <w:t>0.48</w:t>
            </w:r>
            <w:r>
              <w:rPr>
                <w:rFonts w:hint="default" w:ascii="Nimbus Roman" w:hAnsi="Nimbus Roman" w:eastAsia="仿宋_GB2312" w:cs="Nimbus Roman"/>
                <w:kern w:val="0"/>
                <w:sz w:val="22"/>
                <w:szCs w:val="22"/>
              </w:rPr>
              <w:t>　</w:t>
            </w:r>
          </w:p>
        </w:tc>
        <w:tc>
          <w:tcPr>
            <w:tcW w:w="459" w:type="pct"/>
            <w:tcBorders>
              <w:top w:val="nil"/>
              <w:left w:val="nil"/>
              <w:bottom w:val="single" w:color="auto" w:sz="4" w:space="0"/>
              <w:right w:val="single" w:color="auto" w:sz="4" w:space="0"/>
            </w:tcBorders>
            <w:shd w:val="clear" w:color="auto" w:fill="auto"/>
            <w:noWrap/>
            <w:vAlign w:val="center"/>
          </w:tcPr>
          <w:p w14:paraId="2C313B3A">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605" w:type="pct"/>
            <w:tcBorders>
              <w:top w:val="nil"/>
              <w:left w:val="nil"/>
              <w:bottom w:val="single" w:color="auto" w:sz="4" w:space="0"/>
              <w:right w:val="single" w:color="auto" w:sz="4" w:space="0"/>
            </w:tcBorders>
            <w:shd w:val="clear" w:color="auto" w:fill="auto"/>
            <w:noWrap/>
            <w:vAlign w:val="center"/>
          </w:tcPr>
          <w:p w14:paraId="0960828A">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411" w:type="pct"/>
            <w:tcBorders>
              <w:top w:val="nil"/>
              <w:left w:val="nil"/>
              <w:bottom w:val="single" w:color="auto" w:sz="4" w:space="0"/>
              <w:right w:val="single" w:color="auto" w:sz="4" w:space="0"/>
            </w:tcBorders>
            <w:shd w:val="clear" w:color="auto" w:fill="auto"/>
            <w:noWrap/>
            <w:vAlign w:val="center"/>
          </w:tcPr>
          <w:p w14:paraId="70A93D06">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501" w:type="pct"/>
            <w:tcBorders>
              <w:top w:val="nil"/>
              <w:left w:val="nil"/>
              <w:bottom w:val="single" w:color="auto" w:sz="4" w:space="0"/>
              <w:right w:val="single" w:color="auto" w:sz="4" w:space="0"/>
            </w:tcBorders>
            <w:shd w:val="clear" w:color="auto" w:fill="auto"/>
            <w:noWrap/>
            <w:vAlign w:val="center"/>
          </w:tcPr>
          <w:p w14:paraId="41E226ED">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r>
      <w:tr w14:paraId="7D5603F6">
        <w:tblPrEx>
          <w:tblCellMar>
            <w:top w:w="0" w:type="dxa"/>
            <w:left w:w="108" w:type="dxa"/>
            <w:bottom w:w="0" w:type="dxa"/>
            <w:right w:w="108" w:type="dxa"/>
          </w:tblCellMar>
        </w:tblPrEx>
        <w:trPr>
          <w:trHeight w:val="510" w:hRule="atLeast"/>
          <w:jc w:val="center"/>
        </w:trPr>
        <w:tc>
          <w:tcPr>
            <w:tcW w:w="76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B61F87">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Nimbus Roman" w:hAnsi="Nimbus Roman" w:eastAsia="方正仿宋_GBK" w:cs="Nimbus Roman"/>
                <w:kern w:val="2"/>
                <w:sz w:val="24"/>
                <w:szCs w:val="24"/>
                <w:lang w:val="en-US" w:eastAsia="zh-CN" w:bidi="ar-SA"/>
              </w:rPr>
            </w:pPr>
            <w:r>
              <w:rPr>
                <w:rFonts w:hint="default" w:ascii="Nimbus Roman" w:hAnsi="Nimbus Roman" w:eastAsia="方正仿宋_GBK" w:cs="Nimbus Roman"/>
              </w:rPr>
              <w:t>　</w:t>
            </w:r>
            <w:r>
              <w:rPr>
                <w:rFonts w:hint="default" w:ascii="Nimbus Roman" w:hAnsi="Nimbus Roman" w:eastAsia="方正仿宋_GBK" w:cs="Nimbus Roman"/>
                <w:lang w:val="en-US" w:eastAsia="zh-CN"/>
              </w:rPr>
              <w:t>2013901</w:t>
            </w:r>
          </w:p>
        </w:tc>
        <w:tc>
          <w:tcPr>
            <w:tcW w:w="1245" w:type="pct"/>
            <w:tcBorders>
              <w:top w:val="nil"/>
              <w:left w:val="nil"/>
              <w:bottom w:val="single" w:color="auto" w:sz="4" w:space="0"/>
              <w:right w:val="single" w:color="auto" w:sz="4" w:space="0"/>
            </w:tcBorders>
            <w:shd w:val="clear" w:color="000000" w:fill="FFFFFF"/>
            <w:noWrap/>
            <w:vAlign w:val="center"/>
          </w:tcPr>
          <w:p w14:paraId="61A259C2">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行政运行</w:t>
            </w:r>
          </w:p>
        </w:tc>
        <w:tc>
          <w:tcPr>
            <w:tcW w:w="591" w:type="pct"/>
            <w:tcBorders>
              <w:top w:val="nil"/>
              <w:left w:val="nil"/>
              <w:bottom w:val="single" w:color="auto" w:sz="4" w:space="0"/>
              <w:right w:val="single" w:color="auto" w:sz="4" w:space="0"/>
            </w:tcBorders>
            <w:shd w:val="clear" w:color="auto" w:fill="auto"/>
            <w:noWrap/>
            <w:vAlign w:val="center"/>
          </w:tcPr>
          <w:p w14:paraId="12C8FA2E">
            <w:pPr>
              <w:widowControl/>
              <w:jc w:val="right"/>
              <w:rPr>
                <w:rFonts w:hint="default" w:ascii="Nimbus Roman" w:hAnsi="Nimbus Roman" w:eastAsia="仿宋_GB2312" w:cs="Nimbus Roman"/>
                <w:kern w:val="0"/>
                <w:sz w:val="22"/>
                <w:szCs w:val="22"/>
              </w:rPr>
            </w:pPr>
            <w:r>
              <w:rPr>
                <w:rFonts w:hint="eastAsia" w:ascii="Nimbus Roman" w:hAnsi="Nimbus Roman" w:eastAsia="仿宋_GB2312" w:cs="Nimbus Roman"/>
                <w:kern w:val="0"/>
                <w:sz w:val="22"/>
                <w:szCs w:val="22"/>
                <w:lang w:val="en-US" w:eastAsia="zh-CN"/>
              </w:rPr>
              <w:t>17.26</w:t>
            </w:r>
            <w:r>
              <w:rPr>
                <w:rFonts w:hint="default" w:ascii="Nimbus Roman" w:hAnsi="Nimbus Roman" w:eastAsia="仿宋_GB2312" w:cs="Nimbus Roman"/>
                <w:kern w:val="0"/>
                <w:sz w:val="22"/>
                <w:szCs w:val="22"/>
              </w:rPr>
              <w:t>　</w:t>
            </w:r>
          </w:p>
        </w:tc>
        <w:tc>
          <w:tcPr>
            <w:tcW w:w="420" w:type="pct"/>
            <w:tcBorders>
              <w:top w:val="nil"/>
              <w:left w:val="nil"/>
              <w:bottom w:val="single" w:color="auto" w:sz="4" w:space="0"/>
              <w:right w:val="single" w:color="auto" w:sz="4" w:space="0"/>
            </w:tcBorders>
            <w:shd w:val="clear" w:color="auto" w:fill="auto"/>
            <w:noWrap/>
            <w:vAlign w:val="center"/>
          </w:tcPr>
          <w:p w14:paraId="63AA21FD">
            <w:pPr>
              <w:widowControl/>
              <w:jc w:val="right"/>
              <w:rPr>
                <w:rFonts w:hint="default" w:ascii="Nimbus Roman" w:hAnsi="Nimbus Roman" w:eastAsia="仿宋_GB2312" w:cs="Nimbus Roman"/>
                <w:kern w:val="0"/>
                <w:sz w:val="22"/>
                <w:szCs w:val="22"/>
              </w:rPr>
            </w:pPr>
            <w:r>
              <w:rPr>
                <w:rFonts w:hint="eastAsia" w:ascii="Nimbus Roman" w:hAnsi="Nimbus Roman" w:eastAsia="仿宋_GB2312" w:cs="Nimbus Roman"/>
                <w:kern w:val="0"/>
                <w:sz w:val="22"/>
                <w:szCs w:val="22"/>
                <w:lang w:val="en-US" w:eastAsia="zh-CN"/>
              </w:rPr>
              <w:t>17.26</w:t>
            </w:r>
            <w:r>
              <w:rPr>
                <w:rFonts w:hint="default" w:ascii="Nimbus Roman" w:hAnsi="Nimbus Roman" w:eastAsia="仿宋_GB2312" w:cs="Nimbus Roman"/>
                <w:kern w:val="0"/>
                <w:sz w:val="22"/>
                <w:szCs w:val="22"/>
              </w:rPr>
              <w:t>　</w:t>
            </w:r>
          </w:p>
        </w:tc>
        <w:tc>
          <w:tcPr>
            <w:tcW w:w="459" w:type="pct"/>
            <w:tcBorders>
              <w:top w:val="nil"/>
              <w:left w:val="nil"/>
              <w:bottom w:val="single" w:color="auto" w:sz="4" w:space="0"/>
              <w:right w:val="single" w:color="auto" w:sz="4" w:space="0"/>
            </w:tcBorders>
            <w:shd w:val="clear" w:color="auto" w:fill="auto"/>
            <w:noWrap/>
            <w:vAlign w:val="center"/>
          </w:tcPr>
          <w:p w14:paraId="194B53D8">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605" w:type="pct"/>
            <w:tcBorders>
              <w:top w:val="nil"/>
              <w:left w:val="nil"/>
              <w:bottom w:val="single" w:color="auto" w:sz="4" w:space="0"/>
              <w:right w:val="single" w:color="auto" w:sz="4" w:space="0"/>
            </w:tcBorders>
            <w:shd w:val="clear" w:color="auto" w:fill="auto"/>
            <w:noWrap/>
            <w:vAlign w:val="center"/>
          </w:tcPr>
          <w:p w14:paraId="4D58486D">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411" w:type="pct"/>
            <w:tcBorders>
              <w:top w:val="nil"/>
              <w:left w:val="nil"/>
              <w:bottom w:val="single" w:color="auto" w:sz="4" w:space="0"/>
              <w:right w:val="single" w:color="auto" w:sz="4" w:space="0"/>
            </w:tcBorders>
            <w:shd w:val="clear" w:color="auto" w:fill="auto"/>
            <w:noWrap/>
            <w:vAlign w:val="center"/>
          </w:tcPr>
          <w:p w14:paraId="7292231E">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501" w:type="pct"/>
            <w:tcBorders>
              <w:top w:val="nil"/>
              <w:left w:val="nil"/>
              <w:bottom w:val="single" w:color="auto" w:sz="4" w:space="0"/>
              <w:right w:val="single" w:color="auto" w:sz="4" w:space="0"/>
            </w:tcBorders>
            <w:shd w:val="clear" w:color="auto" w:fill="auto"/>
            <w:noWrap/>
            <w:vAlign w:val="center"/>
          </w:tcPr>
          <w:p w14:paraId="7D4D20C6">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r>
      <w:tr w14:paraId="36F670C2">
        <w:tblPrEx>
          <w:tblCellMar>
            <w:top w:w="0" w:type="dxa"/>
            <w:left w:w="108" w:type="dxa"/>
            <w:bottom w:w="0" w:type="dxa"/>
            <w:right w:w="108" w:type="dxa"/>
          </w:tblCellMar>
        </w:tblPrEx>
        <w:trPr>
          <w:trHeight w:val="510" w:hRule="atLeast"/>
          <w:jc w:val="center"/>
        </w:trPr>
        <w:tc>
          <w:tcPr>
            <w:tcW w:w="76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8A2560">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Nimbus Roman" w:hAnsi="Nimbus Roman" w:eastAsia="方正仿宋_GBK" w:cs="Nimbus Roman"/>
                <w:kern w:val="2"/>
                <w:sz w:val="24"/>
                <w:szCs w:val="24"/>
                <w:lang w:val="en-US" w:eastAsia="zh-CN" w:bidi="ar-SA"/>
              </w:rPr>
            </w:pPr>
            <w:r>
              <w:rPr>
                <w:rFonts w:hint="default" w:ascii="Nimbus Roman" w:hAnsi="Nimbus Roman" w:eastAsia="方正仿宋_GBK" w:cs="Nimbus Roman"/>
              </w:rPr>
              <w:t>　</w:t>
            </w:r>
            <w:r>
              <w:rPr>
                <w:rFonts w:hint="default" w:ascii="Nimbus Roman" w:hAnsi="Nimbus Roman" w:eastAsia="方正仿宋_GBK" w:cs="Nimbus Roman"/>
                <w:lang w:val="en-US" w:eastAsia="zh-CN"/>
              </w:rPr>
              <w:t>2013999</w:t>
            </w:r>
          </w:p>
        </w:tc>
        <w:tc>
          <w:tcPr>
            <w:tcW w:w="1245" w:type="pct"/>
            <w:tcBorders>
              <w:top w:val="nil"/>
              <w:left w:val="nil"/>
              <w:bottom w:val="single" w:color="auto" w:sz="4" w:space="0"/>
              <w:right w:val="single" w:color="auto" w:sz="4" w:space="0"/>
            </w:tcBorders>
            <w:shd w:val="clear" w:color="000000" w:fill="FFFFFF"/>
            <w:noWrap/>
            <w:vAlign w:val="center"/>
          </w:tcPr>
          <w:p w14:paraId="2DCC3AFE">
            <w:pPr>
              <w:widowControl/>
              <w:jc w:val="left"/>
              <w:rPr>
                <w:rFonts w:hint="eastAsia" w:ascii="Times New Roman" w:hAnsi="Times New Roman" w:eastAsia="仿宋_GB2312" w:cs="Times New Roman"/>
                <w:kern w:val="0"/>
                <w:sz w:val="21"/>
                <w:szCs w:val="21"/>
                <w:lang w:eastAsia="zh-CN"/>
              </w:rPr>
            </w:pPr>
            <w:r>
              <w:rPr>
                <w:rFonts w:hint="eastAsia" w:ascii="Times New Roman" w:hAnsi="Times New Roman" w:eastAsia="仿宋_GB2312" w:cs="Times New Roman"/>
                <w:kern w:val="0"/>
                <w:sz w:val="21"/>
                <w:szCs w:val="21"/>
              </w:rPr>
              <w:t>其他社会工作事务支出</w:t>
            </w:r>
          </w:p>
        </w:tc>
        <w:tc>
          <w:tcPr>
            <w:tcW w:w="591" w:type="pct"/>
            <w:tcBorders>
              <w:top w:val="nil"/>
              <w:left w:val="nil"/>
              <w:bottom w:val="single" w:color="auto" w:sz="4" w:space="0"/>
              <w:right w:val="single" w:color="auto" w:sz="4" w:space="0"/>
            </w:tcBorders>
            <w:shd w:val="clear" w:color="auto" w:fill="auto"/>
            <w:noWrap/>
            <w:vAlign w:val="center"/>
          </w:tcPr>
          <w:p w14:paraId="364A2202">
            <w:pPr>
              <w:widowControl/>
              <w:jc w:val="right"/>
              <w:rPr>
                <w:rFonts w:hint="default" w:ascii="Nimbus Roman" w:hAnsi="Nimbus Roman" w:eastAsia="仿宋_GB2312" w:cs="Nimbus Roman"/>
                <w:kern w:val="0"/>
                <w:sz w:val="22"/>
                <w:szCs w:val="22"/>
              </w:rPr>
            </w:pPr>
            <w:r>
              <w:rPr>
                <w:rFonts w:hint="eastAsia" w:ascii="Nimbus Roman" w:hAnsi="Nimbus Roman" w:eastAsia="仿宋_GB2312" w:cs="Nimbus Roman"/>
                <w:kern w:val="0"/>
                <w:sz w:val="22"/>
                <w:szCs w:val="22"/>
                <w:lang w:val="en-US" w:eastAsia="zh-CN"/>
              </w:rPr>
              <w:t>20.40</w:t>
            </w:r>
            <w:r>
              <w:rPr>
                <w:rFonts w:hint="default" w:ascii="Nimbus Roman" w:hAnsi="Nimbus Roman" w:eastAsia="仿宋_GB2312" w:cs="Nimbus Roman"/>
                <w:kern w:val="0"/>
                <w:sz w:val="22"/>
                <w:szCs w:val="22"/>
              </w:rPr>
              <w:t>　</w:t>
            </w:r>
          </w:p>
        </w:tc>
        <w:tc>
          <w:tcPr>
            <w:tcW w:w="420" w:type="pct"/>
            <w:tcBorders>
              <w:top w:val="nil"/>
              <w:left w:val="nil"/>
              <w:bottom w:val="single" w:color="auto" w:sz="4" w:space="0"/>
              <w:right w:val="single" w:color="auto" w:sz="4" w:space="0"/>
            </w:tcBorders>
            <w:shd w:val="clear" w:color="auto" w:fill="auto"/>
            <w:noWrap/>
            <w:vAlign w:val="center"/>
          </w:tcPr>
          <w:p w14:paraId="4F61F917">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459" w:type="pct"/>
            <w:tcBorders>
              <w:top w:val="nil"/>
              <w:left w:val="nil"/>
              <w:bottom w:val="single" w:color="auto" w:sz="4" w:space="0"/>
              <w:right w:val="single" w:color="auto" w:sz="4" w:space="0"/>
            </w:tcBorders>
            <w:shd w:val="clear" w:color="auto" w:fill="auto"/>
            <w:noWrap/>
            <w:vAlign w:val="center"/>
          </w:tcPr>
          <w:p w14:paraId="777B6368">
            <w:pPr>
              <w:widowControl/>
              <w:jc w:val="right"/>
              <w:rPr>
                <w:rFonts w:hint="default" w:ascii="Nimbus Roman" w:hAnsi="Nimbus Roman" w:eastAsia="仿宋_GB2312" w:cs="Nimbus Roman"/>
                <w:kern w:val="0"/>
                <w:sz w:val="22"/>
                <w:szCs w:val="22"/>
              </w:rPr>
            </w:pPr>
            <w:r>
              <w:rPr>
                <w:rFonts w:hint="eastAsia" w:ascii="Nimbus Roman" w:hAnsi="Nimbus Roman" w:eastAsia="仿宋_GB2312" w:cs="Nimbus Roman"/>
                <w:kern w:val="0"/>
                <w:sz w:val="22"/>
                <w:szCs w:val="22"/>
                <w:lang w:val="en-US" w:eastAsia="zh-CN"/>
              </w:rPr>
              <w:t>20.40</w:t>
            </w:r>
            <w:r>
              <w:rPr>
                <w:rFonts w:hint="default" w:ascii="Nimbus Roman" w:hAnsi="Nimbus Roman" w:eastAsia="仿宋_GB2312" w:cs="Nimbus Roman"/>
                <w:kern w:val="0"/>
                <w:sz w:val="22"/>
                <w:szCs w:val="22"/>
              </w:rPr>
              <w:t>　</w:t>
            </w:r>
          </w:p>
        </w:tc>
        <w:tc>
          <w:tcPr>
            <w:tcW w:w="605" w:type="pct"/>
            <w:tcBorders>
              <w:top w:val="nil"/>
              <w:left w:val="nil"/>
              <w:bottom w:val="single" w:color="auto" w:sz="4" w:space="0"/>
              <w:right w:val="single" w:color="auto" w:sz="4" w:space="0"/>
            </w:tcBorders>
            <w:shd w:val="clear" w:color="auto" w:fill="auto"/>
            <w:noWrap/>
            <w:vAlign w:val="center"/>
          </w:tcPr>
          <w:p w14:paraId="1E0B06FE">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411" w:type="pct"/>
            <w:tcBorders>
              <w:top w:val="nil"/>
              <w:left w:val="nil"/>
              <w:bottom w:val="single" w:color="auto" w:sz="4" w:space="0"/>
              <w:right w:val="single" w:color="auto" w:sz="4" w:space="0"/>
            </w:tcBorders>
            <w:shd w:val="clear" w:color="auto" w:fill="auto"/>
            <w:noWrap/>
            <w:vAlign w:val="center"/>
          </w:tcPr>
          <w:p w14:paraId="6F568836">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501" w:type="pct"/>
            <w:tcBorders>
              <w:top w:val="nil"/>
              <w:left w:val="nil"/>
              <w:bottom w:val="single" w:color="auto" w:sz="4" w:space="0"/>
              <w:right w:val="single" w:color="auto" w:sz="4" w:space="0"/>
            </w:tcBorders>
            <w:shd w:val="clear" w:color="auto" w:fill="auto"/>
            <w:noWrap/>
            <w:vAlign w:val="center"/>
          </w:tcPr>
          <w:p w14:paraId="157A185A">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r>
      <w:tr w14:paraId="2FF8553B">
        <w:tblPrEx>
          <w:tblCellMar>
            <w:top w:w="0" w:type="dxa"/>
            <w:left w:w="108" w:type="dxa"/>
            <w:bottom w:w="0" w:type="dxa"/>
            <w:right w:w="108" w:type="dxa"/>
          </w:tblCellMar>
        </w:tblPrEx>
        <w:trPr>
          <w:trHeight w:val="510" w:hRule="atLeast"/>
          <w:jc w:val="center"/>
        </w:trPr>
        <w:tc>
          <w:tcPr>
            <w:tcW w:w="76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6DF7AEE">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Nimbus Roman" w:hAnsi="Nimbus Roman" w:eastAsia="方正仿宋_GBK" w:cs="Nimbus Roman"/>
                <w:kern w:val="2"/>
                <w:sz w:val="24"/>
                <w:szCs w:val="24"/>
                <w:lang w:val="en-US" w:eastAsia="zh-CN" w:bidi="ar-SA"/>
              </w:rPr>
            </w:pPr>
            <w:r>
              <w:rPr>
                <w:rFonts w:hint="default" w:ascii="Nimbus Roman" w:hAnsi="Nimbus Roman" w:eastAsia="方正仿宋_GBK" w:cs="Nimbus Roman"/>
              </w:rPr>
              <w:t>　</w:t>
            </w:r>
            <w:r>
              <w:rPr>
                <w:rFonts w:hint="default" w:ascii="Nimbus Roman" w:hAnsi="Nimbus Roman" w:eastAsia="方正仿宋_GBK" w:cs="Nimbus Roman"/>
                <w:lang w:val="en-US" w:eastAsia="zh-CN"/>
              </w:rPr>
              <w:t>2080101</w:t>
            </w:r>
          </w:p>
        </w:tc>
        <w:tc>
          <w:tcPr>
            <w:tcW w:w="1245" w:type="pct"/>
            <w:tcBorders>
              <w:top w:val="nil"/>
              <w:left w:val="nil"/>
              <w:bottom w:val="single" w:color="auto" w:sz="4" w:space="0"/>
              <w:right w:val="single" w:color="auto" w:sz="4" w:space="0"/>
            </w:tcBorders>
            <w:shd w:val="clear" w:color="000000" w:fill="FFFFFF"/>
            <w:noWrap/>
            <w:vAlign w:val="center"/>
          </w:tcPr>
          <w:p w14:paraId="5219E8A9">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行政运行</w:t>
            </w:r>
          </w:p>
        </w:tc>
        <w:tc>
          <w:tcPr>
            <w:tcW w:w="591" w:type="pct"/>
            <w:tcBorders>
              <w:top w:val="nil"/>
              <w:left w:val="nil"/>
              <w:bottom w:val="single" w:color="auto" w:sz="4" w:space="0"/>
              <w:right w:val="single" w:color="auto" w:sz="4" w:space="0"/>
            </w:tcBorders>
            <w:shd w:val="clear" w:color="auto" w:fill="auto"/>
            <w:noWrap/>
            <w:vAlign w:val="center"/>
          </w:tcPr>
          <w:p w14:paraId="6A09C155">
            <w:pPr>
              <w:widowControl/>
              <w:jc w:val="right"/>
              <w:rPr>
                <w:rFonts w:hint="default" w:ascii="Nimbus Roman" w:hAnsi="Nimbus Roman" w:eastAsia="仿宋_GB2312" w:cs="Nimbus Roman"/>
                <w:kern w:val="0"/>
                <w:sz w:val="22"/>
                <w:szCs w:val="22"/>
              </w:rPr>
            </w:pPr>
            <w:r>
              <w:rPr>
                <w:rFonts w:hint="eastAsia" w:ascii="Nimbus Roman" w:hAnsi="Nimbus Roman" w:eastAsia="仿宋_GB2312" w:cs="Nimbus Roman"/>
                <w:kern w:val="0"/>
                <w:sz w:val="22"/>
                <w:szCs w:val="22"/>
                <w:lang w:val="en-US" w:eastAsia="zh-CN"/>
              </w:rPr>
              <w:t>88.70</w:t>
            </w:r>
            <w:r>
              <w:rPr>
                <w:rFonts w:hint="default" w:ascii="Nimbus Roman" w:hAnsi="Nimbus Roman" w:eastAsia="仿宋_GB2312" w:cs="Nimbus Roman"/>
                <w:kern w:val="0"/>
                <w:sz w:val="22"/>
                <w:szCs w:val="22"/>
              </w:rPr>
              <w:t>　</w:t>
            </w:r>
          </w:p>
        </w:tc>
        <w:tc>
          <w:tcPr>
            <w:tcW w:w="420" w:type="pct"/>
            <w:tcBorders>
              <w:top w:val="nil"/>
              <w:left w:val="nil"/>
              <w:bottom w:val="single" w:color="auto" w:sz="4" w:space="0"/>
              <w:right w:val="single" w:color="auto" w:sz="4" w:space="0"/>
            </w:tcBorders>
            <w:shd w:val="clear" w:color="auto" w:fill="auto"/>
            <w:noWrap/>
            <w:vAlign w:val="center"/>
          </w:tcPr>
          <w:p w14:paraId="79CEA0AF">
            <w:pPr>
              <w:widowControl/>
              <w:jc w:val="right"/>
              <w:rPr>
                <w:rFonts w:hint="default" w:ascii="Nimbus Roman" w:hAnsi="Nimbus Roman" w:eastAsia="仿宋_GB2312" w:cs="Nimbus Roman"/>
                <w:kern w:val="0"/>
                <w:sz w:val="22"/>
                <w:szCs w:val="22"/>
              </w:rPr>
            </w:pPr>
            <w:r>
              <w:rPr>
                <w:rFonts w:hint="eastAsia" w:ascii="Nimbus Roman" w:hAnsi="Nimbus Roman" w:eastAsia="仿宋_GB2312" w:cs="Nimbus Roman"/>
                <w:kern w:val="0"/>
                <w:sz w:val="22"/>
                <w:szCs w:val="22"/>
                <w:lang w:val="en-US" w:eastAsia="zh-CN"/>
              </w:rPr>
              <w:t>88.70</w:t>
            </w:r>
            <w:r>
              <w:rPr>
                <w:rFonts w:hint="default" w:ascii="Nimbus Roman" w:hAnsi="Nimbus Roman" w:eastAsia="仿宋_GB2312" w:cs="Nimbus Roman"/>
                <w:kern w:val="0"/>
                <w:sz w:val="22"/>
                <w:szCs w:val="22"/>
              </w:rPr>
              <w:t>　</w:t>
            </w:r>
          </w:p>
        </w:tc>
        <w:tc>
          <w:tcPr>
            <w:tcW w:w="459" w:type="pct"/>
            <w:tcBorders>
              <w:top w:val="nil"/>
              <w:left w:val="nil"/>
              <w:bottom w:val="single" w:color="auto" w:sz="4" w:space="0"/>
              <w:right w:val="single" w:color="auto" w:sz="4" w:space="0"/>
            </w:tcBorders>
            <w:shd w:val="clear" w:color="auto" w:fill="auto"/>
            <w:noWrap/>
            <w:vAlign w:val="center"/>
          </w:tcPr>
          <w:p w14:paraId="71E40CE5">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605" w:type="pct"/>
            <w:tcBorders>
              <w:top w:val="nil"/>
              <w:left w:val="nil"/>
              <w:bottom w:val="single" w:color="auto" w:sz="4" w:space="0"/>
              <w:right w:val="single" w:color="auto" w:sz="4" w:space="0"/>
            </w:tcBorders>
            <w:shd w:val="clear" w:color="auto" w:fill="auto"/>
            <w:noWrap/>
            <w:vAlign w:val="center"/>
          </w:tcPr>
          <w:p w14:paraId="18DCFACC">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411" w:type="pct"/>
            <w:tcBorders>
              <w:top w:val="nil"/>
              <w:left w:val="nil"/>
              <w:bottom w:val="single" w:color="auto" w:sz="4" w:space="0"/>
              <w:right w:val="single" w:color="auto" w:sz="4" w:space="0"/>
            </w:tcBorders>
            <w:shd w:val="clear" w:color="auto" w:fill="auto"/>
            <w:noWrap/>
            <w:vAlign w:val="center"/>
          </w:tcPr>
          <w:p w14:paraId="03696213">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501" w:type="pct"/>
            <w:tcBorders>
              <w:top w:val="nil"/>
              <w:left w:val="nil"/>
              <w:bottom w:val="single" w:color="auto" w:sz="4" w:space="0"/>
              <w:right w:val="single" w:color="auto" w:sz="4" w:space="0"/>
            </w:tcBorders>
            <w:shd w:val="clear" w:color="auto" w:fill="auto"/>
            <w:noWrap/>
            <w:vAlign w:val="center"/>
          </w:tcPr>
          <w:p w14:paraId="6C84214E">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r>
      <w:tr w14:paraId="604023FF">
        <w:tblPrEx>
          <w:tblCellMar>
            <w:top w:w="0" w:type="dxa"/>
            <w:left w:w="108" w:type="dxa"/>
            <w:bottom w:w="0" w:type="dxa"/>
            <w:right w:w="108" w:type="dxa"/>
          </w:tblCellMar>
        </w:tblPrEx>
        <w:trPr>
          <w:trHeight w:val="510" w:hRule="atLeast"/>
          <w:jc w:val="center"/>
        </w:trPr>
        <w:tc>
          <w:tcPr>
            <w:tcW w:w="76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08F3607">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Nimbus Roman" w:hAnsi="Nimbus Roman" w:eastAsia="方正仿宋_GBK" w:cs="Nimbus Roman"/>
                <w:kern w:val="2"/>
                <w:sz w:val="24"/>
                <w:szCs w:val="24"/>
                <w:lang w:val="en-US" w:eastAsia="zh-CN" w:bidi="ar-SA"/>
              </w:rPr>
            </w:pPr>
            <w:r>
              <w:rPr>
                <w:rFonts w:hint="default" w:ascii="Nimbus Roman" w:hAnsi="Nimbus Roman" w:eastAsia="方正仿宋_GBK" w:cs="Nimbus Roman"/>
              </w:rPr>
              <w:t>　</w:t>
            </w:r>
            <w:r>
              <w:rPr>
                <w:rFonts w:hint="default" w:ascii="Nimbus Roman" w:hAnsi="Nimbus Roman" w:eastAsia="方正仿宋_GBK" w:cs="Nimbus Roman"/>
                <w:lang w:val="en-US" w:eastAsia="zh-CN"/>
              </w:rPr>
              <w:t>2080505</w:t>
            </w:r>
          </w:p>
        </w:tc>
        <w:tc>
          <w:tcPr>
            <w:tcW w:w="1245" w:type="pct"/>
            <w:tcBorders>
              <w:top w:val="nil"/>
              <w:left w:val="nil"/>
              <w:bottom w:val="single" w:color="auto" w:sz="4" w:space="0"/>
              <w:right w:val="single" w:color="auto" w:sz="4" w:space="0"/>
            </w:tcBorders>
            <w:shd w:val="clear" w:color="000000" w:fill="FFFFFF"/>
            <w:noWrap/>
            <w:vAlign w:val="center"/>
          </w:tcPr>
          <w:p w14:paraId="225633F5">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机关事业单位基本养老保险缴费支出</w:t>
            </w:r>
          </w:p>
        </w:tc>
        <w:tc>
          <w:tcPr>
            <w:tcW w:w="591" w:type="pct"/>
            <w:tcBorders>
              <w:top w:val="nil"/>
              <w:left w:val="nil"/>
              <w:bottom w:val="single" w:color="auto" w:sz="4" w:space="0"/>
              <w:right w:val="single" w:color="auto" w:sz="4" w:space="0"/>
            </w:tcBorders>
            <w:shd w:val="clear" w:color="auto" w:fill="auto"/>
            <w:noWrap/>
            <w:vAlign w:val="center"/>
          </w:tcPr>
          <w:p w14:paraId="59CA6E23">
            <w:pPr>
              <w:widowControl/>
              <w:jc w:val="right"/>
              <w:rPr>
                <w:rFonts w:hint="default" w:ascii="Nimbus Roman" w:hAnsi="Nimbus Roman" w:eastAsia="仿宋_GB2312" w:cs="Nimbus Roman"/>
                <w:kern w:val="0"/>
                <w:sz w:val="22"/>
                <w:szCs w:val="22"/>
              </w:rPr>
            </w:pPr>
            <w:r>
              <w:rPr>
                <w:rFonts w:hint="eastAsia" w:ascii="Nimbus Roman" w:hAnsi="Nimbus Roman" w:eastAsia="仿宋_GB2312" w:cs="Nimbus Roman"/>
                <w:kern w:val="0"/>
                <w:sz w:val="22"/>
                <w:szCs w:val="22"/>
                <w:lang w:val="en-US" w:eastAsia="zh-CN"/>
              </w:rPr>
              <w:t>12.08</w:t>
            </w:r>
            <w:r>
              <w:rPr>
                <w:rFonts w:hint="default" w:ascii="Nimbus Roman" w:hAnsi="Nimbus Roman" w:eastAsia="仿宋_GB2312" w:cs="Nimbus Roman"/>
                <w:kern w:val="0"/>
                <w:sz w:val="22"/>
                <w:szCs w:val="22"/>
              </w:rPr>
              <w:t>　</w:t>
            </w:r>
          </w:p>
        </w:tc>
        <w:tc>
          <w:tcPr>
            <w:tcW w:w="420" w:type="pct"/>
            <w:tcBorders>
              <w:top w:val="nil"/>
              <w:left w:val="nil"/>
              <w:bottom w:val="single" w:color="auto" w:sz="4" w:space="0"/>
              <w:right w:val="single" w:color="auto" w:sz="4" w:space="0"/>
            </w:tcBorders>
            <w:shd w:val="clear" w:color="auto" w:fill="auto"/>
            <w:noWrap/>
            <w:vAlign w:val="center"/>
          </w:tcPr>
          <w:p w14:paraId="176DA44C">
            <w:pPr>
              <w:widowControl/>
              <w:jc w:val="right"/>
              <w:rPr>
                <w:rFonts w:hint="default" w:ascii="Nimbus Roman" w:hAnsi="Nimbus Roman" w:eastAsia="仿宋_GB2312" w:cs="Nimbus Roman"/>
                <w:kern w:val="0"/>
                <w:sz w:val="22"/>
                <w:szCs w:val="22"/>
              </w:rPr>
            </w:pPr>
            <w:r>
              <w:rPr>
                <w:rFonts w:hint="eastAsia" w:ascii="Nimbus Roman" w:hAnsi="Nimbus Roman" w:eastAsia="仿宋_GB2312" w:cs="Nimbus Roman"/>
                <w:kern w:val="0"/>
                <w:sz w:val="22"/>
                <w:szCs w:val="22"/>
                <w:lang w:val="en-US" w:eastAsia="zh-CN"/>
              </w:rPr>
              <w:t>12.08</w:t>
            </w:r>
            <w:r>
              <w:rPr>
                <w:rFonts w:hint="default" w:ascii="Nimbus Roman" w:hAnsi="Nimbus Roman" w:eastAsia="仿宋_GB2312" w:cs="Nimbus Roman"/>
                <w:kern w:val="0"/>
                <w:sz w:val="22"/>
                <w:szCs w:val="22"/>
              </w:rPr>
              <w:t>　</w:t>
            </w:r>
          </w:p>
        </w:tc>
        <w:tc>
          <w:tcPr>
            <w:tcW w:w="459" w:type="pct"/>
            <w:tcBorders>
              <w:top w:val="nil"/>
              <w:left w:val="nil"/>
              <w:bottom w:val="single" w:color="auto" w:sz="4" w:space="0"/>
              <w:right w:val="single" w:color="auto" w:sz="4" w:space="0"/>
            </w:tcBorders>
            <w:shd w:val="clear" w:color="auto" w:fill="auto"/>
            <w:noWrap/>
            <w:vAlign w:val="center"/>
          </w:tcPr>
          <w:p w14:paraId="64131892">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605" w:type="pct"/>
            <w:tcBorders>
              <w:top w:val="nil"/>
              <w:left w:val="nil"/>
              <w:bottom w:val="single" w:color="auto" w:sz="4" w:space="0"/>
              <w:right w:val="single" w:color="auto" w:sz="4" w:space="0"/>
            </w:tcBorders>
            <w:shd w:val="clear" w:color="auto" w:fill="auto"/>
            <w:noWrap/>
            <w:vAlign w:val="center"/>
          </w:tcPr>
          <w:p w14:paraId="7D66C26F">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411" w:type="pct"/>
            <w:tcBorders>
              <w:top w:val="nil"/>
              <w:left w:val="nil"/>
              <w:bottom w:val="single" w:color="auto" w:sz="4" w:space="0"/>
              <w:right w:val="single" w:color="auto" w:sz="4" w:space="0"/>
            </w:tcBorders>
            <w:shd w:val="clear" w:color="auto" w:fill="auto"/>
            <w:noWrap/>
            <w:vAlign w:val="center"/>
          </w:tcPr>
          <w:p w14:paraId="09C882FC">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501" w:type="pct"/>
            <w:tcBorders>
              <w:top w:val="nil"/>
              <w:left w:val="nil"/>
              <w:bottom w:val="single" w:color="auto" w:sz="4" w:space="0"/>
              <w:right w:val="single" w:color="auto" w:sz="4" w:space="0"/>
            </w:tcBorders>
            <w:shd w:val="clear" w:color="auto" w:fill="auto"/>
            <w:noWrap/>
            <w:vAlign w:val="center"/>
          </w:tcPr>
          <w:p w14:paraId="4D240B3B">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r>
      <w:tr w14:paraId="0FCBCDB6">
        <w:tblPrEx>
          <w:tblCellMar>
            <w:top w:w="0" w:type="dxa"/>
            <w:left w:w="108" w:type="dxa"/>
            <w:bottom w:w="0" w:type="dxa"/>
            <w:right w:w="108" w:type="dxa"/>
          </w:tblCellMar>
        </w:tblPrEx>
        <w:trPr>
          <w:trHeight w:val="510" w:hRule="atLeast"/>
          <w:jc w:val="center"/>
        </w:trPr>
        <w:tc>
          <w:tcPr>
            <w:tcW w:w="76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78FA363">
            <w:pPr>
              <w:keepNext w:val="0"/>
              <w:keepLines w:val="0"/>
              <w:pageBreakBefore w:val="0"/>
              <w:widowControl w:val="0"/>
              <w:kinsoku/>
              <w:wordWrap/>
              <w:overflowPunct/>
              <w:topLinePunct w:val="0"/>
              <w:autoSpaceDE/>
              <w:autoSpaceDN/>
              <w:bidi w:val="0"/>
              <w:adjustRightInd/>
              <w:snapToGrid/>
              <w:spacing w:line="240" w:lineRule="exact"/>
              <w:ind w:firstLine="210" w:firstLineChars="100"/>
              <w:jc w:val="both"/>
              <w:textAlignment w:val="auto"/>
              <w:rPr>
                <w:rFonts w:hint="default" w:ascii="Nimbus Roman" w:hAnsi="Nimbus Roman" w:eastAsia="方正仿宋_GBK" w:cs="Nimbus Roman"/>
                <w:kern w:val="2"/>
                <w:sz w:val="21"/>
                <w:szCs w:val="22"/>
                <w:lang w:val="en-US" w:eastAsia="zh-CN" w:bidi="ar-SA"/>
              </w:rPr>
            </w:pPr>
            <w:r>
              <w:rPr>
                <w:rFonts w:hint="default" w:ascii="Nimbus Roman" w:hAnsi="Nimbus Roman" w:eastAsia="方正仿宋_GBK" w:cs="Nimbus Roman"/>
                <w:lang w:val="en-US" w:eastAsia="zh-CN"/>
              </w:rPr>
              <w:t>2089999</w:t>
            </w:r>
          </w:p>
        </w:tc>
        <w:tc>
          <w:tcPr>
            <w:tcW w:w="1245" w:type="pct"/>
            <w:tcBorders>
              <w:top w:val="nil"/>
              <w:left w:val="nil"/>
              <w:bottom w:val="single" w:color="auto" w:sz="4" w:space="0"/>
              <w:right w:val="single" w:color="auto" w:sz="4" w:space="0"/>
            </w:tcBorders>
            <w:shd w:val="clear" w:color="000000" w:fill="FFFFFF"/>
            <w:noWrap/>
            <w:vAlign w:val="center"/>
          </w:tcPr>
          <w:p w14:paraId="60A1BF16">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其他社会保障和就业支出</w:t>
            </w:r>
          </w:p>
        </w:tc>
        <w:tc>
          <w:tcPr>
            <w:tcW w:w="591" w:type="pct"/>
            <w:tcBorders>
              <w:top w:val="nil"/>
              <w:left w:val="nil"/>
              <w:bottom w:val="single" w:color="auto" w:sz="4" w:space="0"/>
              <w:right w:val="single" w:color="auto" w:sz="4" w:space="0"/>
            </w:tcBorders>
            <w:shd w:val="clear" w:color="auto" w:fill="auto"/>
            <w:noWrap/>
            <w:vAlign w:val="center"/>
          </w:tcPr>
          <w:p w14:paraId="7812EB1B">
            <w:pPr>
              <w:widowControl/>
              <w:jc w:val="right"/>
              <w:rPr>
                <w:rFonts w:hint="default" w:ascii="Nimbus Roman" w:hAnsi="Nimbus Roman" w:eastAsia="仿宋_GB2312" w:cs="Nimbus Roman"/>
                <w:kern w:val="0"/>
                <w:sz w:val="22"/>
                <w:szCs w:val="22"/>
              </w:rPr>
            </w:pPr>
            <w:r>
              <w:rPr>
                <w:rFonts w:hint="eastAsia" w:ascii="Nimbus Roman" w:hAnsi="Nimbus Roman" w:eastAsia="仿宋_GB2312" w:cs="Nimbus Roman"/>
                <w:kern w:val="0"/>
                <w:sz w:val="22"/>
                <w:szCs w:val="22"/>
                <w:lang w:val="en-US" w:eastAsia="zh-CN"/>
              </w:rPr>
              <w:t>7.08</w:t>
            </w:r>
            <w:r>
              <w:rPr>
                <w:rFonts w:hint="default" w:ascii="Nimbus Roman" w:hAnsi="Nimbus Roman" w:eastAsia="仿宋_GB2312" w:cs="Nimbus Roman"/>
                <w:kern w:val="0"/>
                <w:sz w:val="22"/>
                <w:szCs w:val="22"/>
              </w:rPr>
              <w:t>　</w:t>
            </w:r>
          </w:p>
        </w:tc>
        <w:tc>
          <w:tcPr>
            <w:tcW w:w="420" w:type="pct"/>
            <w:tcBorders>
              <w:top w:val="nil"/>
              <w:left w:val="nil"/>
              <w:bottom w:val="single" w:color="auto" w:sz="4" w:space="0"/>
              <w:right w:val="single" w:color="auto" w:sz="4" w:space="0"/>
            </w:tcBorders>
            <w:shd w:val="clear" w:color="auto" w:fill="auto"/>
            <w:noWrap/>
            <w:vAlign w:val="center"/>
          </w:tcPr>
          <w:p w14:paraId="46DF0784">
            <w:pPr>
              <w:widowControl/>
              <w:jc w:val="right"/>
              <w:rPr>
                <w:rFonts w:hint="default" w:ascii="Nimbus Roman" w:hAnsi="Nimbus Roman" w:eastAsia="仿宋_GB2312" w:cs="Nimbus Roman"/>
                <w:kern w:val="0"/>
                <w:sz w:val="22"/>
                <w:szCs w:val="22"/>
              </w:rPr>
            </w:pPr>
            <w:r>
              <w:rPr>
                <w:rFonts w:hint="eastAsia" w:ascii="Nimbus Roman" w:hAnsi="Nimbus Roman" w:eastAsia="仿宋_GB2312" w:cs="Nimbus Roman"/>
                <w:kern w:val="0"/>
                <w:sz w:val="22"/>
                <w:szCs w:val="22"/>
                <w:lang w:val="en-US" w:eastAsia="zh-CN"/>
              </w:rPr>
              <w:t>0.15</w:t>
            </w:r>
            <w:r>
              <w:rPr>
                <w:rFonts w:hint="default" w:ascii="Nimbus Roman" w:hAnsi="Nimbus Roman" w:eastAsia="仿宋_GB2312" w:cs="Nimbus Roman"/>
                <w:kern w:val="0"/>
                <w:sz w:val="22"/>
                <w:szCs w:val="22"/>
              </w:rPr>
              <w:t>　</w:t>
            </w:r>
          </w:p>
        </w:tc>
        <w:tc>
          <w:tcPr>
            <w:tcW w:w="459" w:type="pct"/>
            <w:tcBorders>
              <w:top w:val="nil"/>
              <w:left w:val="nil"/>
              <w:bottom w:val="single" w:color="auto" w:sz="4" w:space="0"/>
              <w:right w:val="single" w:color="auto" w:sz="4" w:space="0"/>
            </w:tcBorders>
            <w:shd w:val="clear" w:color="auto" w:fill="auto"/>
            <w:noWrap/>
            <w:vAlign w:val="center"/>
          </w:tcPr>
          <w:p w14:paraId="78C77CC9">
            <w:pPr>
              <w:widowControl/>
              <w:jc w:val="right"/>
              <w:rPr>
                <w:rFonts w:hint="default" w:ascii="Nimbus Roman" w:hAnsi="Nimbus Roman" w:eastAsia="仿宋_GB2312" w:cs="Nimbus Roman"/>
                <w:kern w:val="0"/>
                <w:sz w:val="22"/>
                <w:szCs w:val="22"/>
              </w:rPr>
            </w:pPr>
            <w:r>
              <w:rPr>
                <w:rFonts w:hint="eastAsia" w:ascii="Nimbus Roman" w:hAnsi="Nimbus Roman" w:eastAsia="仿宋_GB2312" w:cs="Nimbus Roman"/>
                <w:kern w:val="0"/>
                <w:sz w:val="22"/>
                <w:szCs w:val="22"/>
                <w:lang w:val="en-US" w:eastAsia="zh-CN"/>
              </w:rPr>
              <w:t>6.94</w:t>
            </w:r>
            <w:r>
              <w:rPr>
                <w:rFonts w:hint="default" w:ascii="Nimbus Roman" w:hAnsi="Nimbus Roman" w:eastAsia="仿宋_GB2312" w:cs="Nimbus Roman"/>
                <w:kern w:val="0"/>
                <w:sz w:val="22"/>
                <w:szCs w:val="22"/>
              </w:rPr>
              <w:t>　</w:t>
            </w:r>
          </w:p>
        </w:tc>
        <w:tc>
          <w:tcPr>
            <w:tcW w:w="605" w:type="pct"/>
            <w:tcBorders>
              <w:top w:val="nil"/>
              <w:left w:val="nil"/>
              <w:bottom w:val="single" w:color="auto" w:sz="4" w:space="0"/>
              <w:right w:val="single" w:color="auto" w:sz="4" w:space="0"/>
            </w:tcBorders>
            <w:shd w:val="clear" w:color="auto" w:fill="auto"/>
            <w:noWrap/>
            <w:vAlign w:val="center"/>
          </w:tcPr>
          <w:p w14:paraId="26DDD434">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411" w:type="pct"/>
            <w:tcBorders>
              <w:top w:val="nil"/>
              <w:left w:val="nil"/>
              <w:bottom w:val="single" w:color="auto" w:sz="4" w:space="0"/>
              <w:right w:val="single" w:color="auto" w:sz="4" w:space="0"/>
            </w:tcBorders>
            <w:shd w:val="clear" w:color="auto" w:fill="auto"/>
            <w:noWrap/>
            <w:vAlign w:val="center"/>
          </w:tcPr>
          <w:p w14:paraId="2F8BA026">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c>
          <w:tcPr>
            <w:tcW w:w="501" w:type="pct"/>
            <w:tcBorders>
              <w:top w:val="nil"/>
              <w:left w:val="nil"/>
              <w:bottom w:val="single" w:color="auto" w:sz="4" w:space="0"/>
              <w:right w:val="single" w:color="auto" w:sz="4" w:space="0"/>
            </w:tcBorders>
            <w:shd w:val="clear" w:color="auto" w:fill="auto"/>
            <w:noWrap/>
            <w:vAlign w:val="center"/>
          </w:tcPr>
          <w:p w14:paraId="1EC15FD0">
            <w:pPr>
              <w:widowControl/>
              <w:jc w:val="right"/>
              <w:rPr>
                <w:rFonts w:hint="default" w:ascii="Nimbus Roman" w:hAnsi="Nimbus Roman" w:eastAsia="仿宋_GB2312" w:cs="Nimbus Roman"/>
                <w:kern w:val="0"/>
                <w:sz w:val="22"/>
                <w:szCs w:val="22"/>
              </w:rPr>
            </w:pPr>
            <w:r>
              <w:rPr>
                <w:rFonts w:hint="default" w:ascii="Nimbus Roman" w:hAnsi="Nimbus Roman" w:eastAsia="仿宋_GB2312" w:cs="Nimbus Roman"/>
                <w:kern w:val="0"/>
                <w:sz w:val="22"/>
                <w:szCs w:val="22"/>
              </w:rPr>
              <w:t>　</w:t>
            </w:r>
          </w:p>
        </w:tc>
      </w:tr>
      <w:tr w14:paraId="0FE1ADBF">
        <w:tblPrEx>
          <w:tblCellMar>
            <w:top w:w="0" w:type="dxa"/>
            <w:left w:w="108" w:type="dxa"/>
            <w:bottom w:w="0" w:type="dxa"/>
            <w:right w:w="108" w:type="dxa"/>
          </w:tblCellMar>
        </w:tblPrEx>
        <w:trPr>
          <w:trHeight w:val="510" w:hRule="atLeast"/>
          <w:jc w:val="center"/>
        </w:trPr>
        <w:tc>
          <w:tcPr>
            <w:tcW w:w="764" w:type="pct"/>
            <w:tcBorders>
              <w:top w:val="single" w:color="auto" w:sz="4" w:space="0"/>
              <w:left w:val="single" w:color="auto" w:sz="4" w:space="0"/>
              <w:bottom w:val="single" w:color="auto" w:sz="4" w:space="0"/>
              <w:right w:val="single" w:color="auto" w:sz="4" w:space="0"/>
            </w:tcBorders>
            <w:vAlign w:val="center"/>
          </w:tcPr>
          <w:p w14:paraId="1B0AFAF7">
            <w:pPr>
              <w:ind w:firstLine="210" w:firstLineChars="100"/>
              <w:jc w:val="both"/>
              <w:rPr>
                <w:rFonts w:hint="default" w:ascii="Nimbus Roman" w:hAnsi="Nimbus Roman" w:eastAsia="方正仿宋_GBK" w:cs="Nimbus Roman"/>
                <w:kern w:val="2"/>
                <w:sz w:val="24"/>
                <w:szCs w:val="24"/>
                <w:lang w:val="en-US" w:eastAsia="zh-CN" w:bidi="ar-SA"/>
              </w:rPr>
            </w:pPr>
            <w:r>
              <w:rPr>
                <w:rFonts w:hint="default" w:ascii="Nimbus Roman" w:hAnsi="Nimbus Roman" w:eastAsia="方正仿宋_GBK" w:cs="Nimbus Roman"/>
                <w:lang w:val="en-US" w:eastAsia="zh-CN"/>
              </w:rPr>
              <w:t>2101101</w:t>
            </w:r>
          </w:p>
        </w:tc>
        <w:tc>
          <w:tcPr>
            <w:tcW w:w="1245" w:type="pct"/>
            <w:tcBorders>
              <w:top w:val="single" w:color="auto" w:sz="4" w:space="0"/>
              <w:left w:val="single" w:color="auto" w:sz="4" w:space="0"/>
              <w:bottom w:val="single" w:color="auto" w:sz="4" w:space="0"/>
              <w:right w:val="single" w:color="auto" w:sz="4" w:space="0"/>
            </w:tcBorders>
          </w:tcPr>
          <w:p w14:paraId="0A714702">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行政单位医疗</w:t>
            </w:r>
          </w:p>
        </w:tc>
        <w:tc>
          <w:tcPr>
            <w:tcW w:w="591" w:type="pct"/>
            <w:tcBorders>
              <w:top w:val="single" w:color="auto" w:sz="4" w:space="0"/>
              <w:left w:val="single" w:color="auto" w:sz="4" w:space="0"/>
              <w:bottom w:val="single" w:color="auto" w:sz="4" w:space="0"/>
              <w:right w:val="single" w:color="auto" w:sz="4" w:space="0"/>
            </w:tcBorders>
          </w:tcPr>
          <w:p w14:paraId="778E4F2D">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5.46</w:t>
            </w:r>
          </w:p>
        </w:tc>
        <w:tc>
          <w:tcPr>
            <w:tcW w:w="420" w:type="pct"/>
            <w:tcBorders>
              <w:top w:val="single" w:color="auto" w:sz="4" w:space="0"/>
              <w:left w:val="single" w:color="auto" w:sz="4" w:space="0"/>
              <w:bottom w:val="single" w:color="auto" w:sz="4" w:space="0"/>
              <w:right w:val="single" w:color="auto" w:sz="4" w:space="0"/>
            </w:tcBorders>
          </w:tcPr>
          <w:p w14:paraId="242D4FD6">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5.46</w:t>
            </w:r>
          </w:p>
        </w:tc>
        <w:tc>
          <w:tcPr>
            <w:tcW w:w="459" w:type="pct"/>
            <w:tcBorders>
              <w:top w:val="single" w:color="auto" w:sz="4" w:space="0"/>
              <w:left w:val="single" w:color="auto" w:sz="4" w:space="0"/>
              <w:bottom w:val="single" w:color="auto" w:sz="4" w:space="0"/>
              <w:right w:val="single" w:color="auto" w:sz="4" w:space="0"/>
            </w:tcBorders>
          </w:tcPr>
          <w:p w14:paraId="5AF8C680">
            <w:pPr>
              <w:widowControl/>
              <w:jc w:val="right"/>
              <w:rPr>
                <w:rFonts w:hint="default" w:ascii="Nimbus Roman" w:hAnsi="Nimbus Roman" w:eastAsia="仿宋_GB2312" w:cs="Nimbus Roman"/>
                <w:kern w:val="0"/>
                <w:sz w:val="22"/>
                <w:szCs w:val="22"/>
              </w:rPr>
            </w:pPr>
          </w:p>
        </w:tc>
        <w:tc>
          <w:tcPr>
            <w:tcW w:w="605" w:type="pct"/>
            <w:tcBorders>
              <w:top w:val="single" w:color="auto" w:sz="4" w:space="0"/>
              <w:left w:val="single" w:color="auto" w:sz="4" w:space="0"/>
              <w:bottom w:val="single" w:color="auto" w:sz="4" w:space="0"/>
              <w:right w:val="single" w:color="auto" w:sz="4" w:space="0"/>
            </w:tcBorders>
          </w:tcPr>
          <w:p w14:paraId="03D12B16">
            <w:pPr>
              <w:widowControl/>
              <w:jc w:val="right"/>
              <w:rPr>
                <w:rFonts w:hint="default" w:ascii="Nimbus Roman" w:hAnsi="Nimbus Roman" w:eastAsia="仿宋_GB2312" w:cs="Nimbus Roman"/>
                <w:kern w:val="0"/>
                <w:sz w:val="22"/>
                <w:szCs w:val="22"/>
              </w:rPr>
            </w:pPr>
          </w:p>
        </w:tc>
        <w:tc>
          <w:tcPr>
            <w:tcW w:w="411" w:type="pct"/>
            <w:tcBorders>
              <w:top w:val="single" w:color="auto" w:sz="4" w:space="0"/>
              <w:left w:val="single" w:color="auto" w:sz="4" w:space="0"/>
              <w:bottom w:val="single" w:color="auto" w:sz="4" w:space="0"/>
              <w:right w:val="single" w:color="auto" w:sz="4" w:space="0"/>
            </w:tcBorders>
          </w:tcPr>
          <w:p w14:paraId="16659620">
            <w:pPr>
              <w:widowControl/>
              <w:jc w:val="right"/>
              <w:rPr>
                <w:rFonts w:hint="default" w:ascii="Nimbus Roman" w:hAnsi="Nimbus Roman" w:eastAsia="仿宋_GB2312" w:cs="Nimbus Roman"/>
                <w:kern w:val="0"/>
                <w:sz w:val="22"/>
                <w:szCs w:val="22"/>
              </w:rPr>
            </w:pPr>
          </w:p>
        </w:tc>
        <w:tc>
          <w:tcPr>
            <w:tcW w:w="501" w:type="pct"/>
            <w:tcBorders>
              <w:top w:val="single" w:color="auto" w:sz="4" w:space="0"/>
              <w:left w:val="single" w:color="auto" w:sz="4" w:space="0"/>
              <w:bottom w:val="single" w:color="auto" w:sz="4" w:space="0"/>
              <w:right w:val="single" w:color="auto" w:sz="4" w:space="0"/>
            </w:tcBorders>
          </w:tcPr>
          <w:p w14:paraId="39F23D7F">
            <w:pPr>
              <w:widowControl/>
              <w:jc w:val="right"/>
              <w:rPr>
                <w:rFonts w:hint="default" w:ascii="Nimbus Roman" w:hAnsi="Nimbus Roman" w:eastAsia="仿宋_GB2312" w:cs="Nimbus Roman"/>
                <w:kern w:val="0"/>
                <w:sz w:val="22"/>
                <w:szCs w:val="22"/>
              </w:rPr>
            </w:pPr>
          </w:p>
        </w:tc>
      </w:tr>
      <w:tr w14:paraId="281D3280">
        <w:tblPrEx>
          <w:tblCellMar>
            <w:top w:w="0" w:type="dxa"/>
            <w:left w:w="108" w:type="dxa"/>
            <w:bottom w:w="0" w:type="dxa"/>
            <w:right w:w="108" w:type="dxa"/>
          </w:tblCellMar>
        </w:tblPrEx>
        <w:trPr>
          <w:trHeight w:val="510" w:hRule="atLeast"/>
          <w:jc w:val="center"/>
        </w:trPr>
        <w:tc>
          <w:tcPr>
            <w:tcW w:w="764" w:type="pct"/>
            <w:tcBorders>
              <w:top w:val="single" w:color="auto" w:sz="4" w:space="0"/>
              <w:left w:val="single" w:color="auto" w:sz="4" w:space="0"/>
              <w:bottom w:val="single" w:color="auto" w:sz="4" w:space="0"/>
              <w:right w:val="single" w:color="auto" w:sz="4" w:space="0"/>
            </w:tcBorders>
            <w:vAlign w:val="center"/>
          </w:tcPr>
          <w:p w14:paraId="23D7B741">
            <w:pPr>
              <w:ind w:firstLine="210" w:firstLineChars="100"/>
              <w:jc w:val="both"/>
              <w:rPr>
                <w:rFonts w:hint="default" w:ascii="Nimbus Roman" w:hAnsi="Nimbus Roman" w:eastAsia="方正仿宋_GBK" w:cs="Nimbus Roman"/>
                <w:kern w:val="2"/>
                <w:sz w:val="21"/>
                <w:szCs w:val="22"/>
                <w:lang w:val="en-US" w:eastAsia="zh-CN" w:bidi="ar-SA"/>
              </w:rPr>
            </w:pPr>
            <w:r>
              <w:rPr>
                <w:rFonts w:hint="eastAsia" w:ascii="Nimbus Roman" w:hAnsi="Nimbus Roman" w:eastAsia="方正仿宋_GBK" w:cs="Nimbus Roman"/>
                <w:lang w:val="en-US" w:eastAsia="zh-CN"/>
              </w:rPr>
              <w:t>2101199</w:t>
            </w:r>
          </w:p>
        </w:tc>
        <w:tc>
          <w:tcPr>
            <w:tcW w:w="1245" w:type="pct"/>
            <w:tcBorders>
              <w:top w:val="single" w:color="auto" w:sz="4" w:space="0"/>
              <w:left w:val="single" w:color="auto" w:sz="4" w:space="0"/>
              <w:bottom w:val="single" w:color="auto" w:sz="4" w:space="0"/>
              <w:right w:val="single" w:color="auto" w:sz="4" w:space="0"/>
            </w:tcBorders>
          </w:tcPr>
          <w:p w14:paraId="3C4AAB0C">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其他行政事业单位医疗支出</w:t>
            </w:r>
          </w:p>
        </w:tc>
        <w:tc>
          <w:tcPr>
            <w:tcW w:w="591" w:type="pct"/>
            <w:tcBorders>
              <w:top w:val="single" w:color="auto" w:sz="4" w:space="0"/>
              <w:left w:val="single" w:color="auto" w:sz="4" w:space="0"/>
              <w:bottom w:val="single" w:color="auto" w:sz="4" w:space="0"/>
              <w:right w:val="single" w:color="auto" w:sz="4" w:space="0"/>
            </w:tcBorders>
          </w:tcPr>
          <w:p w14:paraId="5C30C090">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1.80</w:t>
            </w:r>
          </w:p>
        </w:tc>
        <w:tc>
          <w:tcPr>
            <w:tcW w:w="420" w:type="pct"/>
            <w:tcBorders>
              <w:top w:val="single" w:color="auto" w:sz="4" w:space="0"/>
              <w:left w:val="single" w:color="auto" w:sz="4" w:space="0"/>
              <w:bottom w:val="single" w:color="auto" w:sz="4" w:space="0"/>
              <w:right w:val="single" w:color="auto" w:sz="4" w:space="0"/>
            </w:tcBorders>
          </w:tcPr>
          <w:p w14:paraId="091FD560">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1.80</w:t>
            </w:r>
          </w:p>
        </w:tc>
        <w:tc>
          <w:tcPr>
            <w:tcW w:w="459" w:type="pct"/>
            <w:tcBorders>
              <w:top w:val="single" w:color="auto" w:sz="4" w:space="0"/>
              <w:left w:val="single" w:color="auto" w:sz="4" w:space="0"/>
              <w:bottom w:val="single" w:color="auto" w:sz="4" w:space="0"/>
              <w:right w:val="single" w:color="auto" w:sz="4" w:space="0"/>
            </w:tcBorders>
          </w:tcPr>
          <w:p w14:paraId="1578C373">
            <w:pPr>
              <w:widowControl/>
              <w:jc w:val="right"/>
              <w:rPr>
                <w:rFonts w:hint="default" w:ascii="Nimbus Roman" w:hAnsi="Nimbus Roman" w:eastAsia="仿宋_GB2312" w:cs="Nimbus Roman"/>
                <w:kern w:val="0"/>
                <w:sz w:val="22"/>
                <w:szCs w:val="22"/>
              </w:rPr>
            </w:pPr>
          </w:p>
        </w:tc>
        <w:tc>
          <w:tcPr>
            <w:tcW w:w="605" w:type="pct"/>
            <w:tcBorders>
              <w:top w:val="single" w:color="auto" w:sz="4" w:space="0"/>
              <w:left w:val="single" w:color="auto" w:sz="4" w:space="0"/>
              <w:bottom w:val="single" w:color="auto" w:sz="4" w:space="0"/>
              <w:right w:val="single" w:color="auto" w:sz="4" w:space="0"/>
            </w:tcBorders>
          </w:tcPr>
          <w:p w14:paraId="478FEE26">
            <w:pPr>
              <w:widowControl/>
              <w:jc w:val="right"/>
              <w:rPr>
                <w:rFonts w:hint="default" w:ascii="Nimbus Roman" w:hAnsi="Nimbus Roman" w:eastAsia="仿宋_GB2312" w:cs="Nimbus Roman"/>
                <w:kern w:val="0"/>
                <w:sz w:val="22"/>
                <w:szCs w:val="22"/>
              </w:rPr>
            </w:pPr>
          </w:p>
        </w:tc>
        <w:tc>
          <w:tcPr>
            <w:tcW w:w="411" w:type="pct"/>
            <w:tcBorders>
              <w:top w:val="single" w:color="auto" w:sz="4" w:space="0"/>
              <w:left w:val="single" w:color="auto" w:sz="4" w:space="0"/>
              <w:bottom w:val="single" w:color="auto" w:sz="4" w:space="0"/>
              <w:right w:val="single" w:color="auto" w:sz="4" w:space="0"/>
            </w:tcBorders>
          </w:tcPr>
          <w:p w14:paraId="3B8058E7">
            <w:pPr>
              <w:widowControl/>
              <w:jc w:val="right"/>
              <w:rPr>
                <w:rFonts w:hint="default" w:ascii="Nimbus Roman" w:hAnsi="Nimbus Roman" w:eastAsia="仿宋_GB2312" w:cs="Nimbus Roman"/>
                <w:kern w:val="0"/>
                <w:sz w:val="22"/>
                <w:szCs w:val="22"/>
              </w:rPr>
            </w:pPr>
          </w:p>
        </w:tc>
        <w:tc>
          <w:tcPr>
            <w:tcW w:w="501" w:type="pct"/>
            <w:tcBorders>
              <w:top w:val="single" w:color="auto" w:sz="4" w:space="0"/>
              <w:left w:val="single" w:color="auto" w:sz="4" w:space="0"/>
              <w:bottom w:val="single" w:color="auto" w:sz="4" w:space="0"/>
              <w:right w:val="single" w:color="auto" w:sz="4" w:space="0"/>
            </w:tcBorders>
          </w:tcPr>
          <w:p w14:paraId="1CFE417B">
            <w:pPr>
              <w:widowControl/>
              <w:jc w:val="right"/>
              <w:rPr>
                <w:rFonts w:hint="default" w:ascii="Nimbus Roman" w:hAnsi="Nimbus Roman" w:eastAsia="仿宋_GB2312" w:cs="Nimbus Roman"/>
                <w:kern w:val="0"/>
                <w:sz w:val="22"/>
                <w:szCs w:val="22"/>
              </w:rPr>
            </w:pPr>
          </w:p>
        </w:tc>
      </w:tr>
      <w:tr w14:paraId="2057F554">
        <w:tblPrEx>
          <w:tblCellMar>
            <w:top w:w="0" w:type="dxa"/>
            <w:left w:w="108" w:type="dxa"/>
            <w:bottom w:w="0" w:type="dxa"/>
            <w:right w:w="108" w:type="dxa"/>
          </w:tblCellMar>
        </w:tblPrEx>
        <w:trPr>
          <w:trHeight w:val="510" w:hRule="atLeast"/>
          <w:jc w:val="center"/>
        </w:trPr>
        <w:tc>
          <w:tcPr>
            <w:tcW w:w="764" w:type="pct"/>
            <w:tcBorders>
              <w:top w:val="single" w:color="auto" w:sz="4" w:space="0"/>
              <w:left w:val="single" w:color="auto" w:sz="4" w:space="0"/>
              <w:bottom w:val="single" w:color="auto" w:sz="4" w:space="0"/>
              <w:right w:val="single" w:color="auto" w:sz="4" w:space="0"/>
            </w:tcBorders>
            <w:vAlign w:val="center"/>
          </w:tcPr>
          <w:p w14:paraId="434FAFCB">
            <w:pPr>
              <w:ind w:firstLine="210" w:firstLineChars="100"/>
              <w:jc w:val="both"/>
              <w:rPr>
                <w:rFonts w:hint="default" w:ascii="Nimbus Roman" w:hAnsi="Nimbus Roman" w:eastAsia="方正仿宋_GBK" w:cs="Nimbus Roman"/>
                <w:kern w:val="2"/>
                <w:sz w:val="21"/>
                <w:szCs w:val="22"/>
                <w:lang w:val="en-US" w:eastAsia="zh-CN" w:bidi="ar-SA"/>
              </w:rPr>
            </w:pPr>
            <w:r>
              <w:rPr>
                <w:rFonts w:hint="eastAsia" w:ascii="Nimbus Roman" w:hAnsi="Nimbus Roman" w:eastAsia="方正仿宋_GBK" w:cs="Nimbus Roman"/>
                <w:lang w:val="en-US" w:eastAsia="zh-CN"/>
              </w:rPr>
              <w:t>2120199</w:t>
            </w:r>
          </w:p>
        </w:tc>
        <w:tc>
          <w:tcPr>
            <w:tcW w:w="1245" w:type="pct"/>
            <w:tcBorders>
              <w:top w:val="single" w:color="auto" w:sz="4" w:space="0"/>
              <w:left w:val="single" w:color="auto" w:sz="4" w:space="0"/>
              <w:bottom w:val="single" w:color="auto" w:sz="4" w:space="0"/>
              <w:right w:val="single" w:color="auto" w:sz="4" w:space="0"/>
            </w:tcBorders>
          </w:tcPr>
          <w:p w14:paraId="2E32A6FF">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其他城乡社区管理事务支出</w:t>
            </w:r>
          </w:p>
        </w:tc>
        <w:tc>
          <w:tcPr>
            <w:tcW w:w="591" w:type="pct"/>
            <w:tcBorders>
              <w:top w:val="single" w:color="auto" w:sz="4" w:space="0"/>
              <w:left w:val="single" w:color="auto" w:sz="4" w:space="0"/>
              <w:bottom w:val="single" w:color="auto" w:sz="4" w:space="0"/>
              <w:right w:val="single" w:color="auto" w:sz="4" w:space="0"/>
            </w:tcBorders>
          </w:tcPr>
          <w:p w14:paraId="2348EB00">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57.00</w:t>
            </w:r>
          </w:p>
        </w:tc>
        <w:tc>
          <w:tcPr>
            <w:tcW w:w="420" w:type="pct"/>
            <w:tcBorders>
              <w:top w:val="single" w:color="auto" w:sz="4" w:space="0"/>
              <w:left w:val="single" w:color="auto" w:sz="4" w:space="0"/>
              <w:bottom w:val="single" w:color="auto" w:sz="4" w:space="0"/>
              <w:right w:val="single" w:color="auto" w:sz="4" w:space="0"/>
            </w:tcBorders>
          </w:tcPr>
          <w:p w14:paraId="56D001AF">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19.10</w:t>
            </w:r>
          </w:p>
        </w:tc>
        <w:tc>
          <w:tcPr>
            <w:tcW w:w="459" w:type="pct"/>
            <w:tcBorders>
              <w:top w:val="single" w:color="auto" w:sz="4" w:space="0"/>
              <w:left w:val="single" w:color="auto" w:sz="4" w:space="0"/>
              <w:bottom w:val="single" w:color="auto" w:sz="4" w:space="0"/>
              <w:right w:val="single" w:color="auto" w:sz="4" w:space="0"/>
            </w:tcBorders>
          </w:tcPr>
          <w:p w14:paraId="7B4A32E8">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37.90</w:t>
            </w:r>
          </w:p>
        </w:tc>
        <w:tc>
          <w:tcPr>
            <w:tcW w:w="605" w:type="pct"/>
            <w:tcBorders>
              <w:top w:val="single" w:color="auto" w:sz="4" w:space="0"/>
              <w:left w:val="single" w:color="auto" w:sz="4" w:space="0"/>
              <w:bottom w:val="single" w:color="auto" w:sz="4" w:space="0"/>
              <w:right w:val="single" w:color="auto" w:sz="4" w:space="0"/>
            </w:tcBorders>
          </w:tcPr>
          <w:p w14:paraId="54A24A72">
            <w:pPr>
              <w:widowControl/>
              <w:jc w:val="right"/>
              <w:rPr>
                <w:rFonts w:hint="default" w:ascii="Nimbus Roman" w:hAnsi="Nimbus Roman" w:eastAsia="仿宋_GB2312" w:cs="Nimbus Roman"/>
                <w:kern w:val="0"/>
                <w:sz w:val="22"/>
                <w:szCs w:val="22"/>
              </w:rPr>
            </w:pPr>
          </w:p>
        </w:tc>
        <w:tc>
          <w:tcPr>
            <w:tcW w:w="411" w:type="pct"/>
            <w:tcBorders>
              <w:top w:val="single" w:color="auto" w:sz="4" w:space="0"/>
              <w:left w:val="single" w:color="auto" w:sz="4" w:space="0"/>
              <w:bottom w:val="single" w:color="auto" w:sz="4" w:space="0"/>
              <w:right w:val="single" w:color="auto" w:sz="4" w:space="0"/>
            </w:tcBorders>
          </w:tcPr>
          <w:p w14:paraId="11722BAE">
            <w:pPr>
              <w:widowControl/>
              <w:jc w:val="right"/>
              <w:rPr>
                <w:rFonts w:hint="default" w:ascii="Nimbus Roman" w:hAnsi="Nimbus Roman" w:eastAsia="仿宋_GB2312" w:cs="Nimbus Roman"/>
                <w:kern w:val="0"/>
                <w:sz w:val="22"/>
                <w:szCs w:val="22"/>
              </w:rPr>
            </w:pPr>
          </w:p>
        </w:tc>
        <w:tc>
          <w:tcPr>
            <w:tcW w:w="501" w:type="pct"/>
            <w:tcBorders>
              <w:top w:val="single" w:color="auto" w:sz="4" w:space="0"/>
              <w:left w:val="single" w:color="auto" w:sz="4" w:space="0"/>
              <w:bottom w:val="single" w:color="auto" w:sz="4" w:space="0"/>
              <w:right w:val="single" w:color="auto" w:sz="4" w:space="0"/>
            </w:tcBorders>
          </w:tcPr>
          <w:p w14:paraId="0871F1ED">
            <w:pPr>
              <w:widowControl/>
              <w:jc w:val="right"/>
              <w:rPr>
                <w:rFonts w:hint="default" w:ascii="Nimbus Roman" w:hAnsi="Nimbus Roman" w:eastAsia="仿宋_GB2312" w:cs="Nimbus Roman"/>
                <w:kern w:val="0"/>
                <w:sz w:val="22"/>
                <w:szCs w:val="22"/>
              </w:rPr>
            </w:pPr>
          </w:p>
        </w:tc>
      </w:tr>
    </w:tbl>
    <w:p w14:paraId="4598E7B9">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5A6F6154">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A767298">
      <w:pPr>
        <w:widowControl/>
        <w:spacing w:line="400" w:lineRule="exact"/>
        <w:jc w:val="center"/>
        <w:textAlignment w:val="center"/>
        <w:rPr>
          <w:rFonts w:ascii="Times New Roman" w:hAnsi="Times New Roman" w:eastAsia="黑体" w:cs="Times New Roman"/>
          <w:color w:val="000000"/>
          <w:kern w:val="0"/>
          <w:sz w:val="32"/>
          <w:szCs w:val="32"/>
        </w:rPr>
      </w:pPr>
    </w:p>
    <w:p w14:paraId="7B10080E">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2FE4F9D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w:t>
      </w:r>
      <w:r>
        <w:rPr>
          <w:rFonts w:hint="default" w:ascii="Nimbus Roman" w:hAnsi="Nimbus Roman" w:eastAsia="仿宋_GB2312" w:cs="Nimbus Roman"/>
          <w:color w:val="000000"/>
          <w:kern w:val="0"/>
          <w:sz w:val="20"/>
          <w:szCs w:val="20"/>
        </w:rPr>
        <w:t>04</w:t>
      </w:r>
      <w:r>
        <w:rPr>
          <w:rFonts w:ascii="Times New Roman" w:hAnsi="Times New Roman" w:eastAsia="仿宋_GB2312" w:cs="Times New Roman"/>
          <w:color w:val="000000"/>
          <w:kern w:val="0"/>
          <w:sz w:val="20"/>
          <w:szCs w:val="20"/>
        </w:rPr>
        <w:t>表</w:t>
      </w:r>
    </w:p>
    <w:p w14:paraId="554B6464">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中共会同县委社会工作部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583" w:type="dxa"/>
        <w:jc w:val="center"/>
        <w:tblLayout w:type="autofit"/>
        <w:tblCellMar>
          <w:top w:w="0" w:type="dxa"/>
          <w:left w:w="108" w:type="dxa"/>
          <w:bottom w:w="0" w:type="dxa"/>
          <w:right w:w="108" w:type="dxa"/>
        </w:tblCellMar>
      </w:tblPr>
      <w:tblGrid>
        <w:gridCol w:w="3516"/>
        <w:gridCol w:w="616"/>
        <w:gridCol w:w="889"/>
        <w:gridCol w:w="3516"/>
        <w:gridCol w:w="616"/>
        <w:gridCol w:w="889"/>
        <w:gridCol w:w="1301"/>
        <w:gridCol w:w="1663"/>
        <w:gridCol w:w="1645"/>
      </w:tblGrid>
      <w:tr w14:paraId="60956E3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DD94C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630" w:type="dxa"/>
            <w:gridSpan w:val="6"/>
            <w:tcBorders>
              <w:top w:val="single" w:color="auto" w:sz="4" w:space="0"/>
              <w:left w:val="nil"/>
              <w:bottom w:val="single" w:color="auto" w:sz="4" w:space="0"/>
              <w:right w:val="single" w:color="auto" w:sz="4" w:space="0"/>
            </w:tcBorders>
            <w:shd w:val="clear" w:color="000000" w:fill="FFFFFF"/>
            <w:noWrap/>
            <w:vAlign w:val="center"/>
          </w:tcPr>
          <w:p w14:paraId="288FDC0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14C20424">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18DBE6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48A58C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8490FE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1F0818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85C771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E29E7A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5748CC7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63" w:type="dxa"/>
            <w:tcBorders>
              <w:top w:val="nil"/>
              <w:left w:val="nil"/>
              <w:bottom w:val="single" w:color="auto" w:sz="4" w:space="0"/>
              <w:right w:val="single" w:color="auto" w:sz="4" w:space="0"/>
            </w:tcBorders>
            <w:shd w:val="clear" w:color="auto" w:fill="auto"/>
            <w:vAlign w:val="center"/>
          </w:tcPr>
          <w:p w14:paraId="42FC63B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645" w:type="dxa"/>
            <w:tcBorders>
              <w:top w:val="nil"/>
              <w:left w:val="nil"/>
              <w:bottom w:val="single" w:color="auto" w:sz="4" w:space="0"/>
              <w:right w:val="single" w:color="auto" w:sz="4" w:space="0"/>
            </w:tcBorders>
            <w:shd w:val="clear" w:color="auto" w:fill="auto"/>
            <w:vAlign w:val="center"/>
          </w:tcPr>
          <w:p w14:paraId="6CDBA55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268E921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591B8A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374836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C8CA88D">
            <w:pPr>
              <w:widowControl/>
              <w:jc w:val="center"/>
              <w:rPr>
                <w:rFonts w:ascii="Times New Roman" w:hAnsi="Times New Roman" w:eastAsia="仿宋_GB2312" w:cs="Times New Roman"/>
                <w:kern w:val="0"/>
                <w:sz w:val="24"/>
                <w:szCs w:val="24"/>
              </w:rPr>
            </w:pPr>
            <w:r>
              <w:rPr>
                <w:rFonts w:hint="default" w:ascii="Nimbus Roman" w:hAnsi="Nimbus Roman" w:eastAsia="仿宋_GB2312" w:cs="Nimbus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239F79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745EE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127D027">
            <w:pPr>
              <w:widowControl/>
              <w:jc w:val="center"/>
              <w:rPr>
                <w:rFonts w:hint="default" w:ascii="Nimbus Roman" w:hAnsi="Nimbus Roman" w:eastAsia="仿宋_GB2312" w:cs="Nimbus Roman"/>
                <w:kern w:val="0"/>
                <w:sz w:val="24"/>
                <w:szCs w:val="24"/>
              </w:rPr>
            </w:pPr>
            <w:r>
              <w:rPr>
                <w:rFonts w:hint="default" w:ascii="Nimbus Roman" w:hAnsi="Nimbus Roman" w:eastAsia="仿宋_GB2312" w:cs="Nimbus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5A36B9A7">
            <w:pPr>
              <w:widowControl/>
              <w:jc w:val="center"/>
              <w:rPr>
                <w:rFonts w:hint="default" w:ascii="Nimbus Roman" w:hAnsi="Nimbus Roman" w:eastAsia="仿宋_GB2312" w:cs="Nimbus Roman"/>
                <w:kern w:val="0"/>
                <w:sz w:val="24"/>
                <w:szCs w:val="24"/>
              </w:rPr>
            </w:pPr>
            <w:r>
              <w:rPr>
                <w:rFonts w:hint="default" w:ascii="Nimbus Roman" w:hAnsi="Nimbus Roman" w:eastAsia="仿宋_GB2312" w:cs="Nimbus Roman"/>
                <w:kern w:val="0"/>
                <w:sz w:val="24"/>
                <w:szCs w:val="24"/>
              </w:rPr>
              <w:t>3</w:t>
            </w:r>
          </w:p>
        </w:tc>
        <w:tc>
          <w:tcPr>
            <w:tcW w:w="1663" w:type="dxa"/>
            <w:tcBorders>
              <w:top w:val="nil"/>
              <w:left w:val="nil"/>
              <w:bottom w:val="single" w:color="auto" w:sz="4" w:space="0"/>
              <w:right w:val="single" w:color="auto" w:sz="4" w:space="0"/>
            </w:tcBorders>
            <w:shd w:val="clear" w:color="auto" w:fill="auto"/>
            <w:noWrap/>
            <w:vAlign w:val="center"/>
          </w:tcPr>
          <w:p w14:paraId="26C7177E">
            <w:pPr>
              <w:widowControl/>
              <w:jc w:val="center"/>
              <w:rPr>
                <w:rFonts w:hint="default" w:ascii="Nimbus Roman" w:hAnsi="Nimbus Roman" w:eastAsia="仿宋_GB2312" w:cs="Nimbus Roman"/>
                <w:kern w:val="0"/>
                <w:sz w:val="24"/>
                <w:szCs w:val="24"/>
              </w:rPr>
            </w:pPr>
            <w:r>
              <w:rPr>
                <w:rFonts w:hint="default" w:ascii="Nimbus Roman" w:hAnsi="Nimbus Roman" w:eastAsia="仿宋_GB2312" w:cs="Nimbus Roman"/>
                <w:kern w:val="0"/>
                <w:sz w:val="24"/>
                <w:szCs w:val="24"/>
              </w:rPr>
              <w:t>4</w:t>
            </w:r>
          </w:p>
        </w:tc>
        <w:tc>
          <w:tcPr>
            <w:tcW w:w="1645" w:type="dxa"/>
            <w:tcBorders>
              <w:top w:val="nil"/>
              <w:left w:val="nil"/>
              <w:bottom w:val="single" w:color="auto" w:sz="4" w:space="0"/>
              <w:right w:val="single" w:color="auto" w:sz="4" w:space="0"/>
            </w:tcBorders>
            <w:shd w:val="clear" w:color="auto" w:fill="auto"/>
            <w:noWrap/>
            <w:vAlign w:val="center"/>
          </w:tcPr>
          <w:p w14:paraId="68F38470">
            <w:pPr>
              <w:widowControl/>
              <w:jc w:val="center"/>
              <w:rPr>
                <w:rFonts w:hint="default" w:ascii="Nimbus Roman" w:hAnsi="Nimbus Roman" w:eastAsia="仿宋_GB2312" w:cs="Nimbus Roman"/>
                <w:kern w:val="0"/>
                <w:sz w:val="24"/>
                <w:szCs w:val="24"/>
              </w:rPr>
            </w:pPr>
            <w:r>
              <w:rPr>
                <w:rFonts w:hint="default" w:ascii="Nimbus Roman" w:hAnsi="Nimbus Roman" w:eastAsia="仿宋_GB2312" w:cs="Nimbus Roman"/>
                <w:kern w:val="0"/>
                <w:sz w:val="24"/>
                <w:szCs w:val="24"/>
              </w:rPr>
              <w:t>5</w:t>
            </w:r>
          </w:p>
        </w:tc>
      </w:tr>
      <w:tr w14:paraId="1D32B528">
        <w:tblPrEx>
          <w:tblCellMar>
            <w:top w:w="0" w:type="dxa"/>
            <w:left w:w="108" w:type="dxa"/>
            <w:bottom w:w="0" w:type="dxa"/>
            <w:right w:w="108" w:type="dxa"/>
          </w:tblCellMar>
        </w:tblPrEx>
        <w:trPr>
          <w:trHeight w:val="5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8FFA51">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9BB5B4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5B9BE726">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eastAsia" w:ascii="Nimbus Roman" w:hAnsi="Nimbus Roman" w:eastAsia="仿宋_GB2312" w:cs="Nimbus Roman"/>
                <w:kern w:val="0"/>
                <w:sz w:val="22"/>
                <w:lang w:val="en-US" w:eastAsia="zh-CN"/>
              </w:rPr>
              <w:t>210.26</w:t>
            </w: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B0A823">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6B66B47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33</w:t>
            </w:r>
          </w:p>
        </w:tc>
        <w:tc>
          <w:tcPr>
            <w:tcW w:w="0" w:type="auto"/>
            <w:tcBorders>
              <w:top w:val="nil"/>
              <w:left w:val="nil"/>
              <w:bottom w:val="single" w:color="auto" w:sz="4" w:space="0"/>
              <w:right w:val="single" w:color="auto" w:sz="4" w:space="0"/>
            </w:tcBorders>
            <w:shd w:val="clear" w:color="auto" w:fill="auto"/>
            <w:noWrap/>
            <w:vAlign w:val="center"/>
          </w:tcPr>
          <w:p w14:paraId="67DB84DD">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38.14</w:t>
            </w:r>
          </w:p>
        </w:tc>
        <w:tc>
          <w:tcPr>
            <w:tcW w:w="0" w:type="auto"/>
            <w:tcBorders>
              <w:top w:val="nil"/>
              <w:left w:val="nil"/>
              <w:bottom w:val="single" w:color="auto" w:sz="4" w:space="0"/>
              <w:right w:val="single" w:color="auto" w:sz="4" w:space="0"/>
            </w:tcBorders>
            <w:shd w:val="clear" w:color="auto" w:fill="auto"/>
            <w:noWrap/>
            <w:vAlign w:val="center"/>
          </w:tcPr>
          <w:p w14:paraId="3D8072A7">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eastAsia" w:ascii="Nimbus Roman" w:hAnsi="Nimbus Roman" w:eastAsia="仿宋_GB2312" w:cs="Nimbus Roman"/>
                <w:kern w:val="0"/>
                <w:sz w:val="22"/>
                <w:lang w:val="en-US" w:eastAsia="zh-CN"/>
              </w:rPr>
              <w:t>38.14</w:t>
            </w:r>
            <w:r>
              <w:rPr>
                <w:rFonts w:hint="default" w:ascii="Nimbus Roman" w:hAnsi="Nimbus Roman" w:eastAsia="仿宋_GB2312" w:cs="Nimbus Roman"/>
                <w:kern w:val="0"/>
                <w:sz w:val="22"/>
              </w:rPr>
              <w:t>　</w:t>
            </w:r>
          </w:p>
        </w:tc>
        <w:tc>
          <w:tcPr>
            <w:tcW w:w="1663" w:type="dxa"/>
            <w:tcBorders>
              <w:top w:val="nil"/>
              <w:left w:val="nil"/>
              <w:bottom w:val="single" w:color="auto" w:sz="4" w:space="0"/>
              <w:right w:val="single" w:color="auto" w:sz="4" w:space="0"/>
            </w:tcBorders>
            <w:shd w:val="clear" w:color="auto" w:fill="auto"/>
            <w:noWrap/>
            <w:vAlign w:val="center"/>
          </w:tcPr>
          <w:p w14:paraId="15B4BFED">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45" w:type="dxa"/>
            <w:tcBorders>
              <w:top w:val="nil"/>
              <w:left w:val="nil"/>
              <w:bottom w:val="single" w:color="auto" w:sz="4" w:space="0"/>
              <w:right w:val="single" w:color="auto" w:sz="4" w:space="0"/>
            </w:tcBorders>
            <w:shd w:val="clear" w:color="auto" w:fill="auto"/>
            <w:noWrap/>
            <w:vAlign w:val="center"/>
          </w:tcPr>
          <w:p w14:paraId="1AF93844">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r>
      <w:tr w14:paraId="2A6E98A4">
        <w:tblPrEx>
          <w:tblCellMar>
            <w:top w:w="0" w:type="dxa"/>
            <w:left w:w="108" w:type="dxa"/>
            <w:bottom w:w="0" w:type="dxa"/>
            <w:right w:w="108" w:type="dxa"/>
          </w:tblCellMar>
        </w:tblPrEx>
        <w:trPr>
          <w:trHeight w:val="5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058F289">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55409E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5EFC1035">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1B692D">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4B079C8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34</w:t>
            </w:r>
          </w:p>
        </w:tc>
        <w:tc>
          <w:tcPr>
            <w:tcW w:w="0" w:type="auto"/>
            <w:tcBorders>
              <w:top w:val="nil"/>
              <w:left w:val="nil"/>
              <w:bottom w:val="single" w:color="auto" w:sz="4" w:space="0"/>
              <w:right w:val="single" w:color="auto" w:sz="4" w:space="0"/>
            </w:tcBorders>
            <w:shd w:val="clear" w:color="auto" w:fill="auto"/>
            <w:noWrap/>
            <w:vAlign w:val="center"/>
          </w:tcPr>
          <w:p w14:paraId="15A11A3F">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62EA41">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63" w:type="dxa"/>
            <w:tcBorders>
              <w:top w:val="nil"/>
              <w:left w:val="nil"/>
              <w:bottom w:val="single" w:color="auto" w:sz="4" w:space="0"/>
              <w:right w:val="single" w:color="auto" w:sz="4" w:space="0"/>
            </w:tcBorders>
            <w:shd w:val="clear" w:color="auto" w:fill="auto"/>
            <w:noWrap/>
            <w:vAlign w:val="center"/>
          </w:tcPr>
          <w:p w14:paraId="1E04027E">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45" w:type="dxa"/>
            <w:tcBorders>
              <w:top w:val="nil"/>
              <w:left w:val="nil"/>
              <w:bottom w:val="single" w:color="auto" w:sz="4" w:space="0"/>
              <w:right w:val="single" w:color="auto" w:sz="4" w:space="0"/>
            </w:tcBorders>
            <w:shd w:val="clear" w:color="auto" w:fill="auto"/>
            <w:noWrap/>
            <w:vAlign w:val="center"/>
          </w:tcPr>
          <w:p w14:paraId="4EC92812">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r>
      <w:tr w14:paraId="7064D0A1">
        <w:tblPrEx>
          <w:tblCellMar>
            <w:top w:w="0" w:type="dxa"/>
            <w:left w:w="108" w:type="dxa"/>
            <w:bottom w:w="0" w:type="dxa"/>
            <w:right w:w="108" w:type="dxa"/>
          </w:tblCellMar>
        </w:tblPrEx>
        <w:trPr>
          <w:trHeight w:val="5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7E24834">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E948D7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C87EC62">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D851F1">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5C4FBB7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35</w:t>
            </w:r>
          </w:p>
        </w:tc>
        <w:tc>
          <w:tcPr>
            <w:tcW w:w="0" w:type="auto"/>
            <w:tcBorders>
              <w:top w:val="nil"/>
              <w:left w:val="nil"/>
              <w:bottom w:val="single" w:color="auto" w:sz="4" w:space="0"/>
              <w:right w:val="single" w:color="auto" w:sz="4" w:space="0"/>
            </w:tcBorders>
            <w:shd w:val="clear" w:color="auto" w:fill="auto"/>
            <w:noWrap/>
            <w:vAlign w:val="center"/>
          </w:tcPr>
          <w:p w14:paraId="669B2A5D">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B95A7C">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63" w:type="dxa"/>
            <w:tcBorders>
              <w:top w:val="nil"/>
              <w:left w:val="nil"/>
              <w:bottom w:val="single" w:color="auto" w:sz="4" w:space="0"/>
              <w:right w:val="single" w:color="auto" w:sz="4" w:space="0"/>
            </w:tcBorders>
            <w:shd w:val="clear" w:color="auto" w:fill="auto"/>
            <w:noWrap/>
            <w:vAlign w:val="center"/>
          </w:tcPr>
          <w:p w14:paraId="29B2CC42">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45" w:type="dxa"/>
            <w:tcBorders>
              <w:top w:val="nil"/>
              <w:left w:val="nil"/>
              <w:bottom w:val="single" w:color="auto" w:sz="4" w:space="0"/>
              <w:right w:val="single" w:color="auto" w:sz="4" w:space="0"/>
            </w:tcBorders>
            <w:shd w:val="clear" w:color="auto" w:fill="auto"/>
            <w:noWrap/>
            <w:vAlign w:val="center"/>
          </w:tcPr>
          <w:p w14:paraId="65C7D82C">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r>
      <w:tr w14:paraId="09C503FC">
        <w:tblPrEx>
          <w:tblCellMar>
            <w:top w:w="0" w:type="dxa"/>
            <w:left w:w="108" w:type="dxa"/>
            <w:bottom w:w="0" w:type="dxa"/>
            <w:right w:w="108" w:type="dxa"/>
          </w:tblCellMar>
        </w:tblPrEx>
        <w:trPr>
          <w:trHeight w:val="5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08561C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C9685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433D5FC">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7F688E">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5DAFDB4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36</w:t>
            </w:r>
          </w:p>
        </w:tc>
        <w:tc>
          <w:tcPr>
            <w:tcW w:w="0" w:type="auto"/>
            <w:tcBorders>
              <w:top w:val="nil"/>
              <w:left w:val="nil"/>
              <w:bottom w:val="single" w:color="auto" w:sz="4" w:space="0"/>
              <w:right w:val="single" w:color="auto" w:sz="4" w:space="0"/>
            </w:tcBorders>
            <w:shd w:val="clear" w:color="auto" w:fill="auto"/>
            <w:noWrap/>
            <w:vAlign w:val="center"/>
          </w:tcPr>
          <w:p w14:paraId="7186853F">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B6B2F1">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63" w:type="dxa"/>
            <w:tcBorders>
              <w:top w:val="nil"/>
              <w:left w:val="nil"/>
              <w:bottom w:val="single" w:color="auto" w:sz="4" w:space="0"/>
              <w:right w:val="single" w:color="auto" w:sz="4" w:space="0"/>
            </w:tcBorders>
            <w:shd w:val="clear" w:color="auto" w:fill="auto"/>
            <w:noWrap/>
            <w:vAlign w:val="center"/>
          </w:tcPr>
          <w:p w14:paraId="3B502022">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45" w:type="dxa"/>
            <w:tcBorders>
              <w:top w:val="nil"/>
              <w:left w:val="nil"/>
              <w:bottom w:val="single" w:color="auto" w:sz="4" w:space="0"/>
              <w:right w:val="single" w:color="auto" w:sz="4" w:space="0"/>
            </w:tcBorders>
            <w:shd w:val="clear" w:color="auto" w:fill="auto"/>
            <w:noWrap/>
            <w:vAlign w:val="center"/>
          </w:tcPr>
          <w:p w14:paraId="45A68442">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r>
      <w:tr w14:paraId="5306802D">
        <w:tblPrEx>
          <w:tblCellMar>
            <w:top w:w="0" w:type="dxa"/>
            <w:left w:w="108" w:type="dxa"/>
            <w:bottom w:w="0" w:type="dxa"/>
            <w:right w:w="108" w:type="dxa"/>
          </w:tblCellMar>
        </w:tblPrEx>
        <w:trPr>
          <w:trHeight w:val="5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AAEF239">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66D98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7F840F58">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75513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D14CFA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37</w:t>
            </w:r>
          </w:p>
        </w:tc>
        <w:tc>
          <w:tcPr>
            <w:tcW w:w="0" w:type="auto"/>
            <w:tcBorders>
              <w:top w:val="nil"/>
              <w:left w:val="nil"/>
              <w:bottom w:val="single" w:color="auto" w:sz="4" w:space="0"/>
              <w:right w:val="single" w:color="auto" w:sz="4" w:space="0"/>
            </w:tcBorders>
            <w:shd w:val="clear" w:color="auto" w:fill="auto"/>
            <w:noWrap/>
            <w:vAlign w:val="center"/>
          </w:tcPr>
          <w:p w14:paraId="584FE7B4">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23FE10">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63" w:type="dxa"/>
            <w:tcBorders>
              <w:top w:val="nil"/>
              <w:left w:val="nil"/>
              <w:bottom w:val="single" w:color="auto" w:sz="4" w:space="0"/>
              <w:right w:val="single" w:color="auto" w:sz="4" w:space="0"/>
            </w:tcBorders>
            <w:shd w:val="clear" w:color="auto" w:fill="auto"/>
            <w:noWrap/>
            <w:vAlign w:val="center"/>
          </w:tcPr>
          <w:p w14:paraId="1D2499B2">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45" w:type="dxa"/>
            <w:tcBorders>
              <w:top w:val="nil"/>
              <w:left w:val="nil"/>
              <w:bottom w:val="single" w:color="auto" w:sz="4" w:space="0"/>
              <w:right w:val="single" w:color="auto" w:sz="4" w:space="0"/>
            </w:tcBorders>
            <w:shd w:val="clear" w:color="auto" w:fill="auto"/>
            <w:noWrap/>
            <w:vAlign w:val="center"/>
          </w:tcPr>
          <w:p w14:paraId="7F09C034">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r>
      <w:tr w14:paraId="4A4E012C">
        <w:tblPrEx>
          <w:tblCellMar>
            <w:top w:w="0" w:type="dxa"/>
            <w:left w:w="108" w:type="dxa"/>
            <w:bottom w:w="0" w:type="dxa"/>
            <w:right w:w="108" w:type="dxa"/>
          </w:tblCellMar>
        </w:tblPrEx>
        <w:trPr>
          <w:trHeight w:val="5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C32B697">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18983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019E930">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3C1A9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5CF5036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38</w:t>
            </w:r>
          </w:p>
        </w:tc>
        <w:tc>
          <w:tcPr>
            <w:tcW w:w="0" w:type="auto"/>
            <w:tcBorders>
              <w:top w:val="nil"/>
              <w:left w:val="nil"/>
              <w:bottom w:val="single" w:color="auto" w:sz="4" w:space="0"/>
              <w:right w:val="single" w:color="auto" w:sz="4" w:space="0"/>
            </w:tcBorders>
            <w:shd w:val="clear" w:color="auto" w:fill="auto"/>
            <w:noWrap/>
            <w:vAlign w:val="center"/>
          </w:tcPr>
          <w:p w14:paraId="32A35728">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00DF18">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63" w:type="dxa"/>
            <w:tcBorders>
              <w:top w:val="nil"/>
              <w:left w:val="nil"/>
              <w:bottom w:val="single" w:color="auto" w:sz="4" w:space="0"/>
              <w:right w:val="single" w:color="auto" w:sz="4" w:space="0"/>
            </w:tcBorders>
            <w:shd w:val="clear" w:color="auto" w:fill="auto"/>
            <w:noWrap/>
            <w:vAlign w:val="center"/>
          </w:tcPr>
          <w:p w14:paraId="73B28382">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45" w:type="dxa"/>
            <w:tcBorders>
              <w:top w:val="nil"/>
              <w:left w:val="nil"/>
              <w:bottom w:val="single" w:color="auto" w:sz="4" w:space="0"/>
              <w:right w:val="single" w:color="auto" w:sz="4" w:space="0"/>
            </w:tcBorders>
            <w:shd w:val="clear" w:color="auto" w:fill="auto"/>
            <w:noWrap/>
            <w:vAlign w:val="center"/>
          </w:tcPr>
          <w:p w14:paraId="4B491814">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r>
      <w:tr w14:paraId="18085382">
        <w:tblPrEx>
          <w:tblCellMar>
            <w:top w:w="0" w:type="dxa"/>
            <w:left w:w="108" w:type="dxa"/>
            <w:bottom w:w="0" w:type="dxa"/>
            <w:right w:w="108" w:type="dxa"/>
          </w:tblCellMar>
        </w:tblPrEx>
        <w:trPr>
          <w:trHeight w:val="5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DB8B516">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A44787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7</w:t>
            </w:r>
          </w:p>
        </w:tc>
        <w:tc>
          <w:tcPr>
            <w:tcW w:w="0" w:type="auto"/>
            <w:tcBorders>
              <w:top w:val="nil"/>
              <w:left w:val="nil"/>
              <w:bottom w:val="single" w:color="auto" w:sz="4" w:space="0"/>
              <w:right w:val="single" w:color="auto" w:sz="4" w:space="0"/>
            </w:tcBorders>
            <w:shd w:val="clear" w:color="auto" w:fill="auto"/>
            <w:noWrap/>
            <w:vAlign w:val="center"/>
          </w:tcPr>
          <w:p w14:paraId="08E61BD2">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3A3D2E1">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5966A5F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39</w:t>
            </w:r>
          </w:p>
        </w:tc>
        <w:tc>
          <w:tcPr>
            <w:tcW w:w="0" w:type="auto"/>
            <w:tcBorders>
              <w:top w:val="nil"/>
              <w:left w:val="nil"/>
              <w:bottom w:val="single" w:color="auto" w:sz="4" w:space="0"/>
              <w:right w:val="single" w:color="auto" w:sz="4" w:space="0"/>
            </w:tcBorders>
            <w:shd w:val="clear" w:color="auto" w:fill="auto"/>
            <w:noWrap/>
            <w:vAlign w:val="center"/>
          </w:tcPr>
          <w:p w14:paraId="55F2CC0F">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7046854">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63" w:type="dxa"/>
            <w:tcBorders>
              <w:top w:val="nil"/>
              <w:left w:val="nil"/>
              <w:bottom w:val="single" w:color="auto" w:sz="4" w:space="0"/>
              <w:right w:val="single" w:color="auto" w:sz="4" w:space="0"/>
            </w:tcBorders>
            <w:shd w:val="clear" w:color="auto" w:fill="auto"/>
            <w:noWrap/>
            <w:vAlign w:val="center"/>
          </w:tcPr>
          <w:p w14:paraId="30BB7989">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nil"/>
              <w:left w:val="nil"/>
              <w:bottom w:val="single" w:color="auto" w:sz="4" w:space="0"/>
              <w:right w:val="single" w:color="auto" w:sz="4" w:space="0"/>
            </w:tcBorders>
            <w:shd w:val="clear" w:color="auto" w:fill="auto"/>
            <w:noWrap/>
            <w:vAlign w:val="center"/>
          </w:tcPr>
          <w:p w14:paraId="3F8A183E">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1F5279B6">
        <w:tblPrEx>
          <w:tblCellMar>
            <w:top w:w="0" w:type="dxa"/>
            <w:left w:w="108" w:type="dxa"/>
            <w:bottom w:w="0" w:type="dxa"/>
            <w:right w:w="108" w:type="dxa"/>
          </w:tblCellMar>
        </w:tblPrEx>
        <w:trPr>
          <w:trHeight w:val="57"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699643">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170BD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9AE995">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615302">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374754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7D5A44">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107.86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8B29C8">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107.86</w:t>
            </w:r>
          </w:p>
        </w:tc>
        <w:tc>
          <w:tcPr>
            <w:tcW w:w="16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1F7E30">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47DBF1">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7A9EBFCD">
        <w:tblPrEx>
          <w:tblCellMar>
            <w:top w:w="0" w:type="dxa"/>
            <w:left w:w="108" w:type="dxa"/>
            <w:bottom w:w="0" w:type="dxa"/>
            <w:right w:w="108" w:type="dxa"/>
          </w:tblCellMar>
        </w:tblPrEx>
        <w:trPr>
          <w:trHeight w:val="57"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5FC0E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C61366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9</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00EFC0DB">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012BE8BD">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481B329B">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41</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724F93F2">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7.26</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44438CE0">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7.26</w:t>
            </w:r>
          </w:p>
        </w:tc>
        <w:tc>
          <w:tcPr>
            <w:tcW w:w="1663" w:type="dxa"/>
            <w:tcBorders>
              <w:top w:val="single" w:color="auto" w:sz="4" w:space="0"/>
              <w:left w:val="nil"/>
              <w:bottom w:val="single" w:color="auto" w:sz="4" w:space="0"/>
              <w:right w:val="single" w:color="auto" w:sz="4" w:space="0"/>
            </w:tcBorders>
            <w:shd w:val="clear" w:color="auto" w:fill="auto"/>
            <w:noWrap/>
            <w:vAlign w:val="center"/>
          </w:tcPr>
          <w:p w14:paraId="70206C19">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single" w:color="auto" w:sz="4" w:space="0"/>
              <w:left w:val="nil"/>
              <w:bottom w:val="single" w:color="auto" w:sz="4" w:space="0"/>
              <w:right w:val="single" w:color="auto" w:sz="4" w:space="0"/>
            </w:tcBorders>
            <w:shd w:val="clear" w:color="auto" w:fill="auto"/>
            <w:noWrap/>
            <w:vAlign w:val="center"/>
          </w:tcPr>
          <w:p w14:paraId="665BB5FB">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153E542E">
        <w:tblPrEx>
          <w:tblCellMar>
            <w:top w:w="0" w:type="dxa"/>
            <w:left w:w="108" w:type="dxa"/>
            <w:bottom w:w="0" w:type="dxa"/>
            <w:right w:w="108" w:type="dxa"/>
          </w:tblCellMar>
        </w:tblPrEx>
        <w:trPr>
          <w:trHeight w:val="5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E3D047D">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B7AF31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10</w:t>
            </w:r>
          </w:p>
        </w:tc>
        <w:tc>
          <w:tcPr>
            <w:tcW w:w="0" w:type="auto"/>
            <w:tcBorders>
              <w:top w:val="nil"/>
              <w:left w:val="nil"/>
              <w:bottom w:val="single" w:color="auto" w:sz="4" w:space="0"/>
              <w:right w:val="single" w:color="auto" w:sz="4" w:space="0"/>
            </w:tcBorders>
            <w:shd w:val="clear" w:color="auto" w:fill="auto"/>
            <w:noWrap/>
            <w:vAlign w:val="center"/>
          </w:tcPr>
          <w:p w14:paraId="7F470A77">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B70E2F3">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十、节能环保支出</w:t>
            </w:r>
          </w:p>
        </w:tc>
        <w:tc>
          <w:tcPr>
            <w:tcW w:w="0" w:type="auto"/>
            <w:tcBorders>
              <w:top w:val="nil"/>
              <w:left w:val="nil"/>
              <w:bottom w:val="single" w:color="auto" w:sz="4" w:space="0"/>
              <w:right w:val="single" w:color="auto" w:sz="4" w:space="0"/>
            </w:tcBorders>
            <w:shd w:val="clear" w:color="auto" w:fill="auto"/>
            <w:noWrap/>
            <w:vAlign w:val="center"/>
          </w:tcPr>
          <w:p w14:paraId="1054BE7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42</w:t>
            </w:r>
          </w:p>
        </w:tc>
        <w:tc>
          <w:tcPr>
            <w:tcW w:w="0" w:type="auto"/>
            <w:tcBorders>
              <w:top w:val="nil"/>
              <w:left w:val="nil"/>
              <w:bottom w:val="single" w:color="auto" w:sz="4" w:space="0"/>
              <w:right w:val="single" w:color="auto" w:sz="4" w:space="0"/>
            </w:tcBorders>
            <w:shd w:val="clear" w:color="auto" w:fill="auto"/>
            <w:noWrap/>
            <w:vAlign w:val="center"/>
          </w:tcPr>
          <w:p w14:paraId="1D47CCA1">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230359A">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63" w:type="dxa"/>
            <w:tcBorders>
              <w:top w:val="nil"/>
              <w:left w:val="nil"/>
              <w:bottom w:val="single" w:color="auto" w:sz="4" w:space="0"/>
              <w:right w:val="single" w:color="auto" w:sz="4" w:space="0"/>
            </w:tcBorders>
            <w:shd w:val="clear" w:color="auto" w:fill="auto"/>
            <w:noWrap/>
            <w:vAlign w:val="center"/>
          </w:tcPr>
          <w:p w14:paraId="6C987672">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nil"/>
              <w:left w:val="nil"/>
              <w:bottom w:val="single" w:color="auto" w:sz="4" w:space="0"/>
              <w:right w:val="single" w:color="auto" w:sz="4" w:space="0"/>
            </w:tcBorders>
            <w:shd w:val="clear" w:color="auto" w:fill="auto"/>
            <w:noWrap/>
            <w:vAlign w:val="center"/>
          </w:tcPr>
          <w:p w14:paraId="03EFF884">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53AEDCAA">
        <w:tblPrEx>
          <w:tblCellMar>
            <w:top w:w="0" w:type="dxa"/>
            <w:left w:w="108" w:type="dxa"/>
            <w:bottom w:w="0" w:type="dxa"/>
            <w:right w:w="108" w:type="dxa"/>
          </w:tblCellMar>
        </w:tblPrEx>
        <w:trPr>
          <w:trHeight w:val="5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1C5C8B3">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4C45E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11</w:t>
            </w:r>
          </w:p>
        </w:tc>
        <w:tc>
          <w:tcPr>
            <w:tcW w:w="0" w:type="auto"/>
            <w:tcBorders>
              <w:top w:val="nil"/>
              <w:left w:val="nil"/>
              <w:bottom w:val="single" w:color="auto" w:sz="4" w:space="0"/>
              <w:right w:val="single" w:color="auto" w:sz="4" w:space="0"/>
            </w:tcBorders>
            <w:shd w:val="clear" w:color="auto" w:fill="auto"/>
            <w:noWrap/>
            <w:vAlign w:val="center"/>
          </w:tcPr>
          <w:p w14:paraId="19819485">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7FFE48">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14:paraId="72FA1F9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43</w:t>
            </w:r>
          </w:p>
        </w:tc>
        <w:tc>
          <w:tcPr>
            <w:tcW w:w="0" w:type="auto"/>
            <w:tcBorders>
              <w:top w:val="nil"/>
              <w:left w:val="nil"/>
              <w:bottom w:val="single" w:color="auto" w:sz="4" w:space="0"/>
              <w:right w:val="single" w:color="auto" w:sz="4" w:space="0"/>
            </w:tcBorders>
            <w:shd w:val="clear" w:color="auto" w:fill="auto"/>
            <w:noWrap/>
            <w:vAlign w:val="center"/>
          </w:tcPr>
          <w:p w14:paraId="6988BFA4">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eastAsia" w:ascii="Nimbus Roman" w:hAnsi="Nimbus Roman" w:eastAsia="仿宋_GB2312" w:cs="Nimbus Roman"/>
                <w:kern w:val="0"/>
                <w:sz w:val="22"/>
                <w:lang w:val="en-US" w:eastAsia="zh-CN"/>
              </w:rPr>
              <w:t>57.00</w:t>
            </w: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F0BE64">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eastAsia" w:ascii="Nimbus Roman" w:hAnsi="Nimbus Roman" w:eastAsia="仿宋_GB2312" w:cs="Nimbus Roman"/>
                <w:kern w:val="0"/>
                <w:sz w:val="22"/>
                <w:lang w:val="en-US" w:eastAsia="zh-CN"/>
              </w:rPr>
              <w:t>57.00</w:t>
            </w:r>
            <w:r>
              <w:rPr>
                <w:rFonts w:hint="default" w:ascii="Nimbus Roman" w:hAnsi="Nimbus Roman" w:eastAsia="仿宋_GB2312" w:cs="Nimbus Roman"/>
                <w:kern w:val="0"/>
                <w:sz w:val="22"/>
              </w:rPr>
              <w:t>　</w:t>
            </w:r>
          </w:p>
        </w:tc>
        <w:tc>
          <w:tcPr>
            <w:tcW w:w="1663" w:type="dxa"/>
            <w:tcBorders>
              <w:top w:val="nil"/>
              <w:left w:val="nil"/>
              <w:bottom w:val="single" w:color="auto" w:sz="4" w:space="0"/>
              <w:right w:val="single" w:color="auto" w:sz="4" w:space="0"/>
            </w:tcBorders>
            <w:shd w:val="clear" w:color="auto" w:fill="auto"/>
            <w:noWrap/>
            <w:vAlign w:val="center"/>
          </w:tcPr>
          <w:p w14:paraId="77ECF485">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45" w:type="dxa"/>
            <w:tcBorders>
              <w:top w:val="nil"/>
              <w:left w:val="nil"/>
              <w:bottom w:val="single" w:color="auto" w:sz="4" w:space="0"/>
              <w:right w:val="single" w:color="auto" w:sz="4" w:space="0"/>
            </w:tcBorders>
            <w:shd w:val="clear" w:color="auto" w:fill="auto"/>
            <w:noWrap/>
            <w:vAlign w:val="center"/>
          </w:tcPr>
          <w:p w14:paraId="25230690">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r>
      <w:tr w14:paraId="02AC89DF">
        <w:tblPrEx>
          <w:tblCellMar>
            <w:top w:w="0" w:type="dxa"/>
            <w:left w:w="108" w:type="dxa"/>
            <w:bottom w:w="0" w:type="dxa"/>
            <w:right w:w="108" w:type="dxa"/>
          </w:tblCellMar>
        </w:tblPrEx>
        <w:trPr>
          <w:trHeight w:val="5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E2E3A2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F4C80E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12</w:t>
            </w:r>
          </w:p>
        </w:tc>
        <w:tc>
          <w:tcPr>
            <w:tcW w:w="0" w:type="auto"/>
            <w:tcBorders>
              <w:top w:val="nil"/>
              <w:left w:val="nil"/>
              <w:bottom w:val="single" w:color="auto" w:sz="4" w:space="0"/>
              <w:right w:val="single" w:color="auto" w:sz="4" w:space="0"/>
            </w:tcBorders>
            <w:shd w:val="clear" w:color="auto" w:fill="auto"/>
            <w:noWrap/>
            <w:vAlign w:val="center"/>
          </w:tcPr>
          <w:p w14:paraId="307F4A26">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E51092">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十二、农林水支出</w:t>
            </w:r>
          </w:p>
        </w:tc>
        <w:tc>
          <w:tcPr>
            <w:tcW w:w="0" w:type="auto"/>
            <w:tcBorders>
              <w:top w:val="nil"/>
              <w:left w:val="nil"/>
              <w:bottom w:val="single" w:color="auto" w:sz="4" w:space="0"/>
              <w:right w:val="single" w:color="auto" w:sz="4" w:space="0"/>
            </w:tcBorders>
            <w:shd w:val="clear" w:color="auto" w:fill="auto"/>
            <w:noWrap/>
            <w:vAlign w:val="center"/>
          </w:tcPr>
          <w:p w14:paraId="27B3939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44</w:t>
            </w:r>
          </w:p>
        </w:tc>
        <w:tc>
          <w:tcPr>
            <w:tcW w:w="0" w:type="auto"/>
            <w:tcBorders>
              <w:top w:val="nil"/>
              <w:left w:val="nil"/>
              <w:bottom w:val="single" w:color="auto" w:sz="4" w:space="0"/>
              <w:right w:val="single" w:color="auto" w:sz="4" w:space="0"/>
            </w:tcBorders>
            <w:shd w:val="clear" w:color="auto" w:fill="auto"/>
            <w:noWrap/>
            <w:vAlign w:val="center"/>
          </w:tcPr>
          <w:p w14:paraId="14A32486">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601E6D">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63" w:type="dxa"/>
            <w:tcBorders>
              <w:top w:val="nil"/>
              <w:left w:val="nil"/>
              <w:bottom w:val="single" w:color="auto" w:sz="4" w:space="0"/>
              <w:right w:val="single" w:color="auto" w:sz="4" w:space="0"/>
            </w:tcBorders>
            <w:shd w:val="clear" w:color="auto" w:fill="auto"/>
            <w:noWrap/>
            <w:vAlign w:val="center"/>
          </w:tcPr>
          <w:p w14:paraId="4CA6628C">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45" w:type="dxa"/>
            <w:tcBorders>
              <w:top w:val="nil"/>
              <w:left w:val="nil"/>
              <w:bottom w:val="single" w:color="auto" w:sz="4" w:space="0"/>
              <w:right w:val="single" w:color="auto" w:sz="4" w:space="0"/>
            </w:tcBorders>
            <w:shd w:val="clear" w:color="auto" w:fill="auto"/>
            <w:noWrap/>
            <w:vAlign w:val="center"/>
          </w:tcPr>
          <w:p w14:paraId="09FD8DDD">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r>
      <w:tr w14:paraId="13C9608A">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93C7244">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BE29B1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default" w:ascii="Nimbus Roman" w:hAnsi="Nimbus Roman" w:eastAsia="仿宋_GB2312" w:cs="Nimbus Roman"/>
                <w:kern w:val="0"/>
                <w:sz w:val="22"/>
                <w:lang w:val="en-US" w:eastAsia="zh-CN"/>
              </w:rPr>
              <w:t>13</w:t>
            </w:r>
          </w:p>
        </w:tc>
        <w:tc>
          <w:tcPr>
            <w:tcW w:w="0" w:type="auto"/>
            <w:tcBorders>
              <w:top w:val="nil"/>
              <w:left w:val="nil"/>
              <w:bottom w:val="single" w:color="auto" w:sz="4" w:space="0"/>
              <w:right w:val="single" w:color="auto" w:sz="4" w:space="0"/>
            </w:tcBorders>
            <w:shd w:val="clear" w:color="auto" w:fill="auto"/>
            <w:noWrap/>
            <w:vAlign w:val="center"/>
          </w:tcPr>
          <w:p w14:paraId="503E2BB6">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4806A37">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十三、交通运输支出</w:t>
            </w:r>
          </w:p>
        </w:tc>
        <w:tc>
          <w:tcPr>
            <w:tcW w:w="0" w:type="auto"/>
            <w:tcBorders>
              <w:top w:val="nil"/>
              <w:left w:val="nil"/>
              <w:bottom w:val="single" w:color="auto" w:sz="4" w:space="0"/>
              <w:right w:val="single" w:color="auto" w:sz="4" w:space="0"/>
            </w:tcBorders>
            <w:shd w:val="clear" w:color="auto" w:fill="auto"/>
            <w:noWrap/>
            <w:vAlign w:val="center"/>
          </w:tcPr>
          <w:p w14:paraId="0CAE8B6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45</w:t>
            </w:r>
          </w:p>
        </w:tc>
        <w:tc>
          <w:tcPr>
            <w:tcW w:w="0" w:type="auto"/>
            <w:tcBorders>
              <w:top w:val="nil"/>
              <w:left w:val="nil"/>
              <w:bottom w:val="single" w:color="auto" w:sz="4" w:space="0"/>
              <w:right w:val="single" w:color="auto" w:sz="4" w:space="0"/>
            </w:tcBorders>
            <w:shd w:val="clear" w:color="auto" w:fill="auto"/>
            <w:noWrap/>
            <w:vAlign w:val="center"/>
          </w:tcPr>
          <w:p w14:paraId="67FCE369">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801A895">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63" w:type="dxa"/>
            <w:tcBorders>
              <w:top w:val="nil"/>
              <w:left w:val="nil"/>
              <w:bottom w:val="single" w:color="auto" w:sz="4" w:space="0"/>
              <w:right w:val="single" w:color="auto" w:sz="4" w:space="0"/>
            </w:tcBorders>
            <w:shd w:val="clear" w:color="auto" w:fill="auto"/>
            <w:noWrap/>
            <w:vAlign w:val="center"/>
          </w:tcPr>
          <w:p w14:paraId="5CE413B3">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nil"/>
              <w:left w:val="nil"/>
              <w:bottom w:val="single" w:color="auto" w:sz="4" w:space="0"/>
              <w:right w:val="single" w:color="auto" w:sz="4" w:space="0"/>
            </w:tcBorders>
            <w:shd w:val="clear" w:color="auto" w:fill="auto"/>
            <w:noWrap/>
            <w:vAlign w:val="center"/>
          </w:tcPr>
          <w:p w14:paraId="143FB2C0">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103D7502">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A7CFF99">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4C9F32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default" w:ascii="Nimbus Roman" w:hAnsi="Nimbus Roman" w:eastAsia="仿宋_GB2312" w:cs="Nimbus Roman"/>
                <w:kern w:val="0"/>
                <w:sz w:val="22"/>
                <w:lang w:val="en-US" w:eastAsia="zh-CN"/>
              </w:rPr>
              <w:t>14</w:t>
            </w:r>
          </w:p>
        </w:tc>
        <w:tc>
          <w:tcPr>
            <w:tcW w:w="0" w:type="auto"/>
            <w:tcBorders>
              <w:top w:val="nil"/>
              <w:left w:val="nil"/>
              <w:bottom w:val="single" w:color="auto" w:sz="4" w:space="0"/>
              <w:right w:val="single" w:color="auto" w:sz="4" w:space="0"/>
            </w:tcBorders>
            <w:shd w:val="clear" w:color="auto" w:fill="auto"/>
            <w:noWrap/>
            <w:vAlign w:val="center"/>
          </w:tcPr>
          <w:p w14:paraId="7397A3DE">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4595EE7">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十四、资源勘探工业信息等支出</w:t>
            </w:r>
          </w:p>
        </w:tc>
        <w:tc>
          <w:tcPr>
            <w:tcW w:w="0" w:type="auto"/>
            <w:tcBorders>
              <w:top w:val="nil"/>
              <w:left w:val="nil"/>
              <w:bottom w:val="single" w:color="auto" w:sz="4" w:space="0"/>
              <w:right w:val="single" w:color="auto" w:sz="4" w:space="0"/>
            </w:tcBorders>
            <w:shd w:val="clear" w:color="auto" w:fill="auto"/>
            <w:noWrap/>
            <w:vAlign w:val="center"/>
          </w:tcPr>
          <w:p w14:paraId="3581972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46</w:t>
            </w:r>
          </w:p>
        </w:tc>
        <w:tc>
          <w:tcPr>
            <w:tcW w:w="0" w:type="auto"/>
            <w:tcBorders>
              <w:top w:val="nil"/>
              <w:left w:val="nil"/>
              <w:bottom w:val="single" w:color="auto" w:sz="4" w:space="0"/>
              <w:right w:val="single" w:color="auto" w:sz="4" w:space="0"/>
            </w:tcBorders>
            <w:shd w:val="clear" w:color="auto" w:fill="auto"/>
            <w:noWrap/>
            <w:vAlign w:val="center"/>
          </w:tcPr>
          <w:p w14:paraId="72914C91">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0BD03A6">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63" w:type="dxa"/>
            <w:tcBorders>
              <w:top w:val="nil"/>
              <w:left w:val="nil"/>
              <w:bottom w:val="single" w:color="auto" w:sz="4" w:space="0"/>
              <w:right w:val="single" w:color="auto" w:sz="4" w:space="0"/>
            </w:tcBorders>
            <w:shd w:val="clear" w:color="auto" w:fill="auto"/>
            <w:noWrap/>
            <w:vAlign w:val="center"/>
          </w:tcPr>
          <w:p w14:paraId="741F6D19">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nil"/>
              <w:left w:val="nil"/>
              <w:bottom w:val="single" w:color="auto" w:sz="4" w:space="0"/>
              <w:right w:val="single" w:color="auto" w:sz="4" w:space="0"/>
            </w:tcBorders>
            <w:shd w:val="clear" w:color="auto" w:fill="auto"/>
            <w:noWrap/>
            <w:vAlign w:val="center"/>
          </w:tcPr>
          <w:p w14:paraId="5211EAF3">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48596DE9">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A24867">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176514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default" w:ascii="Nimbus Roman" w:hAnsi="Nimbus Roman" w:eastAsia="仿宋_GB2312" w:cs="Nimbus Roman"/>
                <w:kern w:val="0"/>
                <w:sz w:val="22"/>
                <w:lang w:val="en-US" w:eastAsia="zh-CN"/>
              </w:rPr>
              <w:t>15</w:t>
            </w:r>
          </w:p>
        </w:tc>
        <w:tc>
          <w:tcPr>
            <w:tcW w:w="0" w:type="auto"/>
            <w:tcBorders>
              <w:top w:val="nil"/>
              <w:left w:val="nil"/>
              <w:bottom w:val="single" w:color="auto" w:sz="4" w:space="0"/>
              <w:right w:val="single" w:color="auto" w:sz="4" w:space="0"/>
            </w:tcBorders>
            <w:shd w:val="clear" w:color="auto" w:fill="auto"/>
            <w:noWrap/>
            <w:vAlign w:val="center"/>
          </w:tcPr>
          <w:p w14:paraId="65883FF9">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2B0D791">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十五、商业服务业等支出</w:t>
            </w:r>
          </w:p>
        </w:tc>
        <w:tc>
          <w:tcPr>
            <w:tcW w:w="0" w:type="auto"/>
            <w:tcBorders>
              <w:top w:val="nil"/>
              <w:left w:val="nil"/>
              <w:bottom w:val="single" w:color="auto" w:sz="4" w:space="0"/>
              <w:right w:val="single" w:color="auto" w:sz="4" w:space="0"/>
            </w:tcBorders>
            <w:shd w:val="clear" w:color="auto" w:fill="auto"/>
            <w:noWrap/>
            <w:vAlign w:val="center"/>
          </w:tcPr>
          <w:p w14:paraId="3A4D971B">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47</w:t>
            </w:r>
          </w:p>
        </w:tc>
        <w:tc>
          <w:tcPr>
            <w:tcW w:w="0" w:type="auto"/>
            <w:tcBorders>
              <w:top w:val="nil"/>
              <w:left w:val="nil"/>
              <w:bottom w:val="single" w:color="auto" w:sz="4" w:space="0"/>
              <w:right w:val="single" w:color="auto" w:sz="4" w:space="0"/>
            </w:tcBorders>
            <w:shd w:val="clear" w:color="auto" w:fill="auto"/>
            <w:noWrap/>
            <w:vAlign w:val="center"/>
          </w:tcPr>
          <w:p w14:paraId="282004AB">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97D8F6B">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63" w:type="dxa"/>
            <w:tcBorders>
              <w:top w:val="nil"/>
              <w:left w:val="nil"/>
              <w:bottom w:val="single" w:color="auto" w:sz="4" w:space="0"/>
              <w:right w:val="single" w:color="auto" w:sz="4" w:space="0"/>
            </w:tcBorders>
            <w:shd w:val="clear" w:color="auto" w:fill="auto"/>
            <w:noWrap/>
            <w:vAlign w:val="center"/>
          </w:tcPr>
          <w:p w14:paraId="719AA50C">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nil"/>
              <w:left w:val="nil"/>
              <w:bottom w:val="single" w:color="auto" w:sz="4" w:space="0"/>
              <w:right w:val="single" w:color="auto" w:sz="4" w:space="0"/>
            </w:tcBorders>
            <w:shd w:val="clear" w:color="auto" w:fill="auto"/>
            <w:noWrap/>
            <w:vAlign w:val="center"/>
          </w:tcPr>
          <w:p w14:paraId="505C6F86">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5EF1D9EB">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F383527">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5F93C4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default" w:ascii="Nimbus Roman" w:hAnsi="Nimbus Roman" w:eastAsia="仿宋_GB2312" w:cs="Nimbus Roman"/>
                <w:kern w:val="0"/>
                <w:sz w:val="22"/>
                <w:lang w:val="en-US" w:eastAsia="zh-CN"/>
              </w:rPr>
              <w:t>16</w:t>
            </w:r>
          </w:p>
        </w:tc>
        <w:tc>
          <w:tcPr>
            <w:tcW w:w="0" w:type="auto"/>
            <w:tcBorders>
              <w:top w:val="nil"/>
              <w:left w:val="nil"/>
              <w:bottom w:val="single" w:color="auto" w:sz="4" w:space="0"/>
              <w:right w:val="single" w:color="auto" w:sz="4" w:space="0"/>
            </w:tcBorders>
            <w:shd w:val="clear" w:color="auto" w:fill="auto"/>
            <w:noWrap/>
            <w:vAlign w:val="center"/>
          </w:tcPr>
          <w:p w14:paraId="1FAC2998">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B9A235E">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十六、金融支出</w:t>
            </w:r>
          </w:p>
        </w:tc>
        <w:tc>
          <w:tcPr>
            <w:tcW w:w="0" w:type="auto"/>
            <w:tcBorders>
              <w:top w:val="nil"/>
              <w:left w:val="nil"/>
              <w:bottom w:val="single" w:color="auto" w:sz="4" w:space="0"/>
              <w:right w:val="single" w:color="auto" w:sz="4" w:space="0"/>
            </w:tcBorders>
            <w:shd w:val="clear" w:color="auto" w:fill="auto"/>
            <w:noWrap/>
            <w:vAlign w:val="center"/>
          </w:tcPr>
          <w:p w14:paraId="3A4617FB">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48</w:t>
            </w:r>
          </w:p>
        </w:tc>
        <w:tc>
          <w:tcPr>
            <w:tcW w:w="0" w:type="auto"/>
            <w:tcBorders>
              <w:top w:val="nil"/>
              <w:left w:val="nil"/>
              <w:bottom w:val="single" w:color="auto" w:sz="4" w:space="0"/>
              <w:right w:val="single" w:color="auto" w:sz="4" w:space="0"/>
            </w:tcBorders>
            <w:shd w:val="clear" w:color="auto" w:fill="auto"/>
            <w:noWrap/>
            <w:vAlign w:val="center"/>
          </w:tcPr>
          <w:p w14:paraId="6904F30D">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7FC2CD0">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63" w:type="dxa"/>
            <w:tcBorders>
              <w:top w:val="nil"/>
              <w:left w:val="nil"/>
              <w:bottom w:val="single" w:color="auto" w:sz="4" w:space="0"/>
              <w:right w:val="single" w:color="auto" w:sz="4" w:space="0"/>
            </w:tcBorders>
            <w:shd w:val="clear" w:color="auto" w:fill="auto"/>
            <w:noWrap/>
            <w:vAlign w:val="center"/>
          </w:tcPr>
          <w:p w14:paraId="3BD6107B">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nil"/>
              <w:left w:val="nil"/>
              <w:bottom w:val="single" w:color="auto" w:sz="4" w:space="0"/>
              <w:right w:val="single" w:color="auto" w:sz="4" w:space="0"/>
            </w:tcBorders>
            <w:shd w:val="clear" w:color="auto" w:fill="auto"/>
            <w:noWrap/>
            <w:vAlign w:val="center"/>
          </w:tcPr>
          <w:p w14:paraId="2D7B3C5D">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6A68FB47">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66A7D5">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BE9F35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default" w:ascii="Nimbus Roman" w:hAnsi="Nimbus Roman" w:eastAsia="仿宋_GB2312" w:cs="Nimbus Roman"/>
                <w:kern w:val="0"/>
                <w:sz w:val="22"/>
                <w:lang w:val="en-US" w:eastAsia="zh-CN"/>
              </w:rPr>
              <w:t>17</w:t>
            </w:r>
          </w:p>
        </w:tc>
        <w:tc>
          <w:tcPr>
            <w:tcW w:w="0" w:type="auto"/>
            <w:tcBorders>
              <w:top w:val="nil"/>
              <w:left w:val="nil"/>
              <w:bottom w:val="single" w:color="auto" w:sz="4" w:space="0"/>
              <w:right w:val="single" w:color="auto" w:sz="4" w:space="0"/>
            </w:tcBorders>
            <w:shd w:val="clear" w:color="auto" w:fill="auto"/>
            <w:noWrap/>
            <w:vAlign w:val="center"/>
          </w:tcPr>
          <w:p w14:paraId="599F5650">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78CD3AA">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十七、援助其他地区支出</w:t>
            </w:r>
          </w:p>
        </w:tc>
        <w:tc>
          <w:tcPr>
            <w:tcW w:w="0" w:type="auto"/>
            <w:tcBorders>
              <w:top w:val="nil"/>
              <w:left w:val="nil"/>
              <w:bottom w:val="single" w:color="auto" w:sz="4" w:space="0"/>
              <w:right w:val="single" w:color="auto" w:sz="4" w:space="0"/>
            </w:tcBorders>
            <w:shd w:val="clear" w:color="auto" w:fill="auto"/>
            <w:noWrap/>
            <w:vAlign w:val="center"/>
          </w:tcPr>
          <w:p w14:paraId="38979D3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49</w:t>
            </w:r>
          </w:p>
        </w:tc>
        <w:tc>
          <w:tcPr>
            <w:tcW w:w="0" w:type="auto"/>
            <w:tcBorders>
              <w:top w:val="nil"/>
              <w:left w:val="nil"/>
              <w:bottom w:val="single" w:color="auto" w:sz="4" w:space="0"/>
              <w:right w:val="single" w:color="auto" w:sz="4" w:space="0"/>
            </w:tcBorders>
            <w:shd w:val="clear" w:color="auto" w:fill="auto"/>
            <w:noWrap/>
            <w:vAlign w:val="center"/>
          </w:tcPr>
          <w:p w14:paraId="50A4FBFB">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00FD0F8">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63" w:type="dxa"/>
            <w:tcBorders>
              <w:top w:val="nil"/>
              <w:left w:val="nil"/>
              <w:bottom w:val="single" w:color="auto" w:sz="4" w:space="0"/>
              <w:right w:val="single" w:color="auto" w:sz="4" w:space="0"/>
            </w:tcBorders>
            <w:shd w:val="clear" w:color="auto" w:fill="auto"/>
            <w:noWrap/>
            <w:vAlign w:val="center"/>
          </w:tcPr>
          <w:p w14:paraId="56B807D0">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nil"/>
              <w:left w:val="nil"/>
              <w:bottom w:val="single" w:color="auto" w:sz="4" w:space="0"/>
              <w:right w:val="single" w:color="auto" w:sz="4" w:space="0"/>
            </w:tcBorders>
            <w:shd w:val="clear" w:color="auto" w:fill="auto"/>
            <w:noWrap/>
            <w:vAlign w:val="center"/>
          </w:tcPr>
          <w:p w14:paraId="71F88ACE">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1144FDDE">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6CA1722">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D251D7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default" w:ascii="Nimbus Roman" w:hAnsi="Nimbus Roman" w:eastAsia="仿宋_GB2312" w:cs="Nimbus Roman"/>
                <w:kern w:val="0"/>
                <w:sz w:val="22"/>
                <w:lang w:val="en-US" w:eastAsia="zh-CN"/>
              </w:rPr>
              <w:t>18</w:t>
            </w:r>
          </w:p>
        </w:tc>
        <w:tc>
          <w:tcPr>
            <w:tcW w:w="0" w:type="auto"/>
            <w:tcBorders>
              <w:top w:val="nil"/>
              <w:left w:val="nil"/>
              <w:bottom w:val="single" w:color="auto" w:sz="4" w:space="0"/>
              <w:right w:val="single" w:color="auto" w:sz="4" w:space="0"/>
            </w:tcBorders>
            <w:shd w:val="clear" w:color="auto" w:fill="auto"/>
            <w:noWrap/>
            <w:vAlign w:val="center"/>
          </w:tcPr>
          <w:p w14:paraId="6E84B77C">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10F3B7D">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十八、自然资源海洋气象等支出</w:t>
            </w:r>
          </w:p>
        </w:tc>
        <w:tc>
          <w:tcPr>
            <w:tcW w:w="0" w:type="auto"/>
            <w:tcBorders>
              <w:top w:val="nil"/>
              <w:left w:val="nil"/>
              <w:bottom w:val="single" w:color="auto" w:sz="4" w:space="0"/>
              <w:right w:val="single" w:color="auto" w:sz="4" w:space="0"/>
            </w:tcBorders>
            <w:shd w:val="clear" w:color="auto" w:fill="auto"/>
            <w:noWrap/>
            <w:vAlign w:val="center"/>
          </w:tcPr>
          <w:p w14:paraId="3B3C316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50</w:t>
            </w:r>
          </w:p>
        </w:tc>
        <w:tc>
          <w:tcPr>
            <w:tcW w:w="0" w:type="auto"/>
            <w:tcBorders>
              <w:top w:val="nil"/>
              <w:left w:val="nil"/>
              <w:bottom w:val="single" w:color="auto" w:sz="4" w:space="0"/>
              <w:right w:val="single" w:color="auto" w:sz="4" w:space="0"/>
            </w:tcBorders>
            <w:shd w:val="clear" w:color="auto" w:fill="auto"/>
            <w:noWrap/>
            <w:vAlign w:val="center"/>
          </w:tcPr>
          <w:p w14:paraId="0C1C9492">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AB487F2">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63" w:type="dxa"/>
            <w:tcBorders>
              <w:top w:val="nil"/>
              <w:left w:val="nil"/>
              <w:bottom w:val="single" w:color="auto" w:sz="4" w:space="0"/>
              <w:right w:val="single" w:color="auto" w:sz="4" w:space="0"/>
            </w:tcBorders>
            <w:shd w:val="clear" w:color="auto" w:fill="auto"/>
            <w:noWrap/>
            <w:vAlign w:val="center"/>
          </w:tcPr>
          <w:p w14:paraId="775AB0D1">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nil"/>
              <w:left w:val="nil"/>
              <w:bottom w:val="single" w:color="auto" w:sz="4" w:space="0"/>
              <w:right w:val="single" w:color="auto" w:sz="4" w:space="0"/>
            </w:tcBorders>
            <w:shd w:val="clear" w:color="auto" w:fill="auto"/>
            <w:noWrap/>
            <w:vAlign w:val="center"/>
          </w:tcPr>
          <w:p w14:paraId="74B55C49">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251DD8BF">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578ED19">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614288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default" w:ascii="Nimbus Roman" w:hAnsi="Nimbus Roman" w:eastAsia="仿宋_GB2312" w:cs="Nimbus Roman"/>
                <w:kern w:val="0"/>
                <w:sz w:val="22"/>
                <w:lang w:val="en-US" w:eastAsia="zh-CN"/>
              </w:rPr>
              <w:t>19</w:t>
            </w:r>
          </w:p>
        </w:tc>
        <w:tc>
          <w:tcPr>
            <w:tcW w:w="0" w:type="auto"/>
            <w:tcBorders>
              <w:top w:val="nil"/>
              <w:left w:val="nil"/>
              <w:bottom w:val="single" w:color="auto" w:sz="4" w:space="0"/>
              <w:right w:val="single" w:color="auto" w:sz="4" w:space="0"/>
            </w:tcBorders>
            <w:shd w:val="clear" w:color="auto" w:fill="auto"/>
            <w:noWrap/>
            <w:vAlign w:val="center"/>
          </w:tcPr>
          <w:p w14:paraId="6BA97850">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FBA9775">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14:paraId="32E27C89">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51</w:t>
            </w:r>
          </w:p>
        </w:tc>
        <w:tc>
          <w:tcPr>
            <w:tcW w:w="0" w:type="auto"/>
            <w:tcBorders>
              <w:top w:val="nil"/>
              <w:left w:val="nil"/>
              <w:bottom w:val="single" w:color="auto" w:sz="4" w:space="0"/>
              <w:right w:val="single" w:color="auto" w:sz="4" w:space="0"/>
            </w:tcBorders>
            <w:shd w:val="clear" w:color="auto" w:fill="auto"/>
            <w:noWrap/>
            <w:vAlign w:val="center"/>
          </w:tcPr>
          <w:p w14:paraId="60804D7D">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260419D">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63" w:type="dxa"/>
            <w:tcBorders>
              <w:top w:val="nil"/>
              <w:left w:val="nil"/>
              <w:bottom w:val="single" w:color="auto" w:sz="4" w:space="0"/>
              <w:right w:val="single" w:color="auto" w:sz="4" w:space="0"/>
            </w:tcBorders>
            <w:shd w:val="clear" w:color="auto" w:fill="auto"/>
            <w:noWrap/>
            <w:vAlign w:val="center"/>
          </w:tcPr>
          <w:p w14:paraId="3856C001">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nil"/>
              <w:left w:val="nil"/>
              <w:bottom w:val="single" w:color="auto" w:sz="4" w:space="0"/>
              <w:right w:val="single" w:color="auto" w:sz="4" w:space="0"/>
            </w:tcBorders>
            <w:shd w:val="clear" w:color="auto" w:fill="auto"/>
            <w:noWrap/>
            <w:vAlign w:val="center"/>
          </w:tcPr>
          <w:p w14:paraId="4A335546">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4DCE9FC6">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F800851">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DA2F3A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default" w:ascii="Nimbus Roman" w:hAnsi="Nimbus Roman" w:eastAsia="仿宋_GB2312" w:cs="Nimbus Roman"/>
                <w:kern w:val="0"/>
                <w:sz w:val="22"/>
                <w:lang w:val="en-US" w:eastAsia="zh-CN"/>
              </w:rPr>
              <w:t>20</w:t>
            </w:r>
          </w:p>
        </w:tc>
        <w:tc>
          <w:tcPr>
            <w:tcW w:w="0" w:type="auto"/>
            <w:tcBorders>
              <w:top w:val="nil"/>
              <w:left w:val="nil"/>
              <w:bottom w:val="single" w:color="auto" w:sz="4" w:space="0"/>
              <w:right w:val="single" w:color="auto" w:sz="4" w:space="0"/>
            </w:tcBorders>
            <w:shd w:val="clear" w:color="auto" w:fill="auto"/>
            <w:noWrap/>
            <w:vAlign w:val="center"/>
          </w:tcPr>
          <w:p w14:paraId="2B5A1D67">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37980BD">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二十、粮油物资储备支出</w:t>
            </w:r>
          </w:p>
        </w:tc>
        <w:tc>
          <w:tcPr>
            <w:tcW w:w="0" w:type="auto"/>
            <w:tcBorders>
              <w:top w:val="nil"/>
              <w:left w:val="nil"/>
              <w:bottom w:val="single" w:color="auto" w:sz="4" w:space="0"/>
              <w:right w:val="single" w:color="auto" w:sz="4" w:space="0"/>
            </w:tcBorders>
            <w:shd w:val="clear" w:color="auto" w:fill="auto"/>
            <w:noWrap/>
            <w:vAlign w:val="center"/>
          </w:tcPr>
          <w:p w14:paraId="33C7C9C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52</w:t>
            </w:r>
          </w:p>
        </w:tc>
        <w:tc>
          <w:tcPr>
            <w:tcW w:w="0" w:type="auto"/>
            <w:tcBorders>
              <w:top w:val="nil"/>
              <w:left w:val="nil"/>
              <w:bottom w:val="single" w:color="auto" w:sz="4" w:space="0"/>
              <w:right w:val="single" w:color="auto" w:sz="4" w:space="0"/>
            </w:tcBorders>
            <w:shd w:val="clear" w:color="auto" w:fill="auto"/>
            <w:noWrap/>
            <w:vAlign w:val="center"/>
          </w:tcPr>
          <w:p w14:paraId="460EF63F">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59F0033">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63" w:type="dxa"/>
            <w:tcBorders>
              <w:top w:val="nil"/>
              <w:left w:val="nil"/>
              <w:bottom w:val="single" w:color="auto" w:sz="4" w:space="0"/>
              <w:right w:val="single" w:color="auto" w:sz="4" w:space="0"/>
            </w:tcBorders>
            <w:shd w:val="clear" w:color="auto" w:fill="auto"/>
            <w:noWrap/>
            <w:vAlign w:val="center"/>
          </w:tcPr>
          <w:p w14:paraId="725491AB">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nil"/>
              <w:left w:val="nil"/>
              <w:bottom w:val="single" w:color="auto" w:sz="4" w:space="0"/>
              <w:right w:val="single" w:color="auto" w:sz="4" w:space="0"/>
            </w:tcBorders>
            <w:shd w:val="clear" w:color="auto" w:fill="auto"/>
            <w:noWrap/>
            <w:vAlign w:val="center"/>
          </w:tcPr>
          <w:p w14:paraId="6F3E7DBC">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6273928C">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6589D78">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DF79A6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default" w:ascii="Nimbus Roman" w:hAnsi="Nimbus Roman" w:eastAsia="仿宋_GB2312" w:cs="Nimbus Roman"/>
                <w:kern w:val="0"/>
                <w:sz w:val="22"/>
                <w:lang w:val="en-US" w:eastAsia="zh-CN"/>
              </w:rPr>
              <w:t>21</w:t>
            </w:r>
          </w:p>
        </w:tc>
        <w:tc>
          <w:tcPr>
            <w:tcW w:w="0" w:type="auto"/>
            <w:tcBorders>
              <w:top w:val="nil"/>
              <w:left w:val="nil"/>
              <w:bottom w:val="single" w:color="auto" w:sz="4" w:space="0"/>
              <w:right w:val="single" w:color="auto" w:sz="4" w:space="0"/>
            </w:tcBorders>
            <w:shd w:val="clear" w:color="auto" w:fill="auto"/>
            <w:noWrap/>
            <w:vAlign w:val="center"/>
          </w:tcPr>
          <w:p w14:paraId="2213A91E">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4260D9A">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二十一、国有资本经营预算支出</w:t>
            </w:r>
          </w:p>
        </w:tc>
        <w:tc>
          <w:tcPr>
            <w:tcW w:w="0" w:type="auto"/>
            <w:tcBorders>
              <w:top w:val="nil"/>
              <w:left w:val="nil"/>
              <w:bottom w:val="single" w:color="auto" w:sz="4" w:space="0"/>
              <w:right w:val="single" w:color="auto" w:sz="4" w:space="0"/>
            </w:tcBorders>
            <w:shd w:val="clear" w:color="auto" w:fill="auto"/>
            <w:noWrap/>
            <w:vAlign w:val="center"/>
          </w:tcPr>
          <w:p w14:paraId="52B5A2F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53</w:t>
            </w:r>
          </w:p>
        </w:tc>
        <w:tc>
          <w:tcPr>
            <w:tcW w:w="0" w:type="auto"/>
            <w:tcBorders>
              <w:top w:val="nil"/>
              <w:left w:val="nil"/>
              <w:bottom w:val="single" w:color="auto" w:sz="4" w:space="0"/>
              <w:right w:val="single" w:color="auto" w:sz="4" w:space="0"/>
            </w:tcBorders>
            <w:shd w:val="clear" w:color="auto" w:fill="auto"/>
            <w:noWrap/>
            <w:vAlign w:val="center"/>
          </w:tcPr>
          <w:p w14:paraId="717E8591">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6744DF9">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63" w:type="dxa"/>
            <w:tcBorders>
              <w:top w:val="nil"/>
              <w:left w:val="nil"/>
              <w:bottom w:val="single" w:color="auto" w:sz="4" w:space="0"/>
              <w:right w:val="single" w:color="auto" w:sz="4" w:space="0"/>
            </w:tcBorders>
            <w:shd w:val="clear" w:color="auto" w:fill="auto"/>
            <w:noWrap/>
            <w:vAlign w:val="center"/>
          </w:tcPr>
          <w:p w14:paraId="4ACAF635">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nil"/>
              <w:left w:val="nil"/>
              <w:bottom w:val="single" w:color="auto" w:sz="4" w:space="0"/>
              <w:right w:val="single" w:color="auto" w:sz="4" w:space="0"/>
            </w:tcBorders>
            <w:shd w:val="clear" w:color="auto" w:fill="auto"/>
            <w:noWrap/>
            <w:vAlign w:val="center"/>
          </w:tcPr>
          <w:p w14:paraId="26308A3B">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327A7137">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5DCF92">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FB791A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default" w:ascii="Nimbus Roman" w:hAnsi="Nimbus Roman" w:eastAsia="仿宋_GB2312" w:cs="Nimbus Roman"/>
                <w:kern w:val="0"/>
                <w:sz w:val="22"/>
                <w:lang w:val="en-US" w:eastAsia="zh-CN"/>
              </w:rPr>
              <w:t>22</w:t>
            </w:r>
          </w:p>
        </w:tc>
        <w:tc>
          <w:tcPr>
            <w:tcW w:w="0" w:type="auto"/>
            <w:tcBorders>
              <w:top w:val="nil"/>
              <w:left w:val="nil"/>
              <w:bottom w:val="single" w:color="auto" w:sz="4" w:space="0"/>
              <w:right w:val="single" w:color="auto" w:sz="4" w:space="0"/>
            </w:tcBorders>
            <w:shd w:val="clear" w:color="auto" w:fill="auto"/>
            <w:noWrap/>
            <w:vAlign w:val="center"/>
          </w:tcPr>
          <w:p w14:paraId="1D3B5E0B">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3A0FBC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二十二、灾害防治及应急管理支出</w:t>
            </w:r>
          </w:p>
        </w:tc>
        <w:tc>
          <w:tcPr>
            <w:tcW w:w="0" w:type="auto"/>
            <w:tcBorders>
              <w:top w:val="nil"/>
              <w:left w:val="nil"/>
              <w:bottom w:val="single" w:color="auto" w:sz="4" w:space="0"/>
              <w:right w:val="single" w:color="auto" w:sz="4" w:space="0"/>
            </w:tcBorders>
            <w:shd w:val="clear" w:color="auto" w:fill="auto"/>
            <w:noWrap/>
            <w:vAlign w:val="center"/>
          </w:tcPr>
          <w:p w14:paraId="0D4F13E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54</w:t>
            </w:r>
          </w:p>
        </w:tc>
        <w:tc>
          <w:tcPr>
            <w:tcW w:w="0" w:type="auto"/>
            <w:tcBorders>
              <w:top w:val="nil"/>
              <w:left w:val="nil"/>
              <w:bottom w:val="single" w:color="auto" w:sz="4" w:space="0"/>
              <w:right w:val="single" w:color="auto" w:sz="4" w:space="0"/>
            </w:tcBorders>
            <w:shd w:val="clear" w:color="auto" w:fill="auto"/>
            <w:noWrap/>
            <w:vAlign w:val="center"/>
          </w:tcPr>
          <w:p w14:paraId="18D184AE">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772646A">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63" w:type="dxa"/>
            <w:tcBorders>
              <w:top w:val="nil"/>
              <w:left w:val="nil"/>
              <w:bottom w:val="single" w:color="auto" w:sz="4" w:space="0"/>
              <w:right w:val="single" w:color="auto" w:sz="4" w:space="0"/>
            </w:tcBorders>
            <w:shd w:val="clear" w:color="auto" w:fill="auto"/>
            <w:noWrap/>
            <w:vAlign w:val="center"/>
          </w:tcPr>
          <w:p w14:paraId="23D1D539">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nil"/>
              <w:left w:val="nil"/>
              <w:bottom w:val="single" w:color="auto" w:sz="4" w:space="0"/>
              <w:right w:val="single" w:color="auto" w:sz="4" w:space="0"/>
            </w:tcBorders>
            <w:shd w:val="clear" w:color="auto" w:fill="auto"/>
            <w:noWrap/>
            <w:vAlign w:val="center"/>
          </w:tcPr>
          <w:p w14:paraId="35D72202">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63A9041C">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70136CE">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686629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default" w:ascii="Nimbus Roman" w:hAnsi="Nimbus Roman" w:eastAsia="仿宋_GB2312" w:cs="Nimbus Roman"/>
                <w:kern w:val="0"/>
                <w:sz w:val="22"/>
                <w:lang w:val="en-US" w:eastAsia="zh-CN"/>
              </w:rPr>
              <w:t>23</w:t>
            </w:r>
          </w:p>
        </w:tc>
        <w:tc>
          <w:tcPr>
            <w:tcW w:w="0" w:type="auto"/>
            <w:tcBorders>
              <w:top w:val="nil"/>
              <w:left w:val="nil"/>
              <w:bottom w:val="single" w:color="auto" w:sz="4" w:space="0"/>
              <w:right w:val="single" w:color="auto" w:sz="4" w:space="0"/>
            </w:tcBorders>
            <w:shd w:val="clear" w:color="auto" w:fill="auto"/>
            <w:noWrap/>
            <w:vAlign w:val="center"/>
          </w:tcPr>
          <w:p w14:paraId="039AEB5A">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0EECED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二十三、其他支出</w:t>
            </w:r>
          </w:p>
        </w:tc>
        <w:tc>
          <w:tcPr>
            <w:tcW w:w="0" w:type="auto"/>
            <w:tcBorders>
              <w:top w:val="nil"/>
              <w:left w:val="nil"/>
              <w:bottom w:val="single" w:color="auto" w:sz="4" w:space="0"/>
              <w:right w:val="single" w:color="auto" w:sz="4" w:space="0"/>
            </w:tcBorders>
            <w:shd w:val="clear" w:color="auto" w:fill="auto"/>
            <w:noWrap/>
            <w:vAlign w:val="center"/>
          </w:tcPr>
          <w:p w14:paraId="6253E52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55</w:t>
            </w:r>
          </w:p>
        </w:tc>
        <w:tc>
          <w:tcPr>
            <w:tcW w:w="0" w:type="auto"/>
            <w:tcBorders>
              <w:top w:val="nil"/>
              <w:left w:val="nil"/>
              <w:bottom w:val="single" w:color="auto" w:sz="4" w:space="0"/>
              <w:right w:val="single" w:color="auto" w:sz="4" w:space="0"/>
            </w:tcBorders>
            <w:shd w:val="clear" w:color="auto" w:fill="auto"/>
            <w:noWrap/>
            <w:vAlign w:val="center"/>
          </w:tcPr>
          <w:p w14:paraId="4C97A5E1">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FBC55AC">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63" w:type="dxa"/>
            <w:tcBorders>
              <w:top w:val="nil"/>
              <w:left w:val="nil"/>
              <w:bottom w:val="single" w:color="auto" w:sz="4" w:space="0"/>
              <w:right w:val="single" w:color="auto" w:sz="4" w:space="0"/>
            </w:tcBorders>
            <w:shd w:val="clear" w:color="auto" w:fill="auto"/>
            <w:noWrap/>
            <w:vAlign w:val="center"/>
          </w:tcPr>
          <w:p w14:paraId="469C7321">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nil"/>
              <w:left w:val="nil"/>
              <w:bottom w:val="single" w:color="auto" w:sz="4" w:space="0"/>
              <w:right w:val="single" w:color="auto" w:sz="4" w:space="0"/>
            </w:tcBorders>
            <w:shd w:val="clear" w:color="auto" w:fill="auto"/>
            <w:noWrap/>
            <w:vAlign w:val="center"/>
          </w:tcPr>
          <w:p w14:paraId="7BA48EBD">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5B0CD140">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5C2811A">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0E4FEF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default" w:ascii="Nimbus Roman" w:hAnsi="Nimbus Roman" w:eastAsia="仿宋_GB2312" w:cs="Nimbus Roman"/>
                <w:kern w:val="0"/>
                <w:sz w:val="22"/>
                <w:lang w:val="en-US" w:eastAsia="zh-CN"/>
              </w:rPr>
              <w:t>24</w:t>
            </w:r>
          </w:p>
        </w:tc>
        <w:tc>
          <w:tcPr>
            <w:tcW w:w="0" w:type="auto"/>
            <w:tcBorders>
              <w:top w:val="nil"/>
              <w:left w:val="nil"/>
              <w:bottom w:val="single" w:color="auto" w:sz="4" w:space="0"/>
              <w:right w:val="single" w:color="auto" w:sz="4" w:space="0"/>
            </w:tcBorders>
            <w:shd w:val="clear" w:color="auto" w:fill="auto"/>
            <w:noWrap/>
            <w:vAlign w:val="center"/>
          </w:tcPr>
          <w:p w14:paraId="2FB0EE84">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C641A67">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二十四、债务还本支出</w:t>
            </w:r>
          </w:p>
        </w:tc>
        <w:tc>
          <w:tcPr>
            <w:tcW w:w="0" w:type="auto"/>
            <w:tcBorders>
              <w:top w:val="nil"/>
              <w:left w:val="nil"/>
              <w:bottom w:val="single" w:color="auto" w:sz="4" w:space="0"/>
              <w:right w:val="single" w:color="auto" w:sz="4" w:space="0"/>
            </w:tcBorders>
            <w:shd w:val="clear" w:color="auto" w:fill="auto"/>
            <w:noWrap/>
            <w:vAlign w:val="center"/>
          </w:tcPr>
          <w:p w14:paraId="28AB86A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56</w:t>
            </w:r>
          </w:p>
        </w:tc>
        <w:tc>
          <w:tcPr>
            <w:tcW w:w="0" w:type="auto"/>
            <w:tcBorders>
              <w:top w:val="nil"/>
              <w:left w:val="nil"/>
              <w:bottom w:val="single" w:color="auto" w:sz="4" w:space="0"/>
              <w:right w:val="single" w:color="auto" w:sz="4" w:space="0"/>
            </w:tcBorders>
            <w:shd w:val="clear" w:color="auto" w:fill="auto"/>
            <w:noWrap/>
            <w:vAlign w:val="center"/>
          </w:tcPr>
          <w:p w14:paraId="776FC350">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C3B0C34">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63" w:type="dxa"/>
            <w:tcBorders>
              <w:top w:val="nil"/>
              <w:left w:val="nil"/>
              <w:bottom w:val="single" w:color="auto" w:sz="4" w:space="0"/>
              <w:right w:val="single" w:color="auto" w:sz="4" w:space="0"/>
            </w:tcBorders>
            <w:shd w:val="clear" w:color="auto" w:fill="auto"/>
            <w:noWrap/>
            <w:vAlign w:val="center"/>
          </w:tcPr>
          <w:p w14:paraId="2DDD9B2A">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nil"/>
              <w:left w:val="nil"/>
              <w:bottom w:val="single" w:color="auto" w:sz="4" w:space="0"/>
              <w:right w:val="single" w:color="auto" w:sz="4" w:space="0"/>
            </w:tcBorders>
            <w:shd w:val="clear" w:color="auto" w:fill="auto"/>
            <w:noWrap/>
            <w:vAlign w:val="center"/>
          </w:tcPr>
          <w:p w14:paraId="78F8FAE0">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066B07CD">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F01F782">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36A4A2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default" w:ascii="Nimbus Roman" w:hAnsi="Nimbus Roman" w:eastAsia="仿宋_GB2312" w:cs="Nimbus Roman"/>
                <w:kern w:val="0"/>
                <w:sz w:val="22"/>
                <w:lang w:val="en-US" w:eastAsia="zh-CN"/>
              </w:rPr>
              <w:t>25</w:t>
            </w:r>
          </w:p>
        </w:tc>
        <w:tc>
          <w:tcPr>
            <w:tcW w:w="0" w:type="auto"/>
            <w:tcBorders>
              <w:top w:val="nil"/>
              <w:left w:val="nil"/>
              <w:bottom w:val="single" w:color="auto" w:sz="4" w:space="0"/>
              <w:right w:val="single" w:color="auto" w:sz="4" w:space="0"/>
            </w:tcBorders>
            <w:shd w:val="clear" w:color="auto" w:fill="auto"/>
            <w:noWrap/>
            <w:vAlign w:val="center"/>
          </w:tcPr>
          <w:p w14:paraId="74D88E2F">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5B8825E">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二十五、债务付息支出</w:t>
            </w:r>
          </w:p>
        </w:tc>
        <w:tc>
          <w:tcPr>
            <w:tcW w:w="0" w:type="auto"/>
            <w:tcBorders>
              <w:top w:val="nil"/>
              <w:left w:val="nil"/>
              <w:bottom w:val="single" w:color="auto" w:sz="4" w:space="0"/>
              <w:right w:val="single" w:color="auto" w:sz="4" w:space="0"/>
            </w:tcBorders>
            <w:shd w:val="clear" w:color="auto" w:fill="auto"/>
            <w:noWrap/>
            <w:vAlign w:val="center"/>
          </w:tcPr>
          <w:p w14:paraId="604B1F8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57</w:t>
            </w:r>
          </w:p>
        </w:tc>
        <w:tc>
          <w:tcPr>
            <w:tcW w:w="0" w:type="auto"/>
            <w:tcBorders>
              <w:top w:val="nil"/>
              <w:left w:val="nil"/>
              <w:bottom w:val="single" w:color="auto" w:sz="4" w:space="0"/>
              <w:right w:val="single" w:color="auto" w:sz="4" w:space="0"/>
            </w:tcBorders>
            <w:shd w:val="clear" w:color="auto" w:fill="auto"/>
            <w:noWrap/>
            <w:vAlign w:val="center"/>
          </w:tcPr>
          <w:p w14:paraId="0DABF7FC">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133EDCC">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63" w:type="dxa"/>
            <w:tcBorders>
              <w:top w:val="nil"/>
              <w:left w:val="nil"/>
              <w:bottom w:val="single" w:color="auto" w:sz="4" w:space="0"/>
              <w:right w:val="single" w:color="auto" w:sz="4" w:space="0"/>
            </w:tcBorders>
            <w:shd w:val="clear" w:color="auto" w:fill="auto"/>
            <w:noWrap/>
            <w:vAlign w:val="center"/>
          </w:tcPr>
          <w:p w14:paraId="7F626324">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nil"/>
              <w:left w:val="nil"/>
              <w:bottom w:val="single" w:color="auto" w:sz="4" w:space="0"/>
              <w:right w:val="single" w:color="auto" w:sz="4" w:space="0"/>
            </w:tcBorders>
            <w:shd w:val="clear" w:color="auto" w:fill="auto"/>
            <w:noWrap/>
            <w:vAlign w:val="center"/>
          </w:tcPr>
          <w:p w14:paraId="69EBEB96">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1775E22B">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8FC6E1">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AF469C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default" w:ascii="Nimbus Roman" w:hAnsi="Nimbus Roman" w:eastAsia="仿宋_GB2312" w:cs="Nimbus Roman"/>
                <w:kern w:val="0"/>
                <w:sz w:val="22"/>
                <w:lang w:val="en-US" w:eastAsia="zh-CN"/>
              </w:rPr>
              <w:t>26</w:t>
            </w:r>
          </w:p>
        </w:tc>
        <w:tc>
          <w:tcPr>
            <w:tcW w:w="0" w:type="auto"/>
            <w:tcBorders>
              <w:top w:val="nil"/>
              <w:left w:val="nil"/>
              <w:bottom w:val="single" w:color="auto" w:sz="4" w:space="0"/>
              <w:right w:val="single" w:color="auto" w:sz="4" w:space="0"/>
            </w:tcBorders>
            <w:shd w:val="clear" w:color="auto" w:fill="auto"/>
            <w:noWrap/>
            <w:vAlign w:val="center"/>
          </w:tcPr>
          <w:p w14:paraId="06CF8820">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153328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二十六、抗疫特别国债安排的支出</w:t>
            </w:r>
          </w:p>
        </w:tc>
        <w:tc>
          <w:tcPr>
            <w:tcW w:w="0" w:type="auto"/>
            <w:tcBorders>
              <w:top w:val="nil"/>
              <w:left w:val="nil"/>
              <w:bottom w:val="single" w:color="auto" w:sz="4" w:space="0"/>
              <w:right w:val="single" w:color="auto" w:sz="4" w:space="0"/>
            </w:tcBorders>
            <w:shd w:val="clear" w:color="auto" w:fill="auto"/>
            <w:noWrap/>
            <w:vAlign w:val="center"/>
          </w:tcPr>
          <w:p w14:paraId="6B367D8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58</w:t>
            </w:r>
          </w:p>
        </w:tc>
        <w:tc>
          <w:tcPr>
            <w:tcW w:w="0" w:type="auto"/>
            <w:tcBorders>
              <w:top w:val="nil"/>
              <w:left w:val="nil"/>
              <w:bottom w:val="single" w:color="auto" w:sz="4" w:space="0"/>
              <w:right w:val="single" w:color="auto" w:sz="4" w:space="0"/>
            </w:tcBorders>
            <w:shd w:val="clear" w:color="auto" w:fill="auto"/>
            <w:noWrap/>
            <w:vAlign w:val="center"/>
          </w:tcPr>
          <w:p w14:paraId="58588905">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068C038">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63" w:type="dxa"/>
            <w:tcBorders>
              <w:top w:val="nil"/>
              <w:left w:val="nil"/>
              <w:bottom w:val="single" w:color="auto" w:sz="4" w:space="0"/>
              <w:right w:val="single" w:color="auto" w:sz="4" w:space="0"/>
            </w:tcBorders>
            <w:shd w:val="clear" w:color="auto" w:fill="auto"/>
            <w:noWrap/>
            <w:vAlign w:val="center"/>
          </w:tcPr>
          <w:p w14:paraId="2CF232B0">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c>
          <w:tcPr>
            <w:tcW w:w="1645" w:type="dxa"/>
            <w:tcBorders>
              <w:top w:val="nil"/>
              <w:left w:val="nil"/>
              <w:bottom w:val="single" w:color="auto" w:sz="4" w:space="0"/>
              <w:right w:val="single" w:color="auto" w:sz="4" w:space="0"/>
            </w:tcBorders>
            <w:shd w:val="clear" w:color="auto" w:fill="auto"/>
            <w:noWrap/>
            <w:vAlign w:val="center"/>
          </w:tcPr>
          <w:p w14:paraId="216B1B99">
            <w:pPr>
              <w:keepNext w:val="0"/>
              <w:keepLines w:val="0"/>
              <w:pageBreakBefore w:val="0"/>
              <w:widowControl/>
              <w:kinsoku/>
              <w:wordWrap/>
              <w:overflowPunct/>
              <w:topLinePunct w:val="0"/>
              <w:autoSpaceDE/>
              <w:autoSpaceDN/>
              <w:bidi w:val="0"/>
              <w:adjustRightInd/>
              <w:snapToGrid/>
              <w:spacing w:line="500" w:lineRule="exact"/>
              <w:jc w:val="right"/>
              <w:textAlignment w:val="auto"/>
              <w:rPr>
                <w:rFonts w:hint="default" w:ascii="Nimbus Roman" w:hAnsi="Nimbus Roman" w:eastAsia="仿宋_GB2312" w:cs="Nimbus Roman"/>
                <w:kern w:val="0"/>
                <w:sz w:val="22"/>
              </w:rPr>
            </w:pPr>
          </w:p>
        </w:tc>
      </w:tr>
      <w:tr w14:paraId="6F8A22B3">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2EFFBA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7BAF4911">
            <w:pPr>
              <w:widowControl/>
              <w:jc w:val="center"/>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27</w:t>
            </w:r>
          </w:p>
        </w:tc>
        <w:tc>
          <w:tcPr>
            <w:tcW w:w="0" w:type="auto"/>
            <w:tcBorders>
              <w:top w:val="nil"/>
              <w:left w:val="nil"/>
              <w:bottom w:val="single" w:color="auto" w:sz="4" w:space="0"/>
              <w:right w:val="single" w:color="auto" w:sz="4" w:space="0"/>
            </w:tcBorders>
            <w:shd w:val="clear" w:color="auto" w:fill="auto"/>
            <w:noWrap/>
            <w:vAlign w:val="center"/>
          </w:tcPr>
          <w:p w14:paraId="76162150">
            <w:pPr>
              <w:widowControl/>
              <w:jc w:val="right"/>
              <w:rPr>
                <w:rFonts w:hint="default" w:ascii="Nimbus Roman" w:hAnsi="Nimbus Roman" w:eastAsia="仿宋_GB2312" w:cs="Nimbus Roman"/>
                <w:kern w:val="0"/>
                <w:sz w:val="22"/>
              </w:rPr>
            </w:pPr>
            <w:r>
              <w:rPr>
                <w:rFonts w:hint="eastAsia" w:ascii="Nimbus Roman" w:hAnsi="Nimbus Roman" w:eastAsia="仿宋_GB2312" w:cs="Nimbus Roman"/>
                <w:kern w:val="0"/>
                <w:sz w:val="22"/>
                <w:lang w:val="en-US" w:eastAsia="zh-CN"/>
              </w:rPr>
              <w:t>210.26</w:t>
            </w: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47609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382C3D36">
            <w:pPr>
              <w:widowControl/>
              <w:jc w:val="center"/>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59</w:t>
            </w:r>
          </w:p>
        </w:tc>
        <w:tc>
          <w:tcPr>
            <w:tcW w:w="0" w:type="auto"/>
            <w:tcBorders>
              <w:top w:val="nil"/>
              <w:left w:val="nil"/>
              <w:bottom w:val="single" w:color="auto" w:sz="4" w:space="0"/>
              <w:right w:val="single" w:color="auto" w:sz="4" w:space="0"/>
            </w:tcBorders>
            <w:shd w:val="clear" w:color="auto" w:fill="auto"/>
            <w:noWrap/>
            <w:vAlign w:val="center"/>
          </w:tcPr>
          <w:p w14:paraId="16F43770">
            <w:pPr>
              <w:widowControl/>
              <w:jc w:val="right"/>
              <w:rPr>
                <w:rFonts w:hint="default" w:ascii="Nimbus Roman" w:hAnsi="Nimbus Roman" w:eastAsia="仿宋_GB2312" w:cs="Nimbus Roman"/>
                <w:kern w:val="0"/>
                <w:sz w:val="22"/>
              </w:rPr>
            </w:pPr>
            <w:r>
              <w:rPr>
                <w:rFonts w:hint="eastAsia" w:ascii="Nimbus Roman" w:hAnsi="Nimbus Roman" w:eastAsia="仿宋_GB2312" w:cs="Nimbus Roman"/>
                <w:kern w:val="0"/>
                <w:sz w:val="22"/>
                <w:lang w:val="en-US" w:eastAsia="zh-CN"/>
              </w:rPr>
              <w:t>210.26</w:t>
            </w: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51EBAC">
            <w:pPr>
              <w:widowControl/>
              <w:jc w:val="right"/>
              <w:rPr>
                <w:rFonts w:hint="default" w:ascii="Nimbus Roman" w:hAnsi="Nimbus Roman" w:eastAsia="仿宋_GB2312" w:cs="Nimbus Roman"/>
                <w:kern w:val="0"/>
                <w:sz w:val="22"/>
              </w:rPr>
            </w:pPr>
            <w:r>
              <w:rPr>
                <w:rFonts w:hint="eastAsia" w:ascii="Nimbus Roman" w:hAnsi="Nimbus Roman" w:eastAsia="仿宋_GB2312" w:cs="Nimbus Roman"/>
                <w:kern w:val="0"/>
                <w:sz w:val="22"/>
                <w:lang w:val="en-US" w:eastAsia="zh-CN"/>
              </w:rPr>
              <w:t>210.26</w:t>
            </w:r>
            <w:r>
              <w:rPr>
                <w:rFonts w:hint="default" w:ascii="Nimbus Roman" w:hAnsi="Nimbus Roman" w:eastAsia="仿宋_GB2312" w:cs="Nimbus Roman"/>
                <w:kern w:val="0"/>
                <w:sz w:val="22"/>
              </w:rPr>
              <w:t>　</w:t>
            </w:r>
          </w:p>
        </w:tc>
        <w:tc>
          <w:tcPr>
            <w:tcW w:w="1663" w:type="dxa"/>
            <w:tcBorders>
              <w:top w:val="nil"/>
              <w:left w:val="nil"/>
              <w:bottom w:val="single" w:color="auto" w:sz="4" w:space="0"/>
              <w:right w:val="single" w:color="auto" w:sz="4" w:space="0"/>
            </w:tcBorders>
            <w:shd w:val="clear" w:color="auto" w:fill="auto"/>
            <w:noWrap/>
            <w:vAlign w:val="center"/>
          </w:tcPr>
          <w:p w14:paraId="184FD5EE">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45" w:type="dxa"/>
            <w:tcBorders>
              <w:top w:val="nil"/>
              <w:left w:val="nil"/>
              <w:bottom w:val="single" w:color="auto" w:sz="4" w:space="0"/>
              <w:right w:val="single" w:color="auto" w:sz="4" w:space="0"/>
            </w:tcBorders>
            <w:shd w:val="clear" w:color="auto" w:fill="auto"/>
            <w:noWrap/>
            <w:vAlign w:val="center"/>
          </w:tcPr>
          <w:p w14:paraId="6CD1469E">
            <w:pPr>
              <w:widowControl/>
              <w:jc w:val="right"/>
              <w:rPr>
                <w:rFonts w:hint="default" w:ascii="Nimbus Roman" w:hAnsi="Nimbus Roman" w:eastAsia="仿宋_GB2312" w:cs="Nimbus Roman"/>
                <w:b/>
                <w:bCs/>
                <w:kern w:val="0"/>
                <w:sz w:val="22"/>
              </w:rPr>
            </w:pPr>
            <w:r>
              <w:rPr>
                <w:rFonts w:hint="default" w:ascii="Nimbus Roman" w:hAnsi="Nimbus Roman" w:eastAsia="仿宋_GB2312" w:cs="Nimbus Roman"/>
                <w:b/>
                <w:bCs/>
                <w:kern w:val="0"/>
                <w:sz w:val="22"/>
              </w:rPr>
              <w:t>　</w:t>
            </w:r>
          </w:p>
        </w:tc>
      </w:tr>
      <w:tr w14:paraId="6FC4D900">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4A017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2E5DC89">
            <w:pPr>
              <w:widowControl/>
              <w:jc w:val="center"/>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28</w:t>
            </w:r>
          </w:p>
        </w:tc>
        <w:tc>
          <w:tcPr>
            <w:tcW w:w="0" w:type="auto"/>
            <w:tcBorders>
              <w:top w:val="nil"/>
              <w:left w:val="nil"/>
              <w:bottom w:val="single" w:color="auto" w:sz="4" w:space="0"/>
              <w:right w:val="single" w:color="auto" w:sz="4" w:space="0"/>
            </w:tcBorders>
            <w:shd w:val="clear" w:color="auto" w:fill="auto"/>
            <w:noWrap/>
            <w:vAlign w:val="center"/>
          </w:tcPr>
          <w:p w14:paraId="5A232767">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9575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5676D4FB">
            <w:pPr>
              <w:widowControl/>
              <w:jc w:val="center"/>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60</w:t>
            </w:r>
          </w:p>
        </w:tc>
        <w:tc>
          <w:tcPr>
            <w:tcW w:w="0" w:type="auto"/>
            <w:tcBorders>
              <w:top w:val="nil"/>
              <w:left w:val="nil"/>
              <w:bottom w:val="single" w:color="auto" w:sz="4" w:space="0"/>
              <w:right w:val="single" w:color="auto" w:sz="4" w:space="0"/>
            </w:tcBorders>
            <w:shd w:val="clear" w:color="auto" w:fill="auto"/>
            <w:noWrap/>
            <w:vAlign w:val="center"/>
          </w:tcPr>
          <w:p w14:paraId="646C9132">
            <w:pPr>
              <w:widowControl/>
              <w:jc w:val="right"/>
              <w:rPr>
                <w:rFonts w:hint="default" w:ascii="Nimbus Roman" w:hAnsi="Nimbus Roman" w:eastAsia="仿宋_GB2312" w:cs="Nimbus Roman"/>
                <w:kern w:val="0"/>
                <w:sz w:val="22"/>
              </w:rPr>
            </w:pPr>
            <w:r>
              <w:rPr>
                <w:rFonts w:hint="eastAsia" w:ascii="Nimbus Roman" w:hAnsi="Nimbus Roman" w:eastAsia="仿宋_GB2312" w:cs="Nimbus Roman"/>
                <w:kern w:val="0"/>
                <w:sz w:val="22"/>
                <w:lang w:val="en-US" w:eastAsia="zh-CN"/>
              </w:rPr>
              <w:t>0.00</w:t>
            </w: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F2EBB9">
            <w:pPr>
              <w:widowControl/>
              <w:jc w:val="right"/>
              <w:rPr>
                <w:rFonts w:hint="default" w:ascii="Nimbus Roman" w:hAnsi="Nimbus Roman" w:eastAsia="仿宋_GB2312" w:cs="Nimbus Roman"/>
                <w:kern w:val="0"/>
                <w:sz w:val="22"/>
              </w:rPr>
            </w:pPr>
            <w:r>
              <w:rPr>
                <w:rFonts w:hint="eastAsia" w:ascii="Nimbus Roman" w:hAnsi="Nimbus Roman" w:eastAsia="仿宋_GB2312" w:cs="Nimbus Roman"/>
                <w:kern w:val="0"/>
                <w:sz w:val="22"/>
                <w:lang w:val="en-US" w:eastAsia="zh-CN"/>
              </w:rPr>
              <w:t>0.00</w:t>
            </w:r>
            <w:r>
              <w:rPr>
                <w:rFonts w:hint="default" w:ascii="Nimbus Roman" w:hAnsi="Nimbus Roman" w:eastAsia="仿宋_GB2312" w:cs="Nimbus Roman"/>
                <w:kern w:val="0"/>
                <w:sz w:val="22"/>
              </w:rPr>
              <w:t>　</w:t>
            </w:r>
          </w:p>
        </w:tc>
        <w:tc>
          <w:tcPr>
            <w:tcW w:w="1663" w:type="dxa"/>
            <w:tcBorders>
              <w:top w:val="nil"/>
              <w:left w:val="nil"/>
              <w:bottom w:val="single" w:color="auto" w:sz="4" w:space="0"/>
              <w:right w:val="single" w:color="auto" w:sz="4" w:space="0"/>
            </w:tcBorders>
            <w:shd w:val="clear" w:color="auto" w:fill="auto"/>
            <w:noWrap/>
            <w:vAlign w:val="center"/>
          </w:tcPr>
          <w:p w14:paraId="734A3FD8">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45" w:type="dxa"/>
            <w:tcBorders>
              <w:top w:val="nil"/>
              <w:left w:val="nil"/>
              <w:bottom w:val="single" w:color="auto" w:sz="4" w:space="0"/>
              <w:right w:val="single" w:color="auto" w:sz="4" w:space="0"/>
            </w:tcBorders>
            <w:shd w:val="clear" w:color="auto" w:fill="auto"/>
            <w:noWrap/>
            <w:vAlign w:val="center"/>
          </w:tcPr>
          <w:p w14:paraId="52827B61">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r>
      <w:tr w14:paraId="2A742E41">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BFF6E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0B1D092D">
            <w:pPr>
              <w:widowControl/>
              <w:jc w:val="center"/>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29</w:t>
            </w:r>
          </w:p>
        </w:tc>
        <w:tc>
          <w:tcPr>
            <w:tcW w:w="0" w:type="auto"/>
            <w:tcBorders>
              <w:top w:val="nil"/>
              <w:left w:val="nil"/>
              <w:bottom w:val="single" w:color="auto" w:sz="4" w:space="0"/>
              <w:right w:val="single" w:color="auto" w:sz="4" w:space="0"/>
            </w:tcBorders>
            <w:shd w:val="clear" w:color="auto" w:fill="auto"/>
            <w:noWrap/>
            <w:vAlign w:val="center"/>
          </w:tcPr>
          <w:p w14:paraId="70CAFED7">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723E1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B25285">
            <w:pPr>
              <w:widowControl/>
              <w:jc w:val="center"/>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61</w:t>
            </w:r>
          </w:p>
        </w:tc>
        <w:tc>
          <w:tcPr>
            <w:tcW w:w="0" w:type="auto"/>
            <w:tcBorders>
              <w:top w:val="nil"/>
              <w:left w:val="nil"/>
              <w:bottom w:val="single" w:color="auto" w:sz="4" w:space="0"/>
              <w:right w:val="single" w:color="auto" w:sz="4" w:space="0"/>
            </w:tcBorders>
            <w:shd w:val="clear" w:color="auto" w:fill="auto"/>
            <w:noWrap/>
            <w:vAlign w:val="center"/>
          </w:tcPr>
          <w:p w14:paraId="58CE77AD">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2FE611">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63" w:type="dxa"/>
            <w:tcBorders>
              <w:top w:val="nil"/>
              <w:left w:val="nil"/>
              <w:bottom w:val="single" w:color="auto" w:sz="4" w:space="0"/>
              <w:right w:val="single" w:color="auto" w:sz="4" w:space="0"/>
            </w:tcBorders>
            <w:shd w:val="clear" w:color="auto" w:fill="auto"/>
            <w:noWrap/>
            <w:vAlign w:val="center"/>
          </w:tcPr>
          <w:p w14:paraId="02BFDED4">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45" w:type="dxa"/>
            <w:tcBorders>
              <w:top w:val="nil"/>
              <w:left w:val="nil"/>
              <w:bottom w:val="single" w:color="auto" w:sz="4" w:space="0"/>
              <w:right w:val="single" w:color="auto" w:sz="4" w:space="0"/>
            </w:tcBorders>
            <w:shd w:val="clear" w:color="auto" w:fill="auto"/>
            <w:noWrap/>
            <w:vAlign w:val="center"/>
          </w:tcPr>
          <w:p w14:paraId="348ACF57">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r>
      <w:tr w14:paraId="06B55E2F">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6F4A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3D13BA5">
            <w:pPr>
              <w:widowControl/>
              <w:jc w:val="center"/>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30</w:t>
            </w:r>
          </w:p>
        </w:tc>
        <w:tc>
          <w:tcPr>
            <w:tcW w:w="0" w:type="auto"/>
            <w:tcBorders>
              <w:top w:val="nil"/>
              <w:left w:val="nil"/>
              <w:bottom w:val="single" w:color="auto" w:sz="4" w:space="0"/>
              <w:right w:val="single" w:color="auto" w:sz="4" w:space="0"/>
            </w:tcBorders>
            <w:shd w:val="clear" w:color="auto" w:fill="auto"/>
            <w:noWrap/>
            <w:vAlign w:val="center"/>
          </w:tcPr>
          <w:p w14:paraId="0BFAD6B0">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7A6C6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FDAD4A">
            <w:pPr>
              <w:widowControl/>
              <w:jc w:val="center"/>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62</w:t>
            </w:r>
          </w:p>
        </w:tc>
        <w:tc>
          <w:tcPr>
            <w:tcW w:w="0" w:type="auto"/>
            <w:tcBorders>
              <w:top w:val="nil"/>
              <w:left w:val="nil"/>
              <w:bottom w:val="single" w:color="auto" w:sz="4" w:space="0"/>
              <w:right w:val="single" w:color="auto" w:sz="4" w:space="0"/>
            </w:tcBorders>
            <w:shd w:val="clear" w:color="auto" w:fill="auto"/>
            <w:noWrap/>
            <w:vAlign w:val="center"/>
          </w:tcPr>
          <w:p w14:paraId="77F1AD6A">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95B7AB">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63" w:type="dxa"/>
            <w:tcBorders>
              <w:top w:val="nil"/>
              <w:left w:val="nil"/>
              <w:bottom w:val="single" w:color="auto" w:sz="4" w:space="0"/>
              <w:right w:val="single" w:color="auto" w:sz="4" w:space="0"/>
            </w:tcBorders>
            <w:shd w:val="clear" w:color="auto" w:fill="auto"/>
            <w:noWrap/>
            <w:vAlign w:val="center"/>
          </w:tcPr>
          <w:p w14:paraId="3DC6BCD0">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45" w:type="dxa"/>
            <w:tcBorders>
              <w:top w:val="nil"/>
              <w:left w:val="nil"/>
              <w:bottom w:val="single" w:color="auto" w:sz="4" w:space="0"/>
              <w:right w:val="single" w:color="auto" w:sz="4" w:space="0"/>
            </w:tcBorders>
            <w:shd w:val="clear" w:color="auto" w:fill="auto"/>
            <w:noWrap/>
            <w:vAlign w:val="center"/>
          </w:tcPr>
          <w:p w14:paraId="3516589E">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r>
      <w:tr w14:paraId="17AE5788">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D509F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9D56830">
            <w:pPr>
              <w:widowControl/>
              <w:jc w:val="center"/>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31</w:t>
            </w:r>
          </w:p>
        </w:tc>
        <w:tc>
          <w:tcPr>
            <w:tcW w:w="0" w:type="auto"/>
            <w:tcBorders>
              <w:top w:val="nil"/>
              <w:left w:val="nil"/>
              <w:bottom w:val="single" w:color="auto" w:sz="4" w:space="0"/>
              <w:right w:val="single" w:color="auto" w:sz="4" w:space="0"/>
            </w:tcBorders>
            <w:shd w:val="clear" w:color="auto" w:fill="auto"/>
            <w:noWrap/>
            <w:vAlign w:val="center"/>
          </w:tcPr>
          <w:p w14:paraId="2033A607">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DFDF8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19EB2C">
            <w:pPr>
              <w:widowControl/>
              <w:jc w:val="center"/>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63</w:t>
            </w:r>
          </w:p>
        </w:tc>
        <w:tc>
          <w:tcPr>
            <w:tcW w:w="0" w:type="auto"/>
            <w:tcBorders>
              <w:top w:val="nil"/>
              <w:left w:val="nil"/>
              <w:bottom w:val="single" w:color="auto" w:sz="4" w:space="0"/>
              <w:right w:val="single" w:color="auto" w:sz="4" w:space="0"/>
            </w:tcBorders>
            <w:shd w:val="clear" w:color="auto" w:fill="auto"/>
            <w:noWrap/>
            <w:vAlign w:val="center"/>
          </w:tcPr>
          <w:p w14:paraId="1C53DE5F">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E0E350">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63" w:type="dxa"/>
            <w:tcBorders>
              <w:top w:val="nil"/>
              <w:left w:val="nil"/>
              <w:bottom w:val="single" w:color="auto" w:sz="4" w:space="0"/>
              <w:right w:val="single" w:color="auto" w:sz="4" w:space="0"/>
            </w:tcBorders>
            <w:shd w:val="clear" w:color="auto" w:fill="auto"/>
            <w:noWrap/>
            <w:vAlign w:val="center"/>
          </w:tcPr>
          <w:p w14:paraId="5888176B">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c>
          <w:tcPr>
            <w:tcW w:w="1645" w:type="dxa"/>
            <w:tcBorders>
              <w:top w:val="nil"/>
              <w:left w:val="nil"/>
              <w:bottom w:val="single" w:color="auto" w:sz="4" w:space="0"/>
              <w:right w:val="single" w:color="auto" w:sz="4" w:space="0"/>
            </w:tcBorders>
            <w:shd w:val="clear" w:color="auto" w:fill="auto"/>
            <w:noWrap/>
            <w:vAlign w:val="center"/>
          </w:tcPr>
          <w:p w14:paraId="64B473BF">
            <w:pPr>
              <w:widowControl/>
              <w:jc w:val="right"/>
              <w:rPr>
                <w:rFonts w:hint="default" w:ascii="Nimbus Roman" w:hAnsi="Nimbus Roman" w:eastAsia="仿宋_GB2312" w:cs="Nimbus Roman"/>
                <w:kern w:val="0"/>
                <w:sz w:val="22"/>
              </w:rPr>
            </w:pPr>
            <w:r>
              <w:rPr>
                <w:rFonts w:hint="default" w:ascii="Nimbus Roman" w:hAnsi="Nimbus Roman" w:eastAsia="仿宋_GB2312" w:cs="Nimbus Roman"/>
                <w:kern w:val="0"/>
                <w:sz w:val="22"/>
              </w:rPr>
              <w:t>　</w:t>
            </w:r>
          </w:p>
        </w:tc>
      </w:tr>
      <w:tr w14:paraId="3351257D">
        <w:tblPrEx>
          <w:tblCellMar>
            <w:top w:w="0" w:type="dxa"/>
            <w:left w:w="108" w:type="dxa"/>
            <w:bottom w:w="0" w:type="dxa"/>
            <w:right w:w="108" w:type="dxa"/>
          </w:tblCellMar>
        </w:tblPrEx>
        <w:trPr>
          <w:trHeight w:val="227"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B62D94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BB15ACB">
            <w:pPr>
              <w:widowControl/>
              <w:jc w:val="center"/>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32</w:t>
            </w:r>
          </w:p>
        </w:tc>
        <w:tc>
          <w:tcPr>
            <w:tcW w:w="0" w:type="auto"/>
            <w:tcBorders>
              <w:top w:val="nil"/>
              <w:left w:val="nil"/>
              <w:bottom w:val="single" w:color="auto" w:sz="4" w:space="0"/>
              <w:right w:val="single" w:color="auto" w:sz="4" w:space="0"/>
            </w:tcBorders>
            <w:shd w:val="clear" w:color="auto" w:fill="auto"/>
            <w:noWrap/>
            <w:vAlign w:val="center"/>
          </w:tcPr>
          <w:p w14:paraId="473743CD">
            <w:pPr>
              <w:widowControl/>
              <w:jc w:val="right"/>
              <w:rPr>
                <w:rFonts w:hint="default" w:ascii="Nimbus Roman" w:hAnsi="Nimbus Roman" w:eastAsia="仿宋_GB2312" w:cs="Nimbus Roman"/>
                <w:kern w:val="0"/>
                <w:sz w:val="22"/>
              </w:rPr>
            </w:pPr>
            <w:r>
              <w:rPr>
                <w:rFonts w:hint="eastAsia" w:ascii="Nimbus Roman" w:hAnsi="Nimbus Roman" w:eastAsia="仿宋_GB2312" w:cs="Nimbus Roman"/>
                <w:kern w:val="0"/>
                <w:sz w:val="22"/>
                <w:lang w:val="en-US" w:eastAsia="zh-CN"/>
              </w:rPr>
              <w:t>210.26</w:t>
            </w: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59D792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56997F3">
            <w:pPr>
              <w:widowControl/>
              <w:jc w:val="center"/>
              <w:rPr>
                <w:rFonts w:hint="default" w:ascii="Nimbus Roman" w:hAnsi="Nimbus Roman" w:eastAsia="仿宋_GB2312" w:cs="Nimbus Roman"/>
                <w:kern w:val="0"/>
                <w:sz w:val="22"/>
                <w:lang w:val="en-US" w:eastAsia="zh-CN"/>
              </w:rPr>
            </w:pPr>
            <w:r>
              <w:rPr>
                <w:rFonts w:hint="eastAsia" w:ascii="Nimbus Roman" w:hAnsi="Nimbus Roman" w:eastAsia="仿宋_GB2312" w:cs="Nimbus Roman"/>
                <w:kern w:val="0"/>
                <w:sz w:val="22"/>
                <w:lang w:val="en-US" w:eastAsia="zh-CN"/>
              </w:rPr>
              <w:t>64</w:t>
            </w:r>
          </w:p>
        </w:tc>
        <w:tc>
          <w:tcPr>
            <w:tcW w:w="0" w:type="auto"/>
            <w:tcBorders>
              <w:top w:val="nil"/>
              <w:left w:val="nil"/>
              <w:bottom w:val="single" w:color="auto" w:sz="4" w:space="0"/>
              <w:right w:val="single" w:color="auto" w:sz="4" w:space="0"/>
            </w:tcBorders>
            <w:shd w:val="clear" w:color="000000" w:fill="FFFFFF"/>
            <w:noWrap/>
            <w:vAlign w:val="center"/>
          </w:tcPr>
          <w:p w14:paraId="71222D77">
            <w:pPr>
              <w:widowControl/>
              <w:jc w:val="right"/>
              <w:rPr>
                <w:rFonts w:hint="default" w:ascii="Nimbus Roman" w:hAnsi="Nimbus Roman" w:eastAsia="仿宋_GB2312" w:cs="Nimbus Roman"/>
                <w:kern w:val="0"/>
                <w:sz w:val="22"/>
              </w:rPr>
            </w:pPr>
            <w:r>
              <w:rPr>
                <w:rFonts w:hint="eastAsia" w:ascii="Nimbus Roman" w:hAnsi="Nimbus Roman" w:eastAsia="仿宋_GB2312" w:cs="Nimbus Roman"/>
                <w:kern w:val="0"/>
                <w:sz w:val="22"/>
                <w:lang w:val="en-US" w:eastAsia="zh-CN"/>
              </w:rPr>
              <w:t>210.26</w:t>
            </w:r>
            <w:r>
              <w:rPr>
                <w:rFonts w:hint="default" w:ascii="Nimbus Roman" w:hAnsi="Nimbus Roman" w:eastAsia="仿宋_GB2312" w:cs="Nimbus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70FE20C0">
            <w:pPr>
              <w:widowControl/>
              <w:jc w:val="right"/>
              <w:rPr>
                <w:rFonts w:hint="default" w:ascii="Nimbus Roman" w:hAnsi="Nimbus Roman" w:eastAsia="仿宋_GB2312" w:cs="Nimbus Roman"/>
                <w:kern w:val="0"/>
                <w:sz w:val="22"/>
              </w:rPr>
            </w:pPr>
            <w:r>
              <w:rPr>
                <w:rFonts w:hint="eastAsia" w:ascii="Nimbus Roman" w:hAnsi="Nimbus Roman" w:eastAsia="仿宋_GB2312" w:cs="Nimbus Roman"/>
                <w:kern w:val="0"/>
                <w:sz w:val="22"/>
                <w:lang w:val="en-US" w:eastAsia="zh-CN"/>
              </w:rPr>
              <w:t>210.26</w:t>
            </w:r>
            <w:r>
              <w:rPr>
                <w:rFonts w:hint="default" w:ascii="Nimbus Roman" w:hAnsi="Nimbus Roman" w:eastAsia="仿宋_GB2312" w:cs="Nimbus Roman"/>
                <w:kern w:val="0"/>
                <w:sz w:val="22"/>
              </w:rPr>
              <w:t>　</w:t>
            </w:r>
          </w:p>
        </w:tc>
        <w:tc>
          <w:tcPr>
            <w:tcW w:w="1663" w:type="dxa"/>
            <w:tcBorders>
              <w:top w:val="nil"/>
              <w:left w:val="nil"/>
              <w:bottom w:val="single" w:color="auto" w:sz="4" w:space="0"/>
              <w:right w:val="single" w:color="auto" w:sz="4" w:space="0"/>
            </w:tcBorders>
            <w:shd w:val="clear" w:color="auto" w:fill="auto"/>
            <w:noWrap/>
            <w:vAlign w:val="center"/>
          </w:tcPr>
          <w:p w14:paraId="4A230E29">
            <w:pPr>
              <w:widowControl/>
              <w:jc w:val="right"/>
              <w:rPr>
                <w:rFonts w:hint="default" w:ascii="Nimbus Roman" w:hAnsi="Nimbus Roman" w:eastAsia="仿宋_GB2312" w:cs="Nimbus Roman"/>
                <w:b/>
                <w:bCs/>
                <w:kern w:val="0"/>
                <w:sz w:val="22"/>
              </w:rPr>
            </w:pPr>
            <w:r>
              <w:rPr>
                <w:rFonts w:hint="default" w:ascii="Nimbus Roman" w:hAnsi="Nimbus Roman" w:eastAsia="仿宋_GB2312" w:cs="Nimbus Roman"/>
                <w:b/>
                <w:bCs/>
                <w:kern w:val="0"/>
                <w:sz w:val="22"/>
              </w:rPr>
              <w:t>　</w:t>
            </w:r>
          </w:p>
        </w:tc>
        <w:tc>
          <w:tcPr>
            <w:tcW w:w="1645" w:type="dxa"/>
            <w:tcBorders>
              <w:top w:val="nil"/>
              <w:left w:val="nil"/>
              <w:bottom w:val="single" w:color="auto" w:sz="4" w:space="0"/>
              <w:right w:val="single" w:color="auto" w:sz="4" w:space="0"/>
            </w:tcBorders>
            <w:shd w:val="clear" w:color="auto" w:fill="auto"/>
            <w:noWrap/>
            <w:vAlign w:val="center"/>
          </w:tcPr>
          <w:p w14:paraId="2D65591C">
            <w:pPr>
              <w:widowControl/>
              <w:jc w:val="right"/>
              <w:rPr>
                <w:rFonts w:hint="default" w:ascii="Nimbus Roman" w:hAnsi="Nimbus Roman" w:eastAsia="仿宋_GB2312" w:cs="Nimbus Roman"/>
                <w:b/>
                <w:bCs/>
                <w:kern w:val="0"/>
                <w:sz w:val="22"/>
              </w:rPr>
            </w:pPr>
            <w:r>
              <w:rPr>
                <w:rFonts w:hint="default" w:ascii="Nimbus Roman" w:hAnsi="Nimbus Roman" w:eastAsia="仿宋_GB2312" w:cs="Nimbus Roman"/>
                <w:b/>
                <w:bCs/>
                <w:kern w:val="0"/>
                <w:sz w:val="22"/>
              </w:rPr>
              <w:t>　</w:t>
            </w:r>
          </w:p>
        </w:tc>
      </w:tr>
    </w:tbl>
    <w:p w14:paraId="5A54AC6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F5AE535">
      <w:pPr>
        <w:widowControl/>
        <w:jc w:val="center"/>
        <w:rPr>
          <w:rFonts w:ascii="Times New Roman" w:hAnsi="Times New Roman" w:eastAsia="方正小标宋_GBK" w:cs="Times New Roman"/>
          <w:kern w:val="0"/>
          <w:sz w:val="36"/>
          <w:szCs w:val="36"/>
        </w:rPr>
      </w:pPr>
    </w:p>
    <w:p w14:paraId="0FF0C2D9">
      <w:pP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br w:type="page"/>
      </w:r>
    </w:p>
    <w:p w14:paraId="093905FE">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546695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w:t>
      </w:r>
      <w:r>
        <w:rPr>
          <w:rFonts w:hint="default" w:ascii="Nimbus Roman" w:hAnsi="Nimbus Roman" w:eastAsia="仿宋_GB2312" w:cs="Nimbus Roman"/>
          <w:color w:val="000000"/>
          <w:kern w:val="0"/>
          <w:szCs w:val="21"/>
        </w:rPr>
        <w:t>05</w:t>
      </w:r>
      <w:r>
        <w:rPr>
          <w:rFonts w:ascii="Times New Roman" w:hAnsi="Times New Roman" w:eastAsia="仿宋_GB2312" w:cs="Times New Roman"/>
          <w:color w:val="000000"/>
          <w:kern w:val="0"/>
          <w:szCs w:val="21"/>
        </w:rPr>
        <w:t>表</w:t>
      </w:r>
    </w:p>
    <w:p w14:paraId="0C0A573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中共会同县委社会工作部</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718"/>
        <w:gridCol w:w="2809"/>
        <w:gridCol w:w="3492"/>
        <w:gridCol w:w="3000"/>
      </w:tblGrid>
      <w:tr w14:paraId="2225A417">
        <w:tblPrEx>
          <w:tblCellMar>
            <w:top w:w="0" w:type="dxa"/>
            <w:left w:w="108" w:type="dxa"/>
            <w:bottom w:w="0" w:type="dxa"/>
            <w:right w:w="108" w:type="dxa"/>
          </w:tblCellMar>
        </w:tblPrEx>
        <w:trPr>
          <w:trHeight w:val="545" w:hRule="atLeast"/>
          <w:jc w:val="center"/>
        </w:trPr>
        <w:tc>
          <w:tcPr>
            <w:tcW w:w="4918"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95A47B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301" w:type="dxa"/>
            <w:gridSpan w:val="3"/>
            <w:tcBorders>
              <w:top w:val="single" w:color="auto" w:sz="8" w:space="0"/>
              <w:left w:val="nil"/>
              <w:bottom w:val="single" w:color="auto" w:sz="4" w:space="0"/>
              <w:right w:val="single" w:color="auto" w:sz="8" w:space="0"/>
            </w:tcBorders>
            <w:shd w:val="clear" w:color="auto" w:fill="auto"/>
            <w:vAlign w:val="center"/>
          </w:tcPr>
          <w:p w14:paraId="68B61EA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8EC9BCA">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CB5F95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718" w:type="dxa"/>
            <w:vMerge w:val="restart"/>
            <w:tcBorders>
              <w:top w:val="nil"/>
              <w:left w:val="single" w:color="auto" w:sz="4" w:space="0"/>
              <w:bottom w:val="single" w:color="auto" w:sz="4" w:space="0"/>
              <w:right w:val="single" w:color="auto" w:sz="4" w:space="0"/>
            </w:tcBorders>
            <w:shd w:val="clear" w:color="auto" w:fill="auto"/>
            <w:vAlign w:val="center"/>
          </w:tcPr>
          <w:p w14:paraId="78DE724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09" w:type="dxa"/>
            <w:vMerge w:val="restart"/>
            <w:tcBorders>
              <w:top w:val="nil"/>
              <w:left w:val="single" w:color="auto" w:sz="4" w:space="0"/>
              <w:bottom w:val="single" w:color="auto" w:sz="4" w:space="0"/>
              <w:right w:val="single" w:color="auto" w:sz="4" w:space="0"/>
            </w:tcBorders>
            <w:shd w:val="clear" w:color="auto" w:fill="auto"/>
            <w:vAlign w:val="center"/>
          </w:tcPr>
          <w:p w14:paraId="217882D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auto" w:sz="4" w:space="0"/>
              <w:right w:val="single" w:color="auto" w:sz="4" w:space="0"/>
            </w:tcBorders>
            <w:shd w:val="clear" w:color="auto" w:fill="auto"/>
            <w:vAlign w:val="center"/>
          </w:tcPr>
          <w:p w14:paraId="6452ACD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auto" w:sz="4" w:space="0"/>
              <w:right w:val="single" w:color="auto" w:sz="8" w:space="0"/>
            </w:tcBorders>
            <w:shd w:val="clear" w:color="auto" w:fill="auto"/>
            <w:vAlign w:val="center"/>
          </w:tcPr>
          <w:p w14:paraId="2CB372F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651D768">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123D7B0">
            <w:pPr>
              <w:widowControl/>
              <w:jc w:val="left"/>
              <w:rPr>
                <w:rFonts w:ascii="Times New Roman" w:hAnsi="Times New Roman" w:eastAsia="仿宋_GB2312" w:cs="Times New Roman"/>
                <w:kern w:val="0"/>
                <w:szCs w:val="21"/>
              </w:rPr>
            </w:pPr>
          </w:p>
        </w:tc>
        <w:tc>
          <w:tcPr>
            <w:tcW w:w="3718" w:type="dxa"/>
            <w:vMerge w:val="continue"/>
            <w:tcBorders>
              <w:top w:val="nil"/>
              <w:left w:val="single" w:color="auto" w:sz="4" w:space="0"/>
              <w:bottom w:val="single" w:color="auto" w:sz="4" w:space="0"/>
              <w:right w:val="single" w:color="auto" w:sz="4" w:space="0"/>
            </w:tcBorders>
            <w:vAlign w:val="center"/>
          </w:tcPr>
          <w:p w14:paraId="37F5F2B9">
            <w:pPr>
              <w:widowControl/>
              <w:jc w:val="left"/>
              <w:rPr>
                <w:rFonts w:ascii="Times New Roman" w:hAnsi="Times New Roman" w:eastAsia="仿宋_GB2312" w:cs="Times New Roman"/>
                <w:kern w:val="0"/>
                <w:szCs w:val="21"/>
              </w:rPr>
            </w:pPr>
          </w:p>
        </w:tc>
        <w:tc>
          <w:tcPr>
            <w:tcW w:w="2809" w:type="dxa"/>
            <w:vMerge w:val="continue"/>
            <w:tcBorders>
              <w:top w:val="nil"/>
              <w:left w:val="single" w:color="auto" w:sz="4" w:space="0"/>
              <w:bottom w:val="single" w:color="auto" w:sz="4" w:space="0"/>
              <w:right w:val="single" w:color="auto" w:sz="4" w:space="0"/>
            </w:tcBorders>
            <w:vAlign w:val="center"/>
          </w:tcPr>
          <w:p w14:paraId="2A549A4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24B708A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46D1D481">
            <w:pPr>
              <w:widowControl/>
              <w:jc w:val="left"/>
              <w:rPr>
                <w:rFonts w:ascii="Times New Roman" w:hAnsi="Times New Roman" w:eastAsia="仿宋_GB2312" w:cs="Times New Roman"/>
                <w:kern w:val="0"/>
                <w:szCs w:val="21"/>
              </w:rPr>
            </w:pPr>
          </w:p>
        </w:tc>
      </w:tr>
      <w:tr w14:paraId="6C027D27">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0592E46">
            <w:pPr>
              <w:widowControl/>
              <w:jc w:val="left"/>
              <w:rPr>
                <w:rFonts w:ascii="Times New Roman" w:hAnsi="Times New Roman" w:eastAsia="仿宋_GB2312" w:cs="Times New Roman"/>
                <w:kern w:val="0"/>
                <w:szCs w:val="21"/>
              </w:rPr>
            </w:pPr>
          </w:p>
        </w:tc>
        <w:tc>
          <w:tcPr>
            <w:tcW w:w="3718" w:type="dxa"/>
            <w:vMerge w:val="continue"/>
            <w:tcBorders>
              <w:top w:val="nil"/>
              <w:left w:val="single" w:color="auto" w:sz="4" w:space="0"/>
              <w:bottom w:val="single" w:color="auto" w:sz="4" w:space="0"/>
              <w:right w:val="single" w:color="auto" w:sz="4" w:space="0"/>
            </w:tcBorders>
            <w:vAlign w:val="center"/>
          </w:tcPr>
          <w:p w14:paraId="42D037E2">
            <w:pPr>
              <w:widowControl/>
              <w:jc w:val="left"/>
              <w:rPr>
                <w:rFonts w:ascii="Times New Roman" w:hAnsi="Times New Roman" w:eastAsia="仿宋_GB2312" w:cs="Times New Roman"/>
                <w:kern w:val="0"/>
                <w:szCs w:val="21"/>
              </w:rPr>
            </w:pPr>
          </w:p>
        </w:tc>
        <w:tc>
          <w:tcPr>
            <w:tcW w:w="2809" w:type="dxa"/>
            <w:vMerge w:val="continue"/>
            <w:tcBorders>
              <w:top w:val="nil"/>
              <w:left w:val="single" w:color="auto" w:sz="4" w:space="0"/>
              <w:bottom w:val="single" w:color="auto" w:sz="4" w:space="0"/>
              <w:right w:val="single" w:color="auto" w:sz="4" w:space="0"/>
            </w:tcBorders>
            <w:vAlign w:val="center"/>
          </w:tcPr>
          <w:p w14:paraId="61DE2B6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65BA255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07958180">
            <w:pPr>
              <w:widowControl/>
              <w:jc w:val="left"/>
              <w:rPr>
                <w:rFonts w:ascii="Times New Roman" w:hAnsi="Times New Roman" w:eastAsia="仿宋_GB2312" w:cs="Times New Roman"/>
                <w:kern w:val="0"/>
                <w:szCs w:val="21"/>
              </w:rPr>
            </w:pPr>
          </w:p>
        </w:tc>
      </w:tr>
      <w:tr w14:paraId="6409218E">
        <w:tblPrEx>
          <w:tblCellMar>
            <w:top w:w="0" w:type="dxa"/>
            <w:left w:w="108" w:type="dxa"/>
            <w:bottom w:w="0" w:type="dxa"/>
            <w:right w:w="108" w:type="dxa"/>
          </w:tblCellMar>
        </w:tblPrEx>
        <w:trPr>
          <w:trHeight w:val="450" w:hRule="atLeast"/>
          <w:jc w:val="center"/>
        </w:trPr>
        <w:tc>
          <w:tcPr>
            <w:tcW w:w="491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F07E78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09" w:type="dxa"/>
            <w:tcBorders>
              <w:top w:val="nil"/>
              <w:left w:val="nil"/>
              <w:bottom w:val="single" w:color="auto" w:sz="4" w:space="0"/>
              <w:right w:val="single" w:color="auto" w:sz="4" w:space="0"/>
            </w:tcBorders>
            <w:shd w:val="clear" w:color="auto" w:fill="auto"/>
            <w:vAlign w:val="center"/>
          </w:tcPr>
          <w:p w14:paraId="0E244166">
            <w:pPr>
              <w:widowControl/>
              <w:jc w:val="center"/>
              <w:rPr>
                <w:rFonts w:hint="default" w:ascii="Nimbus Roman" w:hAnsi="Nimbus Roman" w:eastAsia="仿宋_GB2312" w:cs="Nimbus Roman"/>
                <w:kern w:val="0"/>
                <w:szCs w:val="21"/>
              </w:rPr>
            </w:pPr>
            <w:r>
              <w:rPr>
                <w:rFonts w:hint="default" w:ascii="Nimbus Roman" w:hAnsi="Nimbus Roman" w:eastAsia="仿宋_GB2312" w:cs="Nimbus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79F5079">
            <w:pPr>
              <w:widowControl/>
              <w:jc w:val="center"/>
              <w:rPr>
                <w:rFonts w:hint="default" w:ascii="Nimbus Roman" w:hAnsi="Nimbus Roman" w:eastAsia="仿宋_GB2312" w:cs="Nimbus Roman"/>
                <w:kern w:val="0"/>
                <w:szCs w:val="21"/>
              </w:rPr>
            </w:pPr>
            <w:r>
              <w:rPr>
                <w:rFonts w:hint="default" w:ascii="Nimbus Roman" w:hAnsi="Nimbus Roman" w:eastAsia="仿宋_GB2312" w:cs="Nimbus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48040071">
            <w:pPr>
              <w:widowControl/>
              <w:jc w:val="center"/>
              <w:rPr>
                <w:rFonts w:hint="default" w:ascii="Nimbus Roman" w:hAnsi="Nimbus Roman" w:eastAsia="仿宋_GB2312" w:cs="Nimbus Roman"/>
                <w:kern w:val="0"/>
                <w:szCs w:val="21"/>
              </w:rPr>
            </w:pPr>
            <w:r>
              <w:rPr>
                <w:rFonts w:hint="default" w:ascii="Nimbus Roman" w:hAnsi="Nimbus Roman" w:eastAsia="仿宋_GB2312" w:cs="Nimbus Roman"/>
                <w:kern w:val="0"/>
                <w:szCs w:val="21"/>
              </w:rPr>
              <w:t>3</w:t>
            </w:r>
          </w:p>
        </w:tc>
      </w:tr>
      <w:tr w14:paraId="185FF503">
        <w:tblPrEx>
          <w:tblCellMar>
            <w:top w:w="0" w:type="dxa"/>
            <w:left w:w="108" w:type="dxa"/>
            <w:bottom w:w="0" w:type="dxa"/>
            <w:right w:w="108" w:type="dxa"/>
          </w:tblCellMar>
        </w:tblPrEx>
        <w:trPr>
          <w:trHeight w:val="450" w:hRule="atLeast"/>
          <w:jc w:val="center"/>
        </w:trPr>
        <w:tc>
          <w:tcPr>
            <w:tcW w:w="491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A1BB26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809" w:type="dxa"/>
            <w:tcBorders>
              <w:top w:val="nil"/>
              <w:left w:val="nil"/>
              <w:bottom w:val="single" w:color="auto" w:sz="4" w:space="0"/>
              <w:right w:val="single" w:color="auto" w:sz="4" w:space="0"/>
            </w:tcBorders>
            <w:shd w:val="clear" w:color="auto" w:fill="auto"/>
            <w:vAlign w:val="center"/>
          </w:tcPr>
          <w:p w14:paraId="758F164B">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210.26</w:t>
            </w:r>
          </w:p>
        </w:tc>
        <w:tc>
          <w:tcPr>
            <w:tcW w:w="3492" w:type="dxa"/>
            <w:tcBorders>
              <w:top w:val="nil"/>
              <w:left w:val="nil"/>
              <w:bottom w:val="single" w:color="auto" w:sz="4" w:space="0"/>
              <w:right w:val="single" w:color="auto" w:sz="4" w:space="0"/>
            </w:tcBorders>
            <w:shd w:val="clear" w:color="auto" w:fill="auto"/>
            <w:vAlign w:val="center"/>
          </w:tcPr>
          <w:p w14:paraId="25E8ADD7">
            <w:pPr>
              <w:widowControl/>
              <w:tabs>
                <w:tab w:val="left" w:pos="277"/>
                <w:tab w:val="center" w:pos="1803"/>
              </w:tabs>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145.03</w:t>
            </w:r>
          </w:p>
        </w:tc>
        <w:tc>
          <w:tcPr>
            <w:tcW w:w="3000" w:type="dxa"/>
            <w:tcBorders>
              <w:top w:val="nil"/>
              <w:left w:val="nil"/>
              <w:bottom w:val="single" w:color="auto" w:sz="4" w:space="0"/>
              <w:right w:val="single" w:color="auto" w:sz="8" w:space="0"/>
            </w:tcBorders>
            <w:shd w:val="clear" w:color="auto" w:fill="auto"/>
            <w:vAlign w:val="center"/>
          </w:tcPr>
          <w:p w14:paraId="1681C585">
            <w:pPr>
              <w:widowControl/>
              <w:jc w:val="right"/>
              <w:rPr>
                <w:rFonts w:hint="default" w:ascii="Nimbus Roman" w:hAnsi="Nimbus Roman" w:eastAsia="仿宋_GB2312" w:cs="Nimbus Roman"/>
                <w:kern w:val="0"/>
                <w:sz w:val="22"/>
                <w:szCs w:val="22"/>
              </w:rPr>
            </w:pPr>
          </w:p>
        </w:tc>
      </w:tr>
      <w:tr w14:paraId="31EF40F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0119767">
            <w:pPr>
              <w:widowControl/>
              <w:jc w:val="both"/>
              <w:rPr>
                <w:rFonts w:hint="default" w:ascii="Nimbus Roman" w:hAnsi="Nimbus Roman" w:eastAsia="仿宋_GB2312" w:cs="Nimbus Roman"/>
                <w:kern w:val="0"/>
                <w:sz w:val="22"/>
                <w:szCs w:val="22"/>
              </w:rPr>
            </w:pPr>
            <w:r>
              <w:rPr>
                <w:rFonts w:hint="eastAsia" w:ascii="Nimbus Roman" w:hAnsi="Nimbus Roman" w:eastAsia="仿宋_GB2312" w:cs="Nimbus Roman"/>
                <w:kern w:val="0"/>
                <w:sz w:val="22"/>
                <w:szCs w:val="22"/>
                <w:lang w:val="en-US" w:eastAsia="zh-CN"/>
              </w:rPr>
              <w:t>2010301</w:t>
            </w:r>
            <w:r>
              <w:rPr>
                <w:rFonts w:hint="default" w:ascii="Nimbus Roman" w:hAnsi="Nimbus Roman" w:eastAsia="仿宋_GB2312" w:cs="Nimbus Roman"/>
                <w:kern w:val="0"/>
                <w:sz w:val="22"/>
                <w:szCs w:val="22"/>
              </w:rPr>
              <w:t>　</w:t>
            </w:r>
          </w:p>
        </w:tc>
        <w:tc>
          <w:tcPr>
            <w:tcW w:w="3718" w:type="dxa"/>
            <w:tcBorders>
              <w:top w:val="nil"/>
              <w:left w:val="nil"/>
              <w:bottom w:val="single" w:color="auto" w:sz="4" w:space="0"/>
              <w:right w:val="single" w:color="auto" w:sz="4" w:space="0"/>
            </w:tcBorders>
            <w:shd w:val="clear" w:color="auto" w:fill="auto"/>
            <w:vAlign w:val="center"/>
          </w:tcPr>
          <w:p w14:paraId="63D6BEF0">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w:t>
            </w:r>
          </w:p>
        </w:tc>
        <w:tc>
          <w:tcPr>
            <w:tcW w:w="2809" w:type="dxa"/>
            <w:tcBorders>
              <w:top w:val="nil"/>
              <w:left w:val="nil"/>
              <w:bottom w:val="single" w:color="auto" w:sz="4" w:space="0"/>
              <w:right w:val="single" w:color="auto" w:sz="4" w:space="0"/>
            </w:tcBorders>
            <w:shd w:val="clear" w:color="auto" w:fill="auto"/>
            <w:vAlign w:val="center"/>
          </w:tcPr>
          <w:p w14:paraId="72A909B6">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0.48</w:t>
            </w:r>
          </w:p>
        </w:tc>
        <w:tc>
          <w:tcPr>
            <w:tcW w:w="3492" w:type="dxa"/>
            <w:tcBorders>
              <w:top w:val="nil"/>
              <w:left w:val="nil"/>
              <w:bottom w:val="single" w:color="auto" w:sz="4" w:space="0"/>
              <w:right w:val="single" w:color="auto" w:sz="4" w:space="0"/>
            </w:tcBorders>
            <w:shd w:val="clear" w:color="auto" w:fill="auto"/>
            <w:vAlign w:val="center"/>
          </w:tcPr>
          <w:p w14:paraId="276CD91C">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0.48</w:t>
            </w:r>
          </w:p>
        </w:tc>
        <w:tc>
          <w:tcPr>
            <w:tcW w:w="3000" w:type="dxa"/>
            <w:tcBorders>
              <w:top w:val="nil"/>
              <w:left w:val="nil"/>
              <w:bottom w:val="single" w:color="auto" w:sz="4" w:space="0"/>
              <w:right w:val="single" w:color="auto" w:sz="8" w:space="0"/>
            </w:tcBorders>
            <w:shd w:val="clear" w:color="auto" w:fill="auto"/>
            <w:vAlign w:val="center"/>
          </w:tcPr>
          <w:p w14:paraId="6B6EC484">
            <w:pPr>
              <w:widowControl/>
              <w:jc w:val="right"/>
              <w:rPr>
                <w:rFonts w:hint="default" w:ascii="Nimbus Roman" w:hAnsi="Nimbus Roman" w:eastAsia="仿宋_GB2312" w:cs="Nimbus Roman"/>
                <w:kern w:val="0"/>
                <w:sz w:val="22"/>
                <w:szCs w:val="22"/>
              </w:rPr>
            </w:pPr>
          </w:p>
        </w:tc>
      </w:tr>
      <w:tr w14:paraId="3959ADE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D981CC9">
            <w:pPr>
              <w:widowControl/>
              <w:jc w:val="both"/>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2013901</w:t>
            </w:r>
          </w:p>
        </w:tc>
        <w:tc>
          <w:tcPr>
            <w:tcW w:w="3718" w:type="dxa"/>
            <w:tcBorders>
              <w:top w:val="nil"/>
              <w:left w:val="nil"/>
              <w:bottom w:val="single" w:color="auto" w:sz="4" w:space="0"/>
              <w:right w:val="single" w:color="auto" w:sz="4" w:space="0"/>
            </w:tcBorders>
            <w:shd w:val="clear" w:color="auto" w:fill="auto"/>
            <w:vAlign w:val="center"/>
          </w:tcPr>
          <w:p w14:paraId="4E28172A">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w:t>
            </w:r>
          </w:p>
        </w:tc>
        <w:tc>
          <w:tcPr>
            <w:tcW w:w="2809" w:type="dxa"/>
            <w:tcBorders>
              <w:top w:val="nil"/>
              <w:left w:val="nil"/>
              <w:bottom w:val="single" w:color="auto" w:sz="4" w:space="0"/>
              <w:right w:val="single" w:color="auto" w:sz="4" w:space="0"/>
            </w:tcBorders>
            <w:shd w:val="clear" w:color="auto" w:fill="auto"/>
            <w:vAlign w:val="center"/>
          </w:tcPr>
          <w:p w14:paraId="484748AF">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17.26</w:t>
            </w:r>
          </w:p>
        </w:tc>
        <w:tc>
          <w:tcPr>
            <w:tcW w:w="3492" w:type="dxa"/>
            <w:tcBorders>
              <w:top w:val="nil"/>
              <w:left w:val="nil"/>
              <w:bottom w:val="single" w:color="auto" w:sz="4" w:space="0"/>
              <w:right w:val="single" w:color="auto" w:sz="4" w:space="0"/>
            </w:tcBorders>
            <w:shd w:val="clear" w:color="auto" w:fill="auto"/>
            <w:vAlign w:val="center"/>
          </w:tcPr>
          <w:p w14:paraId="5AD2218A">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17.26</w:t>
            </w:r>
          </w:p>
        </w:tc>
        <w:tc>
          <w:tcPr>
            <w:tcW w:w="3000" w:type="dxa"/>
            <w:tcBorders>
              <w:top w:val="nil"/>
              <w:left w:val="nil"/>
              <w:bottom w:val="single" w:color="auto" w:sz="4" w:space="0"/>
              <w:right w:val="single" w:color="auto" w:sz="8" w:space="0"/>
            </w:tcBorders>
            <w:shd w:val="clear" w:color="auto" w:fill="auto"/>
            <w:vAlign w:val="center"/>
          </w:tcPr>
          <w:p w14:paraId="57194EC4">
            <w:pPr>
              <w:widowControl/>
              <w:jc w:val="right"/>
              <w:rPr>
                <w:rFonts w:hint="default" w:ascii="Nimbus Roman" w:hAnsi="Nimbus Roman" w:eastAsia="仿宋_GB2312" w:cs="Nimbus Roman"/>
                <w:kern w:val="0"/>
                <w:sz w:val="22"/>
                <w:szCs w:val="22"/>
              </w:rPr>
            </w:pPr>
          </w:p>
        </w:tc>
      </w:tr>
      <w:tr w14:paraId="752DABA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B6A13B8">
            <w:pPr>
              <w:widowControl/>
              <w:jc w:val="lef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2013999</w:t>
            </w:r>
          </w:p>
        </w:tc>
        <w:tc>
          <w:tcPr>
            <w:tcW w:w="3718" w:type="dxa"/>
            <w:tcBorders>
              <w:top w:val="nil"/>
              <w:left w:val="nil"/>
              <w:bottom w:val="single" w:color="auto" w:sz="4" w:space="0"/>
              <w:right w:val="single" w:color="auto" w:sz="4" w:space="0"/>
            </w:tcBorders>
            <w:shd w:val="clear" w:color="auto" w:fill="auto"/>
            <w:vAlign w:val="center"/>
          </w:tcPr>
          <w:p w14:paraId="6F0252C1">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其他社会工作事务支出</w:t>
            </w:r>
          </w:p>
        </w:tc>
        <w:tc>
          <w:tcPr>
            <w:tcW w:w="2809" w:type="dxa"/>
            <w:tcBorders>
              <w:top w:val="nil"/>
              <w:left w:val="nil"/>
              <w:bottom w:val="single" w:color="auto" w:sz="4" w:space="0"/>
              <w:right w:val="single" w:color="auto" w:sz="4" w:space="0"/>
            </w:tcBorders>
            <w:shd w:val="clear" w:color="auto" w:fill="auto"/>
            <w:vAlign w:val="center"/>
          </w:tcPr>
          <w:p w14:paraId="4B911173">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20.40</w:t>
            </w:r>
          </w:p>
        </w:tc>
        <w:tc>
          <w:tcPr>
            <w:tcW w:w="3492" w:type="dxa"/>
            <w:tcBorders>
              <w:top w:val="nil"/>
              <w:left w:val="nil"/>
              <w:bottom w:val="single" w:color="auto" w:sz="4" w:space="0"/>
              <w:right w:val="single" w:color="auto" w:sz="4" w:space="0"/>
            </w:tcBorders>
            <w:shd w:val="clear" w:color="auto" w:fill="auto"/>
            <w:vAlign w:val="center"/>
          </w:tcPr>
          <w:p w14:paraId="12F072DC">
            <w:pPr>
              <w:widowControl/>
              <w:jc w:val="right"/>
              <w:rPr>
                <w:rFonts w:hint="default" w:ascii="Nimbus Roman" w:hAnsi="Nimbus Roman" w:eastAsia="仿宋_GB2312" w:cs="Nimbus Roman"/>
                <w:kern w:val="0"/>
                <w:sz w:val="22"/>
                <w:szCs w:val="22"/>
              </w:rPr>
            </w:pPr>
          </w:p>
        </w:tc>
        <w:tc>
          <w:tcPr>
            <w:tcW w:w="3000" w:type="dxa"/>
            <w:tcBorders>
              <w:top w:val="nil"/>
              <w:left w:val="nil"/>
              <w:bottom w:val="single" w:color="auto" w:sz="4" w:space="0"/>
              <w:right w:val="single" w:color="auto" w:sz="8" w:space="0"/>
            </w:tcBorders>
            <w:shd w:val="clear" w:color="auto" w:fill="auto"/>
            <w:vAlign w:val="center"/>
          </w:tcPr>
          <w:p w14:paraId="21EBE7A3">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20.40</w:t>
            </w:r>
          </w:p>
        </w:tc>
      </w:tr>
      <w:tr w14:paraId="65616DB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BEC07EB">
            <w:pPr>
              <w:widowControl/>
              <w:jc w:val="lef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2080101</w:t>
            </w:r>
          </w:p>
        </w:tc>
        <w:tc>
          <w:tcPr>
            <w:tcW w:w="3718" w:type="dxa"/>
            <w:tcBorders>
              <w:top w:val="nil"/>
              <w:left w:val="nil"/>
              <w:bottom w:val="single" w:color="auto" w:sz="4" w:space="0"/>
              <w:right w:val="single" w:color="auto" w:sz="4" w:space="0"/>
            </w:tcBorders>
            <w:shd w:val="clear" w:color="auto" w:fill="auto"/>
            <w:vAlign w:val="center"/>
          </w:tcPr>
          <w:p w14:paraId="0A89CBB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w:t>
            </w:r>
          </w:p>
        </w:tc>
        <w:tc>
          <w:tcPr>
            <w:tcW w:w="2809" w:type="dxa"/>
            <w:tcBorders>
              <w:top w:val="nil"/>
              <w:left w:val="nil"/>
              <w:bottom w:val="single" w:color="auto" w:sz="4" w:space="0"/>
              <w:right w:val="single" w:color="auto" w:sz="4" w:space="0"/>
            </w:tcBorders>
            <w:shd w:val="clear" w:color="auto" w:fill="auto"/>
            <w:vAlign w:val="center"/>
          </w:tcPr>
          <w:p w14:paraId="617A42F6">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88.70</w:t>
            </w:r>
          </w:p>
        </w:tc>
        <w:tc>
          <w:tcPr>
            <w:tcW w:w="3492" w:type="dxa"/>
            <w:tcBorders>
              <w:top w:val="nil"/>
              <w:left w:val="nil"/>
              <w:bottom w:val="single" w:color="auto" w:sz="4" w:space="0"/>
              <w:right w:val="single" w:color="auto" w:sz="4" w:space="0"/>
            </w:tcBorders>
            <w:shd w:val="clear" w:color="auto" w:fill="auto"/>
            <w:vAlign w:val="center"/>
          </w:tcPr>
          <w:p w14:paraId="686F6614">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88.70</w:t>
            </w:r>
          </w:p>
        </w:tc>
        <w:tc>
          <w:tcPr>
            <w:tcW w:w="3000" w:type="dxa"/>
            <w:tcBorders>
              <w:top w:val="nil"/>
              <w:left w:val="nil"/>
              <w:bottom w:val="single" w:color="auto" w:sz="4" w:space="0"/>
              <w:right w:val="single" w:color="auto" w:sz="8" w:space="0"/>
            </w:tcBorders>
            <w:shd w:val="clear" w:color="auto" w:fill="auto"/>
            <w:vAlign w:val="center"/>
          </w:tcPr>
          <w:p w14:paraId="4F592E80">
            <w:pPr>
              <w:widowControl/>
              <w:jc w:val="right"/>
              <w:rPr>
                <w:rFonts w:hint="default" w:ascii="Nimbus Roman" w:hAnsi="Nimbus Roman" w:eastAsia="仿宋_GB2312" w:cs="Nimbus Roman"/>
                <w:kern w:val="0"/>
                <w:sz w:val="22"/>
                <w:szCs w:val="22"/>
              </w:rPr>
            </w:pPr>
          </w:p>
        </w:tc>
      </w:tr>
      <w:tr w14:paraId="4B3DABB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5FE8A69">
            <w:pPr>
              <w:widowControl/>
              <w:jc w:val="lef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2080505</w:t>
            </w:r>
          </w:p>
        </w:tc>
        <w:tc>
          <w:tcPr>
            <w:tcW w:w="3718" w:type="dxa"/>
            <w:tcBorders>
              <w:top w:val="nil"/>
              <w:left w:val="nil"/>
              <w:bottom w:val="single" w:color="auto" w:sz="4" w:space="0"/>
              <w:right w:val="single" w:color="auto" w:sz="4" w:space="0"/>
            </w:tcBorders>
            <w:shd w:val="clear" w:color="auto" w:fill="auto"/>
            <w:vAlign w:val="center"/>
          </w:tcPr>
          <w:p w14:paraId="462A5591">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机关事业单位基本养老保险缴费支出</w:t>
            </w:r>
          </w:p>
        </w:tc>
        <w:tc>
          <w:tcPr>
            <w:tcW w:w="2809" w:type="dxa"/>
            <w:tcBorders>
              <w:top w:val="nil"/>
              <w:left w:val="nil"/>
              <w:bottom w:val="single" w:color="auto" w:sz="4" w:space="0"/>
              <w:right w:val="single" w:color="auto" w:sz="4" w:space="0"/>
            </w:tcBorders>
            <w:shd w:val="clear" w:color="auto" w:fill="auto"/>
            <w:vAlign w:val="center"/>
          </w:tcPr>
          <w:p w14:paraId="715DEB85">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12.08</w:t>
            </w:r>
          </w:p>
        </w:tc>
        <w:tc>
          <w:tcPr>
            <w:tcW w:w="3492" w:type="dxa"/>
            <w:tcBorders>
              <w:top w:val="nil"/>
              <w:left w:val="nil"/>
              <w:bottom w:val="single" w:color="auto" w:sz="4" w:space="0"/>
              <w:right w:val="single" w:color="auto" w:sz="4" w:space="0"/>
            </w:tcBorders>
            <w:shd w:val="clear" w:color="auto" w:fill="auto"/>
            <w:vAlign w:val="center"/>
          </w:tcPr>
          <w:p w14:paraId="7E6F899F">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12.08</w:t>
            </w:r>
          </w:p>
        </w:tc>
        <w:tc>
          <w:tcPr>
            <w:tcW w:w="3000" w:type="dxa"/>
            <w:tcBorders>
              <w:top w:val="nil"/>
              <w:left w:val="nil"/>
              <w:bottom w:val="single" w:color="auto" w:sz="4" w:space="0"/>
              <w:right w:val="single" w:color="auto" w:sz="8" w:space="0"/>
            </w:tcBorders>
            <w:shd w:val="clear" w:color="auto" w:fill="auto"/>
            <w:vAlign w:val="center"/>
          </w:tcPr>
          <w:p w14:paraId="7EF1999F">
            <w:pPr>
              <w:widowControl/>
              <w:jc w:val="right"/>
              <w:rPr>
                <w:rFonts w:hint="default" w:ascii="Nimbus Roman" w:hAnsi="Nimbus Roman" w:eastAsia="仿宋_GB2312" w:cs="Nimbus Roman"/>
                <w:kern w:val="0"/>
                <w:sz w:val="22"/>
                <w:szCs w:val="22"/>
              </w:rPr>
            </w:pPr>
          </w:p>
        </w:tc>
      </w:tr>
      <w:tr w14:paraId="249551E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CFA31BD">
            <w:pPr>
              <w:widowControl/>
              <w:jc w:val="lef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2089999</w:t>
            </w:r>
          </w:p>
        </w:tc>
        <w:tc>
          <w:tcPr>
            <w:tcW w:w="3718" w:type="dxa"/>
            <w:tcBorders>
              <w:top w:val="single" w:color="auto" w:sz="4" w:space="0"/>
              <w:left w:val="single" w:color="auto" w:sz="4" w:space="0"/>
              <w:bottom w:val="single" w:color="auto" w:sz="4" w:space="0"/>
              <w:right w:val="single" w:color="auto" w:sz="4" w:space="0"/>
            </w:tcBorders>
            <w:shd w:val="clear" w:color="auto" w:fill="auto"/>
            <w:vAlign w:val="center"/>
          </w:tcPr>
          <w:p w14:paraId="1829D3E3">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其他社会保障和就业支出</w:t>
            </w:r>
          </w:p>
        </w:tc>
        <w:tc>
          <w:tcPr>
            <w:tcW w:w="2809" w:type="dxa"/>
            <w:tcBorders>
              <w:top w:val="single" w:color="auto" w:sz="4" w:space="0"/>
              <w:left w:val="single" w:color="auto" w:sz="4" w:space="0"/>
              <w:bottom w:val="single" w:color="auto" w:sz="4" w:space="0"/>
              <w:right w:val="single" w:color="auto" w:sz="4" w:space="0"/>
            </w:tcBorders>
            <w:shd w:val="clear" w:color="auto" w:fill="auto"/>
            <w:vAlign w:val="center"/>
          </w:tcPr>
          <w:p w14:paraId="74945908">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7.08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E190228">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0.15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9FE9F0D">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6.94</w:t>
            </w:r>
          </w:p>
        </w:tc>
      </w:tr>
      <w:tr w14:paraId="37E49F8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EAA737C">
            <w:pPr>
              <w:widowControl/>
              <w:jc w:val="lef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2101101</w:t>
            </w:r>
          </w:p>
        </w:tc>
        <w:tc>
          <w:tcPr>
            <w:tcW w:w="3718" w:type="dxa"/>
            <w:tcBorders>
              <w:top w:val="single" w:color="auto" w:sz="4" w:space="0"/>
              <w:left w:val="single" w:color="auto" w:sz="4" w:space="0"/>
              <w:bottom w:val="single" w:color="auto" w:sz="4" w:space="0"/>
              <w:right w:val="single" w:color="auto" w:sz="4" w:space="0"/>
            </w:tcBorders>
            <w:shd w:val="clear" w:color="auto" w:fill="auto"/>
            <w:vAlign w:val="center"/>
          </w:tcPr>
          <w:p w14:paraId="1D6E7A6A">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行政单位医疗</w:t>
            </w:r>
          </w:p>
        </w:tc>
        <w:tc>
          <w:tcPr>
            <w:tcW w:w="2809" w:type="dxa"/>
            <w:tcBorders>
              <w:top w:val="single" w:color="auto" w:sz="4" w:space="0"/>
              <w:left w:val="single" w:color="auto" w:sz="4" w:space="0"/>
              <w:bottom w:val="single" w:color="auto" w:sz="4" w:space="0"/>
              <w:right w:val="single" w:color="auto" w:sz="4" w:space="0"/>
            </w:tcBorders>
            <w:shd w:val="clear" w:color="auto" w:fill="auto"/>
            <w:vAlign w:val="center"/>
          </w:tcPr>
          <w:p w14:paraId="795FDD22">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5.46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E9F90D2">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5.46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B97E610">
            <w:pPr>
              <w:widowControl/>
              <w:jc w:val="right"/>
              <w:rPr>
                <w:rFonts w:hint="default" w:ascii="Nimbus Roman" w:hAnsi="Nimbus Roman" w:eastAsia="仿宋_GB2312" w:cs="Nimbus Roman"/>
                <w:kern w:val="0"/>
                <w:sz w:val="22"/>
                <w:szCs w:val="22"/>
              </w:rPr>
            </w:pPr>
          </w:p>
        </w:tc>
      </w:tr>
      <w:tr w14:paraId="2C6EB32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ED1DAAC">
            <w:pPr>
              <w:widowControl/>
              <w:jc w:val="lef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2101199</w:t>
            </w:r>
          </w:p>
        </w:tc>
        <w:tc>
          <w:tcPr>
            <w:tcW w:w="3718" w:type="dxa"/>
            <w:tcBorders>
              <w:top w:val="single" w:color="auto" w:sz="4" w:space="0"/>
              <w:left w:val="single" w:color="auto" w:sz="4" w:space="0"/>
              <w:bottom w:val="single" w:color="auto" w:sz="4" w:space="0"/>
              <w:right w:val="single" w:color="auto" w:sz="4" w:space="0"/>
            </w:tcBorders>
            <w:shd w:val="clear" w:color="auto" w:fill="auto"/>
            <w:vAlign w:val="center"/>
          </w:tcPr>
          <w:p w14:paraId="5E2B21B5">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其他行政事业单位医疗支出</w:t>
            </w:r>
          </w:p>
        </w:tc>
        <w:tc>
          <w:tcPr>
            <w:tcW w:w="2809" w:type="dxa"/>
            <w:tcBorders>
              <w:top w:val="single" w:color="auto" w:sz="4" w:space="0"/>
              <w:left w:val="single" w:color="auto" w:sz="4" w:space="0"/>
              <w:bottom w:val="single" w:color="auto" w:sz="4" w:space="0"/>
              <w:right w:val="single" w:color="auto" w:sz="4" w:space="0"/>
            </w:tcBorders>
            <w:shd w:val="clear" w:color="auto" w:fill="auto"/>
            <w:vAlign w:val="center"/>
          </w:tcPr>
          <w:p w14:paraId="761E6627">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1.80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FF8A6DE">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1.80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BC10003">
            <w:pPr>
              <w:widowControl/>
              <w:jc w:val="right"/>
              <w:rPr>
                <w:rFonts w:hint="default" w:ascii="Nimbus Roman" w:hAnsi="Nimbus Roman" w:eastAsia="仿宋_GB2312" w:cs="Nimbus Roman"/>
                <w:kern w:val="0"/>
                <w:sz w:val="22"/>
                <w:szCs w:val="22"/>
              </w:rPr>
            </w:pPr>
          </w:p>
        </w:tc>
      </w:tr>
      <w:tr w14:paraId="55229D9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BA9A456">
            <w:pPr>
              <w:widowControl/>
              <w:jc w:val="lef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2120199</w:t>
            </w:r>
          </w:p>
        </w:tc>
        <w:tc>
          <w:tcPr>
            <w:tcW w:w="3718" w:type="dxa"/>
            <w:tcBorders>
              <w:top w:val="single" w:color="auto" w:sz="4" w:space="0"/>
              <w:left w:val="single" w:color="auto" w:sz="4" w:space="0"/>
              <w:bottom w:val="single" w:color="auto" w:sz="4" w:space="0"/>
              <w:right w:val="single" w:color="auto" w:sz="4" w:space="0"/>
            </w:tcBorders>
            <w:shd w:val="clear" w:color="auto" w:fill="auto"/>
            <w:vAlign w:val="center"/>
          </w:tcPr>
          <w:p w14:paraId="63F9CD8F">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其他城乡社区管理事务支出</w:t>
            </w:r>
          </w:p>
        </w:tc>
        <w:tc>
          <w:tcPr>
            <w:tcW w:w="2809" w:type="dxa"/>
            <w:tcBorders>
              <w:top w:val="single" w:color="auto" w:sz="4" w:space="0"/>
              <w:left w:val="single" w:color="auto" w:sz="4" w:space="0"/>
              <w:bottom w:val="single" w:color="auto" w:sz="4" w:space="0"/>
              <w:right w:val="single" w:color="auto" w:sz="4" w:space="0"/>
            </w:tcBorders>
            <w:shd w:val="clear" w:color="auto" w:fill="auto"/>
            <w:vAlign w:val="center"/>
          </w:tcPr>
          <w:p w14:paraId="1A24C117">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57.00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7E9865D">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19.10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5968F72">
            <w:pPr>
              <w:widowControl/>
              <w:jc w:val="right"/>
              <w:rPr>
                <w:rFonts w:hint="default" w:ascii="Nimbus Roman" w:hAnsi="Nimbus Roman" w:eastAsia="仿宋_GB2312" w:cs="Nimbus Roman"/>
                <w:kern w:val="0"/>
                <w:sz w:val="22"/>
                <w:szCs w:val="22"/>
                <w:lang w:val="en-US" w:eastAsia="zh-CN"/>
              </w:rPr>
            </w:pPr>
            <w:r>
              <w:rPr>
                <w:rFonts w:hint="eastAsia" w:ascii="Nimbus Roman" w:hAnsi="Nimbus Roman" w:eastAsia="仿宋_GB2312" w:cs="Nimbus Roman"/>
                <w:kern w:val="0"/>
                <w:sz w:val="22"/>
                <w:szCs w:val="22"/>
                <w:lang w:val="en-US" w:eastAsia="zh-CN"/>
              </w:rPr>
              <w:t>37.90</w:t>
            </w:r>
          </w:p>
        </w:tc>
      </w:tr>
    </w:tbl>
    <w:p w14:paraId="4764013F">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FDC94CC">
      <w:pPr>
        <w:widowControl/>
        <w:jc w:val="left"/>
        <w:rPr>
          <w:rFonts w:ascii="Times New Roman" w:hAnsi="Times New Roman" w:eastAsia="仿宋_GB2312" w:cs="Times New Roman"/>
          <w:bCs/>
          <w:kern w:val="0"/>
          <w:szCs w:val="21"/>
        </w:rPr>
      </w:pPr>
    </w:p>
    <w:p w14:paraId="2F346EEC">
      <w:pPr>
        <w:widowControl/>
        <w:jc w:val="left"/>
        <w:rPr>
          <w:rFonts w:ascii="Times New Roman" w:hAnsi="Times New Roman" w:eastAsia="仿宋_GB2312" w:cs="Times New Roman"/>
          <w:bCs/>
          <w:kern w:val="0"/>
          <w:szCs w:val="21"/>
        </w:rPr>
      </w:pPr>
      <w:r>
        <w:br w:type="page"/>
      </w:r>
    </w:p>
    <w:p w14:paraId="428A4896">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4292325B">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0B9309C5">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61BD46DB">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05765E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229529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A6ED39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2B26FE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6D47D98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F54E41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3DD5ED0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CD47FE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26FE8A1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177CD1B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B1B4B8">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5A3D4C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0276D937">
            <w:pPr>
              <w:widowControl/>
              <w:jc w:val="right"/>
              <w:rPr>
                <w:rFonts w:hint="default" w:ascii="Nimbus Roman" w:hAnsi="Nimbus Roman" w:eastAsia="仿宋_GB2312" w:cs="Nimbus Roman"/>
                <w:color w:val="000000"/>
                <w:kern w:val="0"/>
                <w:szCs w:val="20"/>
                <w:lang w:val="en-US" w:eastAsia="zh-CN"/>
              </w:rPr>
            </w:pPr>
            <w:r>
              <w:rPr>
                <w:rFonts w:hint="eastAsia" w:ascii="Nimbus Roman" w:hAnsi="Nimbus Roman" w:eastAsia="仿宋_GB2312" w:cs="Nimbus Roman"/>
                <w:color w:val="000000"/>
                <w:kern w:val="0"/>
                <w:szCs w:val="20"/>
                <w:lang w:val="en-US" w:eastAsia="zh-CN"/>
              </w:rPr>
              <w:t>125.16</w:t>
            </w:r>
            <w:r>
              <w:rPr>
                <w:rFonts w:hint="default" w:ascii="Nimbus Roman" w:hAnsi="Nimbus Roman" w:eastAsia="仿宋_GB2312" w:cs="Nimbus Roman"/>
                <w:color w:val="000000"/>
                <w:kern w:val="0"/>
                <w:szCs w:val="20"/>
              </w:rPr>
              <w:t>　</w:t>
            </w:r>
            <w:r>
              <w:rPr>
                <w:rFonts w:hint="eastAsia" w:ascii="Nimbus Roman" w:hAnsi="Nimbus Roman" w:eastAsia="仿宋_GB2312" w:cs="Nimbus Roman"/>
                <w:color w:val="000000"/>
                <w:kern w:val="0"/>
                <w:szCs w:val="20"/>
                <w:lang w:val="en-US" w:eastAsia="zh-CN"/>
              </w:rPr>
              <w:t>44.23</w:t>
            </w:r>
          </w:p>
        </w:tc>
        <w:tc>
          <w:tcPr>
            <w:tcW w:w="1116" w:type="dxa"/>
            <w:tcBorders>
              <w:top w:val="nil"/>
              <w:left w:val="nil"/>
              <w:bottom w:val="single" w:color="auto" w:sz="4" w:space="0"/>
              <w:right w:val="single" w:color="auto" w:sz="4" w:space="0"/>
            </w:tcBorders>
            <w:shd w:val="clear" w:color="auto" w:fill="auto"/>
            <w:noWrap/>
            <w:vAlign w:val="center"/>
          </w:tcPr>
          <w:p w14:paraId="25F78F90">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6C37E4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6CD4E20">
            <w:pPr>
              <w:widowControl/>
              <w:jc w:val="right"/>
              <w:rPr>
                <w:rFonts w:hint="default" w:ascii="Nimbus Roman" w:hAnsi="Nimbus Roman" w:eastAsia="仿宋_GB2312" w:cs="Nimbus Roman"/>
                <w:color w:val="000000"/>
                <w:kern w:val="0"/>
                <w:szCs w:val="20"/>
                <w:lang w:val="en-US" w:eastAsia="zh-CN"/>
              </w:rPr>
            </w:pPr>
            <w:r>
              <w:rPr>
                <w:rFonts w:hint="default" w:ascii="Nimbus Roman" w:hAnsi="Nimbus Roman" w:eastAsia="仿宋_GB2312" w:cs="Nimbus Roman"/>
                <w:color w:val="000000"/>
                <w:kern w:val="0"/>
                <w:szCs w:val="20"/>
              </w:rPr>
              <w:t>　</w:t>
            </w:r>
            <w:r>
              <w:rPr>
                <w:rFonts w:hint="eastAsia" w:ascii="Nimbus Roman" w:hAnsi="Nimbus Roman" w:eastAsia="仿宋_GB2312" w:cs="Nimbus Roman"/>
                <w:color w:val="000000"/>
                <w:kern w:val="0"/>
                <w:szCs w:val="20"/>
                <w:lang w:val="en-US" w:eastAsia="zh-CN"/>
              </w:rPr>
              <w:t>19.09</w:t>
            </w:r>
          </w:p>
        </w:tc>
        <w:tc>
          <w:tcPr>
            <w:tcW w:w="1217" w:type="dxa"/>
            <w:tcBorders>
              <w:top w:val="nil"/>
              <w:left w:val="nil"/>
              <w:bottom w:val="single" w:color="auto" w:sz="4" w:space="0"/>
              <w:right w:val="single" w:color="auto" w:sz="4" w:space="0"/>
            </w:tcBorders>
            <w:shd w:val="clear" w:color="auto" w:fill="auto"/>
            <w:noWrap/>
            <w:vAlign w:val="center"/>
          </w:tcPr>
          <w:p w14:paraId="257336F8">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577309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D0C6DC9">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3251062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9A16EA">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3D4E1A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4A6184C1">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44.23</w:t>
            </w: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211C9DE">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03CF8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34B90091">
            <w:pPr>
              <w:widowControl/>
              <w:jc w:val="right"/>
              <w:rPr>
                <w:rFonts w:hint="default" w:ascii="Nimbus Roman" w:hAnsi="Nimbus Roman" w:eastAsia="仿宋_GB2312" w:cs="Nimbus Roman"/>
                <w:color w:val="000000"/>
                <w:kern w:val="0"/>
                <w:szCs w:val="20"/>
                <w:lang w:val="en-US" w:eastAsia="zh-CN"/>
              </w:rPr>
            </w:pPr>
            <w:r>
              <w:rPr>
                <w:rFonts w:hint="default" w:ascii="Nimbus Roman" w:hAnsi="Nimbus Roman" w:eastAsia="仿宋_GB2312" w:cs="Nimbus Roman"/>
                <w:color w:val="000000"/>
                <w:kern w:val="0"/>
                <w:szCs w:val="20"/>
              </w:rPr>
              <w:t>　</w:t>
            </w:r>
            <w:r>
              <w:rPr>
                <w:rFonts w:hint="eastAsia" w:ascii="Nimbus Roman" w:hAnsi="Nimbus Roman" w:eastAsia="仿宋_GB2312" w:cs="Nimbus Roman"/>
                <w:color w:val="000000"/>
                <w:kern w:val="0"/>
                <w:szCs w:val="20"/>
                <w:lang w:val="en-US" w:eastAsia="zh-CN"/>
              </w:rPr>
              <w:t>3.37</w:t>
            </w:r>
          </w:p>
        </w:tc>
        <w:tc>
          <w:tcPr>
            <w:tcW w:w="1217" w:type="dxa"/>
            <w:tcBorders>
              <w:top w:val="nil"/>
              <w:left w:val="nil"/>
              <w:bottom w:val="single" w:color="auto" w:sz="4" w:space="0"/>
              <w:right w:val="single" w:color="auto" w:sz="4" w:space="0"/>
            </w:tcBorders>
            <w:shd w:val="clear" w:color="auto" w:fill="auto"/>
            <w:noWrap/>
            <w:vAlign w:val="center"/>
          </w:tcPr>
          <w:p w14:paraId="3E8D879F">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63FEA4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34D7AAF">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2585E9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51B22B">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6F88D6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46701E41">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28.48</w:t>
            </w: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9186B9B">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715DAE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5115762D">
            <w:pPr>
              <w:widowControl/>
              <w:jc w:val="right"/>
              <w:rPr>
                <w:rFonts w:hint="default" w:ascii="Nimbus Roman" w:hAnsi="Nimbus Roman" w:eastAsia="仿宋_GB2312" w:cs="Nimbus Roman"/>
                <w:color w:val="000000"/>
                <w:kern w:val="0"/>
                <w:szCs w:val="20"/>
                <w:lang w:val="en-US" w:eastAsia="zh-CN"/>
              </w:rPr>
            </w:pPr>
            <w:r>
              <w:rPr>
                <w:rFonts w:hint="default" w:ascii="Nimbus Roman" w:hAnsi="Nimbus Roman" w:eastAsia="仿宋_GB2312" w:cs="Nimbus Roman"/>
                <w:color w:val="000000"/>
                <w:kern w:val="0"/>
                <w:szCs w:val="20"/>
              </w:rPr>
              <w:t>　</w:t>
            </w:r>
            <w:r>
              <w:rPr>
                <w:rFonts w:hint="eastAsia" w:ascii="Nimbus Roman" w:hAnsi="Nimbus Roman" w:eastAsia="仿宋_GB2312" w:cs="Nimbus Roman"/>
                <w:color w:val="000000"/>
                <w:kern w:val="0"/>
                <w:szCs w:val="20"/>
                <w:lang w:val="en-US" w:eastAsia="zh-CN"/>
              </w:rPr>
              <w:t>5.66</w:t>
            </w:r>
          </w:p>
        </w:tc>
        <w:tc>
          <w:tcPr>
            <w:tcW w:w="1217" w:type="dxa"/>
            <w:tcBorders>
              <w:top w:val="nil"/>
              <w:left w:val="nil"/>
              <w:bottom w:val="single" w:color="auto" w:sz="4" w:space="0"/>
              <w:right w:val="single" w:color="auto" w:sz="4" w:space="0"/>
            </w:tcBorders>
            <w:shd w:val="clear" w:color="auto" w:fill="auto"/>
            <w:noWrap/>
            <w:vAlign w:val="center"/>
          </w:tcPr>
          <w:p w14:paraId="284A0640">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543991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C8555DB">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77F8200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017DDA">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74DE1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2F917F5A">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6.18</w:t>
            </w: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519E704">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7FC5EE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1AFAC4F9">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BD2CC63">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2C8A0B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3C7C3FB6">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0.77</w:t>
            </w:r>
            <w:r>
              <w:rPr>
                <w:rFonts w:hint="default" w:ascii="Nimbus Roman" w:hAnsi="Nimbus Roman" w:eastAsia="仿宋_GB2312" w:cs="Nimbus Roman"/>
                <w:color w:val="000000"/>
                <w:kern w:val="0"/>
                <w:szCs w:val="20"/>
              </w:rPr>
              <w:t>　</w:t>
            </w:r>
          </w:p>
        </w:tc>
      </w:tr>
      <w:tr w14:paraId="6CEF891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AC0E1B">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2E724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1204BCB9">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0.73</w:t>
            </w: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0AF37B9">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0033F5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163CEC9">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104915F">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1BDF19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7386740E">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45113F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E4F3C0">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5EF3CA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38F09C9E">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12.42</w:t>
            </w: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BEB9855">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3A4FA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2F245922">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C66DB63">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4FF89C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44DA50A6">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0.77</w:t>
            </w:r>
            <w:r>
              <w:rPr>
                <w:rFonts w:hint="default" w:ascii="Nimbus Roman" w:hAnsi="Nimbus Roman" w:eastAsia="仿宋_GB2312" w:cs="Nimbus Roman"/>
                <w:color w:val="000000"/>
                <w:kern w:val="0"/>
                <w:szCs w:val="20"/>
              </w:rPr>
              <w:t>　</w:t>
            </w:r>
          </w:p>
        </w:tc>
      </w:tr>
      <w:tr w14:paraId="7BFAC24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050116">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7E4D6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665B4193">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12.08</w:t>
            </w: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E76B8AA">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545AFF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078656D6">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53C3911">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73B45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60AAF947">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2FF89BB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B88F8D">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17D394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1FD72782">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50199DF">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5EF50B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53ACDDB">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C0CFA22">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1A565B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77B6BEC">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5DDB96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EF55A3">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249FB8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12A62E83">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9.06</w:t>
            </w: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2CDC1B3">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2BEC7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73CFBB6B">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EFB9D94">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1A997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515DEF44">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2CBA73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15608B">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70BBAE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306BD50D">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BBBE6B2">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2922DF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52A8CC1A">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E0D15F1">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CF249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172D2095">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422BC9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EBB4E8">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1BF5A3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2B5498FD">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11.14</w:t>
            </w: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3A8F2C7">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31F485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1CBA0C91">
            <w:pPr>
              <w:widowControl/>
              <w:jc w:val="right"/>
              <w:rPr>
                <w:rFonts w:hint="default" w:ascii="Nimbus Roman" w:hAnsi="Nimbus Roman" w:eastAsia="仿宋_GB2312" w:cs="Nimbus Roman"/>
                <w:color w:val="000000"/>
                <w:kern w:val="0"/>
                <w:szCs w:val="20"/>
                <w:lang w:val="en-US" w:eastAsia="zh-CN"/>
              </w:rPr>
            </w:pPr>
            <w:r>
              <w:rPr>
                <w:rFonts w:hint="default" w:ascii="Nimbus Roman" w:hAnsi="Nimbus Roman" w:eastAsia="仿宋_GB2312" w:cs="Nimbus Roman"/>
                <w:color w:val="000000"/>
                <w:kern w:val="0"/>
                <w:szCs w:val="20"/>
              </w:rPr>
              <w:t>　</w:t>
            </w:r>
            <w:r>
              <w:rPr>
                <w:rFonts w:hint="eastAsia" w:ascii="Nimbus Roman" w:hAnsi="Nimbus Roman" w:eastAsia="仿宋_GB2312" w:cs="Nimbus Roman"/>
                <w:color w:val="000000"/>
                <w:kern w:val="0"/>
                <w:szCs w:val="20"/>
                <w:lang w:val="en-US" w:eastAsia="zh-CN"/>
              </w:rPr>
              <w:t>4.29</w:t>
            </w:r>
          </w:p>
        </w:tc>
        <w:tc>
          <w:tcPr>
            <w:tcW w:w="1217" w:type="dxa"/>
            <w:tcBorders>
              <w:top w:val="nil"/>
              <w:left w:val="nil"/>
              <w:bottom w:val="single" w:color="auto" w:sz="4" w:space="0"/>
              <w:right w:val="single" w:color="auto" w:sz="4" w:space="0"/>
            </w:tcBorders>
            <w:shd w:val="clear" w:color="auto" w:fill="auto"/>
            <w:noWrap/>
            <w:vAlign w:val="center"/>
          </w:tcPr>
          <w:p w14:paraId="20547C33">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3D3DA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50E90CF8">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1B55A5E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97060F">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4B0CA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795331D4">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0.46</w:t>
            </w: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9D23FD8">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78F746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1544C589">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9DEC7ED">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6B8BF4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109C8F9">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1CF170F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610E73">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769E11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52D7107C">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C5A87AC">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3FEFC6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461B49DA">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6463A35">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7F3367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1980B20F">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7F79942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8F5392">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63BF6E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44061D08">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0.39</w:t>
            </w: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8A1D95C">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122751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1DC13A25">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3E6B41B">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6FD550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76EDAB7">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35AF9F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D64E4B">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7E92D3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5872290">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B3FFA82">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60F438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110FE2A6">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0.28</w:t>
            </w: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48719AD">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3CF300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620DEFD7">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1DFBA8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56DFF5">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528FFC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23B07A9C">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1BD611">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0D7BC4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7330B959">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0.07</w:t>
            </w: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1C1E92E">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42CF2A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0C3BB9A4">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26E0EFF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6D1150">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60DBB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51DF3F1C">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3D9ADAC">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15FA8B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72FAE11E">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0CE67D4">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693D71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1C43B854">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1392EA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58738D">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55BDD0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683D650B">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E33A855">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477597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EEE7546">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B1C11D9">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644D55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38ACC313">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5D24F1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3BD147">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688B37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2BA929A5">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C740BE8">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34F34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0741C5D">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534F469">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4950AC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2180050F">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1A3E5BE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AF63F7">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20652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4C9F02D3">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9BD5AC1">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4EB7D8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B738542">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2C50683">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21555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1B05ABB2">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0C83FA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84EAF5">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477EA2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03E8A424">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AFFA381">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6F2337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1F9A335">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DB51A37">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45541B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13631AA4">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380BC3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1FF584">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2B7D15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7FF47F53">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4AB1F4C">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FB57E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6459C1E">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80C1F83">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6DB356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3FE51918">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715A908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54800E">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2CE0F7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3CA66627">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84DD796">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546BBF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5867791E">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5.13</w:t>
            </w: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597079B">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B295E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25FBECB3">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52CD06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702A53">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9F485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5266A72F">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199DA7A">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75B9D4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5439B2EC">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95187E4">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D632A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447D2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CA59E16">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90D686E">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F47FC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122D3B97">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17055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41DFF349">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0140BC21">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525A1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0DD9B424">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70FF3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7E25BD43">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E0C2DFB">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0885B0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042745">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F5DEA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1788B7A1">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8D6FDD5">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123ACC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795B7A4">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29C8996">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E4971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0CB00904">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0355EC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CB65F3">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6D498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1C57AA52">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DAEF6F8">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49505D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40F32838">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164EE1C">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0F0CC9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4ADBF5F">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573B454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D351DC">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7B452F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5802FA7">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D02F165">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367915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607814EE">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BC00534">
            <w:pPr>
              <w:widowControl/>
              <w:jc w:val="left"/>
              <w:rPr>
                <w:rFonts w:hint="default" w:ascii="Nimbus Roman" w:hAnsi="Nimbus Roman" w:eastAsia="仿宋_GB2312" w:cs="Nimbus Roman"/>
                <w:color w:val="000000"/>
                <w:kern w:val="0"/>
                <w:szCs w:val="18"/>
              </w:rPr>
            </w:pPr>
            <w:r>
              <w:rPr>
                <w:rFonts w:hint="default" w:ascii="Nimbus Roman" w:hAnsi="Nimbus Roman" w:eastAsia="仿宋_GB2312" w:cs="Nimbus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145804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E71C4B4">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136896A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BF9B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6C306C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674E928B">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451BCB2">
            <w:pPr>
              <w:widowControl/>
              <w:jc w:val="lef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4C4A0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14A5880">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0.29</w:t>
            </w:r>
            <w:r>
              <w:rPr>
                <w:rFonts w:hint="default" w:ascii="Nimbus Roman" w:hAnsi="Nimbus Roman" w:eastAsia="仿宋_GB2312" w:cs="Nimbus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3B08E57">
            <w:pPr>
              <w:widowControl/>
              <w:jc w:val="left"/>
              <w:rPr>
                <w:rFonts w:hint="default" w:ascii="Nimbus Roman" w:hAnsi="Nimbus Roman" w:eastAsia="仿宋_GB2312" w:cs="Nimbus Roman"/>
                <w:color w:val="000000"/>
                <w:kern w:val="0"/>
                <w:szCs w:val="18"/>
              </w:rPr>
            </w:pPr>
            <w:r>
              <w:rPr>
                <w:rFonts w:hint="default" w:ascii="Nimbus Roman" w:hAnsi="Nimbus Roman" w:eastAsia="仿宋_GB2312" w:cs="Nimbus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A0FD62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91F4338">
            <w:pPr>
              <w:widowControl/>
              <w:jc w:val="right"/>
              <w:rPr>
                <w:rFonts w:hint="default" w:ascii="Nimbus Roman" w:hAnsi="Nimbus Roman" w:eastAsia="仿宋_GB2312" w:cs="Nimbus Roman"/>
                <w:color w:val="000000"/>
                <w:kern w:val="0"/>
                <w:szCs w:val="20"/>
              </w:rPr>
            </w:pPr>
            <w:r>
              <w:rPr>
                <w:rFonts w:hint="default" w:ascii="Nimbus Roman" w:hAnsi="Nimbus Roman" w:eastAsia="仿宋_GB2312" w:cs="Nimbus Roman"/>
                <w:color w:val="000000"/>
                <w:kern w:val="0"/>
                <w:szCs w:val="20"/>
              </w:rPr>
              <w:t>　</w:t>
            </w:r>
          </w:p>
        </w:tc>
      </w:tr>
      <w:tr w14:paraId="5FFA2C87">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6E2100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273CD872">
            <w:pPr>
              <w:widowControl/>
              <w:jc w:val="right"/>
              <w:rPr>
                <w:rFonts w:hint="default" w:ascii="Nimbus Roman" w:hAnsi="Nimbus Roman" w:eastAsia="仿宋_GB2312" w:cs="Nimbus Roman"/>
                <w:color w:val="000000"/>
                <w:kern w:val="0"/>
                <w:szCs w:val="20"/>
              </w:rPr>
            </w:pPr>
            <w:r>
              <w:rPr>
                <w:rFonts w:hint="eastAsia" w:ascii="Nimbus Roman" w:hAnsi="Nimbus Roman" w:eastAsia="仿宋_GB2312" w:cs="Nimbus Roman"/>
                <w:color w:val="000000"/>
                <w:kern w:val="0"/>
                <w:szCs w:val="20"/>
                <w:lang w:val="en-US" w:eastAsia="zh-CN"/>
              </w:rPr>
              <w:t>125.16</w:t>
            </w:r>
            <w:r>
              <w:rPr>
                <w:rFonts w:hint="default" w:ascii="Nimbus Roman" w:hAnsi="Nimbus Roman" w:eastAsia="仿宋_GB2312" w:cs="Nimbus Roman"/>
                <w:color w:val="000000"/>
                <w:kern w:val="0"/>
                <w:szCs w:val="20"/>
              </w:rPr>
              <w:t>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75C672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3F9B1580">
            <w:pPr>
              <w:widowControl/>
              <w:jc w:val="right"/>
              <w:rPr>
                <w:rFonts w:hint="default" w:ascii="Nimbus Roman" w:hAnsi="Nimbus Roman" w:eastAsia="仿宋_GB2312" w:cs="Nimbus Roman"/>
                <w:color w:val="000000"/>
                <w:kern w:val="0"/>
                <w:szCs w:val="18"/>
              </w:rPr>
            </w:pPr>
            <w:r>
              <w:rPr>
                <w:rFonts w:hint="eastAsia" w:ascii="Nimbus Roman" w:hAnsi="Nimbus Roman" w:eastAsia="仿宋_GB2312" w:cs="Nimbus Roman"/>
                <w:color w:val="000000"/>
                <w:kern w:val="0"/>
                <w:szCs w:val="18"/>
                <w:lang w:val="en-US" w:eastAsia="zh-CN"/>
              </w:rPr>
              <w:t>19.86</w:t>
            </w:r>
            <w:r>
              <w:rPr>
                <w:rFonts w:hint="default" w:ascii="Nimbus Roman" w:hAnsi="Nimbus Roman" w:eastAsia="仿宋_GB2312" w:cs="Nimbus Roman"/>
                <w:color w:val="000000"/>
                <w:kern w:val="0"/>
                <w:szCs w:val="18"/>
              </w:rPr>
              <w:t>　</w:t>
            </w:r>
          </w:p>
        </w:tc>
      </w:tr>
    </w:tbl>
    <w:p w14:paraId="4247B2D3">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9C01162">
      <w:pPr>
        <w:widowControl/>
        <w:spacing w:line="400" w:lineRule="exact"/>
        <w:jc w:val="center"/>
        <w:textAlignment w:val="center"/>
        <w:rPr>
          <w:rFonts w:ascii="Times New Roman" w:hAnsi="Times New Roman" w:eastAsia="仿宋_GB2312" w:cs="Times New Roman"/>
          <w:color w:val="000000"/>
          <w:kern w:val="0"/>
          <w:sz w:val="32"/>
          <w:szCs w:val="32"/>
        </w:rPr>
      </w:pPr>
    </w:p>
    <w:p w14:paraId="6BEFA4FB">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62DB1F8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w:t>
      </w:r>
      <w:r>
        <w:rPr>
          <w:rFonts w:hint="default" w:ascii="Nimbus Roman" w:hAnsi="Nimbus Roman" w:eastAsia="仿宋_GB2312" w:cs="Nimbus Roman"/>
          <w:color w:val="000000"/>
          <w:kern w:val="0"/>
          <w:sz w:val="20"/>
          <w:szCs w:val="20"/>
        </w:rPr>
        <w:t>07</w:t>
      </w:r>
      <w:r>
        <w:rPr>
          <w:rFonts w:ascii="Times New Roman" w:hAnsi="Times New Roman" w:eastAsia="仿宋_GB2312" w:cs="Times New Roman"/>
          <w:color w:val="000000"/>
          <w:kern w:val="0"/>
          <w:sz w:val="20"/>
          <w:szCs w:val="20"/>
        </w:rPr>
        <w:t>表</w:t>
      </w:r>
    </w:p>
    <w:p w14:paraId="0459FDFC">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中共会同县委社会工作部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0DC5BC7">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80059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7"/>
                <w:rFonts w:hint="default" w:ascii="Times New Roman" w:hAnsi="Times New Roman" w:eastAsia="仿宋_GB2312" w:cs="Times New Roman"/>
                <w:b/>
                <w:bCs/>
              </w:rPr>
              <w:t xml:space="preserve">   </w:t>
            </w:r>
            <w:r>
              <w:rPr>
                <w:rStyle w:val="18"/>
                <w:rFonts w:hint="default" w:ascii="Times New Roman" w:hAnsi="Times New Roman" w:eastAsia="仿宋_GB2312" w:cs="Times New Roman"/>
                <w:b/>
                <w:bCs/>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3E46D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E26868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E25C84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80F0A1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6E08ED5C">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1E8C6D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0DCEA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2F189C">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1417E2">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CDF92F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83CA0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1B29DB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9D00F4">
            <w:pPr>
              <w:widowControl/>
              <w:jc w:val="center"/>
              <w:rPr>
                <w:rFonts w:ascii="Times New Roman" w:hAnsi="Times New Roman" w:eastAsia="仿宋_GB2312" w:cs="Times New Roman"/>
                <w:color w:val="000000"/>
                <w:sz w:val="24"/>
                <w:szCs w:val="24"/>
              </w:rPr>
            </w:pPr>
          </w:p>
        </w:tc>
      </w:tr>
      <w:tr w14:paraId="6CC343EB">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64161C">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C8ACD0">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68EB32">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3510D3">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1A244C">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CC6393">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2793D3">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5E97E1">
            <w:pPr>
              <w:jc w:val="center"/>
              <w:rPr>
                <w:rFonts w:ascii="Times New Roman" w:hAnsi="Times New Roman" w:eastAsia="仿宋_GB2312" w:cs="Times New Roman"/>
                <w:color w:val="000000"/>
                <w:sz w:val="24"/>
                <w:szCs w:val="24"/>
              </w:rPr>
            </w:pPr>
          </w:p>
        </w:tc>
      </w:tr>
      <w:tr w14:paraId="6881ACAB">
        <w:tblPrEx>
          <w:tblCellMar>
            <w:top w:w="0" w:type="dxa"/>
            <w:left w:w="108" w:type="dxa"/>
            <w:bottom w:w="0" w:type="dxa"/>
            <w:right w:w="108" w:type="dxa"/>
          </w:tblCellMar>
        </w:tblPrEx>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9ACEEF">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CA359F">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AC4997">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CAAEB2">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7889C8">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302E30">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B9EF1B">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27E6C3">
            <w:pPr>
              <w:jc w:val="center"/>
              <w:rPr>
                <w:rFonts w:ascii="Times New Roman" w:hAnsi="Times New Roman" w:eastAsia="仿宋_GB2312" w:cs="Times New Roman"/>
                <w:color w:val="000000"/>
                <w:sz w:val="24"/>
                <w:szCs w:val="24"/>
              </w:rPr>
            </w:pPr>
          </w:p>
        </w:tc>
      </w:tr>
      <w:tr w14:paraId="55687BAE">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A0F8F1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BE6B5F1">
            <w:pPr>
              <w:widowControl/>
              <w:jc w:val="center"/>
              <w:textAlignment w:val="center"/>
              <w:rPr>
                <w:rFonts w:hint="default" w:ascii="Nimbus Roman" w:hAnsi="Nimbus Roman" w:eastAsia="仿宋_GB2312" w:cs="Nimbus Roman"/>
                <w:color w:val="000000"/>
                <w:sz w:val="24"/>
                <w:szCs w:val="24"/>
              </w:rPr>
            </w:pPr>
            <w:r>
              <w:rPr>
                <w:rFonts w:hint="default" w:ascii="Nimbus Roman" w:hAnsi="Nimbus Roman" w:eastAsia="仿宋_GB2312" w:cs="Nimbus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41D8FE08">
            <w:pPr>
              <w:widowControl/>
              <w:jc w:val="center"/>
              <w:textAlignment w:val="center"/>
              <w:rPr>
                <w:rFonts w:hint="default" w:ascii="Nimbus Roman" w:hAnsi="Nimbus Roman" w:eastAsia="仿宋_GB2312" w:cs="Nimbus Roman"/>
                <w:color w:val="000000"/>
                <w:sz w:val="24"/>
                <w:szCs w:val="24"/>
              </w:rPr>
            </w:pPr>
            <w:r>
              <w:rPr>
                <w:rFonts w:hint="default" w:ascii="Nimbus Roman" w:hAnsi="Nimbus Roman" w:eastAsia="仿宋_GB2312" w:cs="Nimbus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E863199">
            <w:pPr>
              <w:widowControl/>
              <w:jc w:val="center"/>
              <w:textAlignment w:val="center"/>
              <w:rPr>
                <w:rFonts w:hint="default" w:ascii="Nimbus Roman" w:hAnsi="Nimbus Roman" w:eastAsia="仿宋_GB2312" w:cs="Nimbus Roman"/>
                <w:color w:val="000000"/>
                <w:sz w:val="24"/>
                <w:szCs w:val="24"/>
              </w:rPr>
            </w:pPr>
            <w:r>
              <w:rPr>
                <w:rFonts w:hint="default" w:ascii="Nimbus Roman" w:hAnsi="Nimbus Roman" w:eastAsia="仿宋_GB2312" w:cs="Nimbus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3D639753">
            <w:pPr>
              <w:widowControl/>
              <w:jc w:val="center"/>
              <w:textAlignment w:val="center"/>
              <w:rPr>
                <w:rFonts w:hint="default" w:ascii="Nimbus Roman" w:hAnsi="Nimbus Roman" w:eastAsia="仿宋_GB2312" w:cs="Nimbus Roman"/>
                <w:color w:val="000000"/>
                <w:sz w:val="24"/>
                <w:szCs w:val="24"/>
              </w:rPr>
            </w:pPr>
            <w:r>
              <w:rPr>
                <w:rFonts w:hint="default" w:ascii="Nimbus Roman" w:hAnsi="Nimbus Roman" w:eastAsia="仿宋_GB2312" w:cs="Nimbus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B059B37">
            <w:pPr>
              <w:widowControl/>
              <w:jc w:val="center"/>
              <w:textAlignment w:val="center"/>
              <w:rPr>
                <w:rFonts w:hint="default" w:ascii="Nimbus Roman" w:hAnsi="Nimbus Roman" w:eastAsia="仿宋_GB2312" w:cs="Nimbus Roman"/>
                <w:color w:val="000000"/>
                <w:sz w:val="24"/>
                <w:szCs w:val="24"/>
              </w:rPr>
            </w:pPr>
            <w:r>
              <w:rPr>
                <w:rFonts w:hint="default" w:ascii="Nimbus Roman" w:hAnsi="Nimbus Roman" w:eastAsia="仿宋_GB2312" w:cs="Nimbus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A946733">
            <w:pPr>
              <w:widowControl/>
              <w:jc w:val="center"/>
              <w:textAlignment w:val="center"/>
              <w:rPr>
                <w:rFonts w:hint="default" w:ascii="Nimbus Roman" w:hAnsi="Nimbus Roman" w:eastAsia="仿宋_GB2312" w:cs="Nimbus Roman"/>
                <w:color w:val="000000"/>
                <w:sz w:val="24"/>
                <w:szCs w:val="24"/>
              </w:rPr>
            </w:pPr>
            <w:r>
              <w:rPr>
                <w:rFonts w:hint="default" w:ascii="Nimbus Roman" w:hAnsi="Nimbus Roman" w:eastAsia="仿宋_GB2312" w:cs="Nimbus Roman"/>
                <w:color w:val="000000"/>
                <w:kern w:val="0"/>
                <w:sz w:val="24"/>
                <w:szCs w:val="24"/>
              </w:rPr>
              <w:t>6</w:t>
            </w:r>
          </w:p>
        </w:tc>
      </w:tr>
      <w:tr w14:paraId="78E54B6A">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4A5E3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379D719">
            <w:pPr>
              <w:jc w:val="cente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3368912">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3AC159A">
            <w:pPr>
              <w:jc w:val="cente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2DBDBAE9">
            <w:pPr>
              <w:jc w:val="cente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2266E2A">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A1561D3">
            <w:pPr>
              <w:jc w:val="center"/>
              <w:rPr>
                <w:rFonts w:ascii="Times New Roman" w:hAnsi="Times New Roman" w:eastAsia="仿宋_GB2312" w:cs="Times New Roman"/>
                <w:color w:val="000000"/>
                <w:sz w:val="24"/>
                <w:szCs w:val="24"/>
              </w:rPr>
            </w:pPr>
          </w:p>
        </w:tc>
      </w:tr>
      <w:tr w14:paraId="332D6F24">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49862E82">
            <w:pPr>
              <w:jc w:val="center"/>
              <w:rPr>
                <w:rFonts w:hint="eastAsia" w:ascii="方正仿宋_GBK" w:hAnsi="方正仿宋_GBK" w:eastAsia="方正仿宋_GBK" w:cs="方正仿宋_GBK"/>
                <w:color w:val="000000"/>
                <w:sz w:val="22"/>
                <w:szCs w:val="22"/>
                <w:lang w:eastAsia="zh-CN"/>
              </w:rPr>
            </w:pPr>
            <w:r>
              <w:rPr>
                <w:rFonts w:hint="eastAsia" w:ascii="方正仿宋_GBK" w:hAnsi="方正仿宋_GBK" w:eastAsia="方正仿宋_GBK" w:cs="方正仿宋_GBK"/>
                <w:color w:val="000000"/>
                <w:sz w:val="22"/>
                <w:szCs w:val="22"/>
                <w:lang w:eastAsia="zh-CN"/>
              </w:rPr>
              <w:t>无</w:t>
            </w: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26815796">
            <w:pPr>
              <w:rPr>
                <w:rFonts w:hint="eastAsia" w:ascii="方正仿宋_GBK" w:hAnsi="方正仿宋_GBK" w:eastAsia="方正仿宋_GBK" w:cs="方正仿宋_GBK"/>
                <w:color w:val="000000"/>
                <w:sz w:val="22"/>
                <w:szCs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D103CAA">
            <w:pPr>
              <w:rPr>
                <w:rFonts w:hint="eastAsia" w:ascii="方正仿宋_GBK" w:hAnsi="方正仿宋_GBK" w:eastAsia="方正仿宋_GBK" w:cs="方正仿宋_GBK"/>
                <w:color w:val="000000"/>
                <w:sz w:val="22"/>
                <w:szCs w:val="22"/>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6A924096">
            <w:pPr>
              <w:rPr>
                <w:rFonts w:hint="eastAsia" w:ascii="方正仿宋_GBK" w:hAnsi="方正仿宋_GBK" w:eastAsia="方正仿宋_GBK" w:cs="方正仿宋_GBK"/>
                <w:color w:val="000000"/>
                <w:sz w:val="22"/>
                <w:szCs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26DAEF1">
            <w:pPr>
              <w:rPr>
                <w:rFonts w:hint="eastAsia" w:ascii="方正仿宋_GBK" w:hAnsi="方正仿宋_GBK" w:eastAsia="方正仿宋_GBK" w:cs="方正仿宋_GBK"/>
                <w:color w:val="000000"/>
                <w:sz w:val="22"/>
                <w:szCs w:val="22"/>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AC23E65">
            <w:pPr>
              <w:rPr>
                <w:rFonts w:hint="eastAsia" w:ascii="方正仿宋_GBK" w:hAnsi="方正仿宋_GBK" w:eastAsia="方正仿宋_GBK" w:cs="方正仿宋_GBK"/>
                <w:color w:val="000000"/>
                <w:sz w:val="22"/>
                <w:szCs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95E5F5A">
            <w:pPr>
              <w:rPr>
                <w:rFonts w:hint="eastAsia" w:ascii="方正仿宋_GBK" w:hAnsi="方正仿宋_GBK" w:eastAsia="方正仿宋_GBK" w:cs="方正仿宋_GBK"/>
                <w:color w:val="000000"/>
                <w:sz w:val="22"/>
                <w:szCs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2E05CA6">
            <w:pPr>
              <w:rPr>
                <w:rFonts w:hint="eastAsia" w:ascii="方正仿宋_GBK" w:hAnsi="方正仿宋_GBK" w:eastAsia="方正仿宋_GBK" w:cs="方正仿宋_GBK"/>
                <w:color w:val="000000"/>
                <w:sz w:val="22"/>
                <w:szCs w:val="22"/>
              </w:rPr>
            </w:pPr>
          </w:p>
        </w:tc>
      </w:tr>
      <w:tr w14:paraId="67827848">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603FDE92">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6F252883">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8B4B963">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4BF469A">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1339264">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3D125ADD">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CCA0F4E">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07BCA99">
            <w:pPr>
              <w:rPr>
                <w:rFonts w:ascii="Times New Roman" w:hAnsi="Times New Roman" w:eastAsia="仿宋_GB2312" w:cs="Times New Roman"/>
                <w:color w:val="000000"/>
                <w:sz w:val="24"/>
                <w:szCs w:val="24"/>
              </w:rPr>
            </w:pPr>
          </w:p>
        </w:tc>
      </w:tr>
      <w:tr w14:paraId="044577E1">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267606E8">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7246C372">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47CCCDF">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0E1E9DC">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32E84F0">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21C8A164">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1CF5668">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CBF0C71">
            <w:pPr>
              <w:rPr>
                <w:rFonts w:ascii="Times New Roman" w:hAnsi="Times New Roman" w:eastAsia="仿宋_GB2312" w:cs="Times New Roman"/>
                <w:color w:val="000000"/>
                <w:sz w:val="24"/>
                <w:szCs w:val="24"/>
              </w:rPr>
            </w:pPr>
          </w:p>
        </w:tc>
      </w:tr>
      <w:tr w14:paraId="564DEC4F">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781BE285">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70F3A171">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DFC10B2">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6E09E44">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4A3D0FD">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2E298AB">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ED3F2DB">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3681DCA">
            <w:pPr>
              <w:rPr>
                <w:rFonts w:ascii="Times New Roman" w:hAnsi="Times New Roman" w:eastAsia="仿宋_GB2312" w:cs="Times New Roman"/>
                <w:color w:val="000000"/>
                <w:sz w:val="24"/>
                <w:szCs w:val="24"/>
              </w:rPr>
            </w:pPr>
          </w:p>
        </w:tc>
      </w:tr>
      <w:tr w14:paraId="1D78F666">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3C4831B4">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74F34B68">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D047578">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4801456">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6583B71">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F5B5BCF">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D399175">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A86454D">
            <w:pPr>
              <w:rPr>
                <w:rFonts w:ascii="Times New Roman" w:hAnsi="Times New Roman" w:eastAsia="仿宋_GB2312" w:cs="Times New Roman"/>
                <w:color w:val="000000"/>
                <w:sz w:val="24"/>
                <w:szCs w:val="24"/>
              </w:rPr>
            </w:pPr>
          </w:p>
        </w:tc>
      </w:tr>
      <w:tr w14:paraId="31B5FA4B">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22CAD11E">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2465C4EF">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0B62428">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2E992B7">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5A31BDC">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67A61EB2">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2FC1B4F">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ED59B92">
            <w:pPr>
              <w:rPr>
                <w:rFonts w:ascii="Times New Roman" w:hAnsi="Times New Roman" w:eastAsia="仿宋_GB2312" w:cs="Times New Roman"/>
                <w:color w:val="000000"/>
                <w:sz w:val="24"/>
                <w:szCs w:val="24"/>
              </w:rPr>
            </w:pPr>
          </w:p>
        </w:tc>
      </w:tr>
    </w:tbl>
    <w:p w14:paraId="1DAB878D">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18B90F59">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14:paraId="32DF1AEF">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9D1C13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w:t>
      </w:r>
      <w:r>
        <w:rPr>
          <w:rFonts w:hint="default" w:ascii="Nimbus Roman" w:hAnsi="Nimbus Roman" w:eastAsia="仿宋_GB2312" w:cs="Nimbus Roman"/>
          <w:color w:val="000000"/>
          <w:kern w:val="0"/>
          <w:sz w:val="20"/>
          <w:szCs w:val="20"/>
        </w:rPr>
        <w:t>08</w:t>
      </w:r>
      <w:r>
        <w:rPr>
          <w:rFonts w:ascii="Times New Roman" w:hAnsi="Times New Roman" w:eastAsia="仿宋_GB2312" w:cs="Times New Roman"/>
          <w:color w:val="000000"/>
          <w:kern w:val="0"/>
          <w:sz w:val="20"/>
          <w:szCs w:val="20"/>
        </w:rPr>
        <w:t>表</w:t>
      </w:r>
    </w:p>
    <w:p w14:paraId="41FE8BEA">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中共会同县委社会工作部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96B22EE">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F2DD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9"/>
                <w:rFonts w:hint="default" w:ascii="Times New Roman" w:hAnsi="Times New Roman" w:eastAsia="仿宋_GB2312" w:cs="Times New Roman"/>
                <w:b/>
                <w:bCs/>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1955C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3C6BFF31">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C9D6E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324A4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7EF23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940C8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65B4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4DCEBC51">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593B2E">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3A1EC3">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ABF270">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EB86E5E">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FE6C56">
            <w:pPr>
              <w:jc w:val="center"/>
              <w:rPr>
                <w:rFonts w:ascii="Times New Roman" w:hAnsi="Times New Roman" w:eastAsia="仿宋_GB2312" w:cs="Times New Roman"/>
                <w:color w:val="000000"/>
                <w:sz w:val="24"/>
                <w:szCs w:val="24"/>
              </w:rPr>
            </w:pPr>
          </w:p>
        </w:tc>
      </w:tr>
      <w:tr w14:paraId="0C6F4BFD">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5250E4">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B05148">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CE6351">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6C68C1">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01692D">
            <w:pPr>
              <w:jc w:val="center"/>
              <w:rPr>
                <w:rFonts w:ascii="Times New Roman" w:hAnsi="Times New Roman" w:eastAsia="仿宋_GB2312" w:cs="Times New Roman"/>
                <w:color w:val="000000"/>
                <w:sz w:val="24"/>
                <w:szCs w:val="24"/>
              </w:rPr>
            </w:pPr>
          </w:p>
        </w:tc>
      </w:tr>
      <w:tr w14:paraId="0CA8B0A7">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20E958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16774F62">
            <w:pPr>
              <w:widowControl/>
              <w:jc w:val="center"/>
              <w:textAlignment w:val="center"/>
              <w:rPr>
                <w:rFonts w:hint="default" w:ascii="Nimbus Roman" w:hAnsi="Nimbus Roman" w:eastAsia="仿宋_GB2312" w:cs="Nimbus Roman"/>
                <w:color w:val="000000"/>
                <w:sz w:val="24"/>
                <w:szCs w:val="24"/>
              </w:rPr>
            </w:pPr>
            <w:r>
              <w:rPr>
                <w:rFonts w:hint="default" w:ascii="Nimbus Roman" w:hAnsi="Nimbus Roman" w:eastAsia="仿宋_GB2312" w:cs="Nimbus Roman"/>
                <w:color w:val="000000"/>
                <w:kern w:val="0"/>
                <w:sz w:val="24"/>
                <w:szCs w:val="24"/>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66F3B6A">
            <w:pPr>
              <w:widowControl/>
              <w:jc w:val="center"/>
              <w:textAlignment w:val="center"/>
              <w:rPr>
                <w:rFonts w:hint="default" w:ascii="Nimbus Roman" w:hAnsi="Nimbus Roman" w:eastAsia="仿宋_GB2312" w:cs="Nimbus Roman"/>
                <w:color w:val="000000"/>
                <w:sz w:val="24"/>
                <w:szCs w:val="24"/>
              </w:rPr>
            </w:pPr>
            <w:r>
              <w:rPr>
                <w:rFonts w:hint="default" w:ascii="Nimbus Roman" w:hAnsi="Nimbus Roman" w:eastAsia="仿宋_GB2312" w:cs="Nimbus Roman"/>
                <w:color w:val="000000"/>
                <w:kern w:val="0"/>
                <w:sz w:val="24"/>
                <w:szCs w:val="24"/>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D5E64FA">
            <w:pPr>
              <w:widowControl/>
              <w:jc w:val="center"/>
              <w:textAlignment w:val="center"/>
              <w:rPr>
                <w:rFonts w:hint="default" w:ascii="Nimbus Roman" w:hAnsi="Nimbus Roman" w:eastAsia="仿宋_GB2312" w:cs="Nimbus Roman"/>
                <w:color w:val="000000"/>
                <w:sz w:val="24"/>
                <w:szCs w:val="24"/>
              </w:rPr>
            </w:pPr>
            <w:r>
              <w:rPr>
                <w:rFonts w:hint="default" w:ascii="Nimbus Roman" w:hAnsi="Nimbus Roman" w:eastAsia="仿宋_GB2312" w:cs="Nimbus Roman"/>
                <w:color w:val="000000"/>
                <w:kern w:val="0"/>
                <w:sz w:val="24"/>
                <w:szCs w:val="24"/>
              </w:rPr>
              <w:t>3</w:t>
            </w:r>
          </w:p>
        </w:tc>
      </w:tr>
      <w:tr w14:paraId="268B5185">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5F9610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3B4ACAB">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879BFC3">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CED9659">
            <w:pPr>
              <w:jc w:val="center"/>
              <w:rPr>
                <w:rFonts w:ascii="Times New Roman" w:hAnsi="Times New Roman" w:eastAsia="仿宋_GB2312" w:cs="Times New Roman"/>
                <w:color w:val="000000"/>
                <w:sz w:val="24"/>
                <w:szCs w:val="24"/>
              </w:rPr>
            </w:pPr>
          </w:p>
        </w:tc>
      </w:tr>
      <w:tr w14:paraId="06C099EE">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05D020F6">
            <w:pPr>
              <w:jc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2"/>
                <w:szCs w:val="22"/>
                <w:lang w:eastAsia="zh-CN"/>
              </w:rPr>
              <w:t>无</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7366ED6">
            <w:pP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820F270">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99A902D">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A50E049">
            <w:pPr>
              <w:rPr>
                <w:rFonts w:ascii="Times New Roman" w:hAnsi="Times New Roman" w:eastAsia="仿宋_GB2312" w:cs="Times New Roman"/>
                <w:color w:val="000000"/>
                <w:sz w:val="24"/>
                <w:szCs w:val="24"/>
              </w:rPr>
            </w:pPr>
          </w:p>
        </w:tc>
      </w:tr>
      <w:tr w14:paraId="3FB941AB">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02DEAEAF">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8F06C65">
            <w:pP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C28F329">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5575046">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1D9ACB3">
            <w:pPr>
              <w:rPr>
                <w:rFonts w:ascii="Times New Roman" w:hAnsi="Times New Roman" w:eastAsia="仿宋_GB2312" w:cs="Times New Roman"/>
                <w:color w:val="000000"/>
                <w:sz w:val="24"/>
                <w:szCs w:val="24"/>
              </w:rPr>
            </w:pPr>
          </w:p>
        </w:tc>
      </w:tr>
      <w:tr w14:paraId="6549F9C6">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6B595A9B">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4306D2F">
            <w:pP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0D8571F">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111552D">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A791CF1">
            <w:pPr>
              <w:rPr>
                <w:rFonts w:ascii="Times New Roman" w:hAnsi="Times New Roman" w:eastAsia="宋体" w:cs="Times New Roman"/>
                <w:color w:val="000000"/>
                <w:sz w:val="24"/>
                <w:szCs w:val="24"/>
              </w:rPr>
            </w:pPr>
          </w:p>
        </w:tc>
      </w:tr>
      <w:tr w14:paraId="05B4AC88">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63207111">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1C8CA4A">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1C473280">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2DD4325">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4305003">
            <w:pPr>
              <w:rPr>
                <w:rFonts w:ascii="Times New Roman" w:hAnsi="Times New Roman" w:eastAsia="宋体" w:cs="Times New Roman"/>
                <w:color w:val="000000"/>
                <w:sz w:val="24"/>
                <w:szCs w:val="24"/>
              </w:rPr>
            </w:pPr>
          </w:p>
        </w:tc>
      </w:tr>
      <w:tr w14:paraId="7E5AF1AA">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404B70A2">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0720EE9">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78A5597">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4EEFA13">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3981B82">
            <w:pPr>
              <w:rPr>
                <w:rFonts w:ascii="Times New Roman" w:hAnsi="Times New Roman" w:eastAsia="宋体" w:cs="Times New Roman"/>
                <w:color w:val="000000"/>
                <w:sz w:val="24"/>
                <w:szCs w:val="24"/>
              </w:rPr>
            </w:pPr>
          </w:p>
        </w:tc>
      </w:tr>
      <w:tr w14:paraId="3AAB18A5">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7E08C6D1">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1B200A6">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405D9F8">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5B28694">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D7B37D5">
            <w:pPr>
              <w:rPr>
                <w:rFonts w:ascii="Times New Roman" w:hAnsi="Times New Roman" w:eastAsia="宋体" w:cs="Times New Roman"/>
                <w:color w:val="000000"/>
                <w:sz w:val="24"/>
                <w:szCs w:val="24"/>
              </w:rPr>
            </w:pPr>
          </w:p>
        </w:tc>
      </w:tr>
    </w:tbl>
    <w:p w14:paraId="4A6EE446">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6C9C05E3">
      <w:pPr>
        <w:widowControl/>
        <w:jc w:val="left"/>
        <w:textAlignment w:val="center"/>
        <w:rPr>
          <w:rFonts w:ascii="Times New Roman" w:hAnsi="Times New Roman" w:eastAsia="宋体" w:cs="Times New Roman"/>
          <w:color w:val="000000"/>
          <w:kern w:val="0"/>
          <w:sz w:val="24"/>
          <w:szCs w:val="24"/>
        </w:rPr>
      </w:pPr>
    </w:p>
    <w:p w14:paraId="53E872DB">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7E75EE8A">
      <w:pPr>
        <w:widowControl/>
        <w:jc w:val="center"/>
        <w:rPr>
          <w:rFonts w:ascii="Times New Roman" w:hAnsi="Times New Roman" w:eastAsia="方正小标宋_GBK" w:cs="Times New Roman"/>
          <w:color w:val="000000"/>
          <w:kern w:val="0"/>
          <w:sz w:val="36"/>
          <w:szCs w:val="36"/>
        </w:rPr>
      </w:pPr>
    </w:p>
    <w:p w14:paraId="3177149A">
      <w:pPr>
        <w:pStyle w:val="8"/>
        <w:spacing w:line="400" w:lineRule="exact"/>
        <w:rPr>
          <w:rFonts w:ascii="Times New Roman" w:hAnsi="Times New Roman" w:eastAsia="华文中宋" w:cs="Times New Roman"/>
          <w:color w:val="000000"/>
          <w:kern w:val="0"/>
          <w:sz w:val="32"/>
          <w:szCs w:val="32"/>
        </w:rPr>
      </w:pPr>
    </w:p>
    <w:p w14:paraId="4CCCE914">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7A14BA5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hint="eastAsia" w:ascii="方正仿宋_GBK" w:hAnsi="方正仿宋_GBK" w:eastAsia="方正仿宋_GBK" w:cs="方正仿宋_GBK"/>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hint="eastAsia" w:ascii="方正仿宋_GBK" w:hAnsi="方正仿宋_GBK" w:eastAsia="方正仿宋_GBK" w:cs="方正仿宋_GBK"/>
          <w:color w:val="000000"/>
          <w:kern w:val="0"/>
          <w:sz w:val="20"/>
          <w:szCs w:val="20"/>
        </w:rPr>
        <w:t>公开</w:t>
      </w:r>
      <w:r>
        <w:rPr>
          <w:rFonts w:hint="default" w:ascii="Nimbus Roman" w:hAnsi="Nimbus Roman" w:eastAsia="方正仿宋_GBK" w:cs="Nimbus Roman"/>
          <w:color w:val="000000"/>
          <w:kern w:val="0"/>
          <w:sz w:val="20"/>
          <w:szCs w:val="20"/>
        </w:rPr>
        <w:t>09</w:t>
      </w:r>
      <w:r>
        <w:rPr>
          <w:rFonts w:hint="eastAsia" w:ascii="方正仿宋_GBK" w:hAnsi="方正仿宋_GBK" w:eastAsia="方正仿宋_GBK" w:cs="方正仿宋_GBK"/>
          <w:color w:val="000000"/>
          <w:kern w:val="0"/>
          <w:sz w:val="20"/>
          <w:szCs w:val="20"/>
        </w:rPr>
        <w:t>表</w:t>
      </w:r>
    </w:p>
    <w:p w14:paraId="2306053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hint="eastAsia"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部门：</w:t>
      </w:r>
      <w:r>
        <w:rPr>
          <w:rFonts w:hint="eastAsia" w:ascii="方正仿宋_GBK" w:hAnsi="方正仿宋_GBK" w:eastAsia="方正仿宋_GBK" w:cs="方正仿宋_GBK"/>
          <w:color w:val="000000"/>
          <w:sz w:val="20"/>
          <w:szCs w:val="20"/>
          <w:lang w:eastAsia="zh-CN"/>
        </w:rPr>
        <w:t>中共会同县委社会工作部</w:t>
      </w:r>
      <w:r>
        <w:rPr>
          <w:rFonts w:hint="eastAsia" w:ascii="方正仿宋_GBK" w:hAnsi="方正仿宋_GBK" w:eastAsia="方正仿宋_GBK" w:cs="方正仿宋_GBK"/>
          <w:color w:val="000000"/>
          <w:sz w:val="20"/>
          <w:szCs w:val="20"/>
        </w:rPr>
        <w:tab/>
      </w:r>
      <w:r>
        <w:rPr>
          <w:rFonts w:hint="eastAsia" w:ascii="方正仿宋_GBK" w:hAnsi="方正仿宋_GBK" w:eastAsia="方正仿宋_GBK" w:cs="方正仿宋_GBK"/>
          <w:color w:val="000000"/>
          <w:sz w:val="20"/>
          <w:szCs w:val="20"/>
        </w:rPr>
        <w:tab/>
      </w:r>
      <w:r>
        <w:rPr>
          <w:rFonts w:hint="eastAsia" w:ascii="方正仿宋_GBK" w:hAnsi="方正仿宋_GBK" w:eastAsia="方正仿宋_GBK" w:cs="方正仿宋_GBK"/>
          <w:color w:val="000000"/>
          <w:sz w:val="20"/>
          <w:szCs w:val="20"/>
        </w:rPr>
        <w:tab/>
      </w:r>
      <w:r>
        <w:rPr>
          <w:rFonts w:hint="eastAsia" w:ascii="方正仿宋_GBK" w:hAnsi="方正仿宋_GBK" w:eastAsia="方正仿宋_GBK" w:cs="方正仿宋_GBK"/>
          <w:color w:val="000000"/>
          <w:sz w:val="20"/>
          <w:szCs w:val="20"/>
        </w:rPr>
        <w:tab/>
      </w:r>
      <w:r>
        <w:rPr>
          <w:rFonts w:hint="eastAsia" w:ascii="方正仿宋_GBK" w:hAnsi="方正仿宋_GBK" w:eastAsia="方正仿宋_GBK" w:cs="方正仿宋_GBK"/>
          <w:color w:val="000000"/>
          <w:sz w:val="20"/>
          <w:szCs w:val="20"/>
        </w:rPr>
        <w:tab/>
      </w:r>
      <w:r>
        <w:rPr>
          <w:rFonts w:hint="eastAsia" w:ascii="方正仿宋_GBK" w:hAnsi="方正仿宋_GBK" w:eastAsia="方正仿宋_GBK" w:cs="方正仿宋_GBK"/>
          <w:color w:val="000000"/>
          <w:sz w:val="20"/>
          <w:szCs w:val="20"/>
        </w:rPr>
        <w:tab/>
      </w:r>
      <w:r>
        <w:rPr>
          <w:rFonts w:hint="eastAsia" w:ascii="方正仿宋_GBK" w:hAnsi="方正仿宋_GBK" w:eastAsia="方正仿宋_GBK" w:cs="方正仿宋_GBK"/>
          <w:color w:val="000000"/>
          <w:sz w:val="20"/>
          <w:szCs w:val="20"/>
        </w:rPr>
        <w:tab/>
      </w:r>
      <w:r>
        <w:rPr>
          <w:rFonts w:hint="eastAsia" w:ascii="方正仿宋_GBK" w:hAnsi="方正仿宋_GBK" w:eastAsia="方正仿宋_GBK" w:cs="方正仿宋_GBK"/>
          <w:color w:val="000000"/>
          <w:sz w:val="20"/>
          <w:szCs w:val="20"/>
          <w:lang w:val="en-US" w:eastAsia="zh-CN"/>
        </w:rPr>
        <w:t xml:space="preserve">                 </w:t>
      </w:r>
      <w:r>
        <w:rPr>
          <w:rFonts w:hint="eastAsia" w:ascii="方正仿宋_GBK" w:hAnsi="方正仿宋_GBK" w:eastAsia="方正仿宋_GBK" w:cs="方正仿宋_GBK"/>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CB66423">
        <w:tblPrEx>
          <w:tblCellMar>
            <w:top w:w="0" w:type="dxa"/>
            <w:left w:w="108" w:type="dxa"/>
            <w:bottom w:w="0" w:type="dxa"/>
            <w:right w:w="108" w:type="dxa"/>
          </w:tblCellMar>
        </w:tblPrEx>
        <w:trPr>
          <w:trHeight w:val="606" w:hRule="atLeast"/>
          <w:jc w:val="center"/>
        </w:trPr>
        <w:tc>
          <w:tcPr>
            <w:tcW w:w="2486"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4FBF671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5EED7E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79C32B44">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57A69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BB14B2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26FE78A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FC3FA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9CE8EC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0E46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53A46B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875D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0E264DD9">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17215C">
            <w:pPr>
              <w:jc w:val="center"/>
              <w:rPr>
                <w:rFonts w:ascii="Times New Roman" w:hAnsi="Times New Roman" w:eastAsia="仿宋_GB2312" w:cs="Times New Roman"/>
                <w:color w:val="000000"/>
                <w:sz w:val="22"/>
              </w:rPr>
            </w:pPr>
          </w:p>
        </w:tc>
        <w:tc>
          <w:tcPr>
            <w:tcW w:w="4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0E797A">
            <w:pPr>
              <w:jc w:val="cente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32AF0EA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2B492D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0ECAFB3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AA52EF">
            <w:pPr>
              <w:jc w:val="center"/>
              <w:rPr>
                <w:rFonts w:ascii="Times New Roman" w:hAnsi="Times New Roman" w:eastAsia="仿宋_GB2312" w:cs="Times New Roman"/>
                <w:color w:val="000000"/>
                <w:sz w:val="22"/>
              </w:rPr>
            </w:pPr>
          </w:p>
        </w:tc>
        <w:tc>
          <w:tcPr>
            <w:tcW w:w="36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7650BB">
            <w:pPr>
              <w:jc w:val="center"/>
              <w:rPr>
                <w:rFonts w:ascii="Times New Roman" w:hAnsi="Times New Roman" w:eastAsia="仿宋_GB2312" w:cs="Times New Roman"/>
                <w:color w:val="000000"/>
                <w:sz w:val="22"/>
              </w:rPr>
            </w:pPr>
          </w:p>
        </w:tc>
        <w:tc>
          <w:tcPr>
            <w:tcW w:w="40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E94C21">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733019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F5D93D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57A03A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CB495E">
            <w:pPr>
              <w:jc w:val="center"/>
              <w:rPr>
                <w:rFonts w:ascii="Times New Roman" w:hAnsi="Times New Roman" w:eastAsia="仿宋_GB2312" w:cs="Times New Roman"/>
                <w:color w:val="000000"/>
                <w:sz w:val="22"/>
              </w:rPr>
            </w:pPr>
          </w:p>
        </w:tc>
      </w:tr>
      <w:tr w14:paraId="7C84395A">
        <w:tblPrEx>
          <w:tblCellMar>
            <w:top w:w="0" w:type="dxa"/>
            <w:left w:w="108" w:type="dxa"/>
            <w:bottom w:w="0" w:type="dxa"/>
            <w:right w:w="108" w:type="dxa"/>
          </w:tblCellMar>
        </w:tblPrEx>
        <w:trPr>
          <w:trHeight w:val="614"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27094892">
            <w:pPr>
              <w:widowControl/>
              <w:jc w:val="center"/>
              <w:textAlignment w:val="center"/>
              <w:rPr>
                <w:rFonts w:hint="default" w:ascii="Nimbus Roman" w:hAnsi="Nimbus Roman" w:eastAsia="仿宋_GB2312" w:cs="Nimbus Roman"/>
                <w:color w:val="000000"/>
                <w:sz w:val="22"/>
              </w:rPr>
            </w:pPr>
            <w:r>
              <w:rPr>
                <w:rFonts w:hint="default" w:ascii="Nimbus Roman" w:hAnsi="Nimbus Roman" w:eastAsia="仿宋_GB2312" w:cs="Nimbus Roman"/>
                <w:color w:val="000000"/>
                <w:kern w:val="0"/>
                <w:sz w:val="22"/>
              </w:rPr>
              <w:t>1</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543856D7">
            <w:pPr>
              <w:widowControl/>
              <w:jc w:val="center"/>
              <w:textAlignment w:val="center"/>
              <w:rPr>
                <w:rFonts w:hint="default" w:ascii="Nimbus Roman" w:hAnsi="Nimbus Roman" w:eastAsia="仿宋_GB2312" w:cs="Nimbus Roman"/>
                <w:color w:val="000000"/>
                <w:sz w:val="22"/>
              </w:rPr>
            </w:pPr>
            <w:r>
              <w:rPr>
                <w:rFonts w:hint="default" w:ascii="Nimbus Roman" w:hAnsi="Nimbus Roman" w:eastAsia="仿宋_GB2312" w:cs="Nimbus Roman"/>
                <w:color w:val="000000"/>
                <w:kern w:val="0"/>
                <w:sz w:val="22"/>
              </w:rPr>
              <w:t>2</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2C0F7FF9">
            <w:pPr>
              <w:widowControl/>
              <w:jc w:val="center"/>
              <w:textAlignment w:val="center"/>
              <w:rPr>
                <w:rFonts w:hint="default" w:ascii="Nimbus Roman" w:hAnsi="Nimbus Roman" w:eastAsia="仿宋_GB2312" w:cs="Nimbus Roman"/>
                <w:color w:val="000000"/>
                <w:sz w:val="22"/>
              </w:rPr>
            </w:pPr>
            <w:r>
              <w:rPr>
                <w:rFonts w:hint="default" w:ascii="Nimbus Roman" w:hAnsi="Nimbus Roman" w:eastAsia="仿宋_GB2312" w:cs="Nimbus Roman"/>
                <w:color w:val="000000"/>
                <w:kern w:val="0"/>
                <w:sz w:val="22"/>
              </w:rPr>
              <w:t>3</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5A2CAD20">
            <w:pPr>
              <w:widowControl/>
              <w:jc w:val="center"/>
              <w:textAlignment w:val="center"/>
              <w:rPr>
                <w:rFonts w:hint="default" w:ascii="Nimbus Roman" w:hAnsi="Nimbus Roman" w:eastAsia="仿宋_GB2312" w:cs="Nimbus Roman"/>
                <w:color w:val="000000"/>
                <w:sz w:val="22"/>
              </w:rPr>
            </w:pPr>
            <w:r>
              <w:rPr>
                <w:rFonts w:hint="default" w:ascii="Nimbus Roman" w:hAnsi="Nimbus Roman" w:eastAsia="仿宋_GB2312" w:cs="Nimbus Roman"/>
                <w:color w:val="000000"/>
                <w:kern w:val="0"/>
                <w:sz w:val="22"/>
              </w:rPr>
              <w:t>4</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34E79CC9">
            <w:pPr>
              <w:widowControl/>
              <w:jc w:val="center"/>
              <w:textAlignment w:val="center"/>
              <w:rPr>
                <w:rFonts w:hint="default" w:ascii="Nimbus Roman" w:hAnsi="Nimbus Roman" w:eastAsia="仿宋_GB2312" w:cs="Nimbus Roman"/>
                <w:color w:val="000000"/>
                <w:sz w:val="22"/>
              </w:rPr>
            </w:pPr>
            <w:r>
              <w:rPr>
                <w:rFonts w:hint="default" w:ascii="Nimbus Roman" w:hAnsi="Nimbus Roman" w:eastAsia="仿宋_GB2312" w:cs="Nimbus Roman"/>
                <w:color w:val="000000"/>
                <w:kern w:val="0"/>
                <w:sz w:val="22"/>
              </w:rPr>
              <w:t>5</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3809F634">
            <w:pPr>
              <w:widowControl/>
              <w:jc w:val="center"/>
              <w:textAlignment w:val="center"/>
              <w:rPr>
                <w:rFonts w:hint="default" w:ascii="Nimbus Roman" w:hAnsi="Nimbus Roman" w:eastAsia="仿宋_GB2312" w:cs="Nimbus Roman"/>
                <w:color w:val="000000"/>
                <w:sz w:val="22"/>
              </w:rPr>
            </w:pPr>
            <w:r>
              <w:rPr>
                <w:rFonts w:hint="default" w:ascii="Nimbus Roman" w:hAnsi="Nimbus Roman" w:eastAsia="仿宋_GB2312" w:cs="Nimbus Roman"/>
                <w:color w:val="000000"/>
                <w:kern w:val="0"/>
                <w:sz w:val="22"/>
              </w:rPr>
              <w:t>6</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1281C6F2">
            <w:pPr>
              <w:widowControl/>
              <w:jc w:val="center"/>
              <w:textAlignment w:val="center"/>
              <w:rPr>
                <w:rFonts w:hint="default" w:ascii="Nimbus Roman" w:hAnsi="Nimbus Roman" w:eastAsia="仿宋_GB2312" w:cs="Nimbus Roman"/>
                <w:color w:val="000000"/>
                <w:sz w:val="22"/>
              </w:rPr>
            </w:pPr>
            <w:r>
              <w:rPr>
                <w:rFonts w:hint="default" w:ascii="Nimbus Roman" w:hAnsi="Nimbus Roman" w:eastAsia="仿宋_GB2312" w:cs="Nimbus Roman"/>
                <w:color w:val="000000"/>
                <w:kern w:val="0"/>
                <w:sz w:val="22"/>
              </w:rPr>
              <w:t>7</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2052F1D7">
            <w:pPr>
              <w:widowControl/>
              <w:jc w:val="center"/>
              <w:textAlignment w:val="center"/>
              <w:rPr>
                <w:rFonts w:hint="default" w:ascii="Nimbus Roman" w:hAnsi="Nimbus Roman" w:eastAsia="仿宋_GB2312" w:cs="Nimbus Roman"/>
                <w:color w:val="000000"/>
                <w:sz w:val="22"/>
              </w:rPr>
            </w:pPr>
            <w:r>
              <w:rPr>
                <w:rFonts w:hint="default" w:ascii="Nimbus Roman" w:hAnsi="Nimbus Roman" w:eastAsia="仿宋_GB2312" w:cs="Nimbus Roman"/>
                <w:color w:val="000000"/>
                <w:kern w:val="0"/>
                <w:sz w:val="22"/>
              </w:rPr>
              <w:t>8</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E14C21C">
            <w:pPr>
              <w:widowControl/>
              <w:jc w:val="center"/>
              <w:textAlignment w:val="center"/>
              <w:rPr>
                <w:rFonts w:hint="default" w:ascii="Nimbus Roman" w:hAnsi="Nimbus Roman" w:eastAsia="仿宋_GB2312" w:cs="Nimbus Roman"/>
                <w:color w:val="000000"/>
                <w:sz w:val="22"/>
              </w:rPr>
            </w:pPr>
            <w:r>
              <w:rPr>
                <w:rFonts w:hint="default" w:ascii="Nimbus Roman" w:hAnsi="Nimbus Roman" w:eastAsia="仿宋_GB2312" w:cs="Nimbus Roman"/>
                <w:color w:val="000000"/>
                <w:kern w:val="0"/>
                <w:sz w:val="22"/>
              </w:rPr>
              <w:t>9</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2431B6A">
            <w:pPr>
              <w:widowControl/>
              <w:jc w:val="center"/>
              <w:textAlignment w:val="center"/>
              <w:rPr>
                <w:rFonts w:hint="default" w:ascii="Nimbus Roman" w:hAnsi="Nimbus Roman" w:eastAsia="仿宋_GB2312" w:cs="Nimbus Roman"/>
                <w:color w:val="000000"/>
                <w:sz w:val="22"/>
              </w:rPr>
            </w:pPr>
            <w:r>
              <w:rPr>
                <w:rFonts w:hint="default" w:ascii="Nimbus Roman" w:hAnsi="Nimbus Roman" w:eastAsia="仿宋_GB2312" w:cs="Nimbus Roman"/>
                <w:color w:val="000000"/>
                <w:kern w:val="0"/>
                <w:sz w:val="22"/>
              </w:rPr>
              <w:t>10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0794F1E6">
            <w:pPr>
              <w:widowControl/>
              <w:jc w:val="center"/>
              <w:textAlignment w:val="center"/>
              <w:rPr>
                <w:rFonts w:hint="default" w:ascii="Nimbus Roman" w:hAnsi="Nimbus Roman" w:eastAsia="仿宋_GB2312" w:cs="Nimbus Roman"/>
                <w:color w:val="000000"/>
                <w:sz w:val="22"/>
              </w:rPr>
            </w:pPr>
            <w:r>
              <w:rPr>
                <w:rFonts w:hint="default" w:ascii="Nimbus Roman" w:hAnsi="Nimbus Roman" w:eastAsia="仿宋_GB2312" w:cs="Nimbus Roman"/>
                <w:color w:val="000000"/>
                <w:kern w:val="0"/>
                <w:sz w:val="22"/>
              </w:rPr>
              <w:t>11</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24052FF1">
            <w:pPr>
              <w:widowControl/>
              <w:jc w:val="center"/>
              <w:textAlignment w:val="center"/>
              <w:rPr>
                <w:rFonts w:hint="default" w:ascii="Nimbus Roman" w:hAnsi="Nimbus Roman" w:eastAsia="仿宋_GB2312" w:cs="Nimbus Roman"/>
                <w:color w:val="000000"/>
                <w:sz w:val="22"/>
              </w:rPr>
            </w:pPr>
            <w:r>
              <w:rPr>
                <w:rFonts w:hint="default" w:ascii="Nimbus Roman" w:hAnsi="Nimbus Roman" w:eastAsia="仿宋_GB2312" w:cs="Nimbus Roman"/>
                <w:color w:val="000000"/>
                <w:kern w:val="0"/>
                <w:sz w:val="22"/>
              </w:rPr>
              <w:t>12</w:t>
            </w:r>
          </w:p>
        </w:tc>
      </w:tr>
      <w:tr w14:paraId="3FE58A30">
        <w:tblPrEx>
          <w:tblCellMar>
            <w:top w:w="0" w:type="dxa"/>
            <w:left w:w="108" w:type="dxa"/>
            <w:bottom w:w="0" w:type="dxa"/>
            <w:right w:w="108" w:type="dxa"/>
          </w:tblCellMar>
        </w:tblPrEx>
        <w:trPr>
          <w:trHeight w:val="579"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298C5947">
            <w:pPr>
              <w:jc w:val="right"/>
              <w:rPr>
                <w:rFonts w:hint="default" w:ascii="Nimbus Roman" w:hAnsi="Nimbus Roman" w:eastAsia="仿宋_GB2312" w:cs="Nimbus Roman"/>
                <w:color w:val="000000"/>
                <w:sz w:val="22"/>
                <w:lang w:val="en-US" w:eastAsia="zh-CN"/>
              </w:rPr>
            </w:pPr>
            <w:r>
              <w:rPr>
                <w:rFonts w:hint="eastAsia" w:ascii="Nimbus Roman" w:hAnsi="Nimbus Roman" w:eastAsia="仿宋_GB2312" w:cs="Nimbus Roman"/>
                <w:color w:val="000000"/>
                <w:sz w:val="22"/>
                <w:lang w:val="en-US" w:eastAsia="zh-CN"/>
              </w:rPr>
              <w:t>0.00</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1C7D05CE">
            <w:pPr>
              <w:jc w:val="right"/>
              <w:rPr>
                <w:rFonts w:hint="default" w:ascii="Nimbus Roman" w:hAnsi="Nimbus Roman" w:eastAsia="仿宋_GB2312" w:cs="Nimbus Roman"/>
                <w:color w:val="000000"/>
                <w:sz w:val="22"/>
                <w:lang w:val="en-US" w:eastAsia="zh-CN"/>
              </w:rPr>
            </w:pPr>
            <w:r>
              <w:rPr>
                <w:rFonts w:hint="eastAsia" w:ascii="Nimbus Roman" w:hAnsi="Nimbus Roman" w:eastAsia="仿宋_GB2312" w:cs="Nimbus Roman"/>
                <w:color w:val="000000"/>
                <w:sz w:val="22"/>
                <w:lang w:val="en-US" w:eastAsia="zh-CN"/>
              </w:rPr>
              <w:t>0.00</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683AE36D">
            <w:pPr>
              <w:jc w:val="right"/>
              <w:rPr>
                <w:rFonts w:hint="default" w:ascii="Nimbus Roman" w:hAnsi="Nimbus Roman" w:eastAsia="仿宋_GB2312" w:cs="Nimbus Roman"/>
                <w:color w:val="000000"/>
                <w:sz w:val="22"/>
                <w:lang w:val="en-US" w:eastAsia="zh-CN"/>
              </w:rPr>
            </w:pPr>
            <w:r>
              <w:rPr>
                <w:rFonts w:hint="eastAsia" w:ascii="Nimbus Roman" w:hAnsi="Nimbus Roman" w:eastAsia="仿宋_GB2312" w:cs="Nimbus Roman"/>
                <w:color w:val="000000"/>
                <w:sz w:val="22"/>
                <w:lang w:val="en-US" w:eastAsia="zh-CN"/>
              </w:rPr>
              <w:t>0.00</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7C6EE49F">
            <w:pPr>
              <w:jc w:val="right"/>
              <w:rPr>
                <w:rFonts w:hint="default" w:ascii="Nimbus Roman" w:hAnsi="Nimbus Roman" w:eastAsia="仿宋_GB2312" w:cs="Nimbus Roman"/>
                <w:color w:val="000000"/>
                <w:sz w:val="22"/>
                <w:lang w:val="en-US" w:eastAsia="zh-CN"/>
              </w:rPr>
            </w:pPr>
            <w:r>
              <w:rPr>
                <w:rFonts w:hint="eastAsia" w:ascii="Nimbus Roman" w:hAnsi="Nimbus Roman" w:eastAsia="仿宋_GB2312" w:cs="Nimbus Roman"/>
                <w:color w:val="000000"/>
                <w:sz w:val="22"/>
                <w:lang w:val="en-US" w:eastAsia="zh-CN"/>
              </w:rPr>
              <w:t>0.00</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303DF673">
            <w:pPr>
              <w:jc w:val="right"/>
              <w:rPr>
                <w:rFonts w:hint="default" w:ascii="Nimbus Roman" w:hAnsi="Nimbus Roman" w:eastAsia="仿宋_GB2312" w:cs="Nimbus Roman"/>
                <w:color w:val="000000"/>
                <w:sz w:val="22"/>
                <w:lang w:val="en-US" w:eastAsia="zh-CN"/>
              </w:rPr>
            </w:pPr>
            <w:r>
              <w:rPr>
                <w:rFonts w:hint="eastAsia" w:ascii="Nimbus Roman" w:hAnsi="Nimbus Roman" w:eastAsia="仿宋_GB2312" w:cs="Nimbus Roman"/>
                <w:color w:val="000000"/>
                <w:sz w:val="22"/>
                <w:lang w:val="en-US" w:eastAsia="zh-CN"/>
              </w:rPr>
              <w:t>0.00</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4EE5A2A9">
            <w:pPr>
              <w:jc w:val="right"/>
              <w:rPr>
                <w:rFonts w:hint="default" w:ascii="Nimbus Roman" w:hAnsi="Nimbus Roman" w:cs="Nimbus Roman"/>
                <w:lang w:val="en-US" w:eastAsia="zh-CN"/>
              </w:rPr>
            </w:pPr>
            <w:r>
              <w:rPr>
                <w:rFonts w:hint="default" w:ascii="Nimbus Roman" w:hAnsi="Nimbus Roman" w:cs="Nimbus Roman"/>
                <w:lang w:val="en-US" w:eastAsia="zh-CN"/>
              </w:rPr>
              <w:t>0.00</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2E90BD9A">
            <w:pPr>
              <w:jc w:val="right"/>
              <w:rPr>
                <w:rFonts w:hint="default" w:ascii="Nimbus Roman" w:hAnsi="Nimbus Roman" w:eastAsia="仿宋_GB2312" w:cs="Nimbus Roman"/>
                <w:color w:val="000000"/>
                <w:sz w:val="22"/>
                <w:lang w:val="en-US" w:eastAsia="zh-CN"/>
              </w:rPr>
            </w:pPr>
            <w:r>
              <w:rPr>
                <w:rFonts w:hint="eastAsia" w:ascii="Nimbus Roman" w:hAnsi="Nimbus Roman" w:eastAsia="仿宋_GB2312" w:cs="Nimbus Roman"/>
                <w:color w:val="000000"/>
                <w:sz w:val="22"/>
                <w:lang w:val="en-US" w:eastAsia="zh-CN"/>
              </w:rPr>
              <w:t>0.00</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694D890">
            <w:pPr>
              <w:jc w:val="right"/>
              <w:rPr>
                <w:rFonts w:hint="default" w:ascii="Nimbus Roman" w:hAnsi="Nimbus Roman" w:eastAsia="仿宋_GB2312" w:cs="Nimbus Roman"/>
                <w:color w:val="000000"/>
                <w:sz w:val="22"/>
                <w:lang w:val="en-US" w:eastAsia="zh-CN"/>
              </w:rPr>
            </w:pPr>
            <w:r>
              <w:rPr>
                <w:rFonts w:hint="eastAsia" w:ascii="Nimbus Roman" w:hAnsi="Nimbus Roman" w:eastAsia="仿宋_GB2312" w:cs="Nimbus Roman"/>
                <w:color w:val="000000"/>
                <w:sz w:val="22"/>
                <w:lang w:val="en-US" w:eastAsia="zh-CN"/>
              </w:rPr>
              <w:t>0.00</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402EEEA">
            <w:pPr>
              <w:jc w:val="right"/>
              <w:rPr>
                <w:rFonts w:hint="default" w:ascii="Nimbus Roman" w:hAnsi="Nimbus Roman" w:eastAsia="仿宋_GB2312" w:cs="Nimbus Roman"/>
                <w:color w:val="000000"/>
                <w:sz w:val="22"/>
                <w:lang w:val="en-US" w:eastAsia="zh-CN"/>
              </w:rPr>
            </w:pPr>
            <w:r>
              <w:rPr>
                <w:rFonts w:hint="eastAsia" w:ascii="Nimbus Roman" w:hAnsi="Nimbus Roman" w:eastAsia="仿宋_GB2312" w:cs="Nimbus Roman"/>
                <w:color w:val="000000"/>
                <w:sz w:val="22"/>
                <w:lang w:val="en-US" w:eastAsia="zh-CN"/>
              </w:rPr>
              <w:t>0.00</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75F3C321">
            <w:pPr>
              <w:jc w:val="right"/>
              <w:rPr>
                <w:rFonts w:hint="default" w:ascii="Nimbus Roman" w:hAnsi="Nimbus Roman" w:eastAsia="仿宋_GB2312" w:cs="Nimbus Roman"/>
                <w:color w:val="000000"/>
                <w:sz w:val="22"/>
                <w:lang w:val="en-US" w:eastAsia="zh-CN"/>
              </w:rPr>
            </w:pPr>
            <w:r>
              <w:rPr>
                <w:rFonts w:hint="eastAsia" w:ascii="Nimbus Roman" w:hAnsi="Nimbus Roman" w:eastAsia="仿宋_GB2312" w:cs="Nimbus Roman"/>
                <w:color w:val="000000"/>
                <w:sz w:val="22"/>
                <w:lang w:val="en-US" w:eastAsia="zh-CN"/>
              </w:rPr>
              <w:t>0.00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7671D3EB">
            <w:pPr>
              <w:jc w:val="right"/>
              <w:rPr>
                <w:rFonts w:hint="default" w:ascii="Nimbus Roman" w:hAnsi="Nimbus Roman" w:eastAsia="仿宋_GB2312" w:cs="Nimbus Roman"/>
                <w:color w:val="000000"/>
                <w:sz w:val="22"/>
                <w:lang w:val="en-US" w:eastAsia="zh-CN"/>
              </w:rPr>
            </w:pPr>
            <w:r>
              <w:rPr>
                <w:rFonts w:hint="eastAsia" w:ascii="Nimbus Roman" w:hAnsi="Nimbus Roman" w:eastAsia="仿宋_GB2312" w:cs="Nimbus Roman"/>
                <w:color w:val="000000"/>
                <w:sz w:val="22"/>
                <w:lang w:val="en-US" w:eastAsia="zh-CN"/>
              </w:rPr>
              <w:t>0.00</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355E5B67">
            <w:pPr>
              <w:jc w:val="right"/>
              <w:rPr>
                <w:rFonts w:hint="default" w:ascii="Nimbus Roman" w:hAnsi="Nimbus Roman" w:eastAsia="仿宋_GB2312" w:cs="Nimbus Roman"/>
                <w:color w:val="000000"/>
                <w:sz w:val="22"/>
                <w:lang w:val="en-US" w:eastAsia="zh-CN"/>
              </w:rPr>
            </w:pPr>
            <w:r>
              <w:rPr>
                <w:rFonts w:hint="eastAsia" w:ascii="Nimbus Roman" w:hAnsi="Nimbus Roman" w:eastAsia="仿宋_GB2312" w:cs="Nimbus Roman"/>
                <w:color w:val="000000"/>
                <w:sz w:val="22"/>
                <w:lang w:val="en-US" w:eastAsia="zh-CN"/>
              </w:rPr>
              <w:t>0.00</w:t>
            </w:r>
          </w:p>
        </w:tc>
      </w:tr>
    </w:tbl>
    <w:p w14:paraId="64B1B91E">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630CE8CF">
      <w:pPr>
        <w:autoSpaceDE w:val="0"/>
        <w:autoSpaceDN w:val="0"/>
        <w:adjustRightInd w:val="0"/>
        <w:ind w:left="315" w:leftChars="150"/>
        <w:jc w:val="left"/>
        <w:rPr>
          <w:rFonts w:ascii="Times New Roman" w:hAnsi="Times New Roman" w:eastAsia="宋体" w:cs="Times New Roman"/>
          <w:kern w:val="0"/>
          <w:sz w:val="24"/>
          <w:szCs w:val="24"/>
        </w:rPr>
      </w:pPr>
    </w:p>
    <w:p w14:paraId="4656F500">
      <w:pPr>
        <w:autoSpaceDE w:val="0"/>
        <w:autoSpaceDN w:val="0"/>
        <w:adjustRightInd w:val="0"/>
        <w:ind w:left="315" w:leftChars="150"/>
        <w:jc w:val="left"/>
        <w:rPr>
          <w:rFonts w:ascii="Times New Roman" w:hAnsi="Times New Roman" w:eastAsia="宋体" w:cs="Times New Roman"/>
          <w:kern w:val="0"/>
          <w:sz w:val="24"/>
          <w:szCs w:val="24"/>
        </w:rPr>
      </w:pPr>
    </w:p>
    <w:p w14:paraId="28D8B821">
      <w:pPr>
        <w:autoSpaceDE w:val="0"/>
        <w:autoSpaceDN w:val="0"/>
        <w:adjustRightInd w:val="0"/>
        <w:ind w:left="315" w:leftChars="150"/>
        <w:jc w:val="left"/>
        <w:rPr>
          <w:rFonts w:ascii="Times New Roman" w:hAnsi="Times New Roman" w:eastAsia="宋体" w:cs="Times New Roman"/>
          <w:kern w:val="0"/>
          <w:sz w:val="24"/>
          <w:szCs w:val="24"/>
        </w:rPr>
      </w:pPr>
    </w:p>
    <w:p w14:paraId="1110D4BE">
      <w:pPr>
        <w:autoSpaceDE w:val="0"/>
        <w:autoSpaceDN w:val="0"/>
        <w:adjustRightInd w:val="0"/>
        <w:ind w:left="315" w:leftChars="150"/>
        <w:jc w:val="left"/>
        <w:rPr>
          <w:rFonts w:ascii="Times New Roman" w:hAnsi="Times New Roman" w:eastAsia="宋体" w:cs="Times New Roman"/>
          <w:kern w:val="0"/>
          <w:sz w:val="24"/>
          <w:szCs w:val="24"/>
        </w:rPr>
      </w:pPr>
    </w:p>
    <w:p w14:paraId="5FF4EAE4">
      <w:pPr>
        <w:autoSpaceDE w:val="0"/>
        <w:autoSpaceDN w:val="0"/>
        <w:adjustRightInd w:val="0"/>
        <w:ind w:left="315" w:leftChars="150"/>
        <w:jc w:val="left"/>
        <w:rPr>
          <w:rFonts w:ascii="Times New Roman" w:hAnsi="Times New Roman" w:eastAsia="宋体" w:cs="Times New Roman"/>
          <w:kern w:val="0"/>
          <w:sz w:val="24"/>
          <w:szCs w:val="24"/>
        </w:rPr>
      </w:pPr>
    </w:p>
    <w:p w14:paraId="19E7081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br w:type="page"/>
      </w:r>
    </w:p>
    <w:p w14:paraId="08AC5BF8">
      <w:pPr>
        <w:pStyle w:val="14"/>
        <w:rPr>
          <w:rFonts w:ascii="Times New Roman" w:hAnsi="Times New Roman" w:cs="Times New Roman"/>
          <w:sz w:val="72"/>
          <w:szCs w:val="72"/>
        </w:rPr>
      </w:pPr>
    </w:p>
    <w:p w14:paraId="0682B7E5">
      <w:pPr>
        <w:pStyle w:val="14"/>
        <w:rPr>
          <w:rFonts w:ascii="Times New Roman" w:hAnsi="Times New Roman" w:cs="Times New Roman"/>
          <w:sz w:val="72"/>
          <w:szCs w:val="72"/>
        </w:rPr>
      </w:pPr>
    </w:p>
    <w:p w14:paraId="46BA28F8">
      <w:pPr>
        <w:pStyle w:val="14"/>
        <w:rPr>
          <w:rFonts w:ascii="Times New Roman" w:hAnsi="Times New Roman" w:cs="Times New Roman"/>
          <w:sz w:val="72"/>
          <w:szCs w:val="72"/>
        </w:rPr>
      </w:pPr>
    </w:p>
    <w:p w14:paraId="38900EFD">
      <w:pPr>
        <w:pStyle w:val="14"/>
        <w:jc w:val="center"/>
        <w:rPr>
          <w:rFonts w:ascii="Times New Roman" w:hAnsi="Times New Roman" w:cs="Times New Roman"/>
          <w:sz w:val="72"/>
          <w:szCs w:val="72"/>
        </w:rPr>
      </w:pPr>
    </w:p>
    <w:p w14:paraId="473D9843">
      <w:pPr>
        <w:pStyle w:val="14"/>
        <w:jc w:val="center"/>
        <w:rPr>
          <w:rFonts w:ascii="Times New Roman" w:hAnsi="Times New Roman" w:eastAsia="方正小标宋_GBK" w:cs="Times New Roman"/>
          <w:sz w:val="72"/>
          <w:szCs w:val="72"/>
        </w:rPr>
      </w:pPr>
    </w:p>
    <w:p w14:paraId="4E3D72F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50E2BB0">
      <w:pPr>
        <w:pStyle w:val="14"/>
        <w:spacing w:line="360" w:lineRule="auto"/>
        <w:jc w:val="center"/>
        <w:rPr>
          <w:rFonts w:ascii="Times New Roman" w:hAnsi="Times New Roman" w:eastAsia="方正小标宋_GBK" w:cs="Times New Roman"/>
          <w:sz w:val="52"/>
          <w:szCs w:val="52"/>
        </w:rPr>
      </w:pPr>
      <w:r>
        <w:rPr>
          <w:rFonts w:hint="default" w:ascii="Nimbus Roman" w:hAnsi="Nimbus Roman" w:eastAsia="方正小标宋_GBK" w:cs="Nimbus Roman"/>
          <w:sz w:val="52"/>
          <w:szCs w:val="52"/>
        </w:rPr>
        <w:t>202</w:t>
      </w:r>
      <w:r>
        <w:rPr>
          <w:rFonts w:hint="default" w:ascii="Nimbus Roman" w:hAnsi="Nimbus Roman" w:eastAsia="方正小标宋_GBK" w:cs="Nimbus Roman"/>
          <w:sz w:val="52"/>
          <w:szCs w:val="52"/>
          <w:lang w:val="en-US" w:eastAsia="zh-CN"/>
        </w:rPr>
        <w:t>5</w:t>
      </w:r>
      <w:r>
        <w:rPr>
          <w:rFonts w:ascii="Times New Roman" w:hAnsi="Times New Roman" w:eastAsia="方正小标宋_GBK" w:cs="Times New Roman"/>
          <w:sz w:val="52"/>
          <w:szCs w:val="52"/>
        </w:rPr>
        <w:t>年度部门决算情况说明</w:t>
      </w:r>
    </w:p>
    <w:p w14:paraId="46B42A23">
      <w:pPr>
        <w:widowControl/>
        <w:jc w:val="left"/>
        <w:rPr>
          <w:rFonts w:ascii="Times New Roman" w:hAnsi="Times New Roman" w:cs="Times New Roman"/>
          <w:sz w:val="32"/>
          <w:szCs w:val="32"/>
        </w:rPr>
      </w:pPr>
      <w:r>
        <w:br w:type="page"/>
      </w:r>
    </w:p>
    <w:p w14:paraId="67A7CCE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一、收入支出决算总体情况说明</w:t>
      </w:r>
    </w:p>
    <w:p w14:paraId="02B062B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eastAsia="zh-CN"/>
        </w:rPr>
      </w:pPr>
      <w:r>
        <w:rPr>
          <w:rFonts w:hint="default" w:ascii="Nimbus Roman" w:hAnsi="Nimbus Roman" w:eastAsia="方正仿宋_GBK" w:cs="Nimbus Roman"/>
          <w:sz w:val="32"/>
          <w:szCs w:val="32"/>
        </w:rPr>
        <w:t>202</w:t>
      </w:r>
      <w:r>
        <w:rPr>
          <w:rFonts w:hint="default" w:ascii="Nimbus Roman" w:hAnsi="Nimbus Roman" w:eastAsia="方正仿宋_GBK" w:cs="Nimbus Roman"/>
          <w:sz w:val="32"/>
          <w:szCs w:val="32"/>
          <w:lang w:val="en-US" w:eastAsia="zh-CN"/>
        </w:rPr>
        <w:t>5</w:t>
      </w:r>
      <w:r>
        <w:rPr>
          <w:rFonts w:hint="eastAsia" w:ascii="方正仿宋_GBK" w:hAnsi="方正仿宋_GBK" w:eastAsia="方正仿宋_GBK" w:cs="方正仿宋_GBK"/>
          <w:sz w:val="32"/>
          <w:szCs w:val="32"/>
        </w:rPr>
        <w:t>年度收、支总计</w:t>
      </w:r>
      <w:r>
        <w:rPr>
          <w:rFonts w:hint="eastAsia" w:ascii="Nimbus Roman" w:hAnsi="Nimbus Roman" w:eastAsia="方正仿宋_GBK" w:cs="Nimbus Roman"/>
          <w:sz w:val="32"/>
          <w:szCs w:val="32"/>
          <w:lang w:val="en-US" w:eastAsia="zh-CN"/>
        </w:rPr>
        <w:t>210.26</w:t>
      </w:r>
      <w:r>
        <w:rPr>
          <w:rFonts w:hint="eastAsia" w:ascii="方正仿宋_GBK" w:hAnsi="方正仿宋_GBK" w:eastAsia="方正仿宋_GBK" w:cs="方正仿宋_GBK"/>
          <w:sz w:val="32"/>
          <w:szCs w:val="32"/>
        </w:rPr>
        <w:t>万元。与上年相比，增加</w:t>
      </w:r>
      <w:r>
        <w:rPr>
          <w:rFonts w:hint="eastAsia" w:ascii="Nimbus Roman" w:hAnsi="Nimbus Roman" w:eastAsia="方正仿宋_GBK" w:cs="Nimbus Roman"/>
          <w:sz w:val="32"/>
          <w:szCs w:val="32"/>
          <w:lang w:val="en-US" w:eastAsia="zh-CN"/>
        </w:rPr>
        <w:t>155.22</w:t>
      </w:r>
      <w:r>
        <w:rPr>
          <w:rFonts w:hint="eastAsia" w:ascii="方正仿宋_GBK" w:hAnsi="方正仿宋_GBK" w:eastAsia="方正仿宋_GBK" w:cs="方正仿宋_GBK"/>
          <w:sz w:val="32"/>
          <w:szCs w:val="32"/>
        </w:rPr>
        <w:t>万元，增长</w:t>
      </w:r>
      <w:r>
        <w:rPr>
          <w:rFonts w:hint="eastAsia" w:ascii="Nimbus Roman" w:hAnsi="Nimbus Roman" w:eastAsia="方正仿宋_GBK" w:cs="Nimbus Roman"/>
          <w:sz w:val="32"/>
          <w:szCs w:val="32"/>
          <w:lang w:val="en-US" w:eastAsia="zh-CN"/>
        </w:rPr>
        <w:t>282.01%</w:t>
      </w:r>
      <w:r>
        <w:rPr>
          <w:rFonts w:hint="eastAsia" w:ascii="方正仿宋_GBK" w:hAnsi="方正仿宋_GBK" w:eastAsia="方正仿宋_GBK" w:cs="方正仿宋_GBK"/>
          <w:sz w:val="32"/>
          <w:szCs w:val="32"/>
        </w:rPr>
        <w:t>，主要是因为</w:t>
      </w:r>
      <w:r>
        <w:rPr>
          <w:rFonts w:hint="eastAsia" w:ascii="方正仿宋_GBK" w:hAnsi="方正仿宋_GBK" w:eastAsia="方正仿宋_GBK" w:cs="方正仿宋_GBK"/>
          <w:sz w:val="32"/>
          <w:szCs w:val="32"/>
          <w:lang w:eastAsia="zh-CN"/>
        </w:rPr>
        <w:t>我单位于</w:t>
      </w:r>
      <w:r>
        <w:rPr>
          <w:rFonts w:hint="eastAsia" w:ascii="Nimbus Roman" w:hAnsi="Nimbus Roman" w:eastAsia="方正仿宋_GBK" w:cs="Nimbus Roman"/>
          <w:sz w:val="32"/>
          <w:szCs w:val="32"/>
          <w:lang w:val="en-US" w:eastAsia="zh-CN"/>
        </w:rPr>
        <w:t>2024</w:t>
      </w:r>
      <w:r>
        <w:rPr>
          <w:rFonts w:hint="eastAsia" w:ascii="方正仿宋_GBK" w:hAnsi="方正仿宋_GBK" w:eastAsia="方正仿宋_GBK" w:cs="方正仿宋_GBK"/>
          <w:sz w:val="32"/>
          <w:szCs w:val="32"/>
          <w:lang w:val="en-US" w:eastAsia="zh-CN"/>
        </w:rPr>
        <w:t>年正式成立，</w:t>
      </w:r>
      <w:r>
        <w:rPr>
          <w:rFonts w:hint="eastAsia" w:ascii="Nimbus Roman" w:hAnsi="Nimbus Roman" w:eastAsia="方正仿宋_GBK" w:cs="Nimbus Roman"/>
          <w:sz w:val="32"/>
          <w:szCs w:val="32"/>
          <w:lang w:val="en-US" w:eastAsia="zh-CN"/>
        </w:rPr>
        <w:t>2024</w:t>
      </w:r>
      <w:r>
        <w:rPr>
          <w:rFonts w:hint="eastAsia" w:ascii="方正仿宋_GBK" w:hAnsi="方正仿宋_GBK" w:eastAsia="方正仿宋_GBK" w:cs="方正仿宋_GBK"/>
          <w:sz w:val="32"/>
          <w:szCs w:val="32"/>
          <w:lang w:val="en-US" w:eastAsia="zh-CN"/>
        </w:rPr>
        <w:t>年</w:t>
      </w:r>
      <w:r>
        <w:rPr>
          <w:rFonts w:hint="eastAsia" w:ascii="Nimbus Roman" w:hAnsi="Nimbus Roman" w:eastAsia="方正仿宋_GBK" w:cs="Nimbus Roman"/>
          <w:sz w:val="32"/>
          <w:szCs w:val="32"/>
          <w:lang w:val="en-US" w:eastAsia="zh-CN"/>
        </w:rPr>
        <w:t>9</w:t>
      </w:r>
      <w:r>
        <w:rPr>
          <w:rFonts w:hint="eastAsia" w:ascii="方正仿宋_GBK" w:hAnsi="方正仿宋_GBK" w:eastAsia="方正仿宋_GBK" w:cs="方正仿宋_GBK"/>
          <w:sz w:val="32"/>
          <w:szCs w:val="32"/>
          <w:lang w:val="en-US" w:eastAsia="zh-CN"/>
        </w:rPr>
        <w:t>月才开展业务，故</w:t>
      </w:r>
      <w:r>
        <w:rPr>
          <w:rFonts w:hint="eastAsia" w:ascii="Nimbus Roman" w:hAnsi="Nimbus Roman" w:eastAsia="方正仿宋_GBK" w:cs="Nimbus Roman"/>
          <w:sz w:val="32"/>
          <w:szCs w:val="32"/>
          <w:lang w:val="en-US" w:eastAsia="zh-CN"/>
        </w:rPr>
        <w:t>2024</w:t>
      </w:r>
      <w:r>
        <w:rPr>
          <w:rFonts w:hint="eastAsia" w:ascii="方正仿宋_GBK" w:hAnsi="方正仿宋_GBK" w:eastAsia="方正仿宋_GBK" w:cs="方正仿宋_GBK"/>
          <w:sz w:val="32"/>
          <w:szCs w:val="32"/>
          <w:lang w:val="en-US" w:eastAsia="zh-CN"/>
        </w:rPr>
        <w:t>年仅有</w:t>
      </w:r>
      <w:r>
        <w:rPr>
          <w:rFonts w:hint="eastAsia" w:ascii="Nimbus Roman" w:hAnsi="Nimbus Roman" w:eastAsia="方正仿宋_GBK" w:cs="Nimbus Roman"/>
          <w:sz w:val="32"/>
          <w:szCs w:val="32"/>
          <w:lang w:val="en-US" w:eastAsia="zh-CN"/>
        </w:rPr>
        <w:t>4</w:t>
      </w:r>
      <w:r>
        <w:rPr>
          <w:rFonts w:hint="eastAsia" w:ascii="方正仿宋_GBK" w:hAnsi="方正仿宋_GBK" w:eastAsia="方正仿宋_GBK" w:cs="方正仿宋_GBK"/>
          <w:sz w:val="32"/>
          <w:szCs w:val="32"/>
          <w:lang w:val="en-US" w:eastAsia="zh-CN"/>
        </w:rPr>
        <w:t>个月支出数据，</w:t>
      </w: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val="en-US" w:eastAsia="zh-CN"/>
        </w:rPr>
        <w:t>年为全年数据，以及</w:t>
      </w: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val="en-US" w:eastAsia="zh-CN"/>
        </w:rPr>
        <w:t>年新增</w:t>
      </w:r>
      <w:r>
        <w:rPr>
          <w:rFonts w:hint="eastAsia" w:ascii="Nimbus Roman" w:hAnsi="Nimbus Roman" w:eastAsia="方正仿宋_GBK" w:cs="Nimbus Roman"/>
          <w:sz w:val="32"/>
          <w:szCs w:val="32"/>
          <w:lang w:val="en-US" w:eastAsia="zh-CN"/>
        </w:rPr>
        <w:t>1</w:t>
      </w:r>
      <w:r>
        <w:rPr>
          <w:rFonts w:hint="eastAsia" w:ascii="方正仿宋_GBK" w:hAnsi="方正仿宋_GBK" w:eastAsia="方正仿宋_GBK" w:cs="方正仿宋_GBK"/>
          <w:sz w:val="32"/>
          <w:szCs w:val="32"/>
          <w:lang w:val="en-US" w:eastAsia="zh-CN"/>
        </w:rPr>
        <w:t>人，人员经费、公用经费均有所增长，故较上一年度增长幅度较大</w:t>
      </w:r>
      <w:r>
        <w:rPr>
          <w:rFonts w:hint="eastAsia" w:ascii="方正仿宋_GBK" w:hAnsi="方正仿宋_GBK" w:eastAsia="方正仿宋_GBK" w:cs="方正仿宋_GBK"/>
          <w:sz w:val="32"/>
          <w:szCs w:val="32"/>
          <w:lang w:eastAsia="zh-CN"/>
        </w:rPr>
        <w:t>。</w:t>
      </w:r>
    </w:p>
    <w:p w14:paraId="4C5F5F9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XX、XX、XX等重点支出，体现在有关支出科目中。</w:t>
      </w:r>
    </w:p>
    <w:p w14:paraId="38C642A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二、收入决算情况说明</w:t>
      </w:r>
    </w:p>
    <w:p w14:paraId="4951FF6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rPr>
        <w:t>年度收入合计</w:t>
      </w:r>
      <w:r>
        <w:rPr>
          <w:rFonts w:hint="eastAsia" w:ascii="Nimbus Roman" w:hAnsi="Nimbus Roman" w:eastAsia="方正仿宋_GBK" w:cs="Nimbus Roman"/>
          <w:sz w:val="32"/>
          <w:szCs w:val="32"/>
          <w:lang w:val="en-US" w:eastAsia="zh-CN"/>
        </w:rPr>
        <w:t>210.26</w:t>
      </w:r>
      <w:r>
        <w:rPr>
          <w:rFonts w:hint="eastAsia" w:ascii="方正仿宋_GBK" w:hAnsi="方正仿宋_GBK" w:eastAsia="方正仿宋_GBK" w:cs="方正仿宋_GBK"/>
          <w:sz w:val="32"/>
          <w:szCs w:val="32"/>
        </w:rPr>
        <w:t>万元，其中：财政拨款收入</w:t>
      </w:r>
      <w:r>
        <w:rPr>
          <w:rFonts w:hint="eastAsia" w:ascii="Nimbus Roman" w:hAnsi="Nimbus Roman" w:eastAsia="方正仿宋_GBK" w:cs="Nimbus Roman"/>
          <w:sz w:val="32"/>
          <w:szCs w:val="32"/>
          <w:lang w:val="en-US" w:eastAsia="zh-CN"/>
        </w:rPr>
        <w:t>210.26</w:t>
      </w:r>
      <w:r>
        <w:rPr>
          <w:rFonts w:hint="eastAsia" w:ascii="方正仿宋_GBK" w:hAnsi="方正仿宋_GBK" w:eastAsia="方正仿宋_GBK" w:cs="方正仿宋_GBK"/>
          <w:sz w:val="32"/>
          <w:szCs w:val="32"/>
        </w:rPr>
        <w:t>万元，占</w:t>
      </w:r>
      <w:r>
        <w:rPr>
          <w:rFonts w:hint="eastAsia" w:ascii="Nimbus Roman" w:hAnsi="Nimbus Roman" w:eastAsia="方正仿宋_GBK" w:cs="Nimbus Roman"/>
          <w:sz w:val="32"/>
          <w:szCs w:val="32"/>
          <w:lang w:val="en-US" w:eastAsia="zh-CN"/>
        </w:rPr>
        <w:t>100%</w:t>
      </w:r>
      <w:r>
        <w:rPr>
          <w:rFonts w:hint="eastAsia" w:ascii="方正仿宋_GBK" w:hAnsi="方正仿宋_GBK" w:eastAsia="方正仿宋_GBK" w:cs="方正仿宋_GBK"/>
          <w:sz w:val="32"/>
          <w:szCs w:val="32"/>
        </w:rPr>
        <w:t>；上级补助收入</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万元；事业收入</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万元；经营收入</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万元；附属单位上缴收入</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万元；其他收入</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w:t>
      </w:r>
    </w:p>
    <w:p w14:paraId="2E204A0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三、支出决算情况说明</w:t>
      </w:r>
    </w:p>
    <w:p w14:paraId="08665CF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rPr>
        <w:t>年度支出合计</w:t>
      </w:r>
      <w:r>
        <w:rPr>
          <w:rFonts w:hint="eastAsia" w:ascii="Nimbus Roman" w:hAnsi="Nimbus Roman" w:eastAsia="方正仿宋_GBK" w:cs="Nimbus Roman"/>
          <w:sz w:val="32"/>
          <w:szCs w:val="32"/>
          <w:lang w:val="en-US" w:eastAsia="zh-CN"/>
        </w:rPr>
        <w:t>210.26</w:t>
      </w:r>
      <w:r>
        <w:rPr>
          <w:rFonts w:hint="eastAsia" w:ascii="方正仿宋_GBK" w:hAnsi="方正仿宋_GBK" w:eastAsia="方正仿宋_GBK" w:cs="方正仿宋_GBK"/>
          <w:sz w:val="32"/>
          <w:szCs w:val="32"/>
        </w:rPr>
        <w:t>万元，其中：基本支出</w:t>
      </w:r>
      <w:r>
        <w:rPr>
          <w:rFonts w:hint="eastAsia" w:ascii="Nimbus Roman" w:hAnsi="Nimbus Roman" w:eastAsia="方正仿宋_GBK" w:cs="Nimbus Roman"/>
          <w:sz w:val="32"/>
          <w:szCs w:val="32"/>
          <w:lang w:val="en-US" w:eastAsia="zh-CN"/>
        </w:rPr>
        <w:t>145.03</w:t>
      </w:r>
      <w:r>
        <w:rPr>
          <w:rFonts w:hint="eastAsia" w:ascii="方正仿宋_GBK" w:hAnsi="方正仿宋_GBK" w:eastAsia="方正仿宋_GBK" w:cs="方正仿宋_GBK"/>
          <w:sz w:val="32"/>
          <w:szCs w:val="32"/>
        </w:rPr>
        <w:t>万元，占</w:t>
      </w:r>
      <w:r>
        <w:rPr>
          <w:rFonts w:hint="eastAsia" w:ascii="Nimbus Roman" w:hAnsi="Nimbus Roman" w:eastAsia="方正仿宋_GBK" w:cs="Nimbus Roman"/>
          <w:sz w:val="32"/>
          <w:szCs w:val="32"/>
          <w:lang w:val="en-US" w:eastAsia="zh-CN"/>
        </w:rPr>
        <w:t>68.98%</w:t>
      </w:r>
      <w:r>
        <w:rPr>
          <w:rFonts w:hint="eastAsia" w:ascii="方正仿宋_GBK" w:hAnsi="方正仿宋_GBK" w:eastAsia="方正仿宋_GBK" w:cs="方正仿宋_GBK"/>
          <w:sz w:val="32"/>
          <w:szCs w:val="32"/>
        </w:rPr>
        <w:t>；项目支出</w:t>
      </w:r>
      <w:r>
        <w:rPr>
          <w:rFonts w:hint="eastAsia" w:ascii="Nimbus Roman" w:hAnsi="Nimbus Roman" w:eastAsia="方正仿宋_GBK" w:cs="Nimbus Roman"/>
          <w:sz w:val="32"/>
          <w:szCs w:val="32"/>
          <w:lang w:val="en-US" w:eastAsia="zh-CN"/>
        </w:rPr>
        <w:t>65.23</w:t>
      </w:r>
      <w:r>
        <w:rPr>
          <w:rFonts w:hint="eastAsia" w:ascii="方正仿宋_GBK" w:hAnsi="方正仿宋_GBK" w:eastAsia="方正仿宋_GBK" w:cs="方正仿宋_GBK"/>
          <w:sz w:val="32"/>
          <w:szCs w:val="32"/>
        </w:rPr>
        <w:t>万元，占</w:t>
      </w:r>
      <w:r>
        <w:rPr>
          <w:rFonts w:hint="eastAsia" w:ascii="Nimbus Roman" w:hAnsi="Nimbus Roman" w:eastAsia="方正仿宋_GBK" w:cs="Nimbus Roman"/>
          <w:sz w:val="32"/>
          <w:szCs w:val="32"/>
          <w:lang w:val="en-US" w:eastAsia="zh-CN"/>
        </w:rPr>
        <w:t>31.02%</w:t>
      </w:r>
      <w:r>
        <w:rPr>
          <w:rFonts w:hint="eastAsia" w:ascii="方正仿宋_GBK" w:hAnsi="方正仿宋_GBK" w:eastAsia="方正仿宋_GBK" w:cs="方正仿宋_GBK"/>
          <w:sz w:val="32"/>
          <w:szCs w:val="32"/>
        </w:rPr>
        <w:t>；上缴上级支出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lang w:val="en-US" w:eastAsia="zh-CN"/>
        </w:rPr>
        <w:t>万</w:t>
      </w:r>
      <w:r>
        <w:rPr>
          <w:rFonts w:hint="eastAsia" w:ascii="方正仿宋_GBK" w:hAnsi="方正仿宋_GBK" w:eastAsia="方正仿宋_GBK" w:cs="方正仿宋_GBK"/>
          <w:sz w:val="32"/>
          <w:szCs w:val="32"/>
        </w:rPr>
        <w:t>元；经营支出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万元；对附属单位补助支出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w:t>
      </w:r>
    </w:p>
    <w:p w14:paraId="084A2E9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四、财政拨款收入支出决算总体情况说明</w:t>
      </w:r>
    </w:p>
    <w:p w14:paraId="421DB10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rPr>
        <w:t>年度财政拨款收、支总计</w:t>
      </w:r>
      <w:r>
        <w:rPr>
          <w:rFonts w:hint="eastAsia" w:ascii="Nimbus Roman" w:hAnsi="Nimbus Roman" w:eastAsia="方正仿宋_GBK" w:cs="Nimbus Roman"/>
          <w:sz w:val="32"/>
          <w:szCs w:val="32"/>
          <w:lang w:val="en-US" w:eastAsia="zh-CN"/>
        </w:rPr>
        <w:t>210.26</w:t>
      </w:r>
      <w:r>
        <w:rPr>
          <w:rFonts w:hint="eastAsia" w:ascii="方正仿宋_GBK" w:hAnsi="方正仿宋_GBK" w:eastAsia="方正仿宋_GBK" w:cs="方正仿宋_GBK"/>
          <w:sz w:val="32"/>
          <w:szCs w:val="32"/>
        </w:rPr>
        <w:t>万元，与上年相比，增加</w:t>
      </w:r>
      <w:r>
        <w:rPr>
          <w:rFonts w:hint="eastAsia" w:ascii="Nimbus Roman" w:hAnsi="Nimbus Roman" w:eastAsia="方正仿宋_GBK" w:cs="Nimbus Roman"/>
          <w:sz w:val="32"/>
          <w:szCs w:val="32"/>
          <w:lang w:val="en-US" w:eastAsia="zh-CN"/>
        </w:rPr>
        <w:t>155.22</w:t>
      </w:r>
      <w:r>
        <w:rPr>
          <w:rFonts w:hint="eastAsia" w:ascii="方正仿宋_GBK" w:hAnsi="方正仿宋_GBK" w:eastAsia="方正仿宋_GBK" w:cs="方正仿宋_GBK"/>
          <w:sz w:val="32"/>
          <w:szCs w:val="32"/>
        </w:rPr>
        <w:t>万元,增长</w:t>
      </w:r>
      <w:r>
        <w:rPr>
          <w:rFonts w:hint="eastAsia" w:ascii="Nimbus Roman" w:hAnsi="Nimbus Roman" w:eastAsia="方正仿宋_GBK" w:cs="Nimbus Roman"/>
          <w:sz w:val="32"/>
          <w:szCs w:val="32"/>
          <w:lang w:val="en-US" w:eastAsia="zh-CN"/>
        </w:rPr>
        <w:t>282.01%</w:t>
      </w:r>
      <w:r>
        <w:rPr>
          <w:rFonts w:hint="eastAsia" w:ascii="方正仿宋_GBK" w:hAnsi="方正仿宋_GBK" w:eastAsia="方正仿宋_GBK" w:cs="方正仿宋_GBK"/>
          <w:sz w:val="32"/>
          <w:szCs w:val="32"/>
        </w:rPr>
        <w:t>，主要是因为</w:t>
      </w:r>
      <w:r>
        <w:rPr>
          <w:rFonts w:hint="eastAsia" w:ascii="方正仿宋_GBK" w:hAnsi="方正仿宋_GBK" w:eastAsia="方正仿宋_GBK" w:cs="方正仿宋_GBK"/>
          <w:sz w:val="32"/>
          <w:szCs w:val="32"/>
          <w:lang w:eastAsia="zh-CN"/>
        </w:rPr>
        <w:t>我单位于</w:t>
      </w:r>
      <w:r>
        <w:rPr>
          <w:rFonts w:hint="eastAsia" w:ascii="Nimbus Roman" w:hAnsi="Nimbus Roman" w:eastAsia="方正仿宋_GBK" w:cs="Nimbus Roman"/>
          <w:sz w:val="32"/>
          <w:szCs w:val="32"/>
          <w:lang w:val="en-US" w:eastAsia="zh-CN"/>
        </w:rPr>
        <w:t>2024</w:t>
      </w:r>
      <w:r>
        <w:rPr>
          <w:rFonts w:hint="eastAsia" w:ascii="方正仿宋_GBK" w:hAnsi="方正仿宋_GBK" w:eastAsia="方正仿宋_GBK" w:cs="方正仿宋_GBK"/>
          <w:sz w:val="32"/>
          <w:szCs w:val="32"/>
          <w:lang w:val="en-US" w:eastAsia="zh-CN"/>
        </w:rPr>
        <w:t>年正式成立，</w:t>
      </w:r>
      <w:r>
        <w:rPr>
          <w:rFonts w:hint="eastAsia" w:ascii="Nimbus Roman" w:hAnsi="Nimbus Roman" w:eastAsia="方正仿宋_GBK" w:cs="Nimbus Roman"/>
          <w:sz w:val="32"/>
          <w:szCs w:val="32"/>
          <w:lang w:val="en-US" w:eastAsia="zh-CN"/>
        </w:rPr>
        <w:t>2024</w:t>
      </w:r>
      <w:r>
        <w:rPr>
          <w:rFonts w:hint="eastAsia" w:ascii="方正仿宋_GBK" w:hAnsi="方正仿宋_GBK" w:eastAsia="方正仿宋_GBK" w:cs="方正仿宋_GBK"/>
          <w:sz w:val="32"/>
          <w:szCs w:val="32"/>
          <w:lang w:val="en-US" w:eastAsia="zh-CN"/>
        </w:rPr>
        <w:t>年</w:t>
      </w:r>
      <w:r>
        <w:rPr>
          <w:rFonts w:hint="eastAsia" w:ascii="Nimbus Roman" w:hAnsi="Nimbus Roman" w:eastAsia="方正仿宋_GBK" w:cs="Nimbus Roman"/>
          <w:sz w:val="32"/>
          <w:szCs w:val="32"/>
          <w:lang w:val="en-US" w:eastAsia="zh-CN"/>
        </w:rPr>
        <w:t>9</w:t>
      </w:r>
      <w:r>
        <w:rPr>
          <w:rFonts w:hint="eastAsia" w:ascii="方正仿宋_GBK" w:hAnsi="方正仿宋_GBK" w:eastAsia="方正仿宋_GBK" w:cs="方正仿宋_GBK"/>
          <w:sz w:val="32"/>
          <w:szCs w:val="32"/>
          <w:lang w:val="en-US" w:eastAsia="zh-CN"/>
        </w:rPr>
        <w:t>月才开展业务，故</w:t>
      </w:r>
      <w:r>
        <w:rPr>
          <w:rFonts w:hint="eastAsia" w:ascii="Nimbus Roman" w:hAnsi="Nimbus Roman" w:eastAsia="方正仿宋_GBK" w:cs="Nimbus Roman"/>
          <w:sz w:val="32"/>
          <w:szCs w:val="32"/>
          <w:lang w:val="en-US" w:eastAsia="zh-CN"/>
        </w:rPr>
        <w:t>2024</w:t>
      </w:r>
      <w:r>
        <w:rPr>
          <w:rFonts w:hint="eastAsia" w:ascii="方正仿宋_GBK" w:hAnsi="方正仿宋_GBK" w:eastAsia="方正仿宋_GBK" w:cs="方正仿宋_GBK"/>
          <w:sz w:val="32"/>
          <w:szCs w:val="32"/>
          <w:lang w:val="en-US" w:eastAsia="zh-CN"/>
        </w:rPr>
        <w:t>年仅有</w:t>
      </w:r>
      <w:r>
        <w:rPr>
          <w:rFonts w:hint="eastAsia" w:ascii="Nimbus Roman" w:hAnsi="Nimbus Roman" w:eastAsia="方正仿宋_GBK" w:cs="Nimbus Roman"/>
          <w:sz w:val="32"/>
          <w:szCs w:val="32"/>
          <w:lang w:val="en-US" w:eastAsia="zh-CN"/>
        </w:rPr>
        <w:t>4</w:t>
      </w:r>
      <w:r>
        <w:rPr>
          <w:rFonts w:hint="eastAsia" w:ascii="方正仿宋_GBK" w:hAnsi="方正仿宋_GBK" w:eastAsia="方正仿宋_GBK" w:cs="方正仿宋_GBK"/>
          <w:sz w:val="32"/>
          <w:szCs w:val="32"/>
          <w:lang w:val="en-US" w:eastAsia="zh-CN"/>
        </w:rPr>
        <w:t>个月支出数据，</w:t>
      </w: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val="en-US" w:eastAsia="zh-CN"/>
        </w:rPr>
        <w:t>年为全年数据，以及</w:t>
      </w: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val="en-US" w:eastAsia="zh-CN"/>
        </w:rPr>
        <w:t>年新增</w:t>
      </w:r>
      <w:r>
        <w:rPr>
          <w:rFonts w:hint="eastAsia" w:ascii="Nimbus Roman" w:hAnsi="Nimbus Roman" w:eastAsia="方正仿宋_GBK" w:cs="Nimbus Roman"/>
          <w:sz w:val="32"/>
          <w:szCs w:val="32"/>
          <w:lang w:val="en-US" w:eastAsia="zh-CN"/>
        </w:rPr>
        <w:t>1</w:t>
      </w:r>
      <w:r>
        <w:rPr>
          <w:rFonts w:hint="eastAsia" w:ascii="方正仿宋_GBK" w:hAnsi="方正仿宋_GBK" w:eastAsia="方正仿宋_GBK" w:cs="方正仿宋_GBK"/>
          <w:sz w:val="32"/>
          <w:szCs w:val="32"/>
          <w:lang w:val="en-US" w:eastAsia="zh-CN"/>
        </w:rPr>
        <w:t>人，人员经费、公用经费均有所增长，故较上一年度增长幅度较大</w:t>
      </w:r>
      <w:r>
        <w:rPr>
          <w:rFonts w:hint="eastAsia" w:ascii="方正仿宋_GBK" w:hAnsi="方正仿宋_GBK" w:eastAsia="方正仿宋_GBK" w:cs="方正仿宋_GBK"/>
          <w:sz w:val="32"/>
          <w:szCs w:val="32"/>
          <w:lang w:eastAsia="zh-CN"/>
        </w:rPr>
        <w:t>。</w:t>
      </w:r>
    </w:p>
    <w:p w14:paraId="77249A5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五、一般公共预算财政拨款支出决算情况说明</w:t>
      </w:r>
    </w:p>
    <w:p w14:paraId="507CFD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（一）一般公共预算财政拨款支出决算总体情况</w:t>
      </w:r>
    </w:p>
    <w:p w14:paraId="37251CB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202</w:t>
      </w:r>
      <w:r>
        <w:rPr>
          <w:rFonts w:hint="eastAsia" w:ascii="Nimbus Roman" w:hAnsi="Nimbus Roman" w:eastAsia="方正仿宋_GBK" w:cs="Nimbus Roman"/>
          <w:sz w:val="32"/>
          <w:szCs w:val="32"/>
          <w:lang w:val="en-US" w:eastAsia="zh-CN"/>
        </w:rPr>
        <w:t>5</w:t>
      </w:r>
      <w:r>
        <w:rPr>
          <w:rFonts w:hint="eastAsia" w:ascii="方正仿宋_GBK" w:hAnsi="方正仿宋_GBK" w:eastAsia="方正仿宋_GBK" w:cs="方正仿宋_GBK"/>
          <w:sz w:val="32"/>
          <w:szCs w:val="32"/>
        </w:rPr>
        <w:t>年度财政拨款支出</w:t>
      </w:r>
      <w:r>
        <w:rPr>
          <w:rFonts w:hint="eastAsia" w:ascii="Nimbus Roman" w:hAnsi="Nimbus Roman" w:eastAsia="方正仿宋_GBK" w:cs="Nimbus Roman"/>
          <w:sz w:val="32"/>
          <w:szCs w:val="32"/>
          <w:lang w:val="en-US" w:eastAsia="zh-CN"/>
        </w:rPr>
        <w:t>210.26</w:t>
      </w:r>
      <w:r>
        <w:rPr>
          <w:rFonts w:hint="eastAsia" w:ascii="方正仿宋_GBK" w:hAnsi="方正仿宋_GBK" w:eastAsia="方正仿宋_GBK" w:cs="方正仿宋_GBK"/>
          <w:sz w:val="32"/>
          <w:szCs w:val="32"/>
        </w:rPr>
        <w:t>万元，占本年支出合计的</w:t>
      </w:r>
      <w:r>
        <w:rPr>
          <w:rFonts w:hint="eastAsia" w:ascii="Nimbus Roman" w:hAnsi="Nimbus Roman" w:eastAsia="方正仿宋_GBK" w:cs="Nimbus Roman"/>
          <w:sz w:val="32"/>
          <w:szCs w:val="32"/>
          <w:lang w:val="en-US" w:eastAsia="zh-CN"/>
        </w:rPr>
        <w:t>100</w:t>
      </w:r>
      <w:r>
        <w:rPr>
          <w:rFonts w:hint="eastAsia" w:ascii="Nimbus Roman" w:hAnsi="Nimbus Roman" w:eastAsia="方正仿宋_GBK" w:cs="Nimbus Roman"/>
          <w:sz w:val="32"/>
          <w:szCs w:val="32"/>
        </w:rPr>
        <w:t>%</w:t>
      </w:r>
      <w:r>
        <w:rPr>
          <w:rFonts w:hint="eastAsia" w:ascii="方正仿宋_GBK" w:hAnsi="方正仿宋_GBK" w:eastAsia="方正仿宋_GBK" w:cs="方正仿宋_GBK"/>
          <w:sz w:val="32"/>
          <w:szCs w:val="32"/>
        </w:rPr>
        <w:t>，与上年相比，财政拨款支出增加</w:t>
      </w:r>
      <w:r>
        <w:rPr>
          <w:rFonts w:hint="eastAsia" w:ascii="Nimbus Roman" w:hAnsi="Nimbus Roman" w:eastAsia="方正仿宋_GBK" w:cs="Nimbus Roman"/>
          <w:sz w:val="32"/>
          <w:szCs w:val="32"/>
          <w:lang w:val="en-US" w:eastAsia="zh-CN"/>
        </w:rPr>
        <w:t>155.22</w:t>
      </w:r>
      <w:r>
        <w:rPr>
          <w:rFonts w:hint="eastAsia" w:ascii="方正仿宋_GBK" w:hAnsi="方正仿宋_GBK" w:eastAsia="方正仿宋_GBK" w:cs="方正仿宋_GBK"/>
          <w:sz w:val="32"/>
          <w:szCs w:val="32"/>
        </w:rPr>
        <w:t>万元，增长</w:t>
      </w:r>
      <w:r>
        <w:rPr>
          <w:rFonts w:hint="eastAsia" w:ascii="Nimbus Roman" w:hAnsi="Nimbus Roman" w:eastAsia="方正仿宋_GBK" w:cs="Nimbus Roman"/>
          <w:sz w:val="32"/>
          <w:szCs w:val="32"/>
          <w:lang w:val="en-US" w:eastAsia="zh-CN"/>
        </w:rPr>
        <w:t>282.01</w:t>
      </w:r>
      <w:r>
        <w:rPr>
          <w:rFonts w:hint="eastAsia" w:ascii="Nimbus Roman" w:hAnsi="Nimbus Roman" w:eastAsia="方正仿宋_GBK" w:cs="Nimbus Roman"/>
          <w:sz w:val="32"/>
          <w:szCs w:val="32"/>
        </w:rPr>
        <w:t>%</w:t>
      </w:r>
      <w:r>
        <w:rPr>
          <w:rFonts w:hint="eastAsia" w:ascii="方正仿宋_GBK" w:hAnsi="方正仿宋_GBK" w:eastAsia="方正仿宋_GBK" w:cs="方正仿宋_GBK"/>
          <w:sz w:val="32"/>
          <w:szCs w:val="32"/>
        </w:rPr>
        <w:t>，主要是因为</w:t>
      </w:r>
      <w:r>
        <w:rPr>
          <w:rFonts w:hint="eastAsia" w:ascii="方正仿宋_GBK" w:hAnsi="方正仿宋_GBK" w:eastAsia="方正仿宋_GBK" w:cs="方正仿宋_GBK"/>
          <w:sz w:val="32"/>
          <w:szCs w:val="32"/>
          <w:lang w:eastAsia="zh-CN"/>
        </w:rPr>
        <w:t>我单位于</w:t>
      </w:r>
      <w:r>
        <w:rPr>
          <w:rFonts w:hint="eastAsia" w:ascii="Nimbus Roman" w:hAnsi="Nimbus Roman" w:eastAsia="方正仿宋_GBK" w:cs="Nimbus Roman"/>
          <w:sz w:val="32"/>
          <w:szCs w:val="32"/>
          <w:lang w:val="en-US" w:eastAsia="zh-CN"/>
        </w:rPr>
        <w:t>2024</w:t>
      </w:r>
      <w:r>
        <w:rPr>
          <w:rFonts w:hint="eastAsia" w:ascii="方正仿宋_GBK" w:hAnsi="方正仿宋_GBK" w:eastAsia="方正仿宋_GBK" w:cs="方正仿宋_GBK"/>
          <w:sz w:val="32"/>
          <w:szCs w:val="32"/>
          <w:lang w:val="en-US" w:eastAsia="zh-CN"/>
        </w:rPr>
        <w:t>年正式成立，</w:t>
      </w:r>
      <w:r>
        <w:rPr>
          <w:rFonts w:hint="eastAsia" w:ascii="Nimbus Roman" w:hAnsi="Nimbus Roman" w:eastAsia="方正仿宋_GBK" w:cs="Nimbus Roman"/>
          <w:sz w:val="32"/>
          <w:szCs w:val="32"/>
          <w:lang w:val="en-US" w:eastAsia="zh-CN"/>
        </w:rPr>
        <w:t>2024</w:t>
      </w:r>
      <w:r>
        <w:rPr>
          <w:rFonts w:hint="eastAsia" w:ascii="方正仿宋_GBK" w:hAnsi="方正仿宋_GBK" w:eastAsia="方正仿宋_GBK" w:cs="方正仿宋_GBK"/>
          <w:sz w:val="32"/>
          <w:szCs w:val="32"/>
          <w:lang w:val="en-US" w:eastAsia="zh-CN"/>
        </w:rPr>
        <w:t>年</w:t>
      </w:r>
      <w:r>
        <w:rPr>
          <w:rFonts w:hint="eastAsia" w:ascii="Nimbus Roman" w:hAnsi="Nimbus Roman" w:eastAsia="方正仿宋_GBK" w:cs="Nimbus Roman"/>
          <w:sz w:val="32"/>
          <w:szCs w:val="32"/>
          <w:lang w:val="en-US" w:eastAsia="zh-CN"/>
        </w:rPr>
        <w:t>9</w:t>
      </w:r>
      <w:r>
        <w:rPr>
          <w:rFonts w:hint="eastAsia" w:ascii="方正仿宋_GBK" w:hAnsi="方正仿宋_GBK" w:eastAsia="方正仿宋_GBK" w:cs="方正仿宋_GBK"/>
          <w:sz w:val="32"/>
          <w:szCs w:val="32"/>
          <w:lang w:val="en-US" w:eastAsia="zh-CN"/>
        </w:rPr>
        <w:t>月才开展业务，故</w:t>
      </w:r>
      <w:r>
        <w:rPr>
          <w:rFonts w:hint="eastAsia" w:ascii="Nimbus Roman" w:hAnsi="Nimbus Roman" w:eastAsia="方正仿宋_GBK" w:cs="Nimbus Roman"/>
          <w:sz w:val="32"/>
          <w:szCs w:val="32"/>
          <w:lang w:val="en-US" w:eastAsia="zh-CN"/>
        </w:rPr>
        <w:t>2024</w:t>
      </w:r>
      <w:r>
        <w:rPr>
          <w:rFonts w:hint="eastAsia" w:ascii="方正仿宋_GBK" w:hAnsi="方正仿宋_GBK" w:eastAsia="方正仿宋_GBK" w:cs="方正仿宋_GBK"/>
          <w:sz w:val="32"/>
          <w:szCs w:val="32"/>
          <w:lang w:val="en-US" w:eastAsia="zh-CN"/>
        </w:rPr>
        <w:t>年仅有</w:t>
      </w:r>
      <w:r>
        <w:rPr>
          <w:rFonts w:hint="eastAsia" w:ascii="Nimbus Roman" w:hAnsi="Nimbus Roman" w:eastAsia="方正仿宋_GBK" w:cs="Nimbus Roman"/>
          <w:sz w:val="32"/>
          <w:szCs w:val="32"/>
          <w:lang w:val="en-US" w:eastAsia="zh-CN"/>
        </w:rPr>
        <w:t>4</w:t>
      </w:r>
      <w:r>
        <w:rPr>
          <w:rFonts w:hint="eastAsia" w:ascii="方正仿宋_GBK" w:hAnsi="方正仿宋_GBK" w:eastAsia="方正仿宋_GBK" w:cs="方正仿宋_GBK"/>
          <w:sz w:val="32"/>
          <w:szCs w:val="32"/>
          <w:lang w:val="en-US" w:eastAsia="zh-CN"/>
        </w:rPr>
        <w:t>个月支出数据，</w:t>
      </w: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val="en-US" w:eastAsia="zh-CN"/>
        </w:rPr>
        <w:t>年为全年数据，以及</w:t>
      </w: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val="en-US" w:eastAsia="zh-CN"/>
        </w:rPr>
        <w:t>年新增</w:t>
      </w:r>
      <w:r>
        <w:rPr>
          <w:rFonts w:hint="eastAsia" w:ascii="Nimbus Roman" w:hAnsi="Nimbus Roman" w:eastAsia="方正仿宋_GBK" w:cs="Nimbus Roman"/>
          <w:sz w:val="32"/>
          <w:szCs w:val="32"/>
          <w:lang w:val="en-US" w:eastAsia="zh-CN"/>
        </w:rPr>
        <w:t>1</w:t>
      </w:r>
      <w:r>
        <w:rPr>
          <w:rFonts w:hint="eastAsia" w:ascii="方正仿宋_GBK" w:hAnsi="方正仿宋_GBK" w:eastAsia="方正仿宋_GBK" w:cs="方正仿宋_GBK"/>
          <w:sz w:val="32"/>
          <w:szCs w:val="32"/>
          <w:lang w:val="en-US" w:eastAsia="zh-CN"/>
        </w:rPr>
        <w:t>人，人员经费、公用经费均有所增长，故较上一年度增长幅度较大</w:t>
      </w:r>
      <w:r>
        <w:rPr>
          <w:rFonts w:hint="eastAsia" w:ascii="方正仿宋_GBK" w:hAnsi="方正仿宋_GBK" w:eastAsia="方正仿宋_GBK" w:cs="方正仿宋_GBK"/>
          <w:sz w:val="32"/>
          <w:szCs w:val="32"/>
          <w:lang w:eastAsia="zh-CN"/>
        </w:rPr>
        <w:t>。</w:t>
      </w:r>
    </w:p>
    <w:p w14:paraId="43DA5AF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（二）一般公共预算财政拨款支出决算结构情况</w:t>
      </w:r>
    </w:p>
    <w:p w14:paraId="68D5851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eastAsia="zh-CN"/>
        </w:rPr>
        <w:t>年</w:t>
      </w:r>
      <w:r>
        <w:rPr>
          <w:rFonts w:hint="eastAsia" w:ascii="方正仿宋_GBK" w:hAnsi="方正仿宋_GBK" w:eastAsia="方正仿宋_GBK" w:cs="方正仿宋_GBK"/>
          <w:sz w:val="32"/>
          <w:szCs w:val="32"/>
        </w:rPr>
        <w:t>度财政拨款支出</w:t>
      </w:r>
      <w:r>
        <w:rPr>
          <w:rFonts w:hint="eastAsia" w:ascii="Nimbus Roman" w:hAnsi="Nimbus Roman" w:eastAsia="方正仿宋_GBK" w:cs="Nimbus Roman"/>
          <w:sz w:val="32"/>
          <w:szCs w:val="32"/>
          <w:lang w:val="en-US" w:eastAsia="zh-CN"/>
        </w:rPr>
        <w:t>210.26</w:t>
      </w:r>
      <w:r>
        <w:rPr>
          <w:rFonts w:hint="eastAsia" w:ascii="方正仿宋_GBK" w:hAnsi="方正仿宋_GBK" w:eastAsia="方正仿宋_GBK" w:cs="方正仿宋_GBK"/>
          <w:sz w:val="32"/>
          <w:szCs w:val="32"/>
        </w:rPr>
        <w:t>万元，主要用于以下方面：一般公共服务（类）支出</w:t>
      </w:r>
      <w:r>
        <w:rPr>
          <w:rFonts w:hint="eastAsia" w:ascii="Nimbus Roman" w:hAnsi="Nimbus Roman" w:eastAsia="方正仿宋_GBK" w:cs="Nimbus Roman"/>
          <w:sz w:val="32"/>
          <w:szCs w:val="32"/>
          <w:lang w:val="en-US" w:eastAsia="zh-CN"/>
        </w:rPr>
        <w:t>38.14</w:t>
      </w:r>
      <w:r>
        <w:rPr>
          <w:rFonts w:hint="eastAsia" w:ascii="方正仿宋_GBK" w:hAnsi="方正仿宋_GBK" w:eastAsia="方正仿宋_GBK" w:cs="方正仿宋_GBK"/>
          <w:sz w:val="32"/>
          <w:szCs w:val="32"/>
        </w:rPr>
        <w:t>万元，占</w:t>
      </w:r>
      <w:r>
        <w:rPr>
          <w:rFonts w:hint="eastAsia" w:ascii="Nimbus Roman" w:hAnsi="Nimbus Roman" w:eastAsia="方正仿宋_GBK" w:cs="Nimbus Roman"/>
          <w:sz w:val="32"/>
          <w:szCs w:val="32"/>
          <w:lang w:val="en-US" w:eastAsia="zh-CN"/>
        </w:rPr>
        <w:t>18.14%</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社会保障和就业（类）支出</w:t>
      </w:r>
      <w:r>
        <w:rPr>
          <w:rFonts w:hint="eastAsia" w:ascii="Nimbus Roman" w:hAnsi="Nimbus Roman" w:eastAsia="方正仿宋_GBK" w:cs="Nimbus Roman"/>
          <w:sz w:val="32"/>
          <w:szCs w:val="32"/>
          <w:lang w:val="en-US" w:eastAsia="zh-CN"/>
        </w:rPr>
        <w:t>107.86</w:t>
      </w:r>
      <w:r>
        <w:rPr>
          <w:rFonts w:hint="eastAsia" w:ascii="方正仿宋_GBK" w:hAnsi="方正仿宋_GBK" w:eastAsia="方正仿宋_GBK" w:cs="方正仿宋_GBK"/>
          <w:sz w:val="32"/>
          <w:szCs w:val="32"/>
          <w:lang w:val="en-US" w:eastAsia="zh-CN"/>
        </w:rPr>
        <w:t>万元，占</w:t>
      </w:r>
      <w:r>
        <w:rPr>
          <w:rFonts w:hint="eastAsia" w:ascii="Nimbus Roman" w:hAnsi="Nimbus Roman" w:eastAsia="方正仿宋_GBK" w:cs="Nimbus Roman"/>
          <w:sz w:val="32"/>
          <w:szCs w:val="32"/>
          <w:lang w:val="en-US" w:eastAsia="zh-CN"/>
        </w:rPr>
        <w:t>51.30%</w:t>
      </w:r>
      <w:r>
        <w:rPr>
          <w:rFonts w:hint="eastAsia" w:ascii="方正仿宋_GBK" w:hAnsi="方正仿宋_GBK" w:eastAsia="方正仿宋_GBK" w:cs="方正仿宋_GBK"/>
          <w:sz w:val="32"/>
          <w:szCs w:val="32"/>
          <w:lang w:val="en-US" w:eastAsia="zh-CN"/>
        </w:rPr>
        <w:t>；卫生健康（类）支出</w:t>
      </w:r>
      <w:r>
        <w:rPr>
          <w:rFonts w:hint="eastAsia" w:ascii="Nimbus Roman" w:hAnsi="Nimbus Roman" w:eastAsia="方正仿宋_GBK" w:cs="Nimbus Roman"/>
          <w:sz w:val="32"/>
          <w:szCs w:val="32"/>
          <w:lang w:val="en-US" w:eastAsia="zh-CN"/>
        </w:rPr>
        <w:t>7.26</w:t>
      </w:r>
      <w:r>
        <w:rPr>
          <w:rFonts w:hint="eastAsia" w:ascii="方正仿宋_GBK" w:hAnsi="方正仿宋_GBK" w:eastAsia="方正仿宋_GBK" w:cs="方正仿宋_GBK"/>
          <w:sz w:val="32"/>
          <w:szCs w:val="32"/>
          <w:lang w:val="en-US" w:eastAsia="zh-CN"/>
        </w:rPr>
        <w:t>万元，占</w:t>
      </w:r>
      <w:r>
        <w:rPr>
          <w:rFonts w:hint="eastAsia" w:ascii="Nimbus Roman" w:hAnsi="Nimbus Roman" w:eastAsia="方正仿宋_GBK" w:cs="Nimbus Roman"/>
          <w:sz w:val="32"/>
          <w:szCs w:val="32"/>
          <w:lang w:val="en-US" w:eastAsia="zh-CN"/>
        </w:rPr>
        <w:t>3.45%</w:t>
      </w:r>
      <w:r>
        <w:rPr>
          <w:rFonts w:hint="eastAsia" w:ascii="方正仿宋_GBK" w:hAnsi="方正仿宋_GBK" w:eastAsia="方正仿宋_GBK" w:cs="方正仿宋_GBK"/>
          <w:sz w:val="32"/>
          <w:szCs w:val="32"/>
          <w:lang w:val="en-US" w:eastAsia="zh-CN"/>
        </w:rPr>
        <w:t>；城乡社区（类）支出</w:t>
      </w:r>
      <w:r>
        <w:rPr>
          <w:rFonts w:hint="eastAsia" w:ascii="Nimbus Roman" w:hAnsi="Nimbus Roman" w:eastAsia="方正仿宋_GBK" w:cs="Nimbus Roman"/>
          <w:sz w:val="32"/>
          <w:szCs w:val="32"/>
          <w:lang w:val="en-US" w:eastAsia="zh-CN"/>
        </w:rPr>
        <w:t>57</w:t>
      </w:r>
      <w:r>
        <w:rPr>
          <w:rFonts w:hint="eastAsia" w:ascii="方正仿宋_GBK" w:hAnsi="方正仿宋_GBK" w:eastAsia="方正仿宋_GBK" w:cs="方正仿宋_GBK"/>
          <w:sz w:val="32"/>
          <w:szCs w:val="32"/>
          <w:lang w:val="en-US" w:eastAsia="zh-CN"/>
        </w:rPr>
        <w:t>万元，占</w:t>
      </w:r>
      <w:r>
        <w:rPr>
          <w:rFonts w:hint="eastAsia" w:ascii="Nimbus Roman" w:hAnsi="Nimbus Roman" w:eastAsia="方正仿宋_GBK" w:cs="Nimbus Roman"/>
          <w:sz w:val="32"/>
          <w:szCs w:val="32"/>
          <w:lang w:val="en-US" w:eastAsia="zh-CN"/>
        </w:rPr>
        <w:t>27.11%</w:t>
      </w:r>
      <w:r>
        <w:rPr>
          <w:rFonts w:hint="eastAsia" w:ascii="方正仿宋_GBK" w:hAnsi="方正仿宋_GBK" w:eastAsia="方正仿宋_GBK" w:cs="方正仿宋_GBK"/>
          <w:sz w:val="32"/>
          <w:szCs w:val="32"/>
          <w:lang w:val="en-US" w:eastAsia="zh-CN"/>
        </w:rPr>
        <w:t>。</w:t>
      </w:r>
    </w:p>
    <w:p w14:paraId="210E3BD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（三）一般公共预算财政拨款支出决算具体情况</w:t>
      </w:r>
    </w:p>
    <w:p w14:paraId="03A977A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202</w:t>
      </w:r>
      <w:r>
        <w:rPr>
          <w:rFonts w:hint="eastAsia" w:ascii="Nimbus Roman" w:hAnsi="Nimbus Roman" w:eastAsia="方正仿宋_GBK" w:cs="Nimbus Roman"/>
          <w:sz w:val="32"/>
          <w:szCs w:val="32"/>
          <w:lang w:val="en-US" w:eastAsia="zh-CN"/>
        </w:rPr>
        <w:t>5</w:t>
      </w:r>
      <w:r>
        <w:rPr>
          <w:rFonts w:hint="eastAsia" w:ascii="方正仿宋_GBK" w:hAnsi="方正仿宋_GBK" w:eastAsia="方正仿宋_GBK" w:cs="方正仿宋_GBK"/>
          <w:sz w:val="32"/>
          <w:szCs w:val="32"/>
        </w:rPr>
        <w:t>年度财政拨款支出年初预算数为</w:t>
      </w:r>
      <w:r>
        <w:rPr>
          <w:rFonts w:hint="eastAsia" w:ascii="Nimbus Roman" w:hAnsi="Nimbus Roman" w:eastAsia="方正仿宋_GBK" w:cs="Nimbus Roman"/>
          <w:sz w:val="32"/>
          <w:szCs w:val="32"/>
          <w:lang w:val="en-US"/>
        </w:rPr>
        <w:t>141.86</w:t>
      </w:r>
      <w:r>
        <w:rPr>
          <w:rFonts w:hint="eastAsia" w:ascii="方正仿宋_GBK" w:hAnsi="方正仿宋_GBK" w:eastAsia="方正仿宋_GBK" w:cs="方正仿宋_GBK"/>
          <w:sz w:val="32"/>
          <w:szCs w:val="32"/>
        </w:rPr>
        <w:t>万元，支出决算数为</w:t>
      </w:r>
      <w:r>
        <w:rPr>
          <w:rFonts w:hint="eastAsia" w:ascii="Nimbus Roman" w:hAnsi="Nimbus Roman" w:eastAsia="方正仿宋_GBK" w:cs="Nimbus Roman"/>
          <w:sz w:val="32"/>
          <w:szCs w:val="32"/>
          <w:lang w:val="en-US"/>
        </w:rPr>
        <w:t>210.26</w:t>
      </w:r>
      <w:r>
        <w:rPr>
          <w:rFonts w:hint="eastAsia" w:ascii="方正仿宋_GBK" w:hAnsi="方正仿宋_GBK" w:eastAsia="方正仿宋_GBK" w:cs="方正仿宋_GBK"/>
          <w:sz w:val="32"/>
          <w:szCs w:val="32"/>
        </w:rPr>
        <w:t>万元，完成年初预算的</w:t>
      </w:r>
      <w:r>
        <w:rPr>
          <w:rFonts w:hint="eastAsia" w:ascii="Nimbus Roman" w:hAnsi="Nimbus Roman" w:eastAsia="方正仿宋_GBK" w:cs="Nimbus Roman"/>
          <w:sz w:val="32"/>
          <w:szCs w:val="32"/>
          <w:lang w:val="en-US"/>
        </w:rPr>
        <w:t>148.21%</w:t>
      </w:r>
      <w:r>
        <w:rPr>
          <w:rFonts w:hint="eastAsia" w:ascii="方正仿宋_GBK" w:hAnsi="方正仿宋_GBK" w:eastAsia="方正仿宋_GBK" w:cs="方正仿宋_GBK"/>
          <w:sz w:val="32"/>
          <w:szCs w:val="32"/>
        </w:rPr>
        <w:t>，其中：</w:t>
      </w:r>
    </w:p>
    <w:p w14:paraId="37FEBCC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lang w:val="en-US" w:eastAsia="zh-CN"/>
        </w:rPr>
        <w:t>1、</w:t>
      </w:r>
      <w:r>
        <w:rPr>
          <w:rFonts w:hint="eastAsia" w:ascii="方正仿宋_GBK" w:hAnsi="方正仿宋_GBK" w:eastAsia="方正仿宋_GBK" w:cs="方正仿宋_GBK"/>
          <w:sz w:val="32"/>
          <w:szCs w:val="32"/>
        </w:rPr>
        <w:t>一般公共服务（类）</w:t>
      </w:r>
      <w:r>
        <w:rPr>
          <w:rFonts w:hint="eastAsia" w:ascii="方正仿宋_GBK" w:hAnsi="方正仿宋_GBK" w:eastAsia="方正仿宋_GBK" w:cs="方正仿宋_GBK"/>
          <w:sz w:val="32"/>
          <w:szCs w:val="32"/>
          <w:lang w:eastAsia="zh-CN"/>
        </w:rPr>
        <w:t>政府办公厅（室）及相关机构事务</w:t>
      </w:r>
      <w:r>
        <w:rPr>
          <w:rFonts w:hint="eastAsia" w:ascii="方正仿宋_GBK" w:hAnsi="方正仿宋_GBK" w:eastAsia="方正仿宋_GBK" w:cs="方正仿宋_GBK"/>
          <w:sz w:val="32"/>
          <w:szCs w:val="32"/>
        </w:rPr>
        <w:t>（款）</w:t>
      </w:r>
      <w:r>
        <w:rPr>
          <w:rFonts w:hint="eastAsia" w:ascii="方正仿宋_GBK" w:hAnsi="方正仿宋_GBK" w:eastAsia="方正仿宋_GBK" w:cs="方正仿宋_GBK"/>
          <w:sz w:val="32"/>
          <w:szCs w:val="32"/>
          <w:lang w:eastAsia="zh-CN"/>
        </w:rPr>
        <w:t>行政运行</w:t>
      </w:r>
      <w:r>
        <w:rPr>
          <w:rFonts w:hint="eastAsia" w:ascii="方正仿宋_GBK" w:hAnsi="方正仿宋_GBK" w:eastAsia="方正仿宋_GBK" w:cs="方正仿宋_GBK"/>
          <w:sz w:val="32"/>
          <w:szCs w:val="32"/>
        </w:rPr>
        <w:t>（项）。</w:t>
      </w:r>
    </w:p>
    <w:p w14:paraId="0C7131C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年初预算为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万元，支出决算为</w:t>
      </w:r>
      <w:r>
        <w:rPr>
          <w:rFonts w:hint="eastAsia" w:ascii="Nimbus Roman" w:hAnsi="Nimbus Roman" w:eastAsia="方正仿宋_GBK" w:cs="Nimbus Roman"/>
          <w:sz w:val="32"/>
          <w:szCs w:val="32"/>
          <w:lang w:val="en-US" w:eastAsia="zh-CN"/>
        </w:rPr>
        <w:t>0.48</w:t>
      </w:r>
      <w:r>
        <w:rPr>
          <w:rFonts w:hint="eastAsia" w:ascii="方正仿宋_GBK" w:hAnsi="方正仿宋_GBK" w:eastAsia="方正仿宋_GBK" w:cs="方正仿宋_GBK"/>
          <w:sz w:val="32"/>
          <w:szCs w:val="32"/>
        </w:rPr>
        <w:t>万元，决算数大于（小于）年初预算数的主要原因是：</w:t>
      </w:r>
      <w:r>
        <w:rPr>
          <w:rFonts w:hint="eastAsia" w:ascii="方正仿宋_GBK" w:hAnsi="方正仿宋_GBK" w:eastAsia="方正仿宋_GBK" w:cs="方正仿宋_GBK"/>
          <w:sz w:val="32"/>
          <w:szCs w:val="32"/>
          <w:lang w:eastAsia="zh-CN"/>
        </w:rPr>
        <w:t>该项支出为</w:t>
      </w:r>
      <w:r>
        <w:rPr>
          <w:rFonts w:hint="default"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val="en-US" w:eastAsia="zh-CN"/>
        </w:rPr>
        <w:t>年中报告追加资金，未纳入年初预算</w:t>
      </w:r>
      <w:r>
        <w:rPr>
          <w:rFonts w:hint="eastAsia" w:ascii="方正仿宋_GBK" w:hAnsi="方正仿宋_GBK" w:eastAsia="方正仿宋_GBK" w:cs="方正仿宋_GBK"/>
          <w:sz w:val="32"/>
          <w:szCs w:val="32"/>
          <w:lang w:eastAsia="zh-CN"/>
        </w:rPr>
        <w:t>。</w:t>
      </w:r>
    </w:p>
    <w:p w14:paraId="0ED6C4E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lang w:val="en-US" w:eastAsia="zh-CN"/>
        </w:rPr>
        <w:t>2、</w:t>
      </w:r>
      <w:r>
        <w:rPr>
          <w:rFonts w:hint="eastAsia" w:ascii="方正仿宋_GBK" w:hAnsi="方正仿宋_GBK" w:eastAsia="方正仿宋_GBK" w:cs="方正仿宋_GBK"/>
          <w:sz w:val="32"/>
          <w:szCs w:val="32"/>
        </w:rPr>
        <w:t>一般公共服务（类）</w:t>
      </w:r>
      <w:r>
        <w:rPr>
          <w:rFonts w:hint="eastAsia" w:ascii="方正仿宋_GBK" w:hAnsi="方正仿宋_GBK" w:eastAsia="方正仿宋_GBK" w:cs="方正仿宋_GBK"/>
          <w:sz w:val="32"/>
          <w:szCs w:val="32"/>
          <w:lang w:eastAsia="zh-CN"/>
        </w:rPr>
        <w:t>社会工作事务</w:t>
      </w:r>
      <w:r>
        <w:rPr>
          <w:rFonts w:hint="eastAsia" w:ascii="方正仿宋_GBK" w:hAnsi="方正仿宋_GBK" w:eastAsia="方正仿宋_GBK" w:cs="方正仿宋_GBK"/>
          <w:sz w:val="32"/>
          <w:szCs w:val="32"/>
        </w:rPr>
        <w:t>（款）</w:t>
      </w:r>
      <w:r>
        <w:rPr>
          <w:rFonts w:hint="eastAsia" w:ascii="方正仿宋_GBK" w:hAnsi="方正仿宋_GBK" w:eastAsia="方正仿宋_GBK" w:cs="方正仿宋_GBK"/>
          <w:sz w:val="32"/>
          <w:szCs w:val="32"/>
          <w:lang w:eastAsia="zh-CN"/>
        </w:rPr>
        <w:t>行政运行</w:t>
      </w:r>
      <w:r>
        <w:rPr>
          <w:rFonts w:hint="eastAsia" w:ascii="方正仿宋_GBK" w:hAnsi="方正仿宋_GBK" w:eastAsia="方正仿宋_GBK" w:cs="方正仿宋_GBK"/>
          <w:sz w:val="32"/>
          <w:szCs w:val="32"/>
        </w:rPr>
        <w:t>（项）。</w:t>
      </w:r>
    </w:p>
    <w:p w14:paraId="00A4AAD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年初预算为</w:t>
      </w:r>
      <w:r>
        <w:rPr>
          <w:rFonts w:hint="eastAsia" w:ascii="Nimbus Roman" w:hAnsi="Nimbus Roman" w:eastAsia="方正仿宋_GBK" w:cs="Nimbus Roman"/>
          <w:sz w:val="32"/>
          <w:szCs w:val="32"/>
          <w:lang w:val="en-US" w:eastAsia="zh-CN"/>
        </w:rPr>
        <w:t>100.74</w:t>
      </w:r>
      <w:r>
        <w:rPr>
          <w:rFonts w:hint="eastAsia" w:ascii="方正仿宋_GBK" w:hAnsi="方正仿宋_GBK" w:eastAsia="方正仿宋_GBK" w:cs="方正仿宋_GBK"/>
          <w:sz w:val="32"/>
          <w:szCs w:val="32"/>
        </w:rPr>
        <w:t>万元，支出决算为</w:t>
      </w:r>
      <w:r>
        <w:rPr>
          <w:rFonts w:hint="eastAsia" w:ascii="Nimbus Roman" w:hAnsi="Nimbus Roman" w:eastAsia="方正仿宋_GBK" w:cs="Nimbus Roman"/>
          <w:sz w:val="32"/>
          <w:szCs w:val="32"/>
          <w:lang w:val="en-US" w:eastAsia="zh-CN"/>
        </w:rPr>
        <w:t>17.26</w:t>
      </w:r>
      <w:r>
        <w:rPr>
          <w:rFonts w:hint="eastAsia" w:ascii="方正仿宋_GBK" w:hAnsi="方正仿宋_GBK" w:eastAsia="方正仿宋_GBK" w:cs="方正仿宋_GBK"/>
          <w:sz w:val="32"/>
          <w:szCs w:val="32"/>
        </w:rPr>
        <w:t>万元，完成年初预算的</w:t>
      </w:r>
      <w:r>
        <w:rPr>
          <w:rFonts w:hint="eastAsia" w:ascii="Nimbus Roman" w:hAnsi="Nimbus Roman" w:eastAsia="方正仿宋_GBK" w:cs="Nimbus Roman"/>
          <w:sz w:val="32"/>
          <w:szCs w:val="32"/>
          <w:lang w:val="en-US" w:eastAsia="zh-CN"/>
        </w:rPr>
        <w:t>17.13</w:t>
      </w:r>
      <w:r>
        <w:rPr>
          <w:rFonts w:hint="eastAsia" w:ascii="Nimbus Roman" w:hAnsi="Nimbus Roman" w:eastAsia="方正仿宋_GBK" w:cs="Nimbus Roman"/>
          <w:sz w:val="32"/>
          <w:szCs w:val="32"/>
        </w:rPr>
        <w:t>%</w:t>
      </w:r>
      <w:r>
        <w:rPr>
          <w:rFonts w:hint="eastAsia" w:ascii="方正仿宋_GBK" w:hAnsi="方正仿宋_GBK" w:eastAsia="方正仿宋_GBK" w:cs="方正仿宋_GBK"/>
          <w:sz w:val="32"/>
          <w:szCs w:val="32"/>
        </w:rPr>
        <w:t>，决算数小于年初预算数的主要原因是：</w:t>
      </w: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val="en-US" w:eastAsia="zh-CN"/>
        </w:rPr>
        <w:t>年度年初预算数包含干部职工工资，决算时将工资计入社会保障和就业支出类，故导致决算数小于预算数</w:t>
      </w:r>
      <w:r>
        <w:rPr>
          <w:rFonts w:hint="eastAsia" w:ascii="方正仿宋_GBK" w:hAnsi="方正仿宋_GBK" w:eastAsia="方正仿宋_GBK" w:cs="方正仿宋_GBK"/>
          <w:sz w:val="32"/>
          <w:szCs w:val="32"/>
          <w:lang w:eastAsia="zh-CN"/>
        </w:rPr>
        <w:t>。</w:t>
      </w:r>
    </w:p>
    <w:p w14:paraId="581510C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default" w:ascii="Nimbus Roman" w:hAnsi="Nimbus Roman" w:eastAsia="方正仿宋_GBK" w:cs="Nimbus Roman"/>
          <w:sz w:val="32"/>
          <w:szCs w:val="32"/>
          <w:lang w:val="en-US" w:eastAsia="zh-CN"/>
        </w:rPr>
        <w:t>3、</w:t>
      </w:r>
      <w:r>
        <w:rPr>
          <w:rFonts w:hint="eastAsia" w:ascii="方正仿宋_GBK" w:hAnsi="方正仿宋_GBK" w:eastAsia="方正仿宋_GBK" w:cs="方正仿宋_GBK"/>
          <w:sz w:val="32"/>
          <w:szCs w:val="32"/>
          <w:lang w:val="en-US" w:eastAsia="zh-CN"/>
        </w:rPr>
        <w:t>一般公共服务（类）社会工作事务（款）其他社会工作事务（项）</w:t>
      </w:r>
    </w:p>
    <w:p w14:paraId="520E97A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年初预算为</w:t>
      </w:r>
      <w:r>
        <w:rPr>
          <w:rFonts w:hint="eastAsia" w:ascii="Nimbus Roman" w:hAnsi="Nimbus Roman" w:eastAsia="方正仿宋_GBK" w:cs="Nimbus Roman"/>
          <w:sz w:val="32"/>
          <w:szCs w:val="32"/>
          <w:lang w:val="en-US" w:eastAsia="zh-CN"/>
        </w:rPr>
        <w:t>20.4</w:t>
      </w:r>
      <w:r>
        <w:rPr>
          <w:rFonts w:hint="eastAsia" w:ascii="方正仿宋_GBK" w:hAnsi="方正仿宋_GBK" w:eastAsia="方正仿宋_GBK" w:cs="方正仿宋_GBK"/>
          <w:sz w:val="32"/>
          <w:szCs w:val="32"/>
        </w:rPr>
        <w:t>万元，支出决算为</w:t>
      </w:r>
      <w:r>
        <w:rPr>
          <w:rFonts w:hint="eastAsia" w:ascii="Nimbus Roman" w:hAnsi="Nimbus Roman" w:eastAsia="方正仿宋_GBK" w:cs="Nimbus Roman"/>
          <w:sz w:val="32"/>
          <w:szCs w:val="32"/>
          <w:lang w:val="en-US" w:eastAsia="zh-CN"/>
        </w:rPr>
        <w:t>20.4</w:t>
      </w:r>
      <w:r>
        <w:rPr>
          <w:rFonts w:hint="eastAsia" w:ascii="方正仿宋_GBK" w:hAnsi="方正仿宋_GBK" w:eastAsia="方正仿宋_GBK" w:cs="方正仿宋_GBK"/>
          <w:sz w:val="32"/>
          <w:szCs w:val="32"/>
        </w:rPr>
        <w:t>万元，完成年初预算的</w:t>
      </w:r>
      <w:r>
        <w:rPr>
          <w:rFonts w:hint="eastAsia" w:ascii="Nimbus Roman" w:hAnsi="Nimbus Roman" w:eastAsia="方正仿宋_GBK" w:cs="Nimbus Roman"/>
          <w:sz w:val="32"/>
          <w:szCs w:val="32"/>
          <w:lang w:val="en-US" w:eastAsia="zh-CN"/>
        </w:rPr>
        <w:t>100</w:t>
      </w:r>
      <w:r>
        <w:rPr>
          <w:rFonts w:hint="eastAsia" w:ascii="Nimbus Roman" w:hAnsi="Nimbus Roman" w:eastAsia="方正仿宋_GBK" w:cs="Nimbus Roman"/>
          <w:sz w:val="32"/>
          <w:szCs w:val="32"/>
        </w:rPr>
        <w:t>%</w:t>
      </w:r>
      <w:r>
        <w:rPr>
          <w:rFonts w:hint="eastAsia" w:ascii="方正仿宋_GBK" w:hAnsi="方正仿宋_GBK" w:eastAsia="方正仿宋_GBK" w:cs="方正仿宋_GBK"/>
          <w:sz w:val="32"/>
          <w:szCs w:val="32"/>
        </w:rPr>
        <w:t>，决算数</w:t>
      </w:r>
      <w:r>
        <w:rPr>
          <w:rFonts w:hint="eastAsia" w:ascii="方正仿宋_GBK" w:hAnsi="方正仿宋_GBK" w:eastAsia="方正仿宋_GBK" w:cs="方正仿宋_GBK"/>
          <w:sz w:val="32"/>
          <w:szCs w:val="32"/>
          <w:lang w:eastAsia="zh-CN"/>
        </w:rPr>
        <w:t>等于</w:t>
      </w:r>
      <w:r>
        <w:rPr>
          <w:rFonts w:hint="eastAsia" w:ascii="方正仿宋_GBK" w:hAnsi="方正仿宋_GBK" w:eastAsia="方正仿宋_GBK" w:cs="方正仿宋_GBK"/>
          <w:sz w:val="32"/>
          <w:szCs w:val="32"/>
        </w:rPr>
        <w:t>年初预算数</w:t>
      </w:r>
      <w:r>
        <w:rPr>
          <w:rFonts w:hint="eastAsia" w:ascii="方正仿宋_GBK" w:hAnsi="方正仿宋_GBK" w:eastAsia="方正仿宋_GBK" w:cs="方正仿宋_GBK"/>
          <w:sz w:val="32"/>
          <w:szCs w:val="32"/>
          <w:lang w:eastAsia="zh-CN"/>
        </w:rPr>
        <w:t>。</w:t>
      </w:r>
    </w:p>
    <w:p w14:paraId="572DBA5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Nimbus Roman" w:hAnsi="Nimbus Roman" w:eastAsia="方正仿宋_GBK" w:cs="Nimbus Roman"/>
          <w:sz w:val="32"/>
          <w:szCs w:val="32"/>
          <w:lang w:val="en-US" w:eastAsia="zh-CN"/>
        </w:rPr>
      </w:pPr>
      <w:r>
        <w:rPr>
          <w:rFonts w:hint="eastAsia" w:ascii="Nimbus Roman" w:hAnsi="Nimbus Roman" w:eastAsia="方正仿宋_GBK" w:cs="Nimbus Roman"/>
          <w:sz w:val="32"/>
          <w:szCs w:val="32"/>
          <w:lang w:val="en-US" w:eastAsia="zh-CN"/>
        </w:rPr>
        <w:t>4、社会保障和就业（类）人力资源和社会保障管理事务（款）行政运行（项）</w:t>
      </w:r>
    </w:p>
    <w:p w14:paraId="13A9F50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年初预算为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万元，支出决算为</w:t>
      </w:r>
      <w:r>
        <w:rPr>
          <w:rFonts w:hint="eastAsia" w:ascii="Nimbus Roman" w:hAnsi="Nimbus Roman" w:eastAsia="方正仿宋_GBK" w:cs="Nimbus Roman"/>
          <w:sz w:val="32"/>
          <w:szCs w:val="32"/>
          <w:lang w:val="en-US" w:eastAsia="zh-CN"/>
        </w:rPr>
        <w:t>88.7</w:t>
      </w:r>
      <w:r>
        <w:rPr>
          <w:rFonts w:hint="eastAsia" w:ascii="方正仿宋_GBK" w:hAnsi="方正仿宋_GBK" w:eastAsia="方正仿宋_GBK" w:cs="方正仿宋_GBK"/>
          <w:sz w:val="32"/>
          <w:szCs w:val="32"/>
        </w:rPr>
        <w:t>万元，决算数大于年初预算数的主要原因是：</w:t>
      </w: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val="en-US" w:eastAsia="zh-CN"/>
        </w:rPr>
        <w:t>年度干部职工工资年初预算时计入一般公共服务支出，决算时将工资计入社会保障和就业支出类，故导致决算数大于预算数</w:t>
      </w:r>
      <w:r>
        <w:rPr>
          <w:rFonts w:hint="eastAsia" w:ascii="方正仿宋_GBK" w:hAnsi="方正仿宋_GBK" w:eastAsia="方正仿宋_GBK" w:cs="方正仿宋_GBK"/>
          <w:sz w:val="32"/>
          <w:szCs w:val="32"/>
          <w:lang w:eastAsia="zh-CN"/>
        </w:rPr>
        <w:t>。</w:t>
      </w:r>
    </w:p>
    <w:p w14:paraId="054FFD1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Nimbus Roman" w:hAnsi="Nimbus Roman" w:eastAsia="方正仿宋_GBK" w:cs="Nimbus Roman"/>
          <w:sz w:val="32"/>
          <w:szCs w:val="32"/>
          <w:lang w:val="en-US" w:eastAsia="zh-CN"/>
        </w:rPr>
      </w:pPr>
      <w:r>
        <w:rPr>
          <w:rFonts w:hint="default" w:ascii="Nimbus Roman" w:hAnsi="Nimbus Roman" w:eastAsia="方正仿宋_GBK" w:cs="Nimbus Roman"/>
          <w:sz w:val="32"/>
          <w:szCs w:val="32"/>
          <w:lang w:val="en-US" w:eastAsia="zh-CN"/>
        </w:rPr>
        <w:t>5、</w:t>
      </w:r>
      <w:r>
        <w:rPr>
          <w:rFonts w:hint="eastAsia" w:ascii="Nimbus Roman" w:hAnsi="Nimbus Roman" w:eastAsia="方正仿宋_GBK" w:cs="Nimbus Roman"/>
          <w:sz w:val="32"/>
          <w:szCs w:val="32"/>
          <w:lang w:val="en-US" w:eastAsia="zh-CN"/>
        </w:rPr>
        <w:t>社会保障和就业（类）行政事业单位养老（款）机关事业单位基本养老保险费（项）</w:t>
      </w:r>
    </w:p>
    <w:p w14:paraId="40C99B6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年初预算为</w:t>
      </w:r>
      <w:r>
        <w:rPr>
          <w:rFonts w:hint="eastAsia" w:ascii="Nimbus Roman" w:hAnsi="Nimbus Roman" w:eastAsia="方正仿宋_GBK" w:cs="Nimbus Roman"/>
          <w:sz w:val="32"/>
          <w:szCs w:val="32"/>
          <w:lang w:val="en-US" w:eastAsia="zh-CN"/>
        </w:rPr>
        <w:t>8.6</w:t>
      </w:r>
      <w:r>
        <w:rPr>
          <w:rFonts w:hint="eastAsia" w:ascii="方正仿宋_GBK" w:hAnsi="方正仿宋_GBK" w:eastAsia="方正仿宋_GBK" w:cs="方正仿宋_GBK"/>
          <w:sz w:val="32"/>
          <w:szCs w:val="32"/>
        </w:rPr>
        <w:t>万元，支出决算为</w:t>
      </w:r>
      <w:r>
        <w:rPr>
          <w:rFonts w:hint="eastAsia" w:ascii="Nimbus Roman" w:hAnsi="Nimbus Roman" w:eastAsia="方正仿宋_GBK" w:cs="Nimbus Roman"/>
          <w:sz w:val="32"/>
          <w:szCs w:val="32"/>
          <w:lang w:val="en-US" w:eastAsia="zh-CN"/>
        </w:rPr>
        <w:t>12.08</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完成年初预算的</w:t>
      </w:r>
      <w:r>
        <w:rPr>
          <w:rFonts w:hint="default" w:ascii="Nimbus Roman" w:hAnsi="Nimbus Roman" w:eastAsia="方正仿宋_GBK" w:cs="Nimbus Roman"/>
          <w:sz w:val="32"/>
          <w:szCs w:val="32"/>
          <w:lang w:val="en-US" w:eastAsia="zh-CN"/>
        </w:rPr>
        <w:t>140.47%</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决算数大于年初预算数的主要原因是：</w:t>
      </w: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val="en-US" w:eastAsia="zh-CN"/>
        </w:rPr>
        <w:t>年度新增干部职工</w:t>
      </w:r>
      <w:r>
        <w:rPr>
          <w:rFonts w:hint="default" w:ascii="Nimbus Roman" w:hAnsi="Nimbus Roman" w:eastAsia="方正仿宋_GBK" w:cs="Nimbus Roman"/>
          <w:sz w:val="32"/>
          <w:szCs w:val="32"/>
          <w:lang w:val="en-US" w:eastAsia="zh-CN"/>
        </w:rPr>
        <w:t>1</w:t>
      </w:r>
      <w:r>
        <w:rPr>
          <w:rFonts w:hint="eastAsia" w:ascii="方正仿宋_GBK" w:hAnsi="方正仿宋_GBK" w:eastAsia="方正仿宋_GBK" w:cs="方正仿宋_GBK"/>
          <w:sz w:val="32"/>
          <w:szCs w:val="32"/>
          <w:lang w:val="en-US" w:eastAsia="zh-CN"/>
        </w:rPr>
        <w:t>人，未纳入年初预算，故导致决算数大于预算数</w:t>
      </w:r>
      <w:r>
        <w:rPr>
          <w:rFonts w:hint="eastAsia" w:ascii="方正仿宋_GBK" w:hAnsi="方正仿宋_GBK" w:eastAsia="方正仿宋_GBK" w:cs="方正仿宋_GBK"/>
          <w:sz w:val="32"/>
          <w:szCs w:val="32"/>
          <w:lang w:eastAsia="zh-CN"/>
        </w:rPr>
        <w:t>。</w:t>
      </w:r>
    </w:p>
    <w:p w14:paraId="6C5619E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Nimbus Roman" w:hAnsi="Nimbus Roman" w:eastAsia="方正仿宋_GBK" w:cs="Nimbus Roman"/>
          <w:sz w:val="32"/>
          <w:szCs w:val="32"/>
          <w:lang w:val="en-US" w:eastAsia="zh-CN"/>
        </w:rPr>
      </w:pPr>
      <w:r>
        <w:rPr>
          <w:rFonts w:hint="default" w:ascii="Nimbus Roman" w:hAnsi="Nimbus Roman" w:eastAsia="方正仿宋_GBK" w:cs="Nimbus Roman"/>
          <w:sz w:val="32"/>
          <w:szCs w:val="32"/>
          <w:lang w:val="en-US" w:eastAsia="zh-CN"/>
        </w:rPr>
        <w:t>6、</w:t>
      </w:r>
      <w:r>
        <w:rPr>
          <w:rFonts w:hint="eastAsia" w:ascii="Nimbus Roman" w:hAnsi="Nimbus Roman" w:eastAsia="方正仿宋_GBK" w:cs="Nimbus Roman"/>
          <w:sz w:val="32"/>
          <w:szCs w:val="32"/>
          <w:lang w:val="en-US" w:eastAsia="zh-CN"/>
        </w:rPr>
        <w:t>社会保障和就业（类）其他社会保障和就业（款）其他社会保障和就业（项）</w:t>
      </w:r>
    </w:p>
    <w:p w14:paraId="6833446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年初预算为</w:t>
      </w:r>
      <w:r>
        <w:rPr>
          <w:rFonts w:hint="eastAsia" w:ascii="Nimbus Roman" w:hAnsi="Nimbus Roman" w:eastAsia="方正仿宋_GBK" w:cs="Nimbus Roman"/>
          <w:sz w:val="32"/>
          <w:szCs w:val="32"/>
          <w:lang w:val="en-US" w:eastAsia="zh-CN"/>
        </w:rPr>
        <w:t>0.07</w:t>
      </w:r>
      <w:r>
        <w:rPr>
          <w:rFonts w:hint="eastAsia" w:ascii="方正仿宋_GBK" w:hAnsi="方正仿宋_GBK" w:eastAsia="方正仿宋_GBK" w:cs="方正仿宋_GBK"/>
          <w:sz w:val="32"/>
          <w:szCs w:val="32"/>
        </w:rPr>
        <w:t>万元，支出决算为</w:t>
      </w:r>
      <w:r>
        <w:rPr>
          <w:rFonts w:hint="eastAsia" w:ascii="Nimbus Roman" w:hAnsi="Nimbus Roman" w:eastAsia="方正仿宋_GBK" w:cs="Nimbus Roman"/>
          <w:sz w:val="32"/>
          <w:szCs w:val="32"/>
          <w:lang w:val="en-US" w:eastAsia="zh-CN"/>
        </w:rPr>
        <w:t>7.08</w:t>
      </w:r>
      <w:r>
        <w:rPr>
          <w:rFonts w:hint="eastAsia" w:ascii="方正仿宋_GBK" w:hAnsi="方正仿宋_GBK" w:eastAsia="方正仿宋_GBK" w:cs="方正仿宋_GBK"/>
          <w:sz w:val="32"/>
          <w:szCs w:val="32"/>
        </w:rPr>
        <w:t>万元，决算数大于年初预算数的主要原因是：</w:t>
      </w: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val="en-US" w:eastAsia="zh-CN"/>
        </w:rPr>
        <w:t>年度新增干部职工</w:t>
      </w:r>
      <w:r>
        <w:rPr>
          <w:rFonts w:hint="default" w:ascii="Nimbus Roman" w:hAnsi="Nimbus Roman" w:eastAsia="方正仿宋_GBK" w:cs="Nimbus Roman"/>
          <w:sz w:val="32"/>
          <w:szCs w:val="32"/>
          <w:lang w:val="en-US" w:eastAsia="zh-CN"/>
        </w:rPr>
        <w:t>1</w:t>
      </w:r>
      <w:r>
        <w:rPr>
          <w:rFonts w:hint="eastAsia" w:ascii="方正仿宋_GBK" w:hAnsi="方正仿宋_GBK" w:eastAsia="方正仿宋_GBK" w:cs="方正仿宋_GBK"/>
          <w:sz w:val="32"/>
          <w:szCs w:val="32"/>
          <w:lang w:val="en-US" w:eastAsia="zh-CN"/>
        </w:rPr>
        <w:t>人，未纳入年初预算，故导致决算数大于预算数</w:t>
      </w:r>
      <w:r>
        <w:rPr>
          <w:rFonts w:hint="eastAsia" w:ascii="方正仿宋_GBK" w:hAnsi="方正仿宋_GBK" w:eastAsia="方正仿宋_GBK" w:cs="方正仿宋_GBK"/>
          <w:sz w:val="32"/>
          <w:szCs w:val="32"/>
          <w:lang w:eastAsia="zh-CN"/>
        </w:rPr>
        <w:t>。</w:t>
      </w:r>
    </w:p>
    <w:p w14:paraId="75EFC6E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Nimbus Roman" w:hAnsi="Nimbus Roman" w:eastAsia="方正仿宋_GBK" w:cs="Nimbus Roman"/>
          <w:sz w:val="32"/>
          <w:szCs w:val="32"/>
          <w:lang w:val="en-US" w:eastAsia="zh-CN"/>
        </w:rPr>
      </w:pPr>
      <w:r>
        <w:rPr>
          <w:rFonts w:hint="eastAsia" w:ascii="Nimbus Roman" w:hAnsi="Nimbus Roman" w:eastAsia="方正仿宋_GBK" w:cs="Nimbus Roman"/>
          <w:sz w:val="32"/>
          <w:szCs w:val="32"/>
          <w:lang w:val="en-US" w:eastAsia="zh-CN"/>
        </w:rPr>
        <w:t>7</w:t>
      </w:r>
      <w:r>
        <w:rPr>
          <w:rFonts w:hint="default" w:ascii="Nimbus Roman" w:hAnsi="Nimbus Roman" w:eastAsia="方正仿宋_GBK" w:cs="Nimbus Roman"/>
          <w:sz w:val="32"/>
          <w:szCs w:val="32"/>
          <w:lang w:val="en-US" w:eastAsia="zh-CN"/>
        </w:rPr>
        <w:t>、</w:t>
      </w:r>
      <w:r>
        <w:rPr>
          <w:rFonts w:hint="eastAsia" w:ascii="Nimbus Roman" w:hAnsi="Nimbus Roman" w:eastAsia="方正仿宋_GBK" w:cs="Nimbus Roman"/>
          <w:sz w:val="32"/>
          <w:szCs w:val="32"/>
          <w:lang w:val="en-US" w:eastAsia="zh-CN"/>
        </w:rPr>
        <w:t>卫生健康（类）行政事业单位医疗（款）行政单位医疗（项）</w:t>
      </w:r>
    </w:p>
    <w:p w14:paraId="6F6EF4D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年初预算为</w:t>
      </w:r>
      <w:r>
        <w:rPr>
          <w:rFonts w:hint="eastAsia" w:ascii="Nimbus Roman" w:hAnsi="Nimbus Roman" w:eastAsia="方正仿宋_GBK" w:cs="Nimbus Roman"/>
          <w:sz w:val="32"/>
          <w:szCs w:val="32"/>
          <w:lang w:val="en-US" w:eastAsia="zh-CN"/>
        </w:rPr>
        <w:t>3.49</w:t>
      </w:r>
      <w:r>
        <w:rPr>
          <w:rFonts w:hint="eastAsia" w:ascii="方正仿宋_GBK" w:hAnsi="方正仿宋_GBK" w:eastAsia="方正仿宋_GBK" w:cs="方正仿宋_GBK"/>
          <w:sz w:val="32"/>
          <w:szCs w:val="32"/>
        </w:rPr>
        <w:t>万元，支出决算为</w:t>
      </w:r>
      <w:r>
        <w:rPr>
          <w:rFonts w:hint="eastAsia" w:ascii="Nimbus Roman" w:hAnsi="Nimbus Roman" w:eastAsia="方正仿宋_GBK" w:cs="Nimbus Roman"/>
          <w:sz w:val="32"/>
          <w:szCs w:val="32"/>
          <w:lang w:val="en-US" w:eastAsia="zh-CN"/>
        </w:rPr>
        <w:t>5.46</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完成年初预算的</w:t>
      </w:r>
      <w:r>
        <w:rPr>
          <w:rFonts w:hint="eastAsia" w:ascii="Nimbus Roman" w:hAnsi="Nimbus Roman" w:eastAsia="方正仿宋_GBK" w:cs="Nimbus Roman"/>
          <w:sz w:val="32"/>
          <w:szCs w:val="32"/>
          <w:lang w:val="en-US" w:eastAsia="zh-CN"/>
        </w:rPr>
        <w:t>156.45</w:t>
      </w:r>
      <w:r>
        <w:rPr>
          <w:rFonts w:hint="default" w:ascii="Nimbus Roman" w:hAnsi="Nimbus Roman" w:eastAsia="方正仿宋_GBK" w:cs="Nimbus Roman"/>
          <w:sz w:val="32"/>
          <w:szCs w:val="32"/>
          <w:lang w:val="en-US" w:eastAsia="zh-CN"/>
        </w:rPr>
        <w:t>%</w:t>
      </w:r>
      <w:r>
        <w:rPr>
          <w:rFonts w:hint="eastAsia" w:ascii="Nimbus Roman" w:hAnsi="Nimbus Roman" w:eastAsia="方正仿宋_GBK" w:cs="Nimbus Roman"/>
          <w:sz w:val="32"/>
          <w:szCs w:val="32"/>
          <w:lang w:val="en-US" w:eastAsia="zh-CN"/>
        </w:rPr>
        <w:t>，</w:t>
      </w:r>
      <w:r>
        <w:rPr>
          <w:rFonts w:hint="eastAsia" w:ascii="方正仿宋_GBK" w:hAnsi="方正仿宋_GBK" w:eastAsia="方正仿宋_GBK" w:cs="方正仿宋_GBK"/>
          <w:sz w:val="32"/>
          <w:szCs w:val="32"/>
        </w:rPr>
        <w:t>决算数大于年初预算数的主要原因是：</w:t>
      </w: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val="en-US" w:eastAsia="zh-CN"/>
        </w:rPr>
        <w:t>年度新增干部职工</w:t>
      </w:r>
      <w:r>
        <w:rPr>
          <w:rFonts w:hint="default" w:ascii="Nimbus Roman" w:hAnsi="Nimbus Roman" w:eastAsia="方正仿宋_GBK" w:cs="Nimbus Roman"/>
          <w:sz w:val="32"/>
          <w:szCs w:val="32"/>
          <w:lang w:val="en-US" w:eastAsia="zh-CN"/>
        </w:rPr>
        <w:t>1</w:t>
      </w:r>
      <w:r>
        <w:rPr>
          <w:rFonts w:hint="eastAsia" w:ascii="方正仿宋_GBK" w:hAnsi="方正仿宋_GBK" w:eastAsia="方正仿宋_GBK" w:cs="方正仿宋_GBK"/>
          <w:sz w:val="32"/>
          <w:szCs w:val="32"/>
          <w:lang w:val="en-US" w:eastAsia="zh-CN"/>
        </w:rPr>
        <w:t>人，未纳入年初预算，故导致决算数大于预算数</w:t>
      </w:r>
      <w:r>
        <w:rPr>
          <w:rFonts w:hint="eastAsia" w:ascii="方正仿宋_GBK" w:hAnsi="方正仿宋_GBK" w:eastAsia="方正仿宋_GBK" w:cs="方正仿宋_GBK"/>
          <w:sz w:val="32"/>
          <w:szCs w:val="32"/>
          <w:lang w:eastAsia="zh-CN"/>
        </w:rPr>
        <w:t>。</w:t>
      </w:r>
    </w:p>
    <w:p w14:paraId="181D8D9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Nimbus Roman" w:hAnsi="Nimbus Roman" w:eastAsia="方正仿宋_GBK" w:cs="Nimbus Roman"/>
          <w:sz w:val="32"/>
          <w:szCs w:val="32"/>
          <w:lang w:val="en-US" w:eastAsia="zh-CN"/>
        </w:rPr>
      </w:pPr>
      <w:r>
        <w:rPr>
          <w:rFonts w:hint="eastAsia" w:ascii="Nimbus Roman" w:hAnsi="Nimbus Roman" w:eastAsia="方正仿宋_GBK" w:cs="Nimbus Roman"/>
          <w:sz w:val="32"/>
          <w:szCs w:val="32"/>
          <w:lang w:val="en-US" w:eastAsia="zh-CN"/>
        </w:rPr>
        <w:t>8</w:t>
      </w:r>
      <w:r>
        <w:rPr>
          <w:rFonts w:hint="default" w:ascii="Nimbus Roman" w:hAnsi="Nimbus Roman" w:eastAsia="方正仿宋_GBK" w:cs="Nimbus Roman"/>
          <w:sz w:val="32"/>
          <w:szCs w:val="32"/>
          <w:lang w:val="en-US" w:eastAsia="zh-CN"/>
        </w:rPr>
        <w:t>、</w:t>
      </w:r>
      <w:r>
        <w:rPr>
          <w:rFonts w:hint="eastAsia" w:ascii="Nimbus Roman" w:hAnsi="Nimbus Roman" w:eastAsia="方正仿宋_GBK" w:cs="Nimbus Roman"/>
          <w:sz w:val="32"/>
          <w:szCs w:val="32"/>
          <w:lang w:val="en-US" w:eastAsia="zh-CN"/>
        </w:rPr>
        <w:t>卫生健康（类）行政事业单位医疗（款）其他行政单位医疗（项）</w:t>
      </w:r>
    </w:p>
    <w:p w14:paraId="5C574E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年初预算为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万元，支出决算为</w:t>
      </w:r>
      <w:r>
        <w:rPr>
          <w:rFonts w:hint="eastAsia" w:ascii="Nimbus Roman" w:hAnsi="Nimbus Roman" w:eastAsia="方正仿宋_GBK" w:cs="Nimbus Roman"/>
          <w:sz w:val="32"/>
          <w:szCs w:val="32"/>
          <w:lang w:val="en-US" w:eastAsia="zh-CN"/>
        </w:rPr>
        <w:t>1.8</w:t>
      </w:r>
      <w:r>
        <w:rPr>
          <w:rFonts w:hint="eastAsia" w:ascii="方正仿宋_GBK" w:hAnsi="方正仿宋_GBK" w:eastAsia="方正仿宋_GBK" w:cs="方正仿宋_GBK"/>
          <w:sz w:val="32"/>
          <w:szCs w:val="32"/>
        </w:rPr>
        <w:t>万元</w:t>
      </w:r>
      <w:r>
        <w:rPr>
          <w:rFonts w:hint="eastAsia" w:ascii="Nimbus Roman" w:hAnsi="Nimbus Roman" w:eastAsia="方正仿宋_GBK" w:cs="Nimbus Roman"/>
          <w:sz w:val="32"/>
          <w:szCs w:val="32"/>
          <w:lang w:val="en-US" w:eastAsia="zh-CN"/>
        </w:rPr>
        <w:t>，</w:t>
      </w:r>
      <w:r>
        <w:rPr>
          <w:rFonts w:hint="eastAsia" w:ascii="方正仿宋_GBK" w:hAnsi="方正仿宋_GBK" w:eastAsia="方正仿宋_GBK" w:cs="方正仿宋_GBK"/>
          <w:sz w:val="32"/>
          <w:szCs w:val="32"/>
        </w:rPr>
        <w:t>决算数大于年初预算数的主要原因是：</w:t>
      </w: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val="en-US" w:eastAsia="zh-CN"/>
        </w:rPr>
        <w:t>年度新增医保铺底资金，未纳入年初预算，故导致决算数大于预算数</w:t>
      </w:r>
      <w:r>
        <w:rPr>
          <w:rFonts w:hint="eastAsia" w:ascii="方正仿宋_GBK" w:hAnsi="方正仿宋_GBK" w:eastAsia="方正仿宋_GBK" w:cs="方正仿宋_GBK"/>
          <w:sz w:val="32"/>
          <w:szCs w:val="32"/>
          <w:lang w:eastAsia="zh-CN"/>
        </w:rPr>
        <w:t>。</w:t>
      </w:r>
    </w:p>
    <w:p w14:paraId="7DEC0E8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Nimbus Roman" w:hAnsi="Nimbus Roman" w:eastAsia="方正仿宋_GBK" w:cs="Nimbus Roman"/>
          <w:sz w:val="32"/>
          <w:szCs w:val="32"/>
          <w:lang w:val="en-US" w:eastAsia="zh-CN"/>
        </w:rPr>
      </w:pPr>
      <w:r>
        <w:rPr>
          <w:rFonts w:hint="eastAsia" w:ascii="Nimbus Roman" w:hAnsi="Nimbus Roman" w:eastAsia="方正仿宋_GBK" w:cs="Nimbus Roman"/>
          <w:sz w:val="32"/>
          <w:szCs w:val="32"/>
          <w:lang w:val="en-US" w:eastAsia="zh-CN"/>
        </w:rPr>
        <w:t>9</w:t>
      </w:r>
      <w:r>
        <w:rPr>
          <w:rFonts w:hint="default" w:ascii="Nimbus Roman" w:hAnsi="Nimbus Roman" w:eastAsia="方正仿宋_GBK" w:cs="Nimbus Roman"/>
          <w:sz w:val="32"/>
          <w:szCs w:val="32"/>
          <w:lang w:val="en-US" w:eastAsia="zh-CN"/>
        </w:rPr>
        <w:t>、</w:t>
      </w:r>
      <w:r>
        <w:rPr>
          <w:rFonts w:hint="eastAsia" w:ascii="Nimbus Roman" w:hAnsi="Nimbus Roman" w:eastAsia="方正仿宋_GBK" w:cs="Nimbus Roman"/>
          <w:sz w:val="32"/>
          <w:szCs w:val="32"/>
          <w:lang w:val="en-US" w:eastAsia="zh-CN"/>
        </w:rPr>
        <w:t>城乡社区（类）城乡社区管理事务（款）其他城乡社区管理事务（项）</w:t>
      </w:r>
    </w:p>
    <w:p w14:paraId="3932493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年初预算为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万元，支出决算为</w:t>
      </w:r>
      <w:r>
        <w:rPr>
          <w:rFonts w:hint="eastAsia" w:ascii="Nimbus Roman" w:hAnsi="Nimbus Roman" w:eastAsia="方正仿宋_GBK" w:cs="Nimbus Roman"/>
          <w:sz w:val="32"/>
          <w:szCs w:val="32"/>
          <w:lang w:val="en-US" w:eastAsia="zh-CN"/>
        </w:rPr>
        <w:t>57</w:t>
      </w:r>
      <w:r>
        <w:rPr>
          <w:rFonts w:hint="eastAsia" w:ascii="方正仿宋_GBK" w:hAnsi="方正仿宋_GBK" w:eastAsia="方正仿宋_GBK" w:cs="方正仿宋_GBK"/>
          <w:sz w:val="32"/>
          <w:szCs w:val="32"/>
        </w:rPr>
        <w:t>万元</w:t>
      </w:r>
      <w:r>
        <w:rPr>
          <w:rFonts w:hint="eastAsia" w:ascii="Nimbus Roman" w:hAnsi="Nimbus Roman" w:eastAsia="方正仿宋_GBK" w:cs="Nimbus Roman"/>
          <w:sz w:val="32"/>
          <w:szCs w:val="32"/>
          <w:lang w:val="en-US" w:eastAsia="zh-CN"/>
        </w:rPr>
        <w:t>，</w:t>
      </w:r>
      <w:r>
        <w:rPr>
          <w:rFonts w:hint="eastAsia" w:ascii="方正仿宋_GBK" w:hAnsi="方正仿宋_GBK" w:eastAsia="方正仿宋_GBK" w:cs="方正仿宋_GBK"/>
          <w:sz w:val="32"/>
          <w:szCs w:val="32"/>
        </w:rPr>
        <w:t>决算数大于年初预算数的主要原因是：</w:t>
      </w:r>
      <w:r>
        <w:rPr>
          <w:rFonts w:hint="eastAsia" w:ascii="方正仿宋_GBK" w:hAnsi="方正仿宋_GBK" w:eastAsia="方正仿宋_GBK" w:cs="方正仿宋_GBK"/>
          <w:sz w:val="32"/>
          <w:szCs w:val="32"/>
          <w:lang w:eastAsia="zh-CN"/>
        </w:rPr>
        <w:t>该项支出为</w:t>
      </w:r>
      <w:r>
        <w:rPr>
          <w:rFonts w:hint="default"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val="en-US" w:eastAsia="zh-CN"/>
        </w:rPr>
        <w:t>年中报告追加资金，未纳入年初预算</w:t>
      </w:r>
      <w:r>
        <w:rPr>
          <w:rFonts w:hint="eastAsia" w:ascii="方正仿宋_GBK" w:hAnsi="方正仿宋_GBK" w:eastAsia="方正仿宋_GBK" w:cs="方正仿宋_GBK"/>
          <w:sz w:val="32"/>
          <w:szCs w:val="32"/>
          <w:lang w:eastAsia="zh-CN"/>
        </w:rPr>
        <w:t>。</w:t>
      </w:r>
    </w:p>
    <w:p w14:paraId="5ED509C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Nimbus Roman" w:hAnsi="Nimbus Roman" w:eastAsia="方正仿宋_GBK" w:cs="Nimbus Roman"/>
          <w:sz w:val="32"/>
          <w:szCs w:val="32"/>
          <w:lang w:val="en-US" w:eastAsia="zh-CN"/>
        </w:rPr>
      </w:pPr>
      <w:r>
        <w:rPr>
          <w:rFonts w:hint="eastAsia" w:ascii="Nimbus Roman" w:hAnsi="Nimbus Roman" w:eastAsia="方正仿宋_GBK" w:cs="Nimbus Roman"/>
          <w:sz w:val="32"/>
          <w:szCs w:val="32"/>
          <w:lang w:val="en-US" w:eastAsia="zh-CN"/>
        </w:rPr>
        <w:t>10</w:t>
      </w:r>
      <w:r>
        <w:rPr>
          <w:rFonts w:hint="default" w:ascii="Nimbus Roman" w:hAnsi="Nimbus Roman" w:eastAsia="方正仿宋_GBK" w:cs="Nimbus Roman"/>
          <w:sz w:val="32"/>
          <w:szCs w:val="32"/>
          <w:lang w:val="en-US" w:eastAsia="zh-CN"/>
        </w:rPr>
        <w:t>、</w:t>
      </w:r>
      <w:r>
        <w:rPr>
          <w:rFonts w:hint="eastAsia" w:ascii="Nimbus Roman" w:hAnsi="Nimbus Roman" w:eastAsia="方正仿宋_GBK" w:cs="Nimbus Roman"/>
          <w:sz w:val="32"/>
          <w:szCs w:val="32"/>
          <w:lang w:val="en-US" w:eastAsia="zh-CN"/>
        </w:rPr>
        <w:t>住房保障（类）住房改革支出（款）住房公积金（项）</w:t>
      </w:r>
    </w:p>
    <w:p w14:paraId="76EA67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lang w:val="en-US" w:eastAsia="zh-CN"/>
        </w:rPr>
      </w:pPr>
      <w:r>
        <w:rPr>
          <w:rFonts w:hint="eastAsia" w:ascii="方正仿宋_GBK" w:hAnsi="方正仿宋_GBK" w:eastAsia="方正仿宋_GBK" w:cs="方正仿宋_GBK"/>
          <w:sz w:val="32"/>
          <w:szCs w:val="32"/>
        </w:rPr>
        <w:t>年初预算为</w:t>
      </w:r>
      <w:r>
        <w:rPr>
          <w:rFonts w:hint="eastAsia" w:ascii="Nimbus Roman" w:hAnsi="Nimbus Roman" w:eastAsia="方正仿宋_GBK" w:cs="Nimbus Roman"/>
          <w:sz w:val="32"/>
          <w:szCs w:val="32"/>
          <w:lang w:val="en-US" w:eastAsia="zh-CN"/>
        </w:rPr>
        <w:t>8.56</w:t>
      </w:r>
      <w:r>
        <w:rPr>
          <w:rFonts w:hint="eastAsia" w:ascii="方正仿宋_GBK" w:hAnsi="方正仿宋_GBK" w:eastAsia="方正仿宋_GBK" w:cs="方正仿宋_GBK"/>
          <w:sz w:val="32"/>
          <w:szCs w:val="32"/>
        </w:rPr>
        <w:t>万元，支出决算为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w:t>
      </w:r>
      <w:r>
        <w:rPr>
          <w:rFonts w:hint="eastAsia" w:ascii="Nimbus Roman" w:hAnsi="Nimbus Roman" w:eastAsia="方正仿宋_GBK" w:cs="Nimbus Roman"/>
          <w:sz w:val="32"/>
          <w:szCs w:val="32"/>
          <w:lang w:val="en-US" w:eastAsia="zh-CN"/>
        </w:rPr>
        <w:t>，</w:t>
      </w:r>
      <w:r>
        <w:rPr>
          <w:rFonts w:hint="eastAsia" w:ascii="方正仿宋_GBK" w:hAnsi="方正仿宋_GBK" w:eastAsia="方正仿宋_GBK" w:cs="方正仿宋_GBK"/>
          <w:sz w:val="32"/>
          <w:szCs w:val="32"/>
        </w:rPr>
        <w:t>决算数</w:t>
      </w:r>
      <w:r>
        <w:rPr>
          <w:rFonts w:hint="eastAsia" w:ascii="方正仿宋_GBK" w:hAnsi="方正仿宋_GBK" w:eastAsia="方正仿宋_GBK" w:cs="方正仿宋_GBK"/>
          <w:sz w:val="32"/>
          <w:szCs w:val="32"/>
          <w:lang w:eastAsia="zh-CN"/>
        </w:rPr>
        <w:t>小</w:t>
      </w:r>
      <w:r>
        <w:rPr>
          <w:rFonts w:hint="eastAsia" w:ascii="方正仿宋_GBK" w:hAnsi="方正仿宋_GBK" w:eastAsia="方正仿宋_GBK" w:cs="方正仿宋_GBK"/>
          <w:sz w:val="32"/>
          <w:szCs w:val="32"/>
        </w:rPr>
        <w:t>于年初预算数的主要原因是：</w:t>
      </w:r>
      <w:r>
        <w:rPr>
          <w:rFonts w:hint="eastAsia" w:ascii="方正仿宋_GBK" w:hAnsi="方正仿宋_GBK" w:eastAsia="方正仿宋_GBK" w:cs="方正仿宋_GBK"/>
          <w:sz w:val="32"/>
          <w:szCs w:val="32"/>
          <w:lang w:eastAsia="zh-CN"/>
        </w:rPr>
        <w:t>该项支出计入了社会保障和就业支出类</w:t>
      </w:r>
      <w:r>
        <w:rPr>
          <w:rFonts w:hint="eastAsia" w:ascii="方正仿宋_GBK" w:hAnsi="方正仿宋_GBK" w:eastAsia="方正仿宋_GBK" w:cs="方正仿宋_GBK"/>
          <w:sz w:val="32"/>
          <w:szCs w:val="32"/>
          <w:lang w:val="en-US" w:eastAsia="zh-CN"/>
        </w:rPr>
        <w:t>，故决算数小于预算数</w:t>
      </w:r>
      <w:r>
        <w:rPr>
          <w:rFonts w:hint="eastAsia" w:ascii="方正仿宋_GBK" w:hAnsi="方正仿宋_GBK" w:eastAsia="方正仿宋_GBK" w:cs="方正仿宋_GBK"/>
          <w:sz w:val="32"/>
          <w:szCs w:val="32"/>
          <w:lang w:eastAsia="zh-CN"/>
        </w:rPr>
        <w:t>。</w:t>
      </w:r>
    </w:p>
    <w:p w14:paraId="04143A3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按照支出功能分类，</w:t>
      </w:r>
      <w:r>
        <w:rPr>
          <w:rFonts w:hint="eastAsia" w:ascii="方正仿宋_GBK" w:hAnsi="方正仿宋_GBK" w:eastAsia="方正仿宋_GBK" w:cs="方正仿宋_GBK"/>
          <w:sz w:val="32"/>
          <w:szCs w:val="32"/>
          <w:lang w:eastAsia="zh-CN"/>
        </w:rPr>
        <w:t>其他城乡社区管理支出</w:t>
      </w:r>
      <w:r>
        <w:rPr>
          <w:rFonts w:hint="eastAsia" w:ascii="方正仿宋_GBK" w:hAnsi="方正仿宋_GBK" w:eastAsia="方正仿宋_GBK" w:cs="方正仿宋_GBK"/>
          <w:sz w:val="32"/>
          <w:szCs w:val="32"/>
        </w:rPr>
        <w:t>方面的支出规模较大，主要是：</w:t>
      </w:r>
      <w:r>
        <w:rPr>
          <w:rFonts w:hint="eastAsia" w:ascii="方正仿宋_GBK" w:hAnsi="方正仿宋_GBK" w:eastAsia="方正仿宋_GBK" w:cs="方正仿宋_GBK"/>
          <w:sz w:val="32"/>
          <w:szCs w:val="32"/>
          <w:lang w:eastAsia="zh-CN"/>
        </w:rPr>
        <w:t>办公费</w:t>
      </w:r>
      <w:r>
        <w:rPr>
          <w:rFonts w:hint="eastAsia" w:ascii="方正仿宋_GBK" w:hAnsi="方正仿宋_GBK" w:eastAsia="方正仿宋_GBK" w:cs="方正仿宋_GBK"/>
          <w:sz w:val="32"/>
          <w:szCs w:val="32"/>
        </w:rPr>
        <w:t>，</w:t>
      </w: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年度决算数为</w:t>
      </w:r>
      <w:r>
        <w:rPr>
          <w:rFonts w:hint="default" w:ascii="Nimbus Roman" w:hAnsi="Nimbus Roman" w:eastAsia="方正仿宋_GBK" w:cs="Nimbus Roman"/>
          <w:sz w:val="32"/>
          <w:szCs w:val="32"/>
          <w:lang w:val="en-US" w:eastAsia="zh-CN"/>
        </w:rPr>
        <w:t>43.47</w:t>
      </w:r>
      <w:r>
        <w:rPr>
          <w:rFonts w:hint="eastAsia" w:ascii="方正仿宋_GBK" w:hAnsi="方正仿宋_GBK" w:eastAsia="方正仿宋_GBK" w:cs="方正仿宋_GBK"/>
          <w:sz w:val="32"/>
          <w:szCs w:val="32"/>
        </w:rPr>
        <w:t>万元，占财政拨款支出总额的</w:t>
      </w:r>
      <w:r>
        <w:rPr>
          <w:rFonts w:hint="default" w:ascii="Nimbus Roman" w:hAnsi="Nimbus Roman" w:eastAsia="方正仿宋_GBK" w:cs="Nimbus Roman"/>
          <w:sz w:val="32"/>
          <w:szCs w:val="32"/>
          <w:lang w:val="en-US" w:eastAsia="zh-CN"/>
        </w:rPr>
        <w:t>20.67</w:t>
      </w:r>
      <w:r>
        <w:rPr>
          <w:rFonts w:hint="default" w:ascii="Nimbus Roman" w:hAnsi="Nimbus Roman" w:eastAsia="方正仿宋_GBK" w:cs="Nimbus Roman"/>
          <w:sz w:val="32"/>
          <w:szCs w:val="32"/>
        </w:rPr>
        <w:t>%</w:t>
      </w:r>
      <w:r>
        <w:rPr>
          <w:rFonts w:hint="eastAsia" w:ascii="方正仿宋_GBK" w:hAnsi="方正仿宋_GBK" w:eastAsia="方正仿宋_GBK" w:cs="方正仿宋_GBK"/>
          <w:sz w:val="32"/>
          <w:szCs w:val="32"/>
        </w:rPr>
        <w:t>，主要用于</w:t>
      </w:r>
      <w:r>
        <w:rPr>
          <w:rFonts w:hint="eastAsia" w:ascii="方正仿宋_GBK" w:hAnsi="方正仿宋_GBK" w:eastAsia="方正仿宋_GBK" w:cs="方正仿宋_GBK"/>
          <w:sz w:val="32"/>
          <w:szCs w:val="32"/>
          <w:lang w:eastAsia="zh-CN"/>
        </w:rPr>
        <w:t>全县新兴领域党组织</w:t>
      </w:r>
      <w:r>
        <w:rPr>
          <w:rFonts w:hint="eastAsia" w:ascii="方正仿宋_GBK" w:hAnsi="方正仿宋_GBK" w:eastAsia="方正仿宋_GBK" w:cs="方正仿宋_GBK"/>
          <w:sz w:val="32"/>
          <w:szCs w:val="32"/>
          <w:lang w:val="en-US" w:eastAsia="zh-CN"/>
        </w:rPr>
        <w:t>2024年度党建活动经费及党支部书记补助经费</w:t>
      </w:r>
      <w:r>
        <w:rPr>
          <w:rFonts w:hint="eastAsia" w:ascii="方正仿宋_GBK" w:hAnsi="方正仿宋_GBK" w:eastAsia="方正仿宋_GBK" w:cs="方正仿宋_GBK"/>
          <w:sz w:val="32"/>
          <w:szCs w:val="32"/>
        </w:rPr>
        <w:t>。</w:t>
      </w:r>
    </w:p>
    <w:p w14:paraId="2347BB1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六、一般公共预算财政拨款基本支出决算情况说明</w:t>
      </w:r>
    </w:p>
    <w:p w14:paraId="3B2B2E5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202</w:t>
      </w:r>
      <w:r>
        <w:rPr>
          <w:rFonts w:hint="eastAsia" w:ascii="Nimbus Roman" w:hAnsi="Nimbus Roman" w:eastAsia="方正仿宋_GBK" w:cs="Nimbus Roman"/>
          <w:sz w:val="32"/>
          <w:szCs w:val="32"/>
          <w:lang w:val="en-US" w:eastAsia="zh-CN"/>
        </w:rPr>
        <w:t>5</w:t>
      </w:r>
      <w:r>
        <w:rPr>
          <w:rFonts w:hint="eastAsia" w:ascii="方正仿宋_GBK" w:hAnsi="方正仿宋_GBK" w:eastAsia="方正仿宋_GBK" w:cs="方正仿宋_GBK"/>
          <w:sz w:val="32"/>
          <w:szCs w:val="32"/>
        </w:rPr>
        <w:t>年度一般公共预算财政拨款基本支出</w:t>
      </w:r>
      <w:r>
        <w:rPr>
          <w:rFonts w:hint="default" w:ascii="Nimbus Roman" w:hAnsi="Nimbus Roman" w:eastAsia="方正仿宋_GBK" w:cs="Nimbus Roman"/>
          <w:sz w:val="32"/>
          <w:szCs w:val="32"/>
          <w:lang w:val="en-US" w:eastAsia="zh-CN"/>
        </w:rPr>
        <w:t>145.03</w:t>
      </w:r>
      <w:r>
        <w:rPr>
          <w:rFonts w:hint="eastAsia" w:ascii="方正仿宋_GBK" w:hAnsi="方正仿宋_GBK" w:eastAsia="方正仿宋_GBK" w:cs="方正仿宋_GBK"/>
          <w:sz w:val="32"/>
          <w:szCs w:val="32"/>
        </w:rPr>
        <w:t>万元，其中：</w:t>
      </w:r>
    </w:p>
    <w:p w14:paraId="3DB4337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人员经费</w:t>
      </w:r>
      <w:r>
        <w:rPr>
          <w:rFonts w:hint="default" w:ascii="Nimbus Roman" w:hAnsi="Nimbus Roman" w:eastAsia="方正仿宋_GBK" w:cs="Nimbus Roman"/>
          <w:sz w:val="32"/>
          <w:szCs w:val="32"/>
          <w:lang w:val="en-US" w:eastAsia="zh-CN"/>
        </w:rPr>
        <w:t>125.16</w:t>
      </w:r>
      <w:r>
        <w:rPr>
          <w:rFonts w:hint="eastAsia" w:ascii="方正仿宋_GBK" w:hAnsi="方正仿宋_GBK" w:eastAsia="方正仿宋_GBK" w:cs="方正仿宋_GBK"/>
          <w:sz w:val="32"/>
          <w:szCs w:val="32"/>
        </w:rPr>
        <w:t>万元，占基本支出的</w:t>
      </w:r>
      <w:r>
        <w:rPr>
          <w:rFonts w:hint="eastAsia" w:ascii="Nimbus Roman" w:hAnsi="Nimbus Roman" w:eastAsia="方正仿宋_GBK" w:cs="Nimbus Roman"/>
          <w:sz w:val="32"/>
          <w:szCs w:val="32"/>
          <w:lang w:val="en-US" w:eastAsia="zh-CN"/>
        </w:rPr>
        <w:t>86.3%，</w:t>
      </w:r>
      <w:r>
        <w:rPr>
          <w:rFonts w:hint="eastAsia" w:ascii="方正仿宋_GBK" w:hAnsi="方正仿宋_GBK" w:eastAsia="方正仿宋_GBK" w:cs="方正仿宋_GBK"/>
          <w:sz w:val="32"/>
          <w:szCs w:val="32"/>
        </w:rPr>
        <w:t>主要包括基本工资</w:t>
      </w:r>
      <w:r>
        <w:rPr>
          <w:rFonts w:hint="eastAsia" w:ascii="Nimbus Roman" w:hAnsi="Nimbus Roman" w:eastAsia="方正仿宋_GBK" w:cs="Nimbus Roman"/>
          <w:sz w:val="32"/>
          <w:szCs w:val="32"/>
          <w:lang w:val="en-US" w:eastAsia="zh-CN"/>
        </w:rPr>
        <w:t>44.23</w:t>
      </w:r>
      <w:r>
        <w:rPr>
          <w:rFonts w:hint="eastAsia" w:ascii="方正仿宋_GBK" w:hAnsi="方正仿宋_GBK" w:eastAsia="方正仿宋_GBK" w:cs="方正仿宋_GBK"/>
          <w:sz w:val="32"/>
          <w:szCs w:val="32"/>
          <w:lang w:val="en-US" w:eastAsia="zh-CN"/>
        </w:rPr>
        <w:t>万元</w:t>
      </w:r>
      <w:r>
        <w:rPr>
          <w:rFonts w:hint="eastAsia" w:ascii="方正仿宋_GBK" w:hAnsi="方正仿宋_GBK" w:eastAsia="方正仿宋_GBK" w:cs="方正仿宋_GBK"/>
          <w:sz w:val="32"/>
          <w:szCs w:val="32"/>
        </w:rPr>
        <w:t>、津贴补贴</w:t>
      </w:r>
      <w:r>
        <w:rPr>
          <w:rFonts w:hint="eastAsia" w:ascii="Nimbus Roman" w:hAnsi="Nimbus Roman" w:eastAsia="方正仿宋_GBK" w:cs="Nimbus Roman"/>
          <w:sz w:val="32"/>
          <w:szCs w:val="32"/>
          <w:lang w:val="en-US" w:eastAsia="zh-CN"/>
        </w:rPr>
        <w:t>28.48</w:t>
      </w:r>
      <w:r>
        <w:rPr>
          <w:rFonts w:hint="eastAsia" w:ascii="方正仿宋_GBK" w:hAnsi="方正仿宋_GBK" w:eastAsia="方正仿宋_GBK" w:cs="方正仿宋_GBK"/>
          <w:sz w:val="32"/>
          <w:szCs w:val="32"/>
          <w:lang w:val="en-US" w:eastAsia="zh-CN"/>
        </w:rPr>
        <w:t>万元</w:t>
      </w:r>
      <w:r>
        <w:rPr>
          <w:rFonts w:hint="eastAsia" w:ascii="方正仿宋_GBK" w:hAnsi="方正仿宋_GBK" w:eastAsia="方正仿宋_GBK" w:cs="方正仿宋_GBK"/>
          <w:sz w:val="32"/>
          <w:szCs w:val="32"/>
        </w:rPr>
        <w:t>、奖金</w:t>
      </w:r>
      <w:r>
        <w:rPr>
          <w:rFonts w:hint="eastAsia" w:ascii="Nimbus Roman" w:hAnsi="Nimbus Roman" w:eastAsia="方正仿宋_GBK" w:cs="Nimbus Roman"/>
          <w:sz w:val="32"/>
          <w:szCs w:val="32"/>
          <w:lang w:val="en-US" w:eastAsia="zh-CN"/>
        </w:rPr>
        <w:t>6.18</w:t>
      </w:r>
      <w:r>
        <w:rPr>
          <w:rFonts w:hint="eastAsia" w:ascii="方正仿宋_GBK" w:hAnsi="方正仿宋_GBK" w:eastAsia="方正仿宋_GBK" w:cs="方正仿宋_GBK"/>
          <w:sz w:val="32"/>
          <w:szCs w:val="32"/>
          <w:lang w:val="en-US" w:eastAsia="zh-CN"/>
        </w:rPr>
        <w:t>万元</w:t>
      </w:r>
      <w:r>
        <w:rPr>
          <w:rFonts w:hint="eastAsia" w:ascii="方正仿宋_GBK" w:hAnsi="方正仿宋_GBK" w:eastAsia="方正仿宋_GBK" w:cs="方正仿宋_GBK"/>
          <w:sz w:val="32"/>
          <w:szCs w:val="32"/>
        </w:rPr>
        <w:t>、伙食补助费</w:t>
      </w:r>
      <w:r>
        <w:rPr>
          <w:rFonts w:hint="eastAsia" w:ascii="Nimbus Roman" w:hAnsi="Nimbus Roman" w:eastAsia="方正仿宋_GBK" w:cs="Nimbus Roman"/>
          <w:sz w:val="32"/>
          <w:szCs w:val="32"/>
          <w:lang w:val="en-US" w:eastAsia="zh-CN"/>
        </w:rPr>
        <w:t>0.73</w:t>
      </w:r>
      <w:r>
        <w:rPr>
          <w:rFonts w:hint="eastAsia" w:ascii="方正仿宋_GBK" w:hAnsi="方正仿宋_GBK" w:eastAsia="方正仿宋_GBK" w:cs="方正仿宋_GBK"/>
          <w:sz w:val="32"/>
          <w:szCs w:val="32"/>
          <w:lang w:val="en-US" w:eastAsia="zh-CN"/>
        </w:rPr>
        <w:t>万元、绩效工资</w:t>
      </w:r>
      <w:r>
        <w:rPr>
          <w:rFonts w:hint="eastAsia" w:ascii="Nimbus Roman" w:hAnsi="Nimbus Roman" w:eastAsia="方正仿宋_GBK" w:cs="Nimbus Roman"/>
          <w:sz w:val="32"/>
          <w:szCs w:val="32"/>
          <w:lang w:val="en-US" w:eastAsia="zh-CN"/>
        </w:rPr>
        <w:t>12.42</w:t>
      </w:r>
      <w:r>
        <w:rPr>
          <w:rFonts w:hint="eastAsia" w:ascii="方正仿宋_GBK" w:hAnsi="方正仿宋_GBK" w:eastAsia="方正仿宋_GBK" w:cs="方正仿宋_GBK"/>
          <w:sz w:val="32"/>
          <w:szCs w:val="32"/>
          <w:lang w:val="en-US" w:eastAsia="zh-CN"/>
        </w:rPr>
        <w:t>万元、机关事业单位基本养老保险缴费</w:t>
      </w:r>
      <w:r>
        <w:rPr>
          <w:rFonts w:hint="eastAsia" w:ascii="Nimbus Roman" w:hAnsi="Nimbus Roman" w:eastAsia="方正仿宋_GBK" w:cs="Nimbus Roman"/>
          <w:sz w:val="32"/>
          <w:szCs w:val="32"/>
          <w:lang w:val="en-US" w:eastAsia="zh-CN"/>
        </w:rPr>
        <w:t>12.08</w:t>
      </w:r>
      <w:r>
        <w:rPr>
          <w:rFonts w:hint="eastAsia" w:ascii="方正仿宋_GBK" w:hAnsi="方正仿宋_GBK" w:eastAsia="方正仿宋_GBK" w:cs="方正仿宋_GBK"/>
          <w:sz w:val="32"/>
          <w:szCs w:val="32"/>
          <w:lang w:val="en-US" w:eastAsia="zh-CN"/>
        </w:rPr>
        <w:t>万元、职工基本医疗保险缴费</w:t>
      </w:r>
      <w:r>
        <w:rPr>
          <w:rFonts w:hint="eastAsia" w:ascii="Nimbus Roman" w:hAnsi="Nimbus Roman" w:eastAsia="方正仿宋_GBK" w:cs="Nimbus Roman"/>
          <w:sz w:val="32"/>
          <w:szCs w:val="32"/>
          <w:lang w:val="en-US" w:eastAsia="zh-CN"/>
        </w:rPr>
        <w:t>9.06</w:t>
      </w:r>
      <w:r>
        <w:rPr>
          <w:rFonts w:hint="eastAsia" w:ascii="方正仿宋_GBK" w:hAnsi="方正仿宋_GBK" w:eastAsia="方正仿宋_GBK" w:cs="方正仿宋_GBK"/>
          <w:sz w:val="32"/>
          <w:szCs w:val="32"/>
          <w:lang w:val="en-US" w:eastAsia="zh-CN"/>
        </w:rPr>
        <w:t>万元、其他社会保障缴费</w:t>
      </w:r>
      <w:r>
        <w:rPr>
          <w:rFonts w:hint="eastAsia" w:ascii="Nimbus Roman" w:hAnsi="Nimbus Roman" w:eastAsia="方正仿宋_GBK" w:cs="Nimbus Roman"/>
          <w:sz w:val="32"/>
          <w:szCs w:val="32"/>
          <w:lang w:val="en-US" w:eastAsia="zh-CN"/>
        </w:rPr>
        <w:t>11.14</w:t>
      </w:r>
      <w:r>
        <w:rPr>
          <w:rFonts w:hint="eastAsia" w:ascii="方正仿宋_GBK" w:hAnsi="方正仿宋_GBK" w:eastAsia="方正仿宋_GBK" w:cs="方正仿宋_GBK"/>
          <w:sz w:val="32"/>
          <w:szCs w:val="32"/>
          <w:lang w:val="en-US" w:eastAsia="zh-CN"/>
        </w:rPr>
        <w:t>万元、住房公积金</w:t>
      </w:r>
      <w:r>
        <w:rPr>
          <w:rFonts w:hint="eastAsia" w:ascii="Nimbus Roman" w:hAnsi="Nimbus Roman" w:eastAsia="方正仿宋_GBK" w:cs="Nimbus Roman"/>
          <w:sz w:val="32"/>
          <w:szCs w:val="32"/>
          <w:lang w:val="en-US" w:eastAsia="zh-CN"/>
        </w:rPr>
        <w:t>0.46万</w:t>
      </w:r>
      <w:r>
        <w:rPr>
          <w:rFonts w:hint="eastAsia" w:ascii="方正仿宋_GBK" w:hAnsi="方正仿宋_GBK" w:eastAsia="方正仿宋_GBK" w:cs="方正仿宋_GBK"/>
          <w:sz w:val="32"/>
          <w:szCs w:val="32"/>
          <w:lang w:val="en-US" w:eastAsia="zh-CN"/>
        </w:rPr>
        <w:t>元、其他工资福利支出</w:t>
      </w:r>
      <w:r>
        <w:rPr>
          <w:rFonts w:hint="eastAsia" w:ascii="Nimbus Roman" w:hAnsi="Nimbus Roman" w:eastAsia="方正仿宋_GBK" w:cs="Nimbus Roman"/>
          <w:sz w:val="32"/>
          <w:szCs w:val="32"/>
          <w:lang w:val="en-US" w:eastAsia="zh-CN"/>
        </w:rPr>
        <w:t>0.38</w:t>
      </w:r>
      <w:r>
        <w:rPr>
          <w:rFonts w:hint="eastAsia" w:ascii="方正仿宋_GBK" w:hAnsi="方正仿宋_GBK" w:eastAsia="方正仿宋_GBK" w:cs="方正仿宋_GBK"/>
          <w:sz w:val="32"/>
          <w:szCs w:val="32"/>
          <w:lang w:val="en-US" w:eastAsia="zh-CN"/>
        </w:rPr>
        <w:t>万元</w:t>
      </w:r>
      <w:r>
        <w:rPr>
          <w:rFonts w:hint="eastAsia" w:ascii="方正仿宋_GBK" w:hAnsi="方正仿宋_GBK" w:eastAsia="方正仿宋_GBK" w:cs="方正仿宋_GBK"/>
          <w:sz w:val="32"/>
          <w:szCs w:val="32"/>
        </w:rPr>
        <w:t>。</w:t>
      </w:r>
    </w:p>
    <w:p w14:paraId="0CFC646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公用经费</w:t>
      </w:r>
      <w:r>
        <w:rPr>
          <w:rFonts w:hint="default" w:ascii="Nimbus Roman" w:hAnsi="Nimbus Roman" w:eastAsia="方正仿宋_GBK" w:cs="Nimbus Roman"/>
          <w:sz w:val="32"/>
          <w:szCs w:val="32"/>
          <w:lang w:val="en-US" w:eastAsia="zh-CN"/>
        </w:rPr>
        <w:t>19.86</w:t>
      </w:r>
      <w:r>
        <w:rPr>
          <w:rFonts w:hint="eastAsia" w:ascii="方正仿宋_GBK" w:hAnsi="方正仿宋_GBK" w:eastAsia="方正仿宋_GBK" w:cs="方正仿宋_GBK"/>
          <w:sz w:val="32"/>
          <w:szCs w:val="32"/>
        </w:rPr>
        <w:t>万元，占基本支出的</w:t>
      </w:r>
      <w:r>
        <w:rPr>
          <w:rFonts w:hint="eastAsia" w:ascii="Nimbus Roman" w:hAnsi="Nimbus Roman" w:eastAsia="方正仿宋_GBK" w:cs="Nimbus Roman"/>
          <w:sz w:val="32"/>
          <w:szCs w:val="32"/>
          <w:lang w:val="en-US" w:eastAsia="zh-CN"/>
        </w:rPr>
        <w:t>13.7%</w:t>
      </w:r>
      <w:r>
        <w:rPr>
          <w:rFonts w:hint="eastAsia" w:ascii="方正仿宋_GBK" w:hAnsi="方正仿宋_GBK" w:eastAsia="方正仿宋_GBK" w:cs="方正仿宋_GBK"/>
          <w:sz w:val="32"/>
          <w:szCs w:val="32"/>
        </w:rPr>
        <w:t>，主要包括办公费</w:t>
      </w:r>
      <w:r>
        <w:rPr>
          <w:rFonts w:hint="eastAsia" w:ascii="Nimbus Roman" w:hAnsi="Nimbus Roman" w:eastAsia="方正仿宋_GBK" w:cs="Nimbus Roman"/>
          <w:sz w:val="32"/>
          <w:szCs w:val="32"/>
          <w:lang w:val="en-US" w:eastAsia="zh-CN"/>
        </w:rPr>
        <w:t>3.37</w:t>
      </w:r>
      <w:r>
        <w:rPr>
          <w:rFonts w:hint="eastAsia" w:ascii="方正仿宋_GBK" w:hAnsi="方正仿宋_GBK" w:eastAsia="方正仿宋_GBK" w:cs="方正仿宋_GBK"/>
          <w:sz w:val="32"/>
          <w:szCs w:val="32"/>
          <w:lang w:val="en-US" w:eastAsia="zh-CN"/>
        </w:rPr>
        <w:t>万元</w:t>
      </w:r>
      <w:r>
        <w:rPr>
          <w:rFonts w:hint="eastAsia" w:ascii="方正仿宋_GBK" w:hAnsi="方正仿宋_GBK" w:eastAsia="方正仿宋_GBK" w:cs="方正仿宋_GBK"/>
          <w:sz w:val="32"/>
          <w:szCs w:val="32"/>
        </w:rPr>
        <w:t>、印刷费</w:t>
      </w:r>
      <w:r>
        <w:rPr>
          <w:rFonts w:hint="eastAsia" w:ascii="Nimbus Roman" w:hAnsi="Nimbus Roman" w:eastAsia="方正仿宋_GBK" w:cs="Nimbus Roman"/>
          <w:sz w:val="32"/>
          <w:szCs w:val="32"/>
          <w:lang w:val="en-US" w:eastAsia="zh-CN"/>
        </w:rPr>
        <w:t>5.66</w:t>
      </w:r>
      <w:r>
        <w:rPr>
          <w:rFonts w:hint="eastAsia" w:ascii="方正仿宋_GBK" w:hAnsi="方正仿宋_GBK" w:eastAsia="方正仿宋_GBK" w:cs="方正仿宋_GBK"/>
          <w:sz w:val="32"/>
          <w:szCs w:val="32"/>
          <w:lang w:val="en-US" w:eastAsia="zh-CN"/>
        </w:rPr>
        <w:t>万元</w:t>
      </w:r>
      <w:r>
        <w:rPr>
          <w:rFonts w:hint="eastAsia" w:ascii="方正仿宋_GBK" w:hAnsi="方正仿宋_GBK" w:eastAsia="方正仿宋_GBK" w:cs="方正仿宋_GBK"/>
          <w:sz w:val="32"/>
          <w:szCs w:val="32"/>
          <w:lang w:eastAsia="zh-CN"/>
        </w:rPr>
        <w:t>、差旅费</w:t>
      </w:r>
      <w:r>
        <w:rPr>
          <w:rFonts w:hint="eastAsia" w:ascii="Nimbus Roman" w:hAnsi="Nimbus Roman" w:eastAsia="方正仿宋_GBK" w:cs="Nimbus Roman"/>
          <w:sz w:val="32"/>
          <w:szCs w:val="32"/>
          <w:lang w:val="en-US" w:eastAsia="zh-CN"/>
        </w:rPr>
        <w:t>4.29</w:t>
      </w:r>
      <w:r>
        <w:rPr>
          <w:rFonts w:hint="eastAsia" w:ascii="方正仿宋_GBK" w:hAnsi="方正仿宋_GBK" w:eastAsia="方正仿宋_GBK" w:cs="方正仿宋_GBK"/>
          <w:sz w:val="32"/>
          <w:szCs w:val="32"/>
          <w:lang w:val="en-US" w:eastAsia="zh-CN"/>
        </w:rPr>
        <w:t>万元、会议费</w:t>
      </w:r>
      <w:r>
        <w:rPr>
          <w:rFonts w:hint="eastAsia" w:ascii="Nimbus Roman" w:hAnsi="Nimbus Roman" w:eastAsia="方正仿宋_GBK" w:cs="Nimbus Roman"/>
          <w:sz w:val="32"/>
          <w:szCs w:val="32"/>
          <w:lang w:val="en-US" w:eastAsia="zh-CN"/>
        </w:rPr>
        <w:t>0.28</w:t>
      </w:r>
      <w:r>
        <w:rPr>
          <w:rFonts w:hint="eastAsia" w:ascii="方正仿宋_GBK" w:hAnsi="方正仿宋_GBK" w:eastAsia="方正仿宋_GBK" w:cs="方正仿宋_GBK"/>
          <w:sz w:val="32"/>
          <w:szCs w:val="32"/>
          <w:lang w:val="en-US" w:eastAsia="zh-CN"/>
        </w:rPr>
        <w:t>万元、培训费</w:t>
      </w:r>
      <w:r>
        <w:rPr>
          <w:rFonts w:hint="eastAsia" w:ascii="Nimbus Roman" w:hAnsi="Nimbus Roman" w:eastAsia="方正仿宋_GBK" w:cs="Nimbus Roman"/>
          <w:sz w:val="32"/>
          <w:szCs w:val="32"/>
          <w:lang w:val="en-US" w:eastAsia="zh-CN"/>
        </w:rPr>
        <w:t>0.07</w:t>
      </w:r>
      <w:r>
        <w:rPr>
          <w:rFonts w:hint="eastAsia" w:ascii="方正仿宋_GBK" w:hAnsi="方正仿宋_GBK" w:eastAsia="方正仿宋_GBK" w:cs="方正仿宋_GBK"/>
          <w:sz w:val="32"/>
          <w:szCs w:val="32"/>
          <w:lang w:val="en-US" w:eastAsia="zh-CN"/>
        </w:rPr>
        <w:t>万元、工会经费</w:t>
      </w:r>
      <w:r>
        <w:rPr>
          <w:rFonts w:hint="eastAsia" w:ascii="Nimbus Roman" w:hAnsi="Nimbus Roman" w:eastAsia="方正仿宋_GBK" w:cs="Nimbus Roman"/>
          <w:sz w:val="32"/>
          <w:szCs w:val="32"/>
          <w:lang w:val="en-US" w:eastAsia="zh-CN"/>
        </w:rPr>
        <w:t>5.13</w:t>
      </w:r>
      <w:r>
        <w:rPr>
          <w:rFonts w:hint="eastAsia" w:ascii="方正仿宋_GBK" w:hAnsi="方正仿宋_GBK" w:eastAsia="方正仿宋_GBK" w:cs="方正仿宋_GBK"/>
          <w:sz w:val="32"/>
          <w:szCs w:val="32"/>
          <w:lang w:val="en-US" w:eastAsia="zh-CN"/>
        </w:rPr>
        <w:t>万元、其他商品和服务支出</w:t>
      </w:r>
      <w:r>
        <w:rPr>
          <w:rFonts w:hint="eastAsia" w:ascii="Nimbus Roman" w:hAnsi="Nimbus Roman" w:eastAsia="方正仿宋_GBK" w:cs="Nimbus Roman"/>
          <w:sz w:val="32"/>
          <w:szCs w:val="32"/>
          <w:lang w:val="en-US" w:eastAsia="zh-CN"/>
        </w:rPr>
        <w:t>0.29</w:t>
      </w:r>
      <w:r>
        <w:rPr>
          <w:rFonts w:hint="eastAsia" w:ascii="方正仿宋_GBK" w:hAnsi="方正仿宋_GBK" w:eastAsia="方正仿宋_GBK" w:cs="方正仿宋_GBK"/>
          <w:sz w:val="32"/>
          <w:szCs w:val="32"/>
          <w:lang w:val="en-US" w:eastAsia="zh-CN"/>
        </w:rPr>
        <w:t>万元、办公设备购置</w:t>
      </w:r>
      <w:r>
        <w:rPr>
          <w:rFonts w:hint="eastAsia" w:ascii="Nimbus Roman" w:hAnsi="Nimbus Roman" w:eastAsia="方正仿宋_GBK" w:cs="Nimbus Roman"/>
          <w:sz w:val="32"/>
          <w:szCs w:val="32"/>
          <w:lang w:val="en-US" w:eastAsia="zh-CN"/>
        </w:rPr>
        <w:t>0.77</w:t>
      </w:r>
      <w:r>
        <w:rPr>
          <w:rFonts w:hint="eastAsia" w:ascii="方正仿宋_GBK" w:hAnsi="方正仿宋_GBK" w:eastAsia="方正仿宋_GBK" w:cs="方正仿宋_GBK"/>
          <w:sz w:val="32"/>
          <w:szCs w:val="32"/>
          <w:lang w:val="en-US" w:eastAsia="zh-CN"/>
        </w:rPr>
        <w:t>万元</w:t>
      </w:r>
      <w:r>
        <w:rPr>
          <w:rFonts w:hint="eastAsia" w:ascii="方正仿宋_GBK" w:hAnsi="方正仿宋_GBK" w:eastAsia="方正仿宋_GBK" w:cs="方正仿宋_GBK"/>
          <w:sz w:val="32"/>
          <w:szCs w:val="32"/>
        </w:rPr>
        <w:t>。</w:t>
      </w:r>
    </w:p>
    <w:p w14:paraId="312BC992">
      <w:pPr>
        <w:pStyle w:val="8"/>
        <w:rPr>
          <w:rFonts w:hint="eastAsia"/>
          <w:lang w:eastAsia="zh-CN"/>
        </w:rPr>
      </w:pPr>
    </w:p>
    <w:p w14:paraId="3444A0A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七、财政拨款“三公”经费支出决算情况说明（注意：“三公”经费不再是一般公共预算财政拨款口径，而是财政拨款口径）</w:t>
      </w:r>
    </w:p>
    <w:p w14:paraId="085C666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（一）“三公”经费财政拨款支出决算总体情况说明</w:t>
      </w:r>
    </w:p>
    <w:p w14:paraId="03D8FEE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202</w:t>
      </w:r>
      <w:r>
        <w:rPr>
          <w:rFonts w:hint="eastAsia" w:ascii="Nimbus Roman" w:hAnsi="Nimbus Roman" w:eastAsia="方正仿宋_GBK" w:cs="Nimbus Roman"/>
          <w:sz w:val="32"/>
          <w:szCs w:val="32"/>
          <w:lang w:val="en-US" w:eastAsia="zh-CN"/>
        </w:rPr>
        <w:t>5</w:t>
      </w:r>
      <w:r>
        <w:rPr>
          <w:rFonts w:hint="eastAsia" w:ascii="方正仿宋_GBK" w:hAnsi="方正仿宋_GBK" w:eastAsia="方正仿宋_GBK" w:cs="方正仿宋_GBK"/>
          <w:sz w:val="32"/>
          <w:szCs w:val="32"/>
        </w:rPr>
        <w:t>年度“三公”经费财政拨款支出预算为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万元，支出决算为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w:t>
      </w:r>
    </w:p>
    <w:p w14:paraId="10A8A61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（二）“三公”经费财政拨款支出决算具体情况说明</w:t>
      </w:r>
    </w:p>
    <w:p w14:paraId="5A3B49A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1.因公出国（境）费支出预算为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万元，支出决算为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w:t>
      </w:r>
      <w:r>
        <w:rPr>
          <w:rFonts w:hint="eastAsia" w:ascii="Nimbus Roman" w:hAnsi="Nimbus Roman" w:eastAsia="方正仿宋_GBK" w:cs="Nimbus Roman"/>
          <w:sz w:val="32"/>
          <w:szCs w:val="32"/>
          <w:lang w:eastAsia="zh-CN"/>
        </w:rPr>
        <w:t>2025</w:t>
      </w:r>
      <w:r>
        <w:rPr>
          <w:rFonts w:hint="eastAsia" w:ascii="方正仿宋_GBK" w:hAnsi="方正仿宋_GBK" w:eastAsia="方正仿宋_GBK" w:cs="方正仿宋_GBK"/>
          <w:sz w:val="32"/>
          <w:szCs w:val="32"/>
          <w:lang w:eastAsia="zh-CN"/>
        </w:rPr>
        <w:t>年</w:t>
      </w:r>
      <w:r>
        <w:rPr>
          <w:rFonts w:hint="eastAsia" w:ascii="方正仿宋_GBK" w:hAnsi="方正仿宋_GBK" w:eastAsia="方正仿宋_GBK" w:cs="方正仿宋_GBK"/>
          <w:sz w:val="32"/>
          <w:szCs w:val="32"/>
        </w:rPr>
        <w:t>度安排因公出国（境）团组</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个，累计</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人次</w:t>
      </w:r>
      <w:r>
        <w:rPr>
          <w:rFonts w:hint="eastAsia" w:ascii="方正仿宋_GBK" w:hAnsi="方正仿宋_GBK" w:eastAsia="方正仿宋_GBK" w:cs="方正仿宋_GBK"/>
          <w:sz w:val="32"/>
          <w:szCs w:val="32"/>
          <w:lang w:eastAsia="zh-CN"/>
        </w:rPr>
        <w:t>。</w:t>
      </w:r>
    </w:p>
    <w:p w14:paraId="1FC2F08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2.公务用车购置费及运行维护费支出预算为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万元，支出决算为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其中：</w:t>
      </w:r>
    </w:p>
    <w:p w14:paraId="40D84B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公务用车购置费支出预算为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万元，支出决算为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w:t>
      </w:r>
    </w:p>
    <w:p w14:paraId="659962D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公务用车运行维护费支出预算为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万元，支出决算为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原因是：我单位无公车。</w:t>
      </w:r>
    </w:p>
    <w:p w14:paraId="73CC3F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3.公务接待费支出预算为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万元，支出决算为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w:t>
      </w:r>
    </w:p>
    <w:p w14:paraId="7B106E0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八、政府性基金预算收入支出决算情况</w:t>
      </w:r>
    </w:p>
    <w:p w14:paraId="0F7FCD9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Nimbus Roman" w:hAnsi="Nimbus Roman" w:eastAsia="方正仿宋_GBK" w:cs="Nimbus Roman"/>
          <w:sz w:val="32"/>
          <w:szCs w:val="32"/>
        </w:rPr>
        <w:t>202</w:t>
      </w:r>
      <w:r>
        <w:rPr>
          <w:rFonts w:hint="eastAsia" w:ascii="Nimbus Roman" w:hAnsi="Nimbus Roman" w:eastAsia="方正仿宋_GBK" w:cs="Nimbus Roman"/>
          <w:sz w:val="32"/>
          <w:szCs w:val="32"/>
          <w:lang w:val="en-US" w:eastAsia="zh-CN"/>
        </w:rPr>
        <w:t>5</w:t>
      </w:r>
      <w:r>
        <w:rPr>
          <w:rFonts w:hint="eastAsia" w:ascii="方正仿宋_GBK" w:hAnsi="方正仿宋_GBK" w:eastAsia="方正仿宋_GBK" w:cs="方正仿宋_GBK"/>
          <w:sz w:val="32"/>
          <w:szCs w:val="32"/>
        </w:rPr>
        <w:t>年度政府性基金预算财政拨款收入</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万元；年初结转和结余</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万元；支出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无政府性基金收支</w:t>
      </w:r>
      <w:r>
        <w:rPr>
          <w:rFonts w:hint="eastAsia" w:ascii="方正仿宋_GBK" w:hAnsi="方正仿宋_GBK" w:eastAsia="方正仿宋_GBK" w:cs="方正仿宋_GBK"/>
          <w:sz w:val="32"/>
          <w:szCs w:val="32"/>
          <w:lang w:eastAsia="zh-CN"/>
        </w:rPr>
        <w:t>。</w:t>
      </w:r>
    </w:p>
    <w:p w14:paraId="1951734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九、关于机关运行经费支出说明</w:t>
      </w:r>
    </w:p>
    <w:p w14:paraId="302420A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本部门</w:t>
      </w:r>
      <w:r>
        <w:rPr>
          <w:rFonts w:hint="eastAsia" w:ascii="Nimbus Roman" w:hAnsi="Nimbus Roman" w:eastAsia="方正仿宋_GBK" w:cs="Nimbus Roman"/>
          <w:sz w:val="32"/>
          <w:szCs w:val="32"/>
        </w:rPr>
        <w:t>202</w:t>
      </w:r>
      <w:r>
        <w:rPr>
          <w:rFonts w:hint="eastAsia" w:ascii="Nimbus Roman" w:hAnsi="Nimbus Roman" w:eastAsia="方正仿宋_GBK" w:cs="Nimbus Roman"/>
          <w:sz w:val="32"/>
          <w:szCs w:val="32"/>
          <w:lang w:val="en-US" w:eastAsia="zh-CN"/>
        </w:rPr>
        <w:t>5</w:t>
      </w:r>
      <w:r>
        <w:rPr>
          <w:rFonts w:hint="eastAsia" w:ascii="方正仿宋_GBK" w:hAnsi="方正仿宋_GBK" w:eastAsia="方正仿宋_GBK" w:cs="方正仿宋_GBK"/>
          <w:sz w:val="32"/>
          <w:szCs w:val="32"/>
        </w:rPr>
        <w:t>年度机关运行经费支出</w:t>
      </w:r>
      <w:r>
        <w:rPr>
          <w:rFonts w:hint="default" w:ascii="Nimbus Roman" w:hAnsi="Nimbus Roman" w:eastAsia="方正仿宋_GBK" w:cs="Nimbus Roman"/>
          <w:sz w:val="32"/>
          <w:szCs w:val="32"/>
          <w:lang w:val="en-US" w:eastAsia="zh-CN"/>
        </w:rPr>
        <w:t>19.86</w:t>
      </w:r>
      <w:r>
        <w:rPr>
          <w:rFonts w:hint="eastAsia" w:ascii="方正仿宋_GBK" w:hAnsi="方正仿宋_GBK" w:eastAsia="方正仿宋_GBK" w:cs="方正仿宋_GBK"/>
          <w:sz w:val="32"/>
          <w:szCs w:val="32"/>
        </w:rPr>
        <w:t>万元（与部门决算中行政单位和参照公务员法管理事业单位财政拨款基本支出中公用经费之和一致），比上年决算数减少</w:t>
      </w:r>
      <w:r>
        <w:rPr>
          <w:rFonts w:hint="default" w:ascii="Nimbus Roman" w:hAnsi="Nimbus Roman" w:eastAsia="方正仿宋_GBK" w:cs="Nimbus Roman"/>
          <w:sz w:val="32"/>
          <w:szCs w:val="32"/>
          <w:lang w:val="en-US" w:eastAsia="zh-CN"/>
        </w:rPr>
        <w:t>6.4</w:t>
      </w:r>
      <w:r>
        <w:rPr>
          <w:rFonts w:hint="eastAsia" w:ascii="方正仿宋_GBK" w:hAnsi="方正仿宋_GBK" w:eastAsia="方正仿宋_GBK" w:cs="方正仿宋_GBK"/>
          <w:sz w:val="32"/>
          <w:szCs w:val="32"/>
        </w:rPr>
        <w:t>万元，降低</w:t>
      </w:r>
      <w:r>
        <w:rPr>
          <w:rFonts w:hint="default" w:ascii="Nimbus Roman" w:hAnsi="Nimbus Roman" w:eastAsia="方正仿宋_GBK" w:cs="Nimbus Roman"/>
          <w:sz w:val="32"/>
          <w:szCs w:val="32"/>
          <w:lang w:val="en-US" w:eastAsia="zh-CN"/>
        </w:rPr>
        <w:t>24.37</w:t>
      </w:r>
      <w:r>
        <w:rPr>
          <w:rFonts w:hint="default" w:ascii="Nimbus Roman" w:hAnsi="Nimbus Roman" w:eastAsia="方正仿宋_GBK" w:cs="Nimbus Roman"/>
          <w:sz w:val="32"/>
          <w:szCs w:val="32"/>
        </w:rPr>
        <w:t>%</w:t>
      </w:r>
      <w:r>
        <w:rPr>
          <w:rFonts w:hint="eastAsia" w:ascii="方正仿宋_GBK" w:hAnsi="方正仿宋_GBK" w:eastAsia="方正仿宋_GBK" w:cs="方正仿宋_GBK"/>
          <w:sz w:val="32"/>
          <w:szCs w:val="32"/>
        </w:rPr>
        <w:t>。主要原因是：办公设施设备购置经费减少。</w:t>
      </w:r>
    </w:p>
    <w:p w14:paraId="7C7DF59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十、一般性支出情况说明</w:t>
      </w:r>
    </w:p>
    <w:p w14:paraId="03021D5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202</w:t>
      </w:r>
      <w:r>
        <w:rPr>
          <w:rFonts w:hint="eastAsia" w:ascii="Nimbus Roman" w:hAnsi="Nimbus Roman" w:eastAsia="方正仿宋_GBK" w:cs="Nimbus Roman"/>
          <w:sz w:val="32"/>
          <w:szCs w:val="32"/>
          <w:lang w:val="en-US" w:eastAsia="zh-CN"/>
        </w:rPr>
        <w:t>5</w:t>
      </w:r>
      <w:r>
        <w:rPr>
          <w:rFonts w:hint="eastAsia" w:ascii="方正仿宋_GBK" w:hAnsi="方正仿宋_GBK" w:eastAsia="方正仿宋_GBK" w:cs="方正仿宋_GBK"/>
          <w:sz w:val="32"/>
          <w:szCs w:val="32"/>
        </w:rPr>
        <w:t>年本部门开支会议费</w:t>
      </w:r>
      <w:r>
        <w:rPr>
          <w:rFonts w:hint="default" w:ascii="Nimbus Roman" w:hAnsi="Nimbus Roman" w:eastAsia="方正仿宋_GBK" w:cs="Nimbus Roman"/>
          <w:sz w:val="32"/>
          <w:szCs w:val="32"/>
          <w:lang w:val="en-US" w:eastAsia="zh-CN"/>
        </w:rPr>
        <w:t>0.28</w:t>
      </w:r>
      <w:r>
        <w:rPr>
          <w:rFonts w:hint="eastAsia" w:ascii="方正仿宋_GBK" w:hAnsi="方正仿宋_GBK" w:eastAsia="方正仿宋_GBK" w:cs="方正仿宋_GBK"/>
          <w:sz w:val="32"/>
          <w:szCs w:val="32"/>
        </w:rPr>
        <w:t>万元，用于召开</w:t>
      </w:r>
      <w:r>
        <w:rPr>
          <w:rFonts w:hint="eastAsia" w:ascii="方正仿宋_GBK" w:hAnsi="方正仿宋_GBK" w:eastAsia="方正仿宋_GBK" w:cs="方正仿宋_GBK"/>
          <w:sz w:val="32"/>
          <w:szCs w:val="32"/>
          <w:lang w:eastAsia="zh-CN"/>
        </w:rPr>
        <w:t>全县社会工作</w:t>
      </w:r>
      <w:r>
        <w:rPr>
          <w:rFonts w:hint="eastAsia" w:ascii="方正仿宋_GBK" w:hAnsi="方正仿宋_GBK" w:eastAsia="方正仿宋_GBK" w:cs="方正仿宋_GBK"/>
          <w:sz w:val="32"/>
          <w:szCs w:val="32"/>
        </w:rPr>
        <w:t>会议，人数</w:t>
      </w:r>
      <w:r>
        <w:rPr>
          <w:rFonts w:hint="eastAsia" w:ascii="Nimbus Roman" w:hAnsi="Nimbus Roman" w:eastAsia="方正仿宋_GBK" w:cs="Nimbus Roman"/>
          <w:sz w:val="32"/>
          <w:szCs w:val="32"/>
          <w:lang w:val="en-US" w:eastAsia="zh-CN"/>
        </w:rPr>
        <w:t>96</w:t>
      </w:r>
      <w:r>
        <w:rPr>
          <w:rFonts w:hint="eastAsia" w:ascii="方正仿宋_GBK" w:hAnsi="方正仿宋_GBK" w:eastAsia="方正仿宋_GBK" w:cs="方正仿宋_GBK"/>
          <w:sz w:val="32"/>
          <w:szCs w:val="32"/>
        </w:rPr>
        <w:t>人，内容为</w:t>
      </w:r>
      <w:r>
        <w:rPr>
          <w:rFonts w:hint="eastAsia" w:ascii="方正仿宋_GBK" w:hAnsi="方正仿宋_GBK" w:eastAsia="方正仿宋_GBK" w:cs="方正仿宋_GBK"/>
          <w:sz w:val="32"/>
          <w:szCs w:val="32"/>
          <w:lang w:eastAsia="zh-CN"/>
        </w:rPr>
        <w:t>传达省委社会工作会议精神，各单位交流发言</w:t>
      </w:r>
      <w:r>
        <w:rPr>
          <w:rFonts w:hint="eastAsia" w:ascii="方正仿宋_GBK" w:hAnsi="方正仿宋_GBK" w:eastAsia="方正仿宋_GBK" w:cs="方正仿宋_GBK"/>
          <w:sz w:val="32"/>
          <w:szCs w:val="32"/>
        </w:rPr>
        <w:t>；开支培训费</w:t>
      </w:r>
      <w:r>
        <w:rPr>
          <w:rFonts w:hint="eastAsia" w:ascii="Nimbus Roman" w:hAnsi="Nimbus Roman" w:eastAsia="方正仿宋_GBK" w:cs="Nimbus Roman"/>
          <w:sz w:val="32"/>
          <w:szCs w:val="32"/>
          <w:lang w:val="en-US" w:eastAsia="zh-CN"/>
        </w:rPr>
        <w:t>3.06</w:t>
      </w:r>
      <w:r>
        <w:rPr>
          <w:rFonts w:hint="eastAsia" w:ascii="方正仿宋_GBK" w:hAnsi="方正仿宋_GBK" w:eastAsia="方正仿宋_GBK" w:cs="方正仿宋_GBK"/>
          <w:sz w:val="32"/>
          <w:szCs w:val="32"/>
        </w:rPr>
        <w:t>万元，用于开展</w:t>
      </w:r>
      <w:r>
        <w:rPr>
          <w:rFonts w:hint="eastAsia" w:ascii="方正仿宋_GBK" w:hAnsi="方正仿宋_GBK" w:eastAsia="方正仿宋_GBK" w:cs="方正仿宋_GBK"/>
          <w:sz w:val="32"/>
          <w:szCs w:val="32"/>
          <w:lang w:eastAsia="zh-CN"/>
        </w:rPr>
        <w:t>新兴领域党支部书记</w:t>
      </w:r>
      <w:r>
        <w:rPr>
          <w:rFonts w:hint="eastAsia" w:ascii="方正仿宋_GBK" w:hAnsi="方正仿宋_GBK" w:eastAsia="方正仿宋_GBK" w:cs="方正仿宋_GBK"/>
          <w:sz w:val="32"/>
          <w:szCs w:val="32"/>
        </w:rPr>
        <w:t>培训，人数</w:t>
      </w:r>
      <w:r>
        <w:rPr>
          <w:rFonts w:hint="eastAsia" w:ascii="Nimbus Roman" w:hAnsi="Nimbus Roman" w:eastAsia="方正仿宋_GBK" w:cs="Nimbus Roman"/>
          <w:sz w:val="32"/>
          <w:szCs w:val="32"/>
          <w:lang w:val="en-US" w:eastAsia="zh-CN"/>
        </w:rPr>
        <w:t>60</w:t>
      </w:r>
      <w:r>
        <w:rPr>
          <w:rFonts w:hint="eastAsia" w:ascii="方正仿宋_GBK" w:hAnsi="方正仿宋_GBK" w:eastAsia="方正仿宋_GBK" w:cs="方正仿宋_GBK"/>
          <w:sz w:val="32"/>
          <w:szCs w:val="32"/>
        </w:rPr>
        <w:t>人，内容为</w:t>
      </w:r>
      <w:r>
        <w:rPr>
          <w:rFonts w:hint="eastAsia" w:ascii="方正仿宋_GBK" w:hAnsi="方正仿宋_GBK" w:eastAsia="方正仿宋_GBK" w:cs="方正仿宋_GBK"/>
          <w:sz w:val="32"/>
          <w:szCs w:val="32"/>
          <w:lang w:eastAsia="zh-CN"/>
        </w:rPr>
        <w:t>党员发展工作程序、党的组织制度业务培训等内容</w:t>
      </w:r>
      <w:r>
        <w:rPr>
          <w:rFonts w:hint="eastAsia" w:ascii="方正仿宋_GBK" w:hAnsi="方正仿宋_GBK" w:eastAsia="方正仿宋_GBK" w:cs="方正仿宋_GBK"/>
          <w:sz w:val="32"/>
          <w:szCs w:val="32"/>
        </w:rPr>
        <w:t>。</w:t>
      </w:r>
    </w:p>
    <w:p w14:paraId="5C8C2CD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十一、关于政府采购支出说明</w:t>
      </w:r>
    </w:p>
    <w:p w14:paraId="0173FF5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本部门</w:t>
      </w:r>
      <w:r>
        <w:rPr>
          <w:rFonts w:hint="eastAsia" w:ascii="Nimbus Roman" w:hAnsi="Nimbus Roman" w:eastAsia="方正仿宋_GBK" w:cs="Nimbus Roman"/>
          <w:sz w:val="32"/>
          <w:szCs w:val="32"/>
        </w:rPr>
        <w:t>202</w:t>
      </w:r>
      <w:r>
        <w:rPr>
          <w:rFonts w:hint="eastAsia" w:ascii="Nimbus Roman" w:hAnsi="Nimbus Roman" w:eastAsia="方正仿宋_GBK" w:cs="Nimbus Roman"/>
          <w:sz w:val="32"/>
          <w:szCs w:val="32"/>
          <w:lang w:val="en-US" w:eastAsia="zh-CN"/>
        </w:rPr>
        <w:t>5</w:t>
      </w:r>
      <w:r>
        <w:rPr>
          <w:rFonts w:hint="eastAsia" w:ascii="方正仿宋_GBK" w:hAnsi="方正仿宋_GBK" w:eastAsia="方正仿宋_GBK" w:cs="方正仿宋_GBK"/>
          <w:sz w:val="32"/>
          <w:szCs w:val="32"/>
        </w:rPr>
        <w:t>年度政府采购支出总额</w:t>
      </w:r>
      <w:r>
        <w:rPr>
          <w:rFonts w:hint="default" w:ascii="Nimbus Roman" w:hAnsi="Nimbus Roman" w:eastAsia="方正仿宋_GBK" w:cs="Nimbus Roman"/>
          <w:sz w:val="32"/>
          <w:szCs w:val="32"/>
          <w:lang w:val="en-US" w:eastAsia="zh-CN"/>
        </w:rPr>
        <w:t>5.5</w:t>
      </w:r>
      <w:r>
        <w:rPr>
          <w:rFonts w:hint="eastAsia" w:ascii="方正仿宋_GBK" w:hAnsi="方正仿宋_GBK" w:eastAsia="方正仿宋_GBK" w:cs="方正仿宋_GBK"/>
          <w:sz w:val="32"/>
          <w:szCs w:val="32"/>
        </w:rPr>
        <w:t>万元，其中：政府采购货物支出</w:t>
      </w:r>
      <w:r>
        <w:rPr>
          <w:rFonts w:hint="default" w:ascii="Nimbus Roman" w:hAnsi="Nimbus Roman" w:eastAsia="方正仿宋_GBK" w:cs="Nimbus Roman"/>
          <w:sz w:val="32"/>
          <w:szCs w:val="32"/>
          <w:lang w:val="en-US" w:eastAsia="zh-CN"/>
        </w:rPr>
        <w:t>1.58</w:t>
      </w:r>
      <w:r>
        <w:rPr>
          <w:rFonts w:hint="eastAsia" w:ascii="方正仿宋_GBK" w:hAnsi="方正仿宋_GBK" w:eastAsia="方正仿宋_GBK" w:cs="方正仿宋_GBK"/>
          <w:sz w:val="32"/>
          <w:szCs w:val="32"/>
        </w:rPr>
        <w:t>万元、政府采购工程支出</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万元、政府采购服务支出</w:t>
      </w:r>
      <w:r>
        <w:rPr>
          <w:rFonts w:hint="eastAsia" w:ascii="Nimbus Roman" w:hAnsi="Nimbus Roman" w:eastAsia="方正仿宋_GBK" w:cs="Nimbus Roman"/>
          <w:sz w:val="32"/>
          <w:szCs w:val="32"/>
          <w:lang w:val="en-US" w:eastAsia="zh-CN"/>
        </w:rPr>
        <w:t>3.91</w:t>
      </w:r>
      <w:r>
        <w:rPr>
          <w:rFonts w:hint="eastAsia" w:ascii="方正仿宋_GBK" w:hAnsi="方正仿宋_GBK" w:eastAsia="方正仿宋_GBK" w:cs="方正仿宋_GBK"/>
          <w:sz w:val="32"/>
          <w:szCs w:val="32"/>
        </w:rPr>
        <w:t>万元。授予中小企业合同金额</w:t>
      </w:r>
      <w:r>
        <w:rPr>
          <w:rFonts w:hint="eastAsia" w:ascii="Nimbus Roman" w:hAnsi="Nimbus Roman" w:eastAsia="方正仿宋_GBK" w:cs="Nimbus Roman"/>
          <w:sz w:val="32"/>
          <w:szCs w:val="32"/>
          <w:lang w:val="en-US" w:eastAsia="zh-CN"/>
        </w:rPr>
        <w:t>5.5</w:t>
      </w:r>
      <w:r>
        <w:rPr>
          <w:rFonts w:hint="eastAsia" w:ascii="方正仿宋_GBK" w:hAnsi="方正仿宋_GBK" w:eastAsia="方正仿宋_GBK" w:cs="方正仿宋_GBK"/>
          <w:sz w:val="32"/>
          <w:szCs w:val="32"/>
        </w:rPr>
        <w:t>万元，占政府采购支出总额的</w:t>
      </w:r>
      <w:r>
        <w:rPr>
          <w:rFonts w:hint="eastAsia" w:ascii="Nimbus Roman" w:hAnsi="Nimbus Roman" w:eastAsia="方正仿宋_GBK" w:cs="Nimbus Roman"/>
          <w:sz w:val="32"/>
          <w:szCs w:val="32"/>
          <w:lang w:val="en-US" w:eastAsia="zh-CN"/>
        </w:rPr>
        <w:t>100%</w:t>
      </w:r>
      <w:r>
        <w:rPr>
          <w:rFonts w:hint="eastAsia" w:ascii="方正仿宋_GBK" w:hAnsi="方正仿宋_GBK" w:eastAsia="方正仿宋_GBK" w:cs="方正仿宋_GBK"/>
          <w:sz w:val="32"/>
          <w:szCs w:val="32"/>
        </w:rPr>
        <w:t>，其中：授予小微企业合同金额</w:t>
      </w:r>
      <w:r>
        <w:rPr>
          <w:rFonts w:hint="eastAsia" w:ascii="Nimbus Roman" w:hAnsi="Nimbus Roman" w:eastAsia="方正仿宋_GBK" w:cs="Nimbus Roman"/>
          <w:sz w:val="32"/>
          <w:szCs w:val="32"/>
          <w:lang w:val="en-US" w:eastAsia="zh-CN"/>
        </w:rPr>
        <w:t>5.5</w:t>
      </w:r>
      <w:r>
        <w:rPr>
          <w:rFonts w:hint="eastAsia" w:ascii="方正仿宋_GBK" w:hAnsi="方正仿宋_GBK" w:eastAsia="方正仿宋_GBK" w:cs="方正仿宋_GBK"/>
          <w:sz w:val="32"/>
          <w:szCs w:val="32"/>
        </w:rPr>
        <w:t>万元，占授予中小企业合同金额的</w:t>
      </w:r>
      <w:r>
        <w:rPr>
          <w:rFonts w:hint="eastAsia" w:ascii="Nimbus Roman" w:hAnsi="Nimbus Roman" w:eastAsia="方正仿宋_GBK" w:cs="Nimbus Roman"/>
          <w:sz w:val="32"/>
          <w:szCs w:val="32"/>
          <w:lang w:val="en-US" w:eastAsia="zh-CN"/>
        </w:rPr>
        <w:t>100%</w:t>
      </w:r>
      <w:r>
        <w:rPr>
          <w:rFonts w:hint="eastAsia" w:ascii="方正仿宋_GBK" w:hAnsi="方正仿宋_GBK" w:eastAsia="方正仿宋_GBK" w:cs="方正仿宋_GBK"/>
          <w:sz w:val="32"/>
          <w:szCs w:val="32"/>
        </w:rPr>
        <w:t>。货物采购授予中小企业合同金额占货物支出金额的</w:t>
      </w:r>
      <w:r>
        <w:rPr>
          <w:rFonts w:hint="eastAsia" w:ascii="Nimbus Roman" w:hAnsi="Nimbus Roman" w:eastAsia="方正仿宋_GBK" w:cs="Nimbus Roman"/>
          <w:sz w:val="32"/>
          <w:szCs w:val="32"/>
          <w:lang w:val="en-US" w:eastAsia="zh-CN"/>
        </w:rPr>
        <w:t>100%</w:t>
      </w:r>
      <w:r>
        <w:rPr>
          <w:rFonts w:hint="eastAsia" w:ascii="方正仿宋_GBK" w:hAnsi="方正仿宋_GBK" w:eastAsia="方正仿宋_GBK" w:cs="方正仿宋_GBK"/>
          <w:sz w:val="32"/>
          <w:szCs w:val="32"/>
        </w:rPr>
        <w:t>，服务采购授予中小企业合同金额占服务支出金额的</w:t>
      </w:r>
      <w:r>
        <w:rPr>
          <w:rFonts w:hint="eastAsia" w:ascii="Nimbus Roman" w:hAnsi="Nimbus Roman" w:eastAsia="方正仿宋_GBK" w:cs="Nimbus Roman"/>
          <w:sz w:val="32"/>
          <w:szCs w:val="32"/>
          <w:lang w:val="en-US" w:eastAsia="zh-CN"/>
        </w:rPr>
        <w:t>100%</w:t>
      </w:r>
      <w:r>
        <w:rPr>
          <w:rFonts w:hint="eastAsia" w:ascii="方正仿宋_GBK" w:hAnsi="方正仿宋_GBK" w:eastAsia="方正仿宋_GBK" w:cs="方正仿宋_GBK"/>
          <w:sz w:val="32"/>
          <w:szCs w:val="32"/>
        </w:rPr>
        <w:t>。</w:t>
      </w:r>
    </w:p>
    <w:p w14:paraId="73BD983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十二、关于国有资产占用情况说明</w:t>
      </w:r>
    </w:p>
    <w:p w14:paraId="3DBBDD2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截至</w:t>
      </w:r>
      <w:r>
        <w:rPr>
          <w:rFonts w:hint="eastAsia" w:ascii="Nimbus Roman" w:hAnsi="Nimbus Roman" w:eastAsia="方正仿宋_GBK" w:cs="Nimbus Roman"/>
          <w:sz w:val="32"/>
          <w:szCs w:val="32"/>
        </w:rPr>
        <w:t>202</w:t>
      </w:r>
      <w:r>
        <w:rPr>
          <w:rFonts w:hint="eastAsia" w:ascii="Nimbus Roman" w:hAnsi="Nimbus Roman" w:eastAsia="方正仿宋_GBK" w:cs="Nimbus Roman"/>
          <w:sz w:val="32"/>
          <w:szCs w:val="32"/>
          <w:lang w:val="en-US" w:eastAsia="zh-CN"/>
        </w:rPr>
        <w:t>5</w:t>
      </w:r>
      <w:r>
        <w:rPr>
          <w:rFonts w:hint="eastAsia" w:ascii="方正仿宋_GBK" w:hAnsi="方正仿宋_GBK" w:eastAsia="方正仿宋_GBK" w:cs="方正仿宋_GBK"/>
          <w:sz w:val="32"/>
          <w:szCs w:val="32"/>
        </w:rPr>
        <w:t>年</w:t>
      </w:r>
      <w:r>
        <w:rPr>
          <w:rFonts w:hint="eastAsia" w:ascii="Nimbus Roman" w:hAnsi="Nimbus Roman" w:eastAsia="方正仿宋_GBK" w:cs="Nimbus Roman"/>
          <w:sz w:val="32"/>
          <w:szCs w:val="32"/>
        </w:rPr>
        <w:t>12</w:t>
      </w:r>
      <w:r>
        <w:rPr>
          <w:rFonts w:hint="eastAsia" w:ascii="方正仿宋_GBK" w:hAnsi="方正仿宋_GBK" w:eastAsia="方正仿宋_GBK" w:cs="方正仿宋_GBK"/>
          <w:sz w:val="32"/>
          <w:szCs w:val="32"/>
        </w:rPr>
        <w:t>月</w:t>
      </w:r>
      <w:r>
        <w:rPr>
          <w:rFonts w:hint="eastAsia" w:ascii="Nimbus Roman" w:hAnsi="Nimbus Roman" w:eastAsia="方正仿宋_GBK" w:cs="Nimbus Roman"/>
          <w:sz w:val="32"/>
          <w:szCs w:val="32"/>
        </w:rPr>
        <w:t>31</w:t>
      </w:r>
      <w:r>
        <w:rPr>
          <w:rFonts w:hint="eastAsia" w:ascii="方正仿宋_GBK" w:hAnsi="方正仿宋_GBK" w:eastAsia="方正仿宋_GBK" w:cs="方正仿宋_GBK"/>
          <w:sz w:val="32"/>
          <w:szCs w:val="32"/>
        </w:rPr>
        <w:t>日，部门（单位）共有车辆</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辆；单位价值</w:t>
      </w:r>
      <w:r>
        <w:rPr>
          <w:rFonts w:hint="eastAsia" w:ascii="Nimbus Roman" w:hAnsi="Nimbus Roman" w:eastAsia="方正仿宋_GBK" w:cs="Nimbus Roman"/>
          <w:sz w:val="32"/>
          <w:szCs w:val="32"/>
        </w:rPr>
        <w:t>100</w:t>
      </w:r>
      <w:r>
        <w:rPr>
          <w:rFonts w:hint="eastAsia" w:ascii="方正仿宋_GBK" w:hAnsi="方正仿宋_GBK" w:eastAsia="方正仿宋_GBK" w:cs="方正仿宋_GBK"/>
          <w:sz w:val="32"/>
          <w:szCs w:val="32"/>
        </w:rPr>
        <w:t>万元以上设备（不含车辆）</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台。</w:t>
      </w:r>
    </w:p>
    <w:p w14:paraId="01BBEA1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十三、关于</w:t>
      </w:r>
      <w:r>
        <w:rPr>
          <w:rFonts w:hint="eastAsia" w:ascii="Nimbus Roman" w:hAnsi="Nimbus Roman" w:eastAsia="方正仿宋_GBK" w:cs="Nimbus Roman"/>
          <w:sz w:val="32"/>
          <w:szCs w:val="32"/>
        </w:rPr>
        <w:t>202</w:t>
      </w:r>
      <w:r>
        <w:rPr>
          <w:rFonts w:hint="eastAsia" w:ascii="Nimbus Roman" w:hAnsi="Nimbus Roman" w:eastAsia="方正仿宋_GBK" w:cs="Nimbus Roman"/>
          <w:sz w:val="32"/>
          <w:szCs w:val="32"/>
          <w:lang w:val="en-US" w:eastAsia="zh-CN"/>
        </w:rPr>
        <w:t>5</w:t>
      </w:r>
      <w:r>
        <w:rPr>
          <w:rFonts w:hint="eastAsia" w:ascii="方正黑体_GBK" w:hAnsi="方正黑体_GBK" w:eastAsia="方正黑体_GBK" w:cs="方正黑体_GBK"/>
          <w:sz w:val="32"/>
          <w:szCs w:val="32"/>
        </w:rPr>
        <w:t>年度预算绩效情况的说明</w:t>
      </w:r>
    </w:p>
    <w:p w14:paraId="675F1C8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（一）绩效评价工作开展情况。</w:t>
      </w:r>
      <w:r>
        <w:rPr>
          <w:rFonts w:hint="eastAsia" w:ascii="方正仿宋_GBK" w:hAnsi="方正仿宋_GBK" w:eastAsia="方正仿宋_GBK" w:cs="方正仿宋_GBK"/>
          <w:sz w:val="32"/>
          <w:szCs w:val="32"/>
        </w:rPr>
        <w:t>一是绩效自评开展情况。组织对</w:t>
      </w:r>
      <w:r>
        <w:rPr>
          <w:rFonts w:hint="eastAsia" w:ascii="Nimbus Roman" w:hAnsi="Nimbus Roman" w:eastAsia="方正仿宋_GBK" w:cs="Nimbus Roman"/>
          <w:sz w:val="32"/>
          <w:szCs w:val="32"/>
        </w:rPr>
        <w:t>202</w:t>
      </w:r>
      <w:r>
        <w:rPr>
          <w:rFonts w:hint="eastAsia" w:ascii="Nimbus Roman" w:hAnsi="Nimbus Roman" w:eastAsia="方正仿宋_GBK" w:cs="Nimbus Roman"/>
          <w:sz w:val="32"/>
          <w:szCs w:val="32"/>
          <w:lang w:val="en-US" w:eastAsia="zh-CN"/>
        </w:rPr>
        <w:t>5</w:t>
      </w:r>
      <w:r>
        <w:rPr>
          <w:rFonts w:hint="eastAsia" w:ascii="方正仿宋_GBK" w:hAnsi="方正仿宋_GBK" w:eastAsia="方正仿宋_GBK" w:cs="方正仿宋_GBK"/>
          <w:sz w:val="32"/>
          <w:szCs w:val="32"/>
        </w:rPr>
        <w:t>年度本部门（单位）整体支出开展绩效自评，涉及项目</w:t>
      </w:r>
      <w:r>
        <w:rPr>
          <w:rFonts w:hint="eastAsia" w:ascii="Nimbus Roman" w:hAnsi="Nimbus Roman" w:eastAsia="方正仿宋_GBK" w:cs="Nimbus Roman"/>
          <w:sz w:val="32"/>
          <w:szCs w:val="32"/>
          <w:lang w:val="en-US" w:eastAsia="zh-CN"/>
        </w:rPr>
        <w:t>5</w:t>
      </w:r>
      <w:r>
        <w:rPr>
          <w:rFonts w:hint="eastAsia" w:ascii="方正仿宋_GBK" w:hAnsi="方正仿宋_GBK" w:eastAsia="方正仿宋_GBK" w:cs="方正仿宋_GBK"/>
          <w:sz w:val="32"/>
          <w:szCs w:val="32"/>
        </w:rPr>
        <w:t>个，共涉及资金</w:t>
      </w:r>
      <w:r>
        <w:rPr>
          <w:rFonts w:hint="eastAsia" w:ascii="Nimbus Roman" w:hAnsi="Nimbus Roman" w:eastAsia="方正仿宋_GBK" w:cs="Nimbus Roman"/>
          <w:sz w:val="32"/>
          <w:szCs w:val="32"/>
          <w:lang w:val="en-US" w:eastAsia="zh-CN"/>
        </w:rPr>
        <w:t>210.26</w:t>
      </w:r>
      <w:r>
        <w:rPr>
          <w:rFonts w:hint="eastAsia" w:ascii="方正仿宋_GBK" w:hAnsi="方正仿宋_GBK" w:eastAsia="方正仿宋_GBK" w:cs="方正仿宋_GBK"/>
          <w:sz w:val="32"/>
          <w:szCs w:val="32"/>
        </w:rPr>
        <w:t>万元。其中，一般公共预算项目</w:t>
      </w:r>
      <w:r>
        <w:rPr>
          <w:rFonts w:hint="default" w:ascii="Nimbus Roman" w:hAnsi="Nimbus Roman" w:eastAsia="方正仿宋_GBK" w:cs="Nimbus Roman"/>
          <w:sz w:val="32"/>
          <w:szCs w:val="32"/>
          <w:lang w:val="en-US" w:eastAsia="zh-CN"/>
        </w:rPr>
        <w:t>5</w:t>
      </w:r>
      <w:r>
        <w:rPr>
          <w:rFonts w:hint="eastAsia" w:ascii="方正仿宋_GBK" w:hAnsi="方正仿宋_GBK" w:eastAsia="方正仿宋_GBK" w:cs="方正仿宋_GBK"/>
          <w:sz w:val="32"/>
          <w:szCs w:val="32"/>
        </w:rPr>
        <w:t>个</w:t>
      </w:r>
      <w:r>
        <w:rPr>
          <w:rFonts w:hint="eastAsia" w:ascii="Nimbus Roman" w:hAnsi="Nimbus Roman" w:eastAsia="方正仿宋_GBK" w:cs="Nimbus Roman"/>
          <w:sz w:val="32"/>
          <w:szCs w:val="32"/>
          <w:lang w:val="en-US" w:eastAsia="zh-CN"/>
        </w:rPr>
        <w:t>65.23</w:t>
      </w:r>
      <w:r>
        <w:rPr>
          <w:rFonts w:hint="eastAsia" w:ascii="方正仿宋_GBK" w:hAnsi="方正仿宋_GBK" w:eastAsia="方正仿宋_GBK" w:cs="方正仿宋_GBK"/>
          <w:sz w:val="32"/>
          <w:szCs w:val="32"/>
        </w:rPr>
        <w:t>万元，占一般公共预算支出总额的</w:t>
      </w:r>
      <w:r>
        <w:rPr>
          <w:rFonts w:hint="eastAsia" w:ascii="Nimbus Roman" w:hAnsi="Nimbus Roman" w:eastAsia="方正仿宋_GBK" w:cs="Nimbus Roman"/>
          <w:sz w:val="32"/>
          <w:szCs w:val="32"/>
          <w:lang w:val="en-US" w:eastAsia="zh-CN"/>
        </w:rPr>
        <w:t>100%</w:t>
      </w:r>
      <w:r>
        <w:rPr>
          <w:rFonts w:hint="eastAsia" w:ascii="方正仿宋_GBK" w:hAnsi="方正仿宋_GBK" w:eastAsia="方正仿宋_GBK" w:cs="方正仿宋_GBK"/>
          <w:sz w:val="32"/>
          <w:szCs w:val="32"/>
        </w:rPr>
        <w:t>；政府性基金预算项目</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个；国有资本经营预算项目</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个；社会保险基金预算项目</w:t>
      </w:r>
      <w:r>
        <w:rPr>
          <w:rFonts w:hint="eastAsia" w:ascii="Nimbus Roman" w:hAnsi="Nimbus Roman" w:eastAsia="方正仿宋_GBK" w:cs="Nimbus Roman"/>
          <w:sz w:val="32"/>
          <w:szCs w:val="32"/>
          <w:lang w:val="en-US" w:eastAsia="zh-CN"/>
        </w:rPr>
        <w:t>0</w:t>
      </w:r>
      <w:r>
        <w:rPr>
          <w:rFonts w:hint="eastAsia" w:ascii="方正仿宋_GBK" w:hAnsi="方正仿宋_GBK" w:eastAsia="方正仿宋_GBK" w:cs="方正仿宋_GBK"/>
          <w:sz w:val="32"/>
          <w:szCs w:val="32"/>
        </w:rPr>
        <w:t>个。</w:t>
      </w:r>
    </w:p>
    <w:p w14:paraId="3C93E211">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default" w:ascii="仿宋_GB2312" w:hAnsi="仿宋_GB2312" w:eastAsia="仿宋_GB2312" w:cs="仿宋_GB2312"/>
          <w:snapToGrid/>
          <w:color w:val="000000"/>
          <w:kern w:val="0"/>
          <w:sz w:val="32"/>
          <w:szCs w:val="32"/>
          <w:lang w:val="en-US" w:eastAsia="zh-CN"/>
        </w:rPr>
      </w:pPr>
      <w:r>
        <w:rPr>
          <w:rFonts w:hint="eastAsia" w:ascii="方正楷体_GBK" w:hAnsi="方正楷体_GBK" w:eastAsia="方正楷体_GBK" w:cs="方正楷体_GBK"/>
          <w:sz w:val="32"/>
          <w:szCs w:val="32"/>
        </w:rPr>
        <w:t>（二）绩效评价结果。</w:t>
      </w:r>
      <w:r>
        <w:rPr>
          <w:rFonts w:hint="eastAsia" w:ascii="方正仿宋_GBK" w:hAnsi="方正仿宋_GBK" w:eastAsia="方正仿宋_GBK" w:cs="方正仿宋_GBK"/>
          <w:sz w:val="32"/>
          <w:szCs w:val="32"/>
        </w:rPr>
        <w:t>一是绩效自评结果。</w:t>
      </w:r>
      <w:r>
        <w:rPr>
          <w:rFonts w:hint="eastAsia" w:ascii="Nimbus Roman" w:hAnsi="Nimbus Roman" w:eastAsia="方正仿宋_GBK" w:cs="Nimbus Roman"/>
          <w:sz w:val="32"/>
          <w:szCs w:val="32"/>
        </w:rPr>
        <w:t>202</w:t>
      </w:r>
      <w:r>
        <w:rPr>
          <w:rFonts w:hint="eastAsia" w:ascii="Nimbus Roman" w:hAnsi="Nimbus Roman" w:eastAsia="方正仿宋_GBK" w:cs="Nimbus Roman"/>
          <w:sz w:val="32"/>
          <w:szCs w:val="32"/>
          <w:lang w:val="en-US" w:eastAsia="zh-CN"/>
        </w:rPr>
        <w:t>5</w:t>
      </w:r>
      <w:r>
        <w:rPr>
          <w:rFonts w:hint="eastAsia" w:ascii="方正仿宋_GBK" w:hAnsi="方正仿宋_GBK" w:eastAsia="方正仿宋_GBK" w:cs="方正仿宋_GBK"/>
          <w:sz w:val="32"/>
          <w:szCs w:val="32"/>
        </w:rPr>
        <w:t>年度本部门（单位）整体支出全年预算数</w:t>
      </w:r>
      <w:r>
        <w:rPr>
          <w:rFonts w:hint="default" w:ascii="Nimbus Roman" w:hAnsi="Nimbus Roman" w:eastAsia="方正仿宋_GBK" w:cs="Nimbus Roman"/>
          <w:sz w:val="32"/>
          <w:szCs w:val="32"/>
          <w:lang w:val="en-US" w:eastAsia="zh-CN"/>
        </w:rPr>
        <w:t>141.86</w:t>
      </w:r>
      <w:r>
        <w:rPr>
          <w:rFonts w:hint="eastAsia" w:ascii="方正仿宋_GBK" w:hAnsi="方正仿宋_GBK" w:eastAsia="方正仿宋_GBK" w:cs="方正仿宋_GBK"/>
          <w:sz w:val="32"/>
          <w:szCs w:val="32"/>
        </w:rPr>
        <w:t>万元，执行数</w:t>
      </w:r>
      <w:r>
        <w:rPr>
          <w:rFonts w:hint="eastAsia" w:ascii="Nimbus Roman" w:hAnsi="Nimbus Roman" w:eastAsia="方正仿宋_GBK" w:cs="Nimbus Roman"/>
          <w:sz w:val="32"/>
          <w:szCs w:val="32"/>
          <w:lang w:val="en-US" w:eastAsia="zh-CN"/>
        </w:rPr>
        <w:t>210.26</w:t>
      </w:r>
      <w:r>
        <w:rPr>
          <w:rFonts w:hint="eastAsia" w:ascii="方正仿宋_GBK" w:hAnsi="方正仿宋_GBK" w:eastAsia="方正仿宋_GBK" w:cs="方正仿宋_GBK"/>
          <w:sz w:val="32"/>
          <w:szCs w:val="32"/>
        </w:rPr>
        <w:t>万元，完成预算的</w:t>
      </w:r>
      <w:r>
        <w:rPr>
          <w:rFonts w:hint="eastAsia" w:ascii="Nimbus Roman" w:hAnsi="Nimbus Roman" w:eastAsia="方正仿宋_GBK" w:cs="Nimbus Roman"/>
          <w:sz w:val="32"/>
          <w:szCs w:val="32"/>
          <w:lang w:val="en-US" w:eastAsia="zh-CN"/>
        </w:rPr>
        <w:t>148.22%</w:t>
      </w:r>
      <w:r>
        <w:rPr>
          <w:rFonts w:hint="eastAsia" w:ascii="方正仿宋_GBK" w:hAnsi="方正仿宋_GBK" w:eastAsia="方正仿宋_GBK" w:cs="方正仿宋_GBK"/>
          <w:sz w:val="32"/>
          <w:szCs w:val="32"/>
        </w:rPr>
        <w:t>，绩效自评得分</w:t>
      </w:r>
      <w:r>
        <w:rPr>
          <w:rFonts w:hint="eastAsia" w:ascii="Nimbus Roman" w:hAnsi="Nimbus Roman" w:eastAsia="方正仿宋_GBK" w:cs="Nimbus Roman"/>
          <w:sz w:val="32"/>
          <w:szCs w:val="32"/>
          <w:lang w:val="en-US" w:eastAsia="zh-CN"/>
        </w:rPr>
        <w:t>95</w:t>
      </w:r>
      <w:r>
        <w:rPr>
          <w:rFonts w:hint="eastAsia" w:ascii="方正仿宋_GBK" w:hAnsi="方正仿宋_GBK" w:eastAsia="方正仿宋_GBK" w:cs="方正仿宋_GBK"/>
          <w:sz w:val="32"/>
          <w:szCs w:val="32"/>
        </w:rPr>
        <w:t>分，评价等级为“</w:t>
      </w:r>
      <w:r>
        <w:rPr>
          <w:rFonts w:hint="eastAsia" w:ascii="方正仿宋_GBK" w:hAnsi="方正仿宋_GBK" w:eastAsia="方正仿宋_GBK" w:cs="方正仿宋_GBK"/>
          <w:sz w:val="32"/>
          <w:szCs w:val="32"/>
          <w:lang w:eastAsia="zh-CN"/>
        </w:rPr>
        <w:t>优秀</w:t>
      </w:r>
      <w:r>
        <w:rPr>
          <w:rFonts w:hint="eastAsia" w:ascii="方正仿宋_GBK" w:hAnsi="方正仿宋_GBK" w:eastAsia="方正仿宋_GBK" w:cs="方正仿宋_GBK"/>
          <w:sz w:val="32"/>
          <w:szCs w:val="32"/>
        </w:rPr>
        <w:t>”。绩效目标完成情况：</w:t>
      </w:r>
      <w:r>
        <w:rPr>
          <w:rFonts w:hint="eastAsia" w:ascii="方正仿宋_GBK" w:hAnsi="方正仿宋_GBK" w:eastAsia="方正仿宋_GBK" w:cs="方正仿宋_GBK"/>
          <w:sz w:val="32"/>
          <w:szCs w:val="32"/>
          <w:lang w:val="en-US" w:eastAsia="zh-CN"/>
        </w:rPr>
        <w:t>整体成效较为显著，基本达成了年度工作计划与目标。在基层治理、社区工作者队伍建设、两企三新党建、热线工单办理和志愿服务等领域取得积极成果，财政资金使用总体安全合规。</w:t>
      </w:r>
      <w:r>
        <w:rPr>
          <w:rFonts w:hint="eastAsia" w:ascii="方正仿宋_GBK" w:hAnsi="方正仿宋_GBK" w:eastAsia="方正仿宋_GBK" w:cs="方正仿宋_GBK"/>
          <w:sz w:val="32"/>
          <w:szCs w:val="32"/>
        </w:rPr>
        <w:t>发现的主要问题及原因：</w:t>
      </w:r>
      <w:r>
        <w:rPr>
          <w:rFonts w:hint="eastAsia" w:ascii="方正仿宋_GBK" w:hAnsi="方正仿宋_GBK" w:eastAsia="方正仿宋_GBK" w:cs="方正仿宋_GBK"/>
          <w:sz w:val="32"/>
          <w:szCs w:val="32"/>
          <w:lang w:val="en-US" w:eastAsia="zh-CN"/>
        </w:rPr>
        <w:t>一是绩效目标评价标准不够精细，缺乏可量化的指标；</w:t>
      </w:r>
      <w:r>
        <w:rPr>
          <w:rFonts w:hint="eastAsia" w:ascii="仿宋_GB2312" w:hAnsi="仿宋_GB2312" w:eastAsia="仿宋_GB2312" w:cs="仿宋_GB2312"/>
          <w:snapToGrid/>
          <w:color w:val="000000"/>
          <w:kern w:val="0"/>
          <w:sz w:val="32"/>
          <w:szCs w:val="32"/>
          <w:lang w:val="en-US" w:eastAsia="zh-CN"/>
        </w:rPr>
        <w:t>二是年初预算不够精准，预算目标设置不够清晰，预算约束力不强，资金使用不规范。原因分析：一是部门预算绩效管理措施不够完善，对绩效管理培训力度不足；二是前期缺乏与各部门的工作对接，在设定绩效目标时，部分项目效果指标缺乏相对应的数据支撑，以致无法衡量项目效果，影响客观评价。</w:t>
      </w:r>
    </w:p>
    <w:p w14:paraId="4177B92E">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下一步改进措施：</w:t>
      </w:r>
      <w:r>
        <w:rPr>
          <w:rFonts w:hint="eastAsia" w:ascii="仿宋_GB2312" w:hAnsi="仿宋_GB2312" w:eastAsia="仿宋_GB2312" w:cs="仿宋_GB2312"/>
          <w:snapToGrid/>
          <w:color w:val="000000"/>
          <w:kern w:val="0"/>
          <w:sz w:val="32"/>
          <w:szCs w:val="32"/>
          <w:lang w:val="en-US" w:eastAsia="zh-CN"/>
        </w:rPr>
        <w:t>一是加强部门预算整体绩效管理培训，提高绩效管理业务人员管理能力、专业素质和思想水平；二是建立科学的资金效益考评制度体系，不断提高资金使用管理水平和效率。</w:t>
      </w:r>
    </w:p>
    <w:p w14:paraId="49BB837F">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评价结果应用情况。</w:t>
      </w:r>
      <w:r>
        <w:rPr>
          <w:rFonts w:hint="eastAsia" w:ascii="方正仿宋_GBK" w:hAnsi="方正仿宋_GBK" w:eastAsia="方正仿宋_GBK" w:cs="方正仿宋_GBK"/>
          <w:sz w:val="32"/>
          <w:szCs w:val="32"/>
        </w:rPr>
        <w:t>请根据</w:t>
      </w:r>
      <w:r>
        <w:rPr>
          <w:rFonts w:hint="eastAsia" w:ascii="Nimbus Roman" w:hAnsi="Nimbus Roman" w:eastAsia="方正仿宋_GBK" w:cs="Nimbus Roman"/>
          <w:sz w:val="32"/>
          <w:szCs w:val="32"/>
        </w:rPr>
        <w:t>202</w:t>
      </w:r>
      <w:r>
        <w:rPr>
          <w:rFonts w:hint="eastAsia" w:ascii="Nimbus Roman" w:hAnsi="Nimbus Roman" w:eastAsia="方正仿宋_GBK" w:cs="Nimbus Roman"/>
          <w:sz w:val="32"/>
          <w:szCs w:val="32"/>
          <w:lang w:val="en-US" w:eastAsia="zh-CN"/>
        </w:rPr>
        <w:t>5</w:t>
      </w:r>
      <w:r>
        <w:rPr>
          <w:rFonts w:hint="eastAsia" w:ascii="方正仿宋_GBK" w:hAnsi="方正仿宋_GBK" w:eastAsia="方正仿宋_GBK" w:cs="方正仿宋_GBK"/>
          <w:sz w:val="32"/>
          <w:szCs w:val="32"/>
        </w:rPr>
        <w:t>年度绩效自评结果、部门评价结果、财政评价结果对本部门</w:t>
      </w: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年度预算安排，支出结构调整，资金管理，制度建设等方面结果运用进行简要说明。</w:t>
      </w:r>
    </w:p>
    <w:p w14:paraId="370A4AB1">
      <w:pPr>
        <w:keepNext w:val="0"/>
        <w:keepLines w:val="0"/>
        <w:pageBreakBefore w:val="0"/>
        <w:widowControl/>
        <w:kinsoku/>
        <w:wordWrap/>
        <w:overflowPunct w:val="0"/>
        <w:topLinePunct w:val="0"/>
        <w:autoSpaceDE w:val="0"/>
        <w:autoSpaceDN w:val="0"/>
        <w:bidi w:val="0"/>
        <w:adjustRightInd w:val="0"/>
        <w:snapToGrid w:val="0"/>
        <w:spacing w:line="560" w:lineRule="exact"/>
        <w:ind w:left="0" w:right="0" w:firstLine="640" w:firstLineChars="200"/>
        <w:jc w:val="both"/>
        <w:textAlignment w:val="baseline"/>
        <w:outlineLvl w:val="1"/>
        <w:rPr>
          <w:rFonts w:hint="default" w:ascii="方正仿宋_GBK" w:hAnsi="方正仿宋_GBK" w:eastAsia="方正仿宋_GBK" w:cs="方正仿宋_GBK"/>
          <w:sz w:val="32"/>
          <w:szCs w:val="32"/>
          <w:lang w:val="en-US" w:eastAsia="zh-CN"/>
        </w:rPr>
      </w:pPr>
      <w:r>
        <w:rPr>
          <w:rFonts w:hint="default"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val="en-US" w:eastAsia="zh-CN"/>
        </w:rPr>
        <w:t>年度我单位整体支出绩效自评情况为优秀，</w:t>
      </w:r>
      <w:r>
        <w:rPr>
          <w:rFonts w:hint="eastAsia" w:ascii="Nimbus Roman" w:hAnsi="Nimbus Roman" w:eastAsia="方正仿宋_GBK" w:cs="Nimbus Roman"/>
          <w:sz w:val="32"/>
          <w:szCs w:val="32"/>
          <w:lang w:val="en-US" w:eastAsia="zh-CN"/>
        </w:rPr>
        <w:t>2025</w:t>
      </w:r>
      <w:r>
        <w:rPr>
          <w:rFonts w:hint="eastAsia" w:ascii="方正仿宋_GBK" w:hAnsi="方正仿宋_GBK" w:eastAsia="方正仿宋_GBK" w:cs="方正仿宋_GBK"/>
          <w:sz w:val="32"/>
          <w:szCs w:val="32"/>
          <w:lang w:val="en-US" w:eastAsia="zh-CN"/>
        </w:rPr>
        <w:t>年初，我单位根据绩效考核要求，成立相关工作小组，细分资金使用情况，对相应考评内容、对象，积极开展自查，明确资金使用方向，让资金使用更加规范化、效率化、合理化。</w:t>
      </w:r>
    </w:p>
    <w:p w14:paraId="15843C00">
      <w:pPr>
        <w:pStyle w:val="2"/>
        <w:numPr>
          <w:ilvl w:val="0"/>
          <w:numId w:val="0"/>
        </w:numPr>
        <w:rPr>
          <w:rFonts w:hint="eastAsia" w:ascii="方正仿宋_GBK" w:hAnsi="方正仿宋_GBK" w:eastAsia="方正仿宋_GBK" w:cs="方正仿宋_GBK"/>
          <w:b w:val="0"/>
          <w:bCs w:val="0"/>
          <w:kern w:val="2"/>
          <w:sz w:val="32"/>
          <w:szCs w:val="32"/>
          <w:lang w:val="en-US" w:eastAsia="zh-CN" w:bidi="ar-SA"/>
        </w:rPr>
      </w:pPr>
    </w:p>
    <w:p w14:paraId="721D4DED">
      <w:pPr>
        <w:pStyle w:val="14"/>
        <w:jc w:val="center"/>
        <w:rPr>
          <w:rFonts w:ascii="Times New Roman" w:hAnsi="Times New Roman" w:cs="Times New Roman"/>
          <w:sz w:val="72"/>
          <w:szCs w:val="72"/>
        </w:rPr>
      </w:pPr>
    </w:p>
    <w:p w14:paraId="2754A215">
      <w:pPr>
        <w:pStyle w:val="14"/>
        <w:jc w:val="center"/>
        <w:rPr>
          <w:rFonts w:ascii="Times New Roman" w:hAnsi="Times New Roman" w:cs="Times New Roman"/>
          <w:sz w:val="72"/>
          <w:szCs w:val="72"/>
        </w:rPr>
      </w:pPr>
    </w:p>
    <w:p w14:paraId="7E12EA9A">
      <w:pP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br w:type="page"/>
      </w:r>
    </w:p>
    <w:p w14:paraId="754DCD72">
      <w:pPr>
        <w:bidi w:val="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第四部分    名词解释</w:t>
      </w:r>
    </w:p>
    <w:p w14:paraId="59D2F28D">
      <w:pPr>
        <w:bidi w:val="0"/>
      </w:pPr>
    </w:p>
    <w:p w14:paraId="28BEB96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1.财政拨款收入：</w:t>
      </w:r>
      <w:r>
        <w:rPr>
          <w:rFonts w:hint="eastAsia" w:ascii="方正仿宋_GBK" w:hAnsi="方正仿宋_GBK" w:eastAsia="方正仿宋_GBK" w:cs="方正仿宋_GBK"/>
          <w:sz w:val="32"/>
          <w:szCs w:val="32"/>
        </w:rPr>
        <w:t>指市级财政当年拨付的资金。</w:t>
      </w:r>
    </w:p>
    <w:p w14:paraId="54EB1B4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2.上级补助收入：</w:t>
      </w:r>
      <w:r>
        <w:rPr>
          <w:rFonts w:hint="eastAsia" w:ascii="方正仿宋_GBK" w:hAnsi="方正仿宋_GBK" w:eastAsia="方正仿宋_GBK" w:cs="方正仿宋_GBK"/>
          <w:sz w:val="32"/>
          <w:szCs w:val="32"/>
        </w:rPr>
        <w:t>指单位从主管部门和上级单位取得的非财政性补助收入。</w:t>
      </w:r>
    </w:p>
    <w:p w14:paraId="32CBB1E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3.事业收入：</w:t>
      </w:r>
      <w:r>
        <w:rPr>
          <w:rFonts w:hint="eastAsia" w:ascii="方正仿宋_GBK" w:hAnsi="方正仿宋_GBK" w:eastAsia="方正仿宋_GBK" w:cs="方正仿宋_GBK"/>
          <w:sz w:val="32"/>
          <w:szCs w:val="32"/>
        </w:rPr>
        <w:t>指事业单位开展专业业务活动及辅助活动所取得的收入。</w:t>
      </w:r>
    </w:p>
    <w:p w14:paraId="00803C4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4.经营收入：</w:t>
      </w:r>
      <w:r>
        <w:rPr>
          <w:rFonts w:hint="eastAsia" w:ascii="方正仿宋_GBK" w:hAnsi="方正仿宋_GBK" w:eastAsia="方正仿宋_GBK" w:cs="方正仿宋_GBK"/>
          <w:sz w:val="32"/>
          <w:szCs w:val="32"/>
        </w:rPr>
        <w:t>指事业单位在专业业务活动及辅助活动之外开展非独立核算经营活动取得的收入。</w:t>
      </w:r>
    </w:p>
    <w:p w14:paraId="326C822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5.附属单位上缴收入：</w:t>
      </w:r>
      <w:r>
        <w:rPr>
          <w:rFonts w:hint="eastAsia" w:ascii="方正仿宋_GBK" w:hAnsi="方正仿宋_GBK" w:eastAsia="方正仿宋_GBK" w:cs="方正仿宋_GBK"/>
          <w:sz w:val="32"/>
          <w:szCs w:val="32"/>
        </w:rPr>
        <w:t>指单位附属的独立核算单位按照上缴的收入。</w:t>
      </w:r>
    </w:p>
    <w:p w14:paraId="3D714F1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6.其他收入：</w:t>
      </w:r>
      <w:r>
        <w:rPr>
          <w:rFonts w:hint="eastAsia" w:ascii="方正仿宋_GBK" w:hAnsi="方正仿宋_GBK" w:eastAsia="方正仿宋_GBK" w:cs="方正仿宋_GBK"/>
          <w:sz w:val="32"/>
          <w:szCs w:val="32"/>
        </w:rPr>
        <w:t>指除上述“财政拨款收入”、“上级补助收入”、“事业收入”、“经营收入”、“附属单位上缴收入”等以外的收入。</w:t>
      </w:r>
    </w:p>
    <w:p w14:paraId="2422A49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7.用事业基金弥补收支差额：</w:t>
      </w:r>
      <w:r>
        <w:rPr>
          <w:rFonts w:hint="eastAsia" w:ascii="方正仿宋_GBK" w:hAnsi="方正仿宋_GBK" w:eastAsia="方正仿宋_GBK" w:cs="方正仿宋_GBK"/>
          <w:sz w:val="32"/>
          <w:szCs w:val="32"/>
        </w:rPr>
        <w:t>指事业单位在当年的“财政拨款收入”、“财政拨款结转和结余资金”、“上级补助收入”、“事业收入”、“经营收入”、“附属单位上缴收入”、“其他收入”不足以安排当年支出情况下，使用以前年度积累的使用基金（事业单位当年收支相抵后按国家规定提取、用于弥补以后年度收支差额的基金）弥补本年度收支缺口的资金。</w:t>
      </w:r>
    </w:p>
    <w:p w14:paraId="4B3ECEC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8.上年结转和结余：</w:t>
      </w:r>
      <w:r>
        <w:rPr>
          <w:rFonts w:hint="eastAsia" w:ascii="方正仿宋_GBK" w:hAnsi="方正仿宋_GBK" w:eastAsia="方正仿宋_GBK" w:cs="方正仿宋_GBK"/>
          <w:sz w:val="32"/>
          <w:szCs w:val="32"/>
        </w:rPr>
        <w:t>指以前年度尚未完成、结转到本年按有关规定继续使用的资金。</w:t>
      </w:r>
    </w:p>
    <w:p w14:paraId="1DF61D5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9.结余分配：</w:t>
      </w:r>
      <w:r>
        <w:rPr>
          <w:rFonts w:hint="eastAsia" w:ascii="方正仿宋_GBK" w:hAnsi="方正仿宋_GBK" w:eastAsia="方正仿宋_GBK" w:cs="方正仿宋_GBK"/>
          <w:sz w:val="32"/>
          <w:szCs w:val="32"/>
        </w:rPr>
        <w:t>指事业单位按规定对非财政补助结余资金提取的职工福利基金、事业基金和缴纳的所得税，以及减少单位按规定应缴回的基本建设竣工项目结余资金。</w:t>
      </w:r>
    </w:p>
    <w:p w14:paraId="77D2943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10.年末结转和结余资金：</w:t>
      </w:r>
      <w:r>
        <w:rPr>
          <w:rFonts w:hint="eastAsia" w:ascii="方正仿宋_GBK" w:hAnsi="方正仿宋_GBK" w:eastAsia="方正仿宋_GBK" w:cs="方正仿宋_GBK"/>
          <w:sz w:val="32"/>
          <w:szCs w:val="32"/>
        </w:rPr>
        <w:t>指本年度或以前年度预算安排、因客观条件发生变化无法按原计划实施，需要延迟到以后年度按有关规定继续使用的资金。</w:t>
      </w:r>
    </w:p>
    <w:p w14:paraId="39BFF0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11.基本支出：</w:t>
      </w:r>
      <w:r>
        <w:rPr>
          <w:rFonts w:hint="eastAsia" w:ascii="方正仿宋_GBK" w:hAnsi="方正仿宋_GBK" w:eastAsia="方正仿宋_GBK" w:cs="方正仿宋_GBK"/>
          <w:sz w:val="32"/>
          <w:szCs w:val="32"/>
        </w:rPr>
        <w:t>指保障机构正常运转、完成支日常工作任务而发生的人员支出和公用支出。</w:t>
      </w:r>
    </w:p>
    <w:p w14:paraId="38C645A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12.项目支出：</w:t>
      </w:r>
      <w:r>
        <w:rPr>
          <w:rFonts w:hint="eastAsia" w:ascii="方正仿宋_GBK" w:hAnsi="方正仿宋_GBK" w:eastAsia="方正仿宋_GBK" w:cs="方正仿宋_GBK"/>
          <w:sz w:val="32"/>
          <w:szCs w:val="32"/>
        </w:rPr>
        <w:t>指在基本支出之外为完成特定行政任务和事业发展目标所发生的支出。</w:t>
      </w:r>
    </w:p>
    <w:p w14:paraId="59EDE9E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13.经营支出：</w:t>
      </w:r>
      <w:r>
        <w:rPr>
          <w:rFonts w:hint="eastAsia" w:ascii="方正仿宋_GBK" w:hAnsi="方正仿宋_GBK" w:eastAsia="方正仿宋_GBK" w:cs="方正仿宋_GBK"/>
          <w:sz w:val="32"/>
          <w:szCs w:val="32"/>
        </w:rPr>
        <w:t>指事业单位在专业业务活动及其辅助活动之外开展非独立核算经营活动发生的支出。</w:t>
      </w:r>
    </w:p>
    <w:p w14:paraId="4638D7A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14、上缴上级支出：</w:t>
      </w:r>
      <w:r>
        <w:rPr>
          <w:rFonts w:hint="eastAsia" w:ascii="方正仿宋_GBK" w:hAnsi="方正仿宋_GBK" w:eastAsia="方正仿宋_GBK" w:cs="方正仿宋_GBK"/>
          <w:sz w:val="32"/>
          <w:szCs w:val="32"/>
        </w:rPr>
        <w:t>指事业单位按照财政部门和主管部门的规定上缴上级单位的支出。（可结合部门实际支出情况举例说明）</w:t>
      </w:r>
    </w:p>
    <w:p w14:paraId="15E80FD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15、对附属单位补助支出：</w:t>
      </w:r>
      <w:r>
        <w:rPr>
          <w:rFonts w:hint="eastAsia" w:ascii="方正仿宋_GBK" w:hAnsi="方正仿宋_GBK" w:eastAsia="方正仿宋_GBK" w:cs="方正仿宋_GBK"/>
          <w:sz w:val="32"/>
          <w:szCs w:val="32"/>
        </w:rPr>
        <w:t>指事业单位用财政补助收入之外的收入对附属单位补助发生的支出</w:t>
      </w:r>
    </w:p>
    <w:p w14:paraId="14BAF04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16.“三公”经费：</w:t>
      </w:r>
      <w:r>
        <w:rPr>
          <w:rFonts w:hint="eastAsia" w:ascii="方正仿宋_GBK" w:hAnsi="方正仿宋_GBK" w:eastAsia="方正仿宋_GBK" w:cs="方正仿宋_GBK"/>
          <w:sz w:val="32"/>
          <w:szCs w:val="32"/>
        </w:rPr>
        <w:t>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09EAB1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17.机关运行经费：</w:t>
      </w:r>
      <w:r>
        <w:rPr>
          <w:rFonts w:hint="eastAsia" w:ascii="方正仿宋_GBK" w:hAnsi="方正仿宋_GBK" w:eastAsia="方正仿宋_GBK" w:cs="方正仿宋_GBK"/>
          <w:sz w:val="32"/>
          <w:szCs w:val="32"/>
        </w:rPr>
        <w:t>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6FA58A2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b/>
          <w:bCs/>
          <w:sz w:val="32"/>
          <w:szCs w:val="32"/>
        </w:rPr>
        <w:t>18.政府采购：</w:t>
      </w:r>
      <w:r>
        <w:rPr>
          <w:rFonts w:hint="eastAsia" w:ascii="方正仿宋_GBK" w:hAnsi="方正仿宋_GBK" w:eastAsia="方正仿宋_GBK" w:cs="方正仿宋_GBK"/>
          <w:sz w:val="32"/>
          <w:szCs w:val="32"/>
        </w:rPr>
        <w:t>就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r>
        <w:rPr>
          <w:rFonts w:hint="eastAsia" w:ascii="方正仿宋_GBK" w:hAnsi="方正仿宋_GBK" w:eastAsia="方正仿宋_GBK" w:cs="方正仿宋_GBK"/>
          <w:sz w:val="32"/>
          <w:szCs w:val="32"/>
          <w:lang w:eastAsia="zh-CN"/>
        </w:rPr>
        <w:t>。</w:t>
      </w:r>
    </w:p>
    <w:p w14:paraId="5B854E5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p>
    <w:p w14:paraId="3ACF127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p>
    <w:p w14:paraId="0414581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p>
    <w:p w14:paraId="0AD34F1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p>
    <w:p w14:paraId="1229DD4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p>
    <w:p w14:paraId="3675D87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p>
    <w:p w14:paraId="5B14D81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br w:type="page"/>
      </w:r>
    </w:p>
    <w:p w14:paraId="23BF6544">
      <w:pPr>
        <w:bidi w:val="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第五部分   附 件</w:t>
      </w:r>
    </w:p>
    <w:p w14:paraId="52DF4840">
      <w:pPr>
        <w:bidi w:val="0"/>
      </w:pPr>
    </w:p>
    <w:p w14:paraId="075C5A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w:t>
      </w:r>
      <w:r>
        <w:rPr>
          <w:rFonts w:hint="eastAsia" w:ascii="Nimbus Roman" w:hAnsi="Nimbus Roman" w:eastAsia="方正仿宋_GBK" w:cs="Nimbus Roman"/>
          <w:sz w:val="32"/>
          <w:szCs w:val="32"/>
        </w:rPr>
        <w:t>202</w:t>
      </w:r>
      <w:r>
        <w:rPr>
          <w:rFonts w:hint="eastAsia" w:ascii="Nimbus Roman" w:hAnsi="Nimbus Roman" w:eastAsia="方正仿宋_GBK" w:cs="Nimbus Roman"/>
          <w:sz w:val="32"/>
          <w:szCs w:val="32"/>
          <w:lang w:val="en-US" w:eastAsia="zh-CN"/>
        </w:rPr>
        <w:t>5</w:t>
      </w:r>
      <w:r>
        <w:rPr>
          <w:rFonts w:hint="eastAsia" w:ascii="方正黑体_GBK" w:hAnsi="方正黑体_GBK" w:eastAsia="方正黑体_GBK" w:cs="方正黑体_GBK"/>
          <w:sz w:val="32"/>
          <w:szCs w:val="32"/>
        </w:rPr>
        <w:t>年度部门(单位)整体支出绩效自评报告。</w:t>
      </w:r>
    </w:p>
    <w:p w14:paraId="3C643B9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（一）基本情况</w:t>
      </w:r>
    </w:p>
    <w:p w14:paraId="4BCA759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b/>
          <w:bCs/>
          <w:sz w:val="32"/>
          <w:szCs w:val="32"/>
        </w:rPr>
      </w:pPr>
      <w:r>
        <w:rPr>
          <w:rFonts w:hint="eastAsia" w:ascii="Nimbus Roman" w:hAnsi="Nimbus Roman" w:eastAsia="方正仿宋_GBK" w:cs="Nimbus Roman"/>
          <w:sz w:val="32"/>
          <w:szCs w:val="32"/>
          <w:lang w:val="en-US" w:eastAsia="zh-CN"/>
        </w:rPr>
        <w:t>1.</w:t>
      </w:r>
      <w:r>
        <w:rPr>
          <w:rFonts w:hint="eastAsia" w:ascii="方正仿宋_GBK" w:hAnsi="方正仿宋_GBK" w:eastAsia="方正仿宋_GBK" w:cs="方正仿宋_GBK"/>
          <w:b/>
          <w:bCs/>
          <w:sz w:val="32"/>
          <w:szCs w:val="32"/>
        </w:rPr>
        <w:t>部门（单位）基本情况</w:t>
      </w:r>
    </w:p>
    <w:p w14:paraId="5D78D0C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w:t>
      </w:r>
      <w:r>
        <w:rPr>
          <w:rFonts w:hint="eastAsia" w:ascii="Nimbus Roman" w:hAnsi="Nimbus Roman" w:eastAsia="方正仿宋_GBK" w:cs="Nimbus Roman"/>
          <w:sz w:val="32"/>
          <w:szCs w:val="32"/>
          <w:lang w:val="en-US" w:eastAsia="zh-CN"/>
        </w:rPr>
        <w:t>1</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主要职能</w:t>
      </w:r>
    </w:p>
    <w:p w14:paraId="26B2AD1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一是</w:t>
      </w:r>
      <w:r>
        <w:rPr>
          <w:rFonts w:hint="eastAsia" w:ascii="方正仿宋_GBK" w:hAnsi="方正仿宋_GBK" w:eastAsia="方正仿宋_GBK" w:cs="方正仿宋_GBK"/>
          <w:sz w:val="32"/>
          <w:szCs w:val="32"/>
        </w:rPr>
        <w:t>研究相关理论、政策和规划，参与拟定相关规范性文件并组织实施。深入调查研究，及时向县委报告工作情况并提出建议。接受市委社会工作部领导、指导并报告有关工作。</w:t>
      </w:r>
    </w:p>
    <w:p w14:paraId="559BCAC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二是</w:t>
      </w:r>
      <w:r>
        <w:rPr>
          <w:rFonts w:hint="eastAsia" w:ascii="方正仿宋_GBK" w:hAnsi="方正仿宋_GBK" w:eastAsia="方正仿宋_GBK" w:cs="方正仿宋_GBK"/>
          <w:sz w:val="32"/>
          <w:szCs w:val="32"/>
        </w:rPr>
        <w:t>统筹指导群众利益协调、诉求表达、矛盾调处、权益保障等人民信访工作，协调解决人民群众急难愁盼的重大问题。指导人民建议征集工作，负责征集、办理公民、法人和其他组织提出的意见建议，向县委、县人民政府及时反映公民、法人和其他组织提出的有关重要意见建议。指导、规范和监督全县民意反映渠道的运行管理工作。</w:t>
      </w:r>
    </w:p>
    <w:p w14:paraId="203FBA5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三是</w:t>
      </w:r>
      <w:r>
        <w:rPr>
          <w:rFonts w:hint="eastAsia" w:ascii="方正仿宋_GBK" w:hAnsi="方正仿宋_GBK" w:eastAsia="方正仿宋_GBK" w:cs="方正仿宋_GBK"/>
          <w:sz w:val="32"/>
          <w:szCs w:val="32"/>
        </w:rPr>
        <w:t>统筹推进党建引领基层治理和基层政权建设，协调推进城乡社区治理体系和治理能力建设，推动基层民主政治建设，指导监督基层群众自治制度的有效实施，健全基层群众自制机制。</w:t>
      </w:r>
    </w:p>
    <w:p w14:paraId="2F43935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四是</w:t>
      </w:r>
      <w:r>
        <w:rPr>
          <w:rFonts w:hint="eastAsia" w:ascii="方正仿宋_GBK" w:hAnsi="方正仿宋_GBK" w:eastAsia="方正仿宋_GBK" w:cs="方正仿宋_GBK"/>
          <w:sz w:val="32"/>
          <w:szCs w:val="32"/>
        </w:rPr>
        <w:t>指导混合所有制企业、非公有制企业和新经济组织、新社会组织、新就业群体党建工作，指导协调相关企业单位、社会组织、就业群体中党员的教育、管理、监督和服务工作，研究完善相关领域群众利益协调机制。</w:t>
      </w:r>
    </w:p>
    <w:p w14:paraId="77B6E9E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五是</w:t>
      </w:r>
      <w:r>
        <w:rPr>
          <w:rFonts w:hint="eastAsia" w:ascii="方正仿宋_GBK" w:hAnsi="方正仿宋_GBK" w:eastAsia="方正仿宋_GBK" w:cs="方正仿宋_GBK"/>
          <w:sz w:val="32"/>
          <w:szCs w:val="32"/>
        </w:rPr>
        <w:t>指导全县性社会组织党建工作，统一领导全县行业协会商会党的工作，协调推动行业协会商会深化改革和转型发展。</w:t>
      </w:r>
    </w:p>
    <w:p w14:paraId="6667846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六是</w:t>
      </w:r>
      <w:r>
        <w:rPr>
          <w:rFonts w:hint="eastAsia" w:ascii="方正仿宋_GBK" w:hAnsi="方正仿宋_GBK" w:eastAsia="方正仿宋_GBK" w:cs="方正仿宋_GBK"/>
          <w:sz w:val="32"/>
          <w:szCs w:val="32"/>
        </w:rPr>
        <w:t>负责全县志愿服务工作的统筹规划、协调指导、督促检查。指导社会工作人才队伍建设。</w:t>
      </w:r>
    </w:p>
    <w:p w14:paraId="54776AD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w:t>
      </w:r>
      <w:r>
        <w:rPr>
          <w:rFonts w:hint="eastAsia" w:ascii="Nimbus Roman" w:hAnsi="Nimbus Roman" w:eastAsia="方正仿宋_GBK" w:cs="Nimbus Roman"/>
          <w:sz w:val="32"/>
          <w:szCs w:val="32"/>
          <w:lang w:val="en-US" w:eastAsia="zh-CN"/>
        </w:rPr>
        <w:t>2</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机构情况</w:t>
      </w:r>
    </w:p>
    <w:p w14:paraId="1EFEA0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default"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年度中共会同县委社会工作部独立编制机构为</w:t>
      </w:r>
      <w:r>
        <w:rPr>
          <w:rFonts w:hint="eastAsia" w:ascii="Nimbus Roman" w:hAnsi="Nimbus Roman" w:eastAsia="方正仿宋_GBK" w:cs="Nimbus Roman"/>
          <w:sz w:val="32"/>
          <w:szCs w:val="32"/>
        </w:rPr>
        <w:t>1</w:t>
      </w:r>
      <w:r>
        <w:rPr>
          <w:rFonts w:hint="eastAsia" w:ascii="方正仿宋_GBK" w:hAnsi="方正仿宋_GBK" w:eastAsia="方正仿宋_GBK" w:cs="方正仿宋_GBK"/>
          <w:sz w:val="32"/>
          <w:szCs w:val="32"/>
        </w:rPr>
        <w:t>个，独立核算机构为</w:t>
      </w:r>
      <w:r>
        <w:rPr>
          <w:rFonts w:hint="eastAsia" w:ascii="Nimbus Roman" w:hAnsi="Nimbus Roman" w:eastAsia="方正仿宋_GBK" w:cs="Nimbus Roman"/>
          <w:sz w:val="32"/>
          <w:szCs w:val="32"/>
        </w:rPr>
        <w:t>1</w:t>
      </w:r>
      <w:r>
        <w:rPr>
          <w:rFonts w:hint="eastAsia" w:ascii="方正仿宋_GBK" w:hAnsi="方正仿宋_GBK" w:eastAsia="方正仿宋_GBK" w:cs="方正仿宋_GBK"/>
          <w:sz w:val="32"/>
          <w:szCs w:val="32"/>
        </w:rPr>
        <w:t>个，与</w:t>
      </w:r>
      <w:r>
        <w:rPr>
          <w:rFonts w:hint="eastAsia" w:ascii="Nimbus Roman" w:hAnsi="Nimbus Roman" w:eastAsia="方正仿宋_GBK" w:cs="Nimbus Roman"/>
          <w:sz w:val="32"/>
          <w:szCs w:val="32"/>
        </w:rPr>
        <w:t>2024</w:t>
      </w:r>
      <w:r>
        <w:rPr>
          <w:rFonts w:hint="eastAsia" w:ascii="方正仿宋_GBK" w:hAnsi="方正仿宋_GBK" w:eastAsia="方正仿宋_GBK" w:cs="方正仿宋_GBK"/>
          <w:sz w:val="32"/>
          <w:szCs w:val="32"/>
        </w:rPr>
        <w:t>年度相比无变动。</w:t>
      </w:r>
    </w:p>
    <w:p w14:paraId="5ED4181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w:t>
      </w:r>
      <w:r>
        <w:rPr>
          <w:rFonts w:hint="eastAsia" w:ascii="Nimbus Roman" w:hAnsi="Nimbus Roman" w:eastAsia="方正仿宋_GBK" w:cs="Nimbus Roman"/>
          <w:sz w:val="32"/>
          <w:szCs w:val="32"/>
          <w:lang w:val="en-US" w:eastAsia="zh-CN"/>
        </w:rPr>
        <w:t>3</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人员情况</w:t>
      </w:r>
    </w:p>
    <w:p w14:paraId="11AA6FF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年度年末实有人数</w:t>
      </w:r>
      <w:r>
        <w:rPr>
          <w:rFonts w:hint="eastAsia" w:ascii="Nimbus Roman" w:hAnsi="Nimbus Roman" w:eastAsia="方正仿宋_GBK" w:cs="Nimbus Roman"/>
          <w:sz w:val="32"/>
          <w:szCs w:val="32"/>
        </w:rPr>
        <w:t>9</w:t>
      </w:r>
      <w:r>
        <w:rPr>
          <w:rFonts w:hint="eastAsia" w:ascii="方正仿宋_GBK" w:hAnsi="方正仿宋_GBK" w:eastAsia="方正仿宋_GBK" w:cs="方正仿宋_GBK"/>
          <w:sz w:val="32"/>
          <w:szCs w:val="32"/>
        </w:rPr>
        <w:t>人，其中行政人员</w:t>
      </w:r>
      <w:r>
        <w:rPr>
          <w:rFonts w:hint="eastAsia" w:ascii="Nimbus Roman" w:hAnsi="Nimbus Roman" w:eastAsia="方正仿宋_GBK" w:cs="Nimbus Roman"/>
          <w:sz w:val="32"/>
          <w:szCs w:val="32"/>
        </w:rPr>
        <w:t>6</w:t>
      </w:r>
      <w:r>
        <w:rPr>
          <w:rFonts w:hint="eastAsia" w:ascii="方正仿宋_GBK" w:hAnsi="方正仿宋_GBK" w:eastAsia="方正仿宋_GBK" w:cs="方正仿宋_GBK"/>
          <w:sz w:val="32"/>
          <w:szCs w:val="32"/>
        </w:rPr>
        <w:t>人，事业管理人员</w:t>
      </w:r>
      <w:r>
        <w:rPr>
          <w:rFonts w:hint="eastAsia" w:ascii="Nimbus Roman" w:hAnsi="Nimbus Roman" w:eastAsia="方正仿宋_GBK" w:cs="Nimbus Roman"/>
          <w:sz w:val="32"/>
          <w:szCs w:val="32"/>
        </w:rPr>
        <w:t>3</w:t>
      </w:r>
      <w:r>
        <w:rPr>
          <w:rFonts w:hint="eastAsia" w:ascii="方正仿宋_GBK" w:hAnsi="方正仿宋_GBK" w:eastAsia="方正仿宋_GBK" w:cs="方正仿宋_GBK"/>
          <w:sz w:val="32"/>
          <w:szCs w:val="32"/>
        </w:rPr>
        <w:t>人，与</w:t>
      </w:r>
      <w:r>
        <w:rPr>
          <w:rFonts w:hint="eastAsia" w:ascii="Nimbus Roman" w:hAnsi="Nimbus Roman" w:eastAsia="方正仿宋_GBK" w:cs="Nimbus Roman"/>
          <w:sz w:val="32"/>
          <w:szCs w:val="32"/>
        </w:rPr>
        <w:t>2024</w:t>
      </w:r>
      <w:r>
        <w:rPr>
          <w:rFonts w:hint="eastAsia" w:ascii="方正仿宋_GBK" w:hAnsi="方正仿宋_GBK" w:eastAsia="方正仿宋_GBK" w:cs="方正仿宋_GBK"/>
          <w:sz w:val="32"/>
          <w:szCs w:val="32"/>
        </w:rPr>
        <w:t>年度相比无变动。</w:t>
      </w:r>
    </w:p>
    <w:p w14:paraId="4949A0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b/>
          <w:bCs/>
          <w:sz w:val="32"/>
          <w:szCs w:val="32"/>
        </w:rPr>
      </w:pPr>
      <w:r>
        <w:rPr>
          <w:rFonts w:hint="eastAsia" w:ascii="Nimbus Roman" w:hAnsi="Nimbus Roman" w:eastAsia="方正仿宋_GBK" w:cs="Nimbus Roman"/>
          <w:sz w:val="32"/>
          <w:szCs w:val="32"/>
          <w:lang w:val="en-US" w:eastAsia="zh-CN"/>
        </w:rPr>
        <w:t>2</w:t>
      </w:r>
      <w:r>
        <w:rPr>
          <w:rFonts w:hint="eastAsia" w:ascii="方正仿宋_GBK" w:hAnsi="方正仿宋_GBK" w:eastAsia="方正仿宋_GBK" w:cs="方正仿宋_GBK"/>
          <w:b/>
          <w:bCs/>
          <w:sz w:val="32"/>
          <w:szCs w:val="32"/>
          <w:lang w:val="en-US" w:eastAsia="zh-CN"/>
        </w:rPr>
        <w:t>.</w:t>
      </w:r>
      <w:r>
        <w:rPr>
          <w:rFonts w:hint="eastAsia" w:ascii="方正仿宋_GBK" w:hAnsi="方正仿宋_GBK" w:eastAsia="方正仿宋_GBK" w:cs="方正仿宋_GBK"/>
          <w:b/>
          <w:bCs/>
          <w:sz w:val="32"/>
          <w:szCs w:val="32"/>
        </w:rPr>
        <w:t>部门（单位）年度整体支出绩效目标，本级专项资金绩效目标、其他项目支出（除本级专项资金以外）绩效目标</w:t>
      </w:r>
    </w:p>
    <w:p w14:paraId="2970E7C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w:t>
      </w:r>
      <w:r>
        <w:rPr>
          <w:rFonts w:hint="eastAsia" w:ascii="Nimbus Roman" w:hAnsi="Nimbus Roman" w:eastAsia="方正仿宋_GBK" w:cs="Nimbus Roman"/>
          <w:sz w:val="32"/>
          <w:szCs w:val="32"/>
          <w:lang w:val="en-US" w:eastAsia="zh-CN"/>
        </w:rPr>
        <w:t>1</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整体支出绩效目标</w:t>
      </w:r>
    </w:p>
    <w:p w14:paraId="7AA0E38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一是保障单位正常运转；二是引导全县志愿者服务队伍有序开展志愿服务活动；三是做好社区工作人才队伍建设工作；四是保证</w:t>
      </w:r>
      <w:r>
        <w:rPr>
          <w:rFonts w:hint="eastAsia" w:ascii="Nimbus Roman" w:hAnsi="Nimbus Roman" w:eastAsia="方正仿宋_GBK" w:cs="Nimbus Roman"/>
          <w:sz w:val="32"/>
          <w:szCs w:val="32"/>
        </w:rPr>
        <w:t>12345</w:t>
      </w:r>
      <w:r>
        <w:rPr>
          <w:rFonts w:hint="eastAsia" w:ascii="方正仿宋_GBK" w:hAnsi="方正仿宋_GBK" w:eastAsia="方正仿宋_GBK" w:cs="方正仿宋_GBK"/>
          <w:sz w:val="32"/>
          <w:szCs w:val="32"/>
        </w:rPr>
        <w:t>热线正常运转。</w:t>
      </w:r>
    </w:p>
    <w:p w14:paraId="63B1252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w:t>
      </w:r>
      <w:r>
        <w:rPr>
          <w:rFonts w:hint="eastAsia" w:ascii="Nimbus Roman" w:hAnsi="Nimbus Roman" w:eastAsia="方正仿宋_GBK" w:cs="Nimbus Roman"/>
          <w:sz w:val="32"/>
          <w:szCs w:val="32"/>
          <w:lang w:val="en-US" w:eastAsia="zh-CN"/>
        </w:rPr>
        <w:t>2</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本级专项资金绩效目标</w:t>
      </w:r>
    </w:p>
    <w:p w14:paraId="308E0F48">
      <w:pPr>
        <w:keepNext w:val="0"/>
        <w:keepLines w:val="0"/>
        <w:pageBreakBefore w:val="0"/>
        <w:widowControl w:val="0"/>
        <w:numPr>
          <w:ilvl w:val="0"/>
          <w:numId w:val="2"/>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12345</w:t>
      </w:r>
      <w:r>
        <w:rPr>
          <w:rFonts w:hint="eastAsia" w:ascii="方正仿宋_GBK" w:hAnsi="方正仿宋_GBK" w:eastAsia="方正仿宋_GBK" w:cs="方正仿宋_GBK"/>
          <w:sz w:val="32"/>
          <w:szCs w:val="32"/>
        </w:rPr>
        <w:t>网络租赁及专家授课费</w:t>
      </w:r>
    </w:p>
    <w:p w14:paraId="7B682BF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按照租赁协议约定支付线路网络租赁费，保障办公室办公网络正常运转，加强</w:t>
      </w:r>
      <w:r>
        <w:rPr>
          <w:rFonts w:hint="eastAsia" w:ascii="Nimbus Roman" w:hAnsi="Nimbus Roman" w:eastAsia="方正仿宋_GBK" w:cs="Nimbus Roman"/>
          <w:sz w:val="32"/>
          <w:szCs w:val="32"/>
        </w:rPr>
        <w:t>12345</w:t>
      </w:r>
      <w:r>
        <w:rPr>
          <w:rFonts w:hint="eastAsia" w:ascii="方正仿宋_GBK" w:hAnsi="方正仿宋_GBK" w:eastAsia="方正仿宋_GBK" w:cs="方正仿宋_GBK"/>
          <w:sz w:val="32"/>
          <w:szCs w:val="32"/>
        </w:rPr>
        <w:t>热线工作人员培训力度，提升工作效率及工作满意度。</w:t>
      </w:r>
    </w:p>
    <w:p w14:paraId="17860D99">
      <w:pPr>
        <w:keepNext w:val="0"/>
        <w:keepLines w:val="0"/>
        <w:pageBreakBefore w:val="0"/>
        <w:widowControl w:val="0"/>
        <w:numPr>
          <w:ilvl w:val="0"/>
          <w:numId w:val="2"/>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志愿者服务引导资金</w:t>
      </w:r>
    </w:p>
    <w:p w14:paraId="360A6B6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建立健全志愿服务体系，引导全县志愿服务组织积极开展多样化志愿者服务活动，不断提升群众获得感、幸福感，进一步提高全社会文明程度。</w:t>
      </w:r>
    </w:p>
    <w:p w14:paraId="5679C135">
      <w:pPr>
        <w:keepNext w:val="0"/>
        <w:keepLines w:val="0"/>
        <w:pageBreakBefore w:val="0"/>
        <w:widowControl w:val="0"/>
        <w:numPr>
          <w:ilvl w:val="0"/>
          <w:numId w:val="2"/>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志愿者协会运转经费</w:t>
      </w:r>
    </w:p>
    <w:p w14:paraId="1A3C0F7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重点人群教育、医疗、住房得以改善，基本生活保障机制得以落实，未成年人生存、保护、发展得以提升。</w:t>
      </w:r>
    </w:p>
    <w:p w14:paraId="138A800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w:t>
      </w:r>
      <w:r>
        <w:rPr>
          <w:rFonts w:hint="eastAsia" w:ascii="Nimbus Roman" w:hAnsi="Nimbus Roman" w:eastAsia="方正仿宋_GBK" w:cs="Nimbus Roman"/>
          <w:sz w:val="32"/>
          <w:szCs w:val="32"/>
          <w:lang w:val="en-US" w:eastAsia="zh-CN"/>
        </w:rPr>
        <w:t>3</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其他项目支出绩效目标</w:t>
      </w:r>
    </w:p>
    <w:p w14:paraId="5FA2D999">
      <w:pPr>
        <w:keepNext w:val="0"/>
        <w:keepLines w:val="0"/>
        <w:pageBreakBefore w:val="0"/>
        <w:widowControl w:val="0"/>
        <w:numPr>
          <w:ilvl w:val="0"/>
          <w:numId w:val="3"/>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社区专职工作人员招聘经费</w:t>
      </w:r>
    </w:p>
    <w:p w14:paraId="659BB3A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按照上级工作要求每万城镇常住人口配备</w:t>
      </w:r>
      <w:r>
        <w:rPr>
          <w:rFonts w:hint="eastAsia" w:ascii="Nimbus Roman" w:hAnsi="Nimbus Roman" w:eastAsia="方正仿宋_GBK" w:cs="Nimbus Roman"/>
          <w:sz w:val="32"/>
          <w:szCs w:val="32"/>
        </w:rPr>
        <w:t>18</w:t>
      </w:r>
      <w:r>
        <w:rPr>
          <w:rFonts w:hint="eastAsia" w:ascii="方正仿宋_GBK" w:hAnsi="方正仿宋_GBK" w:eastAsia="方正仿宋_GBK" w:cs="方正仿宋_GBK"/>
          <w:sz w:val="32"/>
          <w:szCs w:val="32"/>
        </w:rPr>
        <w:t>名社区工作者，于</w:t>
      </w: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年年底完成社区专职工作人员招聘工作。</w:t>
      </w:r>
    </w:p>
    <w:p w14:paraId="0164DA0C">
      <w:pPr>
        <w:keepNext w:val="0"/>
        <w:keepLines w:val="0"/>
        <w:pageBreakBefore w:val="0"/>
        <w:widowControl w:val="0"/>
        <w:numPr>
          <w:ilvl w:val="0"/>
          <w:numId w:val="3"/>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两新党建工作经费</w:t>
      </w:r>
    </w:p>
    <w:p w14:paraId="665515D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保障我县两新党支部及党支部书记开展日常党建活动，完善档案管理，保障其正常运转。</w:t>
      </w:r>
    </w:p>
    <w:p w14:paraId="17E3141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（二）</w:t>
      </w:r>
      <w:r>
        <w:rPr>
          <w:rFonts w:hint="eastAsia" w:ascii="方正楷体_GBK" w:hAnsi="方正楷体_GBK" w:eastAsia="方正楷体_GBK" w:cs="方正楷体_GBK"/>
          <w:sz w:val="32"/>
          <w:szCs w:val="32"/>
        </w:rPr>
        <w:t>一般公共预算支出情况</w:t>
      </w:r>
    </w:p>
    <w:p w14:paraId="0CBA439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b/>
          <w:bCs/>
          <w:sz w:val="32"/>
          <w:szCs w:val="32"/>
        </w:rPr>
      </w:pPr>
      <w:r>
        <w:rPr>
          <w:rFonts w:hint="eastAsia" w:ascii="Nimbus Roman" w:hAnsi="Nimbus Roman" w:eastAsia="方正仿宋_GBK" w:cs="Nimbus Roman"/>
          <w:sz w:val="32"/>
          <w:szCs w:val="32"/>
          <w:lang w:val="en-US" w:eastAsia="zh-CN"/>
        </w:rPr>
        <w:t>1.</w:t>
      </w:r>
      <w:r>
        <w:rPr>
          <w:rFonts w:hint="eastAsia" w:ascii="方正仿宋_GBK" w:hAnsi="方正仿宋_GBK" w:eastAsia="方正仿宋_GBK" w:cs="方正仿宋_GBK"/>
          <w:b/>
          <w:bCs/>
          <w:sz w:val="32"/>
          <w:szCs w:val="32"/>
        </w:rPr>
        <w:t>基本支出情况</w:t>
      </w:r>
    </w:p>
    <w:p w14:paraId="194D51E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年基本支出共</w:t>
      </w:r>
      <w:r>
        <w:rPr>
          <w:rFonts w:hint="eastAsia" w:ascii="Nimbus Roman" w:hAnsi="Nimbus Roman" w:eastAsia="方正仿宋_GBK" w:cs="Nimbus Roman"/>
          <w:sz w:val="32"/>
          <w:szCs w:val="32"/>
        </w:rPr>
        <w:t>145.02</w:t>
      </w:r>
      <w:r>
        <w:rPr>
          <w:rFonts w:hint="eastAsia" w:ascii="方正仿宋_GBK" w:hAnsi="方正仿宋_GBK" w:eastAsia="方正仿宋_GBK" w:cs="方正仿宋_GBK"/>
          <w:sz w:val="32"/>
          <w:szCs w:val="32"/>
        </w:rPr>
        <w:t>万元，占财政拨款支出的</w:t>
      </w:r>
      <w:r>
        <w:rPr>
          <w:rFonts w:hint="eastAsia" w:ascii="Nimbus Roman" w:hAnsi="Nimbus Roman" w:eastAsia="方正仿宋_GBK" w:cs="Nimbus Roman"/>
          <w:sz w:val="32"/>
          <w:szCs w:val="32"/>
        </w:rPr>
        <w:t>68.98%</w:t>
      </w:r>
      <w:r>
        <w:rPr>
          <w:rFonts w:hint="eastAsia" w:ascii="方正仿宋_GBK" w:hAnsi="方正仿宋_GBK" w:eastAsia="方正仿宋_GBK" w:cs="方正仿宋_GBK"/>
          <w:sz w:val="32"/>
          <w:szCs w:val="32"/>
        </w:rPr>
        <w:t>主要用于发放人员工资、办公行政、印刷费、差旅费、会议费、工会经费、机关工作人员社保等日常支出。</w:t>
      </w:r>
    </w:p>
    <w:p w14:paraId="44B255E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年度基本支出与</w:t>
      </w:r>
      <w:r>
        <w:rPr>
          <w:rFonts w:hint="eastAsia" w:ascii="Nimbus Roman" w:hAnsi="Nimbus Roman" w:eastAsia="方正仿宋_GBK" w:cs="Nimbus Roman"/>
          <w:sz w:val="32"/>
          <w:szCs w:val="32"/>
        </w:rPr>
        <w:t>2024</w:t>
      </w:r>
      <w:r>
        <w:rPr>
          <w:rFonts w:hint="eastAsia" w:ascii="方正仿宋_GBK" w:hAnsi="方正仿宋_GBK" w:eastAsia="方正仿宋_GBK" w:cs="方正仿宋_GBK"/>
          <w:sz w:val="32"/>
          <w:szCs w:val="32"/>
        </w:rPr>
        <w:t>年度相比，增加</w:t>
      </w:r>
      <w:r>
        <w:rPr>
          <w:rFonts w:hint="eastAsia" w:ascii="Nimbus Roman" w:hAnsi="Nimbus Roman" w:eastAsia="方正仿宋_GBK" w:cs="Nimbus Roman"/>
          <w:sz w:val="32"/>
          <w:szCs w:val="32"/>
        </w:rPr>
        <w:t>89.99</w:t>
      </w:r>
      <w:r>
        <w:rPr>
          <w:rFonts w:hint="eastAsia" w:ascii="方正仿宋_GBK" w:hAnsi="方正仿宋_GBK" w:eastAsia="方正仿宋_GBK" w:cs="方正仿宋_GBK"/>
          <w:sz w:val="32"/>
          <w:szCs w:val="32"/>
        </w:rPr>
        <w:t>万元，增长</w:t>
      </w:r>
      <w:r>
        <w:rPr>
          <w:rFonts w:hint="eastAsia" w:ascii="Nimbus Roman" w:hAnsi="Nimbus Roman" w:eastAsia="方正仿宋_GBK" w:cs="Nimbus Roman"/>
          <w:sz w:val="32"/>
          <w:szCs w:val="32"/>
        </w:rPr>
        <w:t>163.5%</w:t>
      </w:r>
      <w:r>
        <w:rPr>
          <w:rFonts w:hint="eastAsia" w:ascii="方正仿宋_GBK" w:hAnsi="方正仿宋_GBK" w:eastAsia="方正仿宋_GBK" w:cs="方正仿宋_GBK"/>
          <w:sz w:val="32"/>
          <w:szCs w:val="32"/>
        </w:rPr>
        <w:t>，其中：</w:t>
      </w: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年度人员经费支出</w:t>
      </w:r>
      <w:r>
        <w:rPr>
          <w:rFonts w:hint="eastAsia" w:ascii="Nimbus Roman" w:hAnsi="Nimbus Roman" w:eastAsia="方正仿宋_GBK" w:cs="Nimbus Roman"/>
          <w:sz w:val="32"/>
          <w:szCs w:val="32"/>
        </w:rPr>
        <w:t>125.16</w:t>
      </w:r>
      <w:r>
        <w:rPr>
          <w:rFonts w:hint="eastAsia" w:ascii="方正仿宋_GBK" w:hAnsi="方正仿宋_GBK" w:eastAsia="方正仿宋_GBK" w:cs="方正仿宋_GBK"/>
          <w:sz w:val="32"/>
          <w:szCs w:val="32"/>
        </w:rPr>
        <w:t>万元，与</w:t>
      </w:r>
      <w:r>
        <w:rPr>
          <w:rFonts w:hint="eastAsia" w:ascii="Nimbus Roman" w:hAnsi="Nimbus Roman" w:eastAsia="方正仿宋_GBK" w:cs="Nimbus Roman"/>
          <w:sz w:val="32"/>
          <w:szCs w:val="32"/>
        </w:rPr>
        <w:t>2024</w:t>
      </w:r>
      <w:r>
        <w:rPr>
          <w:rFonts w:hint="eastAsia" w:ascii="方正仿宋_GBK" w:hAnsi="方正仿宋_GBK" w:eastAsia="方正仿宋_GBK" w:cs="方正仿宋_GBK"/>
          <w:sz w:val="32"/>
          <w:szCs w:val="32"/>
        </w:rPr>
        <w:t>年度相比，增加</w:t>
      </w:r>
      <w:r>
        <w:rPr>
          <w:rFonts w:hint="eastAsia" w:ascii="Nimbus Roman" w:hAnsi="Nimbus Roman" w:eastAsia="方正仿宋_GBK" w:cs="Nimbus Roman"/>
          <w:sz w:val="32"/>
          <w:szCs w:val="32"/>
        </w:rPr>
        <w:t>94.13万</w:t>
      </w:r>
      <w:r>
        <w:rPr>
          <w:rFonts w:hint="eastAsia" w:ascii="方正仿宋_GBK" w:hAnsi="方正仿宋_GBK" w:eastAsia="方正仿宋_GBK" w:cs="方正仿宋_GBK"/>
          <w:sz w:val="32"/>
          <w:szCs w:val="32"/>
        </w:rPr>
        <w:t>元，增长</w:t>
      </w:r>
      <w:r>
        <w:rPr>
          <w:rFonts w:hint="eastAsia" w:ascii="Nimbus Roman" w:hAnsi="Nimbus Roman" w:eastAsia="方正仿宋_GBK" w:cs="Nimbus Roman"/>
          <w:sz w:val="32"/>
          <w:szCs w:val="32"/>
        </w:rPr>
        <w:t>303.35%</w:t>
      </w:r>
      <w:r>
        <w:rPr>
          <w:rFonts w:hint="eastAsia" w:ascii="方正仿宋_GBK" w:hAnsi="方正仿宋_GBK" w:eastAsia="方正仿宋_GBK" w:cs="方正仿宋_GBK"/>
          <w:sz w:val="32"/>
          <w:szCs w:val="32"/>
        </w:rPr>
        <w:t>，</w:t>
      </w: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年度公用经费支出</w:t>
      </w:r>
      <w:r>
        <w:rPr>
          <w:rFonts w:hint="eastAsia" w:ascii="Nimbus Roman" w:hAnsi="Nimbus Roman" w:eastAsia="方正仿宋_GBK" w:cs="Nimbus Roman"/>
          <w:sz w:val="32"/>
          <w:szCs w:val="32"/>
        </w:rPr>
        <w:t>19.86</w:t>
      </w:r>
      <w:r>
        <w:rPr>
          <w:rFonts w:hint="eastAsia" w:ascii="方正仿宋_GBK" w:hAnsi="方正仿宋_GBK" w:eastAsia="方正仿宋_GBK" w:cs="方正仿宋_GBK"/>
          <w:sz w:val="32"/>
          <w:szCs w:val="32"/>
        </w:rPr>
        <w:t>万元，与</w:t>
      </w:r>
      <w:r>
        <w:rPr>
          <w:rFonts w:hint="eastAsia" w:ascii="Nimbus Roman" w:hAnsi="Nimbus Roman" w:eastAsia="方正仿宋_GBK" w:cs="Nimbus Roman"/>
          <w:sz w:val="32"/>
          <w:szCs w:val="32"/>
        </w:rPr>
        <w:t>2024</w:t>
      </w:r>
      <w:r>
        <w:rPr>
          <w:rFonts w:hint="eastAsia" w:ascii="方正仿宋_GBK" w:hAnsi="方正仿宋_GBK" w:eastAsia="方正仿宋_GBK" w:cs="方正仿宋_GBK"/>
          <w:sz w:val="32"/>
          <w:szCs w:val="32"/>
        </w:rPr>
        <w:t>年度相比，减少</w:t>
      </w:r>
      <w:r>
        <w:rPr>
          <w:rFonts w:hint="eastAsia" w:ascii="Nimbus Roman" w:hAnsi="Nimbus Roman" w:eastAsia="方正仿宋_GBK" w:cs="Nimbus Roman"/>
          <w:sz w:val="32"/>
          <w:szCs w:val="32"/>
        </w:rPr>
        <w:t>4.15</w:t>
      </w:r>
      <w:r>
        <w:rPr>
          <w:rFonts w:hint="eastAsia" w:ascii="方正仿宋_GBK" w:hAnsi="方正仿宋_GBK" w:eastAsia="方正仿宋_GBK" w:cs="方正仿宋_GBK"/>
          <w:sz w:val="32"/>
          <w:szCs w:val="32"/>
        </w:rPr>
        <w:t>万元，下降</w:t>
      </w:r>
      <w:r>
        <w:rPr>
          <w:rFonts w:hint="eastAsia" w:ascii="Nimbus Roman" w:hAnsi="Nimbus Roman" w:eastAsia="方正仿宋_GBK" w:cs="Nimbus Roman"/>
          <w:sz w:val="32"/>
          <w:szCs w:val="32"/>
        </w:rPr>
        <w:t>17.28%</w:t>
      </w:r>
      <w:r>
        <w:rPr>
          <w:rFonts w:hint="eastAsia" w:ascii="方正仿宋_GBK" w:hAnsi="方正仿宋_GBK" w:eastAsia="方正仿宋_GBK" w:cs="方正仿宋_GBK"/>
          <w:sz w:val="32"/>
          <w:szCs w:val="32"/>
        </w:rPr>
        <w:t>。主要原因：中共会同县委社会工作部为</w:t>
      </w:r>
      <w:r>
        <w:rPr>
          <w:rFonts w:hint="eastAsia" w:ascii="Nimbus Roman" w:hAnsi="Nimbus Roman" w:eastAsia="方正仿宋_GBK" w:cs="Nimbus Roman"/>
          <w:sz w:val="32"/>
          <w:szCs w:val="32"/>
        </w:rPr>
        <w:t>2024</w:t>
      </w:r>
      <w:r>
        <w:rPr>
          <w:rFonts w:hint="eastAsia" w:ascii="方正仿宋_GBK" w:hAnsi="方正仿宋_GBK" w:eastAsia="方正仿宋_GBK" w:cs="方正仿宋_GBK"/>
          <w:sz w:val="32"/>
          <w:szCs w:val="32"/>
        </w:rPr>
        <w:t>年度</w:t>
      </w:r>
      <w:r>
        <w:rPr>
          <w:rFonts w:hint="eastAsia" w:ascii="Nimbus Roman" w:hAnsi="Nimbus Roman" w:eastAsia="方正仿宋_GBK" w:cs="Nimbus Roman"/>
          <w:sz w:val="32"/>
          <w:szCs w:val="32"/>
        </w:rPr>
        <w:t>6</w:t>
      </w:r>
      <w:r>
        <w:rPr>
          <w:rFonts w:hint="eastAsia" w:ascii="方正仿宋_GBK" w:hAnsi="方正仿宋_GBK" w:eastAsia="方正仿宋_GBK" w:cs="方正仿宋_GBK"/>
          <w:sz w:val="32"/>
          <w:szCs w:val="32"/>
        </w:rPr>
        <w:t>月新增单位，</w:t>
      </w:r>
      <w:r>
        <w:rPr>
          <w:rFonts w:hint="eastAsia" w:ascii="Nimbus Roman" w:hAnsi="Nimbus Roman" w:eastAsia="方正仿宋_GBK" w:cs="Nimbus Roman"/>
          <w:sz w:val="32"/>
          <w:szCs w:val="32"/>
        </w:rPr>
        <w:t>2024</w:t>
      </w:r>
      <w:r>
        <w:rPr>
          <w:rFonts w:hint="eastAsia" w:ascii="方正仿宋_GBK" w:hAnsi="方正仿宋_GBK" w:eastAsia="方正仿宋_GBK" w:cs="方正仿宋_GBK"/>
          <w:sz w:val="32"/>
          <w:szCs w:val="32"/>
        </w:rPr>
        <w:t>年度仅有半年支出数据，</w:t>
      </w: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年度为全年支出数据，故人员经费较上一年度大幅增加，以及</w:t>
      </w:r>
      <w:r>
        <w:rPr>
          <w:rFonts w:hint="eastAsia" w:ascii="Nimbus Roman" w:hAnsi="Nimbus Roman" w:eastAsia="方正仿宋_GBK" w:cs="Nimbus Roman"/>
          <w:sz w:val="32"/>
          <w:szCs w:val="32"/>
        </w:rPr>
        <w:t>2024</w:t>
      </w:r>
      <w:r>
        <w:rPr>
          <w:rFonts w:hint="eastAsia" w:ascii="方正仿宋_GBK" w:hAnsi="方正仿宋_GBK" w:eastAsia="方正仿宋_GBK" w:cs="方正仿宋_GBK"/>
          <w:sz w:val="32"/>
          <w:szCs w:val="32"/>
        </w:rPr>
        <w:t>年度为单位初创阶段购置办公用品等公用经费开支较多，</w:t>
      </w: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年已基本配备完整故公用经费较上一年度有所下降。</w:t>
      </w:r>
    </w:p>
    <w:p w14:paraId="1CA5B8D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按支出经济分类分析，工资福利支出</w:t>
      </w:r>
      <w:r>
        <w:rPr>
          <w:rFonts w:hint="eastAsia" w:ascii="Nimbus Roman" w:hAnsi="Nimbus Roman" w:eastAsia="方正仿宋_GBK" w:cs="Nimbus Roman"/>
          <w:sz w:val="32"/>
          <w:szCs w:val="32"/>
        </w:rPr>
        <w:t>125.16</w:t>
      </w:r>
      <w:r>
        <w:rPr>
          <w:rFonts w:hint="eastAsia" w:ascii="方正仿宋_GBK" w:hAnsi="方正仿宋_GBK" w:eastAsia="方正仿宋_GBK" w:cs="方正仿宋_GBK"/>
          <w:sz w:val="32"/>
          <w:szCs w:val="32"/>
        </w:rPr>
        <w:t>万元，占财政拨款支出的</w:t>
      </w:r>
      <w:r>
        <w:rPr>
          <w:rFonts w:hint="eastAsia" w:ascii="Nimbus Roman" w:hAnsi="Nimbus Roman" w:eastAsia="方正仿宋_GBK" w:cs="Nimbus Roman"/>
          <w:sz w:val="32"/>
          <w:szCs w:val="32"/>
        </w:rPr>
        <w:t>59.53%</w:t>
      </w:r>
      <w:r>
        <w:rPr>
          <w:rFonts w:hint="eastAsia" w:ascii="方正仿宋_GBK" w:hAnsi="方正仿宋_GBK" w:eastAsia="方正仿宋_GBK" w:cs="方正仿宋_GBK"/>
          <w:sz w:val="32"/>
          <w:szCs w:val="32"/>
        </w:rPr>
        <w:t>；商品和服务支出</w:t>
      </w:r>
      <w:r>
        <w:rPr>
          <w:rFonts w:hint="eastAsia" w:ascii="Nimbus Roman" w:hAnsi="Nimbus Roman" w:eastAsia="方正仿宋_GBK" w:cs="Nimbus Roman"/>
          <w:sz w:val="32"/>
          <w:szCs w:val="32"/>
        </w:rPr>
        <w:t>19.09</w:t>
      </w:r>
      <w:r>
        <w:rPr>
          <w:rFonts w:hint="eastAsia" w:ascii="方正仿宋_GBK" w:hAnsi="方正仿宋_GBK" w:eastAsia="方正仿宋_GBK" w:cs="方正仿宋_GBK"/>
          <w:sz w:val="32"/>
          <w:szCs w:val="32"/>
        </w:rPr>
        <w:t>万元，占财政拨款支出的</w:t>
      </w:r>
      <w:r>
        <w:rPr>
          <w:rFonts w:hint="eastAsia" w:ascii="Nimbus Roman" w:hAnsi="Nimbus Roman" w:eastAsia="方正仿宋_GBK" w:cs="Nimbus Roman"/>
          <w:sz w:val="32"/>
          <w:szCs w:val="32"/>
        </w:rPr>
        <w:t>9.08%</w:t>
      </w:r>
      <w:r>
        <w:rPr>
          <w:rFonts w:hint="eastAsia" w:ascii="方正仿宋_GBK" w:hAnsi="方正仿宋_GBK" w:eastAsia="方正仿宋_GBK" w:cs="方正仿宋_GBK"/>
          <w:sz w:val="32"/>
          <w:szCs w:val="32"/>
        </w:rPr>
        <w:t>；对个人和家庭的补助支出</w:t>
      </w:r>
      <w:r>
        <w:rPr>
          <w:rFonts w:hint="eastAsia" w:ascii="Nimbus Roman" w:hAnsi="Nimbus Roman" w:eastAsia="方正仿宋_GBK" w:cs="Nimbus Roman"/>
          <w:sz w:val="32"/>
          <w:szCs w:val="32"/>
        </w:rPr>
        <w:t>0</w:t>
      </w:r>
      <w:r>
        <w:rPr>
          <w:rFonts w:hint="eastAsia" w:ascii="方正仿宋_GBK" w:hAnsi="方正仿宋_GBK" w:eastAsia="方正仿宋_GBK" w:cs="方正仿宋_GBK"/>
          <w:sz w:val="32"/>
          <w:szCs w:val="32"/>
        </w:rPr>
        <w:t>万元，占财政拨款支出的</w:t>
      </w:r>
      <w:r>
        <w:rPr>
          <w:rFonts w:hint="eastAsia" w:ascii="Nimbus Roman" w:hAnsi="Nimbus Roman" w:eastAsia="方正仿宋_GBK" w:cs="Nimbus Roman"/>
          <w:sz w:val="32"/>
          <w:szCs w:val="32"/>
        </w:rPr>
        <w:t>0%</w:t>
      </w:r>
      <w:r>
        <w:rPr>
          <w:rFonts w:hint="eastAsia" w:ascii="方正仿宋_GBK" w:hAnsi="方正仿宋_GBK" w:eastAsia="方正仿宋_GBK" w:cs="方正仿宋_GBK"/>
          <w:sz w:val="32"/>
          <w:szCs w:val="32"/>
        </w:rPr>
        <w:t>；资本性支出（基本建设）支出</w:t>
      </w:r>
      <w:r>
        <w:rPr>
          <w:rFonts w:hint="eastAsia" w:ascii="Nimbus Roman" w:hAnsi="Nimbus Roman" w:eastAsia="方正仿宋_GBK" w:cs="Nimbus Roman"/>
          <w:sz w:val="32"/>
          <w:szCs w:val="32"/>
        </w:rPr>
        <w:t>0.00</w:t>
      </w:r>
      <w:r>
        <w:rPr>
          <w:rFonts w:hint="eastAsia" w:ascii="方正仿宋_GBK" w:hAnsi="方正仿宋_GBK" w:eastAsia="方正仿宋_GBK" w:cs="方正仿宋_GBK"/>
          <w:sz w:val="32"/>
          <w:szCs w:val="32"/>
        </w:rPr>
        <w:t>万元，占财政拨款支出的</w:t>
      </w:r>
      <w:r>
        <w:rPr>
          <w:rFonts w:hint="eastAsia" w:ascii="Nimbus Roman" w:hAnsi="Nimbus Roman" w:eastAsia="方正仿宋_GBK" w:cs="Nimbus Roman"/>
          <w:sz w:val="32"/>
          <w:szCs w:val="32"/>
        </w:rPr>
        <w:t>0.00%</w:t>
      </w:r>
      <w:r>
        <w:rPr>
          <w:rFonts w:hint="eastAsia" w:ascii="方正仿宋_GBK" w:hAnsi="方正仿宋_GBK" w:eastAsia="方正仿宋_GBK" w:cs="方正仿宋_GBK"/>
          <w:sz w:val="32"/>
          <w:szCs w:val="32"/>
        </w:rPr>
        <w:t>；资本性支出</w:t>
      </w:r>
      <w:r>
        <w:rPr>
          <w:rFonts w:hint="eastAsia" w:ascii="Nimbus Roman" w:hAnsi="Nimbus Roman" w:eastAsia="方正仿宋_GBK" w:cs="Nimbus Roman"/>
          <w:sz w:val="32"/>
          <w:szCs w:val="32"/>
        </w:rPr>
        <w:t>0.77</w:t>
      </w:r>
      <w:r>
        <w:rPr>
          <w:rFonts w:hint="eastAsia" w:ascii="方正仿宋_GBK" w:hAnsi="方正仿宋_GBK" w:eastAsia="方正仿宋_GBK" w:cs="方正仿宋_GBK"/>
          <w:sz w:val="32"/>
          <w:szCs w:val="32"/>
        </w:rPr>
        <w:t>万元，占财政拨款支出的</w:t>
      </w:r>
      <w:r>
        <w:rPr>
          <w:rFonts w:hint="eastAsia" w:ascii="Nimbus Roman" w:hAnsi="Nimbus Roman" w:eastAsia="方正仿宋_GBK" w:cs="Nimbus Roman"/>
          <w:sz w:val="32"/>
          <w:szCs w:val="32"/>
        </w:rPr>
        <w:t>0.37%</w:t>
      </w:r>
      <w:r>
        <w:rPr>
          <w:rFonts w:hint="eastAsia" w:ascii="方正仿宋_GBK" w:hAnsi="方正仿宋_GBK" w:eastAsia="方正仿宋_GBK" w:cs="方正仿宋_GBK"/>
          <w:sz w:val="32"/>
          <w:szCs w:val="32"/>
        </w:rPr>
        <w:t>；对企业补助</w:t>
      </w:r>
      <w:r>
        <w:rPr>
          <w:rFonts w:hint="eastAsia" w:ascii="Nimbus Roman" w:hAnsi="Nimbus Roman" w:eastAsia="方正仿宋_GBK" w:cs="Nimbus Roman"/>
          <w:sz w:val="32"/>
          <w:szCs w:val="32"/>
        </w:rPr>
        <w:t>0.00</w:t>
      </w:r>
      <w:r>
        <w:rPr>
          <w:rFonts w:hint="eastAsia" w:ascii="方正仿宋_GBK" w:hAnsi="方正仿宋_GBK" w:eastAsia="方正仿宋_GBK" w:cs="方正仿宋_GBK"/>
          <w:sz w:val="32"/>
          <w:szCs w:val="32"/>
        </w:rPr>
        <w:t>万元，占财政拨款支出的</w:t>
      </w:r>
      <w:r>
        <w:rPr>
          <w:rFonts w:hint="eastAsia" w:ascii="Nimbus Roman" w:hAnsi="Nimbus Roman" w:eastAsia="方正仿宋_GBK" w:cs="Nimbus Roman"/>
          <w:sz w:val="32"/>
          <w:szCs w:val="32"/>
        </w:rPr>
        <w:t>0.00%</w:t>
      </w:r>
      <w:r>
        <w:rPr>
          <w:rFonts w:hint="eastAsia" w:ascii="方正仿宋_GBK" w:hAnsi="方正仿宋_GBK" w:eastAsia="方正仿宋_GBK" w:cs="方正仿宋_GBK"/>
          <w:sz w:val="32"/>
          <w:szCs w:val="32"/>
        </w:rPr>
        <w:t>；其他支出</w:t>
      </w:r>
      <w:r>
        <w:rPr>
          <w:rFonts w:hint="eastAsia" w:ascii="Nimbus Roman" w:hAnsi="Nimbus Roman" w:eastAsia="方正仿宋_GBK" w:cs="Nimbus Roman"/>
          <w:sz w:val="32"/>
          <w:szCs w:val="32"/>
        </w:rPr>
        <w:t>0.00</w:t>
      </w:r>
      <w:r>
        <w:rPr>
          <w:rFonts w:hint="eastAsia" w:ascii="方正仿宋_GBK" w:hAnsi="方正仿宋_GBK" w:eastAsia="方正仿宋_GBK" w:cs="方正仿宋_GBK"/>
          <w:sz w:val="32"/>
          <w:szCs w:val="32"/>
        </w:rPr>
        <w:t>万元，占财政拨款支出的</w:t>
      </w:r>
      <w:r>
        <w:rPr>
          <w:rFonts w:hint="eastAsia" w:ascii="Nimbus Roman" w:hAnsi="Nimbus Roman" w:eastAsia="方正仿宋_GBK" w:cs="Nimbus Roman"/>
          <w:sz w:val="32"/>
          <w:szCs w:val="32"/>
        </w:rPr>
        <w:t>0.00 %</w:t>
      </w:r>
      <w:r>
        <w:rPr>
          <w:rFonts w:hint="eastAsia" w:ascii="方正仿宋_GBK" w:hAnsi="方正仿宋_GBK" w:eastAsia="方正仿宋_GBK" w:cs="方正仿宋_GBK"/>
          <w:sz w:val="32"/>
          <w:szCs w:val="32"/>
        </w:rPr>
        <w:t>。</w:t>
      </w:r>
    </w:p>
    <w:p w14:paraId="14E9C19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年度无“三公”经费支出。</w:t>
      </w:r>
    </w:p>
    <w:p w14:paraId="420DA4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b/>
          <w:bCs/>
          <w:sz w:val="32"/>
          <w:szCs w:val="32"/>
        </w:rPr>
      </w:pPr>
      <w:r>
        <w:rPr>
          <w:rFonts w:hint="eastAsia" w:ascii="Nimbus Roman" w:hAnsi="Nimbus Roman" w:eastAsia="方正仿宋_GBK" w:cs="Nimbus Roman"/>
          <w:sz w:val="32"/>
          <w:szCs w:val="32"/>
          <w:lang w:val="en-US" w:eastAsia="zh-CN"/>
        </w:rPr>
        <w:t>2.</w:t>
      </w:r>
      <w:r>
        <w:rPr>
          <w:rFonts w:hint="eastAsia" w:ascii="方正仿宋_GBK" w:hAnsi="方正仿宋_GBK" w:eastAsia="方正仿宋_GBK" w:cs="方正仿宋_GBK"/>
          <w:b/>
          <w:bCs/>
          <w:sz w:val="32"/>
          <w:szCs w:val="32"/>
        </w:rPr>
        <w:t>项目支出情况</w:t>
      </w:r>
    </w:p>
    <w:p w14:paraId="33A4EC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本级专项资金分配安排和使用管理情况</w:t>
      </w:r>
      <w:r>
        <w:rPr>
          <w:rFonts w:hint="eastAsia" w:ascii="方正仿宋_GBK" w:hAnsi="方正仿宋_GBK" w:eastAsia="方正仿宋_GBK" w:cs="方正仿宋_GBK"/>
          <w:sz w:val="32"/>
          <w:szCs w:val="32"/>
          <w:lang w:eastAsia="zh-CN"/>
        </w:rPr>
        <w:t>：</w:t>
      </w:r>
    </w:p>
    <w:p w14:paraId="04B35E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年度中共会同县委社会工作部本级专项资金项目支出共</w:t>
      </w:r>
      <w:r>
        <w:rPr>
          <w:rFonts w:hint="eastAsia" w:ascii="Nimbus Roman" w:hAnsi="Nimbus Roman" w:eastAsia="方正仿宋_GBK" w:cs="Nimbus Roman"/>
          <w:sz w:val="32"/>
          <w:szCs w:val="32"/>
        </w:rPr>
        <w:t>20.4</w:t>
      </w:r>
      <w:r>
        <w:rPr>
          <w:rFonts w:hint="eastAsia" w:ascii="方正仿宋_GBK" w:hAnsi="方正仿宋_GBK" w:eastAsia="方正仿宋_GBK" w:cs="方正仿宋_GBK"/>
          <w:sz w:val="32"/>
          <w:szCs w:val="32"/>
        </w:rPr>
        <w:t>万元，其中：</w:t>
      </w:r>
    </w:p>
    <w:p w14:paraId="5A9DD94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Nimbus Roman" w:hAnsi="Nimbus Roman" w:eastAsia="方正仿宋_GBK" w:cs="Nimbus Roman"/>
          <w:sz w:val="32"/>
          <w:szCs w:val="32"/>
        </w:rPr>
        <w:t>1</w:t>
      </w:r>
      <w:r>
        <w:rPr>
          <w:rFonts w:hint="eastAsia" w:ascii="方正仿宋_GBK" w:hAnsi="方正仿宋_GBK" w:eastAsia="方正仿宋_GBK" w:cs="方正仿宋_GBK"/>
          <w:sz w:val="32"/>
          <w:szCs w:val="32"/>
        </w:rPr>
        <w:t>）</w:t>
      </w:r>
      <w:r>
        <w:rPr>
          <w:rFonts w:hint="eastAsia" w:ascii="Nimbus Roman" w:hAnsi="Nimbus Roman" w:eastAsia="方正仿宋_GBK" w:cs="Nimbus Roman"/>
          <w:sz w:val="32"/>
          <w:szCs w:val="32"/>
        </w:rPr>
        <w:t>12345</w:t>
      </w:r>
      <w:r>
        <w:rPr>
          <w:rFonts w:hint="eastAsia" w:ascii="方正仿宋_GBK" w:hAnsi="方正仿宋_GBK" w:eastAsia="方正仿宋_GBK" w:cs="方正仿宋_GBK"/>
          <w:sz w:val="32"/>
          <w:szCs w:val="32"/>
        </w:rPr>
        <w:t>热线网络租赁及专家授课费</w:t>
      </w:r>
      <w:r>
        <w:rPr>
          <w:rFonts w:hint="eastAsia" w:ascii="Nimbus Roman" w:hAnsi="Nimbus Roman" w:eastAsia="方正仿宋_GBK" w:cs="Nimbus Roman"/>
          <w:sz w:val="32"/>
          <w:szCs w:val="32"/>
        </w:rPr>
        <w:t>4.4</w:t>
      </w:r>
      <w:r>
        <w:rPr>
          <w:rFonts w:hint="eastAsia" w:ascii="方正仿宋_GBK" w:hAnsi="方正仿宋_GBK" w:eastAsia="方正仿宋_GBK" w:cs="方正仿宋_GBK"/>
          <w:sz w:val="32"/>
          <w:szCs w:val="32"/>
        </w:rPr>
        <w:t>万元，主要用于：</w:t>
      </w:r>
      <w:r>
        <w:rPr>
          <w:rFonts w:hint="eastAsia" w:ascii="Nimbus Roman" w:hAnsi="Nimbus Roman" w:eastAsia="方正仿宋_GBK" w:cs="Nimbus Roman"/>
          <w:sz w:val="32"/>
          <w:szCs w:val="32"/>
        </w:rPr>
        <w:t>12345</w:t>
      </w:r>
      <w:r>
        <w:rPr>
          <w:rFonts w:hint="eastAsia" w:ascii="方正仿宋_GBK" w:hAnsi="方正仿宋_GBK" w:eastAsia="方正仿宋_GBK" w:cs="方正仿宋_GBK"/>
          <w:sz w:val="32"/>
          <w:szCs w:val="32"/>
        </w:rPr>
        <w:t>热线办公室网络租赁费、日常座机电话费、工作人员餐费、差旅费及日常办公用品开支。</w:t>
      </w:r>
    </w:p>
    <w:p w14:paraId="3701DDA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Nimbus Roman" w:hAnsi="Nimbus Roman" w:eastAsia="方正仿宋_GBK" w:cs="Nimbus Roman"/>
          <w:sz w:val="32"/>
          <w:szCs w:val="32"/>
        </w:rPr>
        <w:t>2</w:t>
      </w:r>
      <w:r>
        <w:rPr>
          <w:rFonts w:hint="eastAsia" w:ascii="方正仿宋_GBK" w:hAnsi="方正仿宋_GBK" w:eastAsia="方正仿宋_GBK" w:cs="方正仿宋_GBK"/>
          <w:sz w:val="32"/>
          <w:szCs w:val="32"/>
        </w:rPr>
        <w:t>）志愿者服务引导资金</w:t>
      </w:r>
      <w:r>
        <w:rPr>
          <w:rFonts w:hint="eastAsia" w:ascii="Nimbus Roman" w:hAnsi="Nimbus Roman" w:eastAsia="方正仿宋_GBK" w:cs="Nimbus Roman"/>
          <w:sz w:val="32"/>
          <w:szCs w:val="32"/>
        </w:rPr>
        <w:t>6</w:t>
      </w:r>
      <w:r>
        <w:rPr>
          <w:rFonts w:hint="eastAsia" w:ascii="方正仿宋_GBK" w:hAnsi="方正仿宋_GBK" w:eastAsia="方正仿宋_GBK" w:cs="方正仿宋_GBK"/>
          <w:sz w:val="32"/>
          <w:szCs w:val="32"/>
        </w:rPr>
        <w:t>万元，主要用于：开展志愿服务活动、协助志愿服务组织开展志愿服务活动以及慰问志愿服务组织中困难党员支出。</w:t>
      </w:r>
    </w:p>
    <w:p w14:paraId="0A9C621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Nimbus Roman" w:hAnsi="Nimbus Roman" w:eastAsia="方正仿宋_GBK" w:cs="Nimbus Roman"/>
          <w:sz w:val="32"/>
          <w:szCs w:val="32"/>
        </w:rPr>
        <w:t>3</w:t>
      </w:r>
      <w:r>
        <w:rPr>
          <w:rFonts w:hint="eastAsia" w:ascii="方正仿宋_GBK" w:hAnsi="方正仿宋_GBK" w:eastAsia="方正仿宋_GBK" w:cs="方正仿宋_GBK"/>
          <w:sz w:val="32"/>
          <w:szCs w:val="32"/>
        </w:rPr>
        <w:t>）志愿者协会运转经费</w:t>
      </w:r>
      <w:r>
        <w:rPr>
          <w:rFonts w:hint="eastAsia" w:ascii="Nimbus Roman" w:hAnsi="Nimbus Roman" w:eastAsia="方正仿宋_GBK" w:cs="Nimbus Roman"/>
          <w:sz w:val="32"/>
          <w:szCs w:val="32"/>
        </w:rPr>
        <w:t>10</w:t>
      </w:r>
      <w:r>
        <w:rPr>
          <w:rFonts w:hint="eastAsia" w:ascii="方正仿宋_GBK" w:hAnsi="方正仿宋_GBK" w:eastAsia="方正仿宋_GBK" w:cs="方正仿宋_GBK"/>
          <w:sz w:val="32"/>
          <w:szCs w:val="32"/>
        </w:rPr>
        <w:t>万元，主要用于：会同县志愿者协会开展</w:t>
      </w: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年度志愿服务活动支出。</w:t>
      </w:r>
    </w:p>
    <w:p w14:paraId="3CE5E04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其他项目支出情况</w:t>
      </w:r>
      <w:r>
        <w:rPr>
          <w:rFonts w:hint="eastAsia" w:ascii="方正仿宋_GBK" w:hAnsi="方正仿宋_GBK" w:eastAsia="方正仿宋_GBK" w:cs="方正仿宋_GBK"/>
          <w:sz w:val="32"/>
          <w:szCs w:val="32"/>
          <w:lang w:eastAsia="zh-CN"/>
        </w:rPr>
        <w:t>：</w:t>
      </w:r>
    </w:p>
    <w:p w14:paraId="1742319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年度中共会同县委社会工作部其他项目支出共</w:t>
      </w:r>
      <w:r>
        <w:rPr>
          <w:rFonts w:hint="eastAsia" w:ascii="Nimbus Roman" w:hAnsi="Nimbus Roman" w:eastAsia="方正仿宋_GBK" w:cs="Nimbus Roman"/>
          <w:sz w:val="32"/>
          <w:szCs w:val="32"/>
        </w:rPr>
        <w:t>44.83</w:t>
      </w:r>
      <w:r>
        <w:rPr>
          <w:rFonts w:hint="eastAsia" w:ascii="方正仿宋_GBK" w:hAnsi="方正仿宋_GBK" w:eastAsia="方正仿宋_GBK" w:cs="方正仿宋_GBK"/>
          <w:sz w:val="32"/>
          <w:szCs w:val="32"/>
        </w:rPr>
        <w:t>万元，其中：</w:t>
      </w:r>
    </w:p>
    <w:p w14:paraId="4C95414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Nimbus Roman" w:hAnsi="Nimbus Roman" w:eastAsia="方正仿宋_GBK" w:cs="Nimbus Roman"/>
          <w:sz w:val="32"/>
          <w:szCs w:val="32"/>
        </w:rPr>
        <w:t>1</w:t>
      </w:r>
      <w:r>
        <w:rPr>
          <w:rFonts w:hint="eastAsia" w:ascii="方正仿宋_GBK" w:hAnsi="方正仿宋_GBK" w:eastAsia="方正仿宋_GBK" w:cs="方正仿宋_GBK"/>
          <w:sz w:val="32"/>
          <w:szCs w:val="32"/>
        </w:rPr>
        <w:t>）社区专职工作人员招聘经费</w:t>
      </w:r>
      <w:r>
        <w:rPr>
          <w:rFonts w:hint="eastAsia" w:ascii="Nimbus Roman" w:hAnsi="Nimbus Roman" w:eastAsia="方正仿宋_GBK" w:cs="Nimbus Roman"/>
          <w:sz w:val="32"/>
          <w:szCs w:val="32"/>
        </w:rPr>
        <w:t>6.93</w:t>
      </w:r>
      <w:r>
        <w:rPr>
          <w:rFonts w:hint="eastAsia" w:ascii="方正仿宋_GBK" w:hAnsi="方正仿宋_GBK" w:eastAsia="方正仿宋_GBK" w:cs="方正仿宋_GBK"/>
          <w:sz w:val="32"/>
          <w:szCs w:val="32"/>
        </w:rPr>
        <w:t>万元，主要用于：招聘社区专职工作者笔试、面试、体检、考察等相关费用。</w:t>
      </w:r>
    </w:p>
    <w:p w14:paraId="49BE593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Nimbus Roman" w:hAnsi="Nimbus Roman" w:eastAsia="方正仿宋_GBK" w:cs="Nimbus Roman"/>
          <w:sz w:val="32"/>
          <w:szCs w:val="32"/>
        </w:rPr>
        <w:t>2</w:t>
      </w:r>
      <w:r>
        <w:rPr>
          <w:rFonts w:hint="eastAsia" w:ascii="方正仿宋_GBK" w:hAnsi="方正仿宋_GBK" w:eastAsia="方正仿宋_GBK" w:cs="方正仿宋_GBK"/>
          <w:sz w:val="32"/>
          <w:szCs w:val="32"/>
        </w:rPr>
        <w:t>）两新党建工作经费</w:t>
      </w:r>
      <w:r>
        <w:rPr>
          <w:rFonts w:hint="eastAsia" w:ascii="Nimbus Roman" w:hAnsi="Nimbus Roman" w:eastAsia="方正仿宋_GBK" w:cs="Nimbus Roman"/>
          <w:sz w:val="32"/>
          <w:szCs w:val="32"/>
        </w:rPr>
        <w:t>37.9</w:t>
      </w:r>
      <w:r>
        <w:rPr>
          <w:rFonts w:hint="eastAsia" w:ascii="方正仿宋_GBK" w:hAnsi="方正仿宋_GBK" w:eastAsia="方正仿宋_GBK" w:cs="方正仿宋_GBK"/>
          <w:sz w:val="32"/>
          <w:szCs w:val="32"/>
        </w:rPr>
        <w:t>万元，主要用于：会同县两新党支部</w:t>
      </w:r>
      <w:r>
        <w:rPr>
          <w:rFonts w:hint="eastAsia" w:ascii="Nimbus Roman" w:hAnsi="Nimbus Roman" w:eastAsia="方正仿宋_GBK" w:cs="Nimbus Roman"/>
          <w:sz w:val="32"/>
          <w:szCs w:val="32"/>
        </w:rPr>
        <w:t>2024</w:t>
      </w:r>
      <w:r>
        <w:rPr>
          <w:rFonts w:hint="eastAsia" w:ascii="方正仿宋_GBK" w:hAnsi="方正仿宋_GBK" w:eastAsia="方正仿宋_GBK" w:cs="方正仿宋_GBK"/>
          <w:sz w:val="32"/>
          <w:szCs w:val="32"/>
        </w:rPr>
        <w:t>年度日常运转工作经费、党支部书记</w:t>
      </w:r>
      <w:r>
        <w:rPr>
          <w:rFonts w:hint="eastAsia" w:ascii="Nimbus Roman" w:hAnsi="Nimbus Roman" w:eastAsia="方正仿宋_GBK" w:cs="Nimbus Roman"/>
          <w:sz w:val="32"/>
          <w:szCs w:val="32"/>
        </w:rPr>
        <w:t>2024</w:t>
      </w:r>
      <w:r>
        <w:rPr>
          <w:rFonts w:hint="eastAsia" w:ascii="方正仿宋_GBK" w:hAnsi="方正仿宋_GBK" w:eastAsia="方正仿宋_GBK" w:cs="方正仿宋_GBK"/>
          <w:sz w:val="32"/>
          <w:szCs w:val="32"/>
        </w:rPr>
        <w:t>年工作补助以及县委两新工委档案室建设开支。</w:t>
      </w:r>
    </w:p>
    <w:p w14:paraId="0F88468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（三）</w:t>
      </w:r>
      <w:r>
        <w:rPr>
          <w:rFonts w:hint="eastAsia" w:ascii="方正楷体_GBK" w:hAnsi="方正楷体_GBK" w:eastAsia="方正楷体_GBK" w:cs="方正楷体_GBK"/>
          <w:sz w:val="32"/>
          <w:szCs w:val="32"/>
        </w:rPr>
        <w:t>政府性基金预算支出情况</w:t>
      </w:r>
    </w:p>
    <w:p w14:paraId="66C5D23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年度无政府性基金预算支出。</w:t>
      </w:r>
    </w:p>
    <w:p w14:paraId="5575025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（四）</w:t>
      </w:r>
      <w:r>
        <w:rPr>
          <w:rFonts w:hint="eastAsia" w:ascii="方正楷体_GBK" w:hAnsi="方正楷体_GBK" w:eastAsia="方正楷体_GBK" w:cs="方正楷体_GBK"/>
          <w:sz w:val="32"/>
          <w:szCs w:val="32"/>
        </w:rPr>
        <w:t>国有资本经营预算支出情况</w:t>
      </w:r>
    </w:p>
    <w:p w14:paraId="1A90CF1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年度无国有资本经营预算支出。</w:t>
      </w:r>
    </w:p>
    <w:p w14:paraId="4091649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（五）</w:t>
      </w:r>
      <w:r>
        <w:rPr>
          <w:rFonts w:hint="eastAsia" w:ascii="方正楷体_GBK" w:hAnsi="方正楷体_GBK" w:eastAsia="方正楷体_GBK" w:cs="方正楷体_GBK"/>
          <w:sz w:val="32"/>
          <w:szCs w:val="32"/>
        </w:rPr>
        <w:t>社会保险基金预算支出情况</w:t>
      </w:r>
    </w:p>
    <w:p w14:paraId="0B3B3C5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年度无社会保险基金预算支出。</w:t>
      </w:r>
    </w:p>
    <w:p w14:paraId="0A03653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（六）</w:t>
      </w:r>
      <w:r>
        <w:rPr>
          <w:rFonts w:hint="eastAsia" w:ascii="方正楷体_GBK" w:hAnsi="方正楷体_GBK" w:eastAsia="方正楷体_GBK" w:cs="方正楷体_GBK"/>
          <w:sz w:val="32"/>
          <w:szCs w:val="32"/>
        </w:rPr>
        <w:t>部门整体支出绩效情况</w:t>
      </w:r>
    </w:p>
    <w:p w14:paraId="1379D44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b/>
          <w:bCs/>
          <w:sz w:val="32"/>
          <w:szCs w:val="32"/>
        </w:rPr>
      </w:pPr>
      <w:r>
        <w:rPr>
          <w:rFonts w:hint="eastAsia" w:ascii="Nimbus Roman" w:hAnsi="Nimbus Roman" w:eastAsia="方正仿宋_GBK" w:cs="Nimbus Roman"/>
          <w:sz w:val="32"/>
          <w:szCs w:val="32"/>
          <w:lang w:val="en-US" w:eastAsia="zh-CN"/>
        </w:rPr>
        <w:t>1.</w:t>
      </w:r>
      <w:r>
        <w:rPr>
          <w:rFonts w:hint="eastAsia" w:ascii="方正仿宋_GBK" w:hAnsi="方正仿宋_GBK" w:eastAsia="方正仿宋_GBK" w:cs="方正仿宋_GBK"/>
          <w:b/>
          <w:bCs/>
          <w:sz w:val="32"/>
          <w:szCs w:val="32"/>
        </w:rPr>
        <w:t>综合评价结论</w:t>
      </w:r>
    </w:p>
    <w:p w14:paraId="1EF440B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我单位认真组织开展绩效自评工作，从成本、产出、效益、群众满意度四方面对</w:t>
      </w:r>
      <w:bookmarkStart w:id="3" w:name="_GoBack"/>
      <w:bookmarkEnd w:id="3"/>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年度部门整体支出进行绩效评价，根据部门整体支出绩效评价指标体系，我单位</w:t>
      </w: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年度评分得分</w:t>
      </w:r>
      <w:r>
        <w:rPr>
          <w:rFonts w:hint="eastAsia" w:ascii="Nimbus Roman" w:hAnsi="Nimbus Roman" w:eastAsia="方正仿宋_GBK" w:cs="Nimbus Roman"/>
          <w:sz w:val="32"/>
          <w:szCs w:val="32"/>
        </w:rPr>
        <w:t>98</w:t>
      </w:r>
      <w:r>
        <w:rPr>
          <w:rFonts w:hint="eastAsia" w:ascii="方正仿宋_GBK" w:hAnsi="方正仿宋_GBK" w:eastAsia="方正仿宋_GBK" w:cs="方正仿宋_GBK"/>
          <w:sz w:val="32"/>
          <w:szCs w:val="32"/>
        </w:rPr>
        <w:t>分，等级为“优秀”(评价说明：得分≥</w:t>
      </w:r>
      <w:r>
        <w:rPr>
          <w:rFonts w:hint="eastAsia" w:ascii="Nimbus Roman" w:hAnsi="Nimbus Roman" w:eastAsia="方正仿宋_GBK" w:cs="Nimbus Roman"/>
          <w:sz w:val="32"/>
          <w:szCs w:val="32"/>
        </w:rPr>
        <w:t>90</w:t>
      </w:r>
      <w:r>
        <w:rPr>
          <w:rFonts w:hint="eastAsia" w:ascii="方正仿宋_GBK" w:hAnsi="方正仿宋_GBK" w:eastAsia="方正仿宋_GBK" w:cs="方正仿宋_GBK"/>
          <w:sz w:val="32"/>
          <w:szCs w:val="32"/>
        </w:rPr>
        <w:t>分为优秀；</w:t>
      </w:r>
      <w:r>
        <w:rPr>
          <w:rFonts w:hint="eastAsia" w:ascii="Nimbus Roman" w:hAnsi="Nimbus Roman" w:eastAsia="方正仿宋_GBK" w:cs="Nimbus Roman"/>
          <w:sz w:val="32"/>
          <w:szCs w:val="32"/>
        </w:rPr>
        <w:t>80</w:t>
      </w:r>
      <w:r>
        <w:rPr>
          <w:rFonts w:hint="eastAsia" w:ascii="方正仿宋_GBK" w:hAnsi="方正仿宋_GBK" w:eastAsia="方正仿宋_GBK" w:cs="方正仿宋_GBK"/>
          <w:sz w:val="32"/>
          <w:szCs w:val="32"/>
        </w:rPr>
        <w:t>≤得分＜</w:t>
      </w:r>
      <w:r>
        <w:rPr>
          <w:rFonts w:hint="eastAsia" w:ascii="Nimbus Roman" w:hAnsi="Nimbus Roman" w:eastAsia="方正仿宋_GBK" w:cs="Nimbus Roman"/>
          <w:sz w:val="32"/>
          <w:szCs w:val="32"/>
        </w:rPr>
        <w:t>90</w:t>
      </w:r>
      <w:r>
        <w:rPr>
          <w:rFonts w:hint="eastAsia" w:ascii="方正仿宋_GBK" w:hAnsi="方正仿宋_GBK" w:eastAsia="方正仿宋_GBK" w:cs="方正仿宋_GBK"/>
          <w:sz w:val="32"/>
          <w:szCs w:val="32"/>
        </w:rPr>
        <w:t>为良好；</w:t>
      </w:r>
      <w:r>
        <w:rPr>
          <w:rFonts w:hint="eastAsia" w:ascii="Nimbus Roman" w:hAnsi="Nimbus Roman" w:eastAsia="方正仿宋_GBK" w:cs="Nimbus Roman"/>
          <w:sz w:val="32"/>
          <w:szCs w:val="32"/>
        </w:rPr>
        <w:t>60</w:t>
      </w:r>
      <w:r>
        <w:rPr>
          <w:rFonts w:hint="eastAsia" w:ascii="方正仿宋_GBK" w:hAnsi="方正仿宋_GBK" w:eastAsia="方正仿宋_GBK" w:cs="方正仿宋_GBK"/>
          <w:sz w:val="32"/>
          <w:szCs w:val="32"/>
        </w:rPr>
        <w:t>≤得分＜</w:t>
      </w:r>
      <w:r>
        <w:rPr>
          <w:rFonts w:hint="eastAsia" w:ascii="Nimbus Roman" w:hAnsi="Nimbus Roman" w:eastAsia="方正仿宋_GBK" w:cs="Nimbus Roman"/>
          <w:sz w:val="32"/>
          <w:szCs w:val="32"/>
        </w:rPr>
        <w:t>80</w:t>
      </w:r>
      <w:r>
        <w:rPr>
          <w:rFonts w:hint="eastAsia" w:ascii="方正仿宋_GBK" w:hAnsi="方正仿宋_GBK" w:eastAsia="方正仿宋_GBK" w:cs="方正仿宋_GBK"/>
          <w:sz w:val="32"/>
          <w:szCs w:val="32"/>
        </w:rPr>
        <w:t>为中等；得分＜</w:t>
      </w:r>
      <w:r>
        <w:rPr>
          <w:rFonts w:hint="eastAsia" w:ascii="Nimbus Roman" w:hAnsi="Nimbus Roman" w:eastAsia="方正仿宋_GBK" w:cs="Nimbus Roman"/>
          <w:sz w:val="32"/>
          <w:szCs w:val="32"/>
        </w:rPr>
        <w:t>60</w:t>
      </w:r>
      <w:r>
        <w:rPr>
          <w:rFonts w:hint="eastAsia" w:ascii="方正仿宋_GBK" w:hAnsi="方正仿宋_GBK" w:eastAsia="方正仿宋_GBK" w:cs="方正仿宋_GBK"/>
          <w:sz w:val="32"/>
          <w:szCs w:val="32"/>
        </w:rPr>
        <w:t>为差)，部门整体支出绩效情况见自评表。</w:t>
      </w:r>
    </w:p>
    <w:p w14:paraId="2A67398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b/>
          <w:bCs/>
          <w:sz w:val="32"/>
          <w:szCs w:val="32"/>
        </w:rPr>
      </w:pPr>
      <w:r>
        <w:rPr>
          <w:rFonts w:hint="eastAsia" w:ascii="Nimbus Roman" w:hAnsi="Nimbus Roman" w:eastAsia="方正仿宋_GBK" w:cs="Nimbus Roman"/>
          <w:sz w:val="32"/>
          <w:szCs w:val="32"/>
          <w:lang w:val="en-US" w:eastAsia="zh-CN"/>
        </w:rPr>
        <w:t>2.</w:t>
      </w:r>
      <w:r>
        <w:rPr>
          <w:rFonts w:hint="eastAsia" w:ascii="方正仿宋_GBK" w:hAnsi="方正仿宋_GBK" w:eastAsia="方正仿宋_GBK" w:cs="方正仿宋_GBK"/>
          <w:b/>
          <w:bCs/>
          <w:sz w:val="32"/>
          <w:szCs w:val="32"/>
        </w:rPr>
        <w:t>综合评价情况</w:t>
      </w:r>
    </w:p>
    <w:p w14:paraId="5C0F56A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单位在本年度整体支出绩效表现中，整体成效较为显著，基本达成了年度工作计划与目标。在基层治理、社区工作者队伍建设、两企三新党建、热线工单办理和志愿服务等领域取得积极成果，财政资金使用总体安全合规。主要成效总结如下：</w:t>
      </w:r>
    </w:p>
    <w:p w14:paraId="058DF52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全面落实新兴领域“两个覆盖”集中攻坚三年行动，扛责上肩、攻坚克难、扎实推进。建立了组织部门和社会工作部门及分管领导联系点责任制，集中推进重点难点工作，推动各相关行业部门、乡镇组建攻坚小组，形成了“组织部牵头抓总、社会工作部门具体落实、行业部门履职尽责、乡镇属地管理”的齐抓共管工作格局。组建了</w:t>
      </w:r>
      <w:r>
        <w:rPr>
          <w:rFonts w:hint="eastAsia" w:ascii="Nimbus Roman" w:hAnsi="Nimbus Roman" w:eastAsia="方正仿宋_GBK" w:cs="Nimbus Roman"/>
          <w:sz w:val="32"/>
          <w:szCs w:val="32"/>
        </w:rPr>
        <w:t>5</w:t>
      </w:r>
      <w:r>
        <w:rPr>
          <w:rFonts w:hint="eastAsia" w:ascii="方正仿宋_GBK" w:hAnsi="方正仿宋_GBK" w:eastAsia="方正仿宋_GBK" w:cs="方正仿宋_GBK"/>
          <w:sz w:val="32"/>
          <w:szCs w:val="32"/>
        </w:rPr>
        <w:t>支两新基层党组织换届选举督导组，全程督促指导届满支部完成换届。联合县直机关工委组织</w:t>
      </w:r>
      <w:r>
        <w:rPr>
          <w:rFonts w:hint="eastAsia" w:ascii="Nimbus Roman" w:hAnsi="Nimbus Roman" w:eastAsia="方正仿宋_GBK" w:cs="Nimbus Roman"/>
          <w:sz w:val="32"/>
          <w:szCs w:val="32"/>
        </w:rPr>
        <w:t>4</w:t>
      </w:r>
      <w:r>
        <w:rPr>
          <w:rFonts w:hint="eastAsia" w:ascii="方正仿宋_GBK" w:hAnsi="方正仿宋_GBK" w:eastAsia="方正仿宋_GBK" w:cs="方正仿宋_GBK"/>
          <w:sz w:val="32"/>
          <w:szCs w:val="32"/>
        </w:rPr>
        <w:t>名发展对象和</w:t>
      </w:r>
      <w:r>
        <w:rPr>
          <w:rFonts w:hint="eastAsia" w:ascii="Nimbus Roman" w:hAnsi="Nimbus Roman" w:eastAsia="方正仿宋_GBK" w:cs="Nimbus Roman"/>
          <w:sz w:val="32"/>
          <w:szCs w:val="32"/>
        </w:rPr>
        <w:t>20</w:t>
      </w:r>
      <w:r>
        <w:rPr>
          <w:rFonts w:hint="eastAsia" w:ascii="方正仿宋_GBK" w:hAnsi="方正仿宋_GBK" w:eastAsia="方正仿宋_GBK" w:cs="方正仿宋_GBK"/>
          <w:sz w:val="32"/>
          <w:szCs w:val="32"/>
        </w:rPr>
        <w:t>名预备党员开展发展对象暨新党员培训。</w:t>
      </w:r>
      <w:r>
        <w:rPr>
          <w:rFonts w:hint="eastAsia" w:ascii="Nimbus Roman" w:hAnsi="Nimbus Roman" w:eastAsia="方正仿宋_GBK" w:cs="Nimbus Roman"/>
          <w:sz w:val="32"/>
          <w:szCs w:val="32"/>
        </w:rPr>
        <w:t>12</w:t>
      </w:r>
      <w:r>
        <w:rPr>
          <w:rFonts w:hint="eastAsia" w:ascii="方正仿宋_GBK" w:hAnsi="方正仿宋_GBK" w:eastAsia="方正仿宋_GBK" w:cs="方正仿宋_GBK"/>
          <w:sz w:val="32"/>
          <w:szCs w:val="32"/>
        </w:rPr>
        <w:t>月组织完成了</w:t>
      </w: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年度新兴领域党组织书记培训，进一步提升党员的党性修养与凝聚力。联合县总工会、县妇联等单位开展系列关爱活动，</w:t>
      </w:r>
      <w:r>
        <w:rPr>
          <w:rFonts w:hint="eastAsia" w:ascii="Nimbus Roman" w:hAnsi="Nimbus Roman" w:eastAsia="方正仿宋_GBK" w:cs="Nimbus Roman"/>
          <w:sz w:val="32"/>
          <w:szCs w:val="32"/>
        </w:rPr>
        <w:t>1</w:t>
      </w:r>
      <w:r>
        <w:rPr>
          <w:rFonts w:hint="eastAsia" w:ascii="方正仿宋_GBK" w:hAnsi="方正仿宋_GBK" w:eastAsia="方正仿宋_GBK" w:cs="方正仿宋_GBK"/>
          <w:sz w:val="32"/>
          <w:szCs w:val="32"/>
        </w:rPr>
        <w:t>月为</w:t>
      </w:r>
      <w:r>
        <w:rPr>
          <w:rFonts w:hint="eastAsia" w:ascii="Nimbus Roman" w:hAnsi="Nimbus Roman" w:eastAsia="方正仿宋_GBK" w:cs="Nimbus Roman"/>
          <w:sz w:val="32"/>
          <w:szCs w:val="32"/>
        </w:rPr>
        <w:t>7</w:t>
      </w:r>
      <w:r>
        <w:rPr>
          <w:rFonts w:hint="eastAsia" w:ascii="方正仿宋_GBK" w:hAnsi="方正仿宋_GBK" w:eastAsia="方正仿宋_GBK" w:cs="方正仿宋_GBK"/>
          <w:sz w:val="32"/>
          <w:szCs w:val="32"/>
        </w:rPr>
        <w:t>家货运物流企业</w:t>
      </w:r>
      <w:r>
        <w:rPr>
          <w:rFonts w:hint="eastAsia" w:ascii="Nimbus Roman" w:hAnsi="Nimbus Roman" w:eastAsia="方正仿宋_GBK" w:cs="Nimbus Roman"/>
          <w:sz w:val="32"/>
          <w:szCs w:val="32"/>
        </w:rPr>
        <w:t>124</w:t>
      </w:r>
      <w:r>
        <w:rPr>
          <w:rFonts w:hint="eastAsia" w:ascii="方正仿宋_GBK" w:hAnsi="方正仿宋_GBK" w:eastAsia="方正仿宋_GBK" w:cs="方正仿宋_GBK"/>
          <w:sz w:val="32"/>
          <w:szCs w:val="32"/>
        </w:rPr>
        <w:t>名货车司机送上含加油卡与医疗互助金的“温暖礼包”，春节走访</w:t>
      </w:r>
      <w:r>
        <w:rPr>
          <w:rFonts w:hint="eastAsia" w:ascii="Nimbus Roman" w:hAnsi="Nimbus Roman" w:eastAsia="方正仿宋_GBK" w:cs="Nimbus Roman"/>
          <w:sz w:val="32"/>
          <w:szCs w:val="32"/>
        </w:rPr>
        <w:t>5</w:t>
      </w:r>
      <w:r>
        <w:rPr>
          <w:rFonts w:hint="eastAsia" w:ascii="方正仿宋_GBK" w:hAnsi="方正仿宋_GBK" w:eastAsia="方正仿宋_GBK" w:cs="方正仿宋_GBK"/>
          <w:sz w:val="32"/>
          <w:szCs w:val="32"/>
        </w:rPr>
        <w:t>名困难新就业群体员工、</w:t>
      </w:r>
      <w:r>
        <w:rPr>
          <w:rFonts w:hint="eastAsia" w:ascii="Nimbus Roman" w:hAnsi="Nimbus Roman" w:eastAsia="方正仿宋_GBK" w:cs="Nimbus Roman"/>
          <w:sz w:val="32"/>
          <w:szCs w:val="32"/>
        </w:rPr>
        <w:t>6</w:t>
      </w:r>
      <w:r>
        <w:rPr>
          <w:rFonts w:hint="eastAsia" w:ascii="方正仿宋_GBK" w:hAnsi="方正仿宋_GBK" w:eastAsia="方正仿宋_GBK" w:cs="方正仿宋_GBK"/>
          <w:sz w:val="32"/>
          <w:szCs w:val="32"/>
        </w:rPr>
        <w:t>名困难党员，</w:t>
      </w:r>
      <w:r>
        <w:rPr>
          <w:rFonts w:hint="eastAsia" w:ascii="Nimbus Roman" w:hAnsi="Nimbus Roman" w:eastAsia="方正仿宋_GBK" w:cs="Nimbus Roman"/>
          <w:sz w:val="32"/>
          <w:szCs w:val="32"/>
        </w:rPr>
        <w:t>3</w:t>
      </w:r>
      <w:r>
        <w:rPr>
          <w:rFonts w:hint="eastAsia" w:ascii="方正仿宋_GBK" w:hAnsi="方正仿宋_GBK" w:eastAsia="方正仿宋_GBK" w:cs="方正仿宋_GBK"/>
          <w:sz w:val="32"/>
          <w:szCs w:val="32"/>
        </w:rPr>
        <w:t>月赴物流站开展快递员义诊。</w:t>
      </w:r>
      <w:r>
        <w:rPr>
          <w:rFonts w:hint="eastAsia" w:ascii="Nimbus Roman" w:hAnsi="Nimbus Roman" w:eastAsia="方正仿宋_GBK" w:cs="Nimbus Roman"/>
          <w:sz w:val="32"/>
          <w:szCs w:val="32"/>
        </w:rPr>
        <w:t>10</w:t>
      </w:r>
      <w:r>
        <w:rPr>
          <w:rFonts w:hint="eastAsia" w:ascii="方正仿宋_GBK" w:hAnsi="方正仿宋_GBK" w:eastAsia="方正仿宋_GBK" w:cs="方正仿宋_GBK"/>
          <w:sz w:val="32"/>
          <w:szCs w:val="32"/>
        </w:rPr>
        <w:t>月开展“新就业形态劳动者移动体检活动”，为</w:t>
      </w:r>
      <w:r>
        <w:rPr>
          <w:rFonts w:hint="eastAsia" w:ascii="Nimbus Roman" w:hAnsi="Nimbus Roman" w:eastAsia="方正仿宋_GBK" w:cs="Nimbus Roman"/>
          <w:sz w:val="32"/>
          <w:szCs w:val="32"/>
        </w:rPr>
        <w:t>226</w:t>
      </w:r>
      <w:r>
        <w:rPr>
          <w:rFonts w:hint="eastAsia" w:ascii="方正仿宋_GBK" w:hAnsi="方正仿宋_GBK" w:eastAsia="方正仿宋_GBK" w:cs="方正仿宋_GBK"/>
          <w:sz w:val="32"/>
          <w:szCs w:val="32"/>
        </w:rPr>
        <w:t>名快递员、网约车司机、外卖配送员提供免费健康体检服务，</w:t>
      </w:r>
      <w:r>
        <w:rPr>
          <w:rFonts w:hint="eastAsia" w:ascii="Nimbus Roman" w:hAnsi="Nimbus Roman" w:eastAsia="方正仿宋_GBK" w:cs="Nimbus Roman"/>
          <w:sz w:val="32"/>
          <w:szCs w:val="32"/>
        </w:rPr>
        <w:t>12</w:t>
      </w:r>
      <w:r>
        <w:rPr>
          <w:rFonts w:hint="eastAsia" w:ascii="方正仿宋_GBK" w:hAnsi="方正仿宋_GBK" w:eastAsia="方正仿宋_GBK" w:cs="方正仿宋_GBK"/>
          <w:sz w:val="32"/>
          <w:szCs w:val="32"/>
        </w:rPr>
        <w:t>月开展“安全出行，平安归家”活动，为会同县美团、淘宝闪购、顺丰同城等平台的</w:t>
      </w:r>
      <w:r>
        <w:rPr>
          <w:rFonts w:hint="eastAsia" w:ascii="Nimbus Roman" w:hAnsi="Nimbus Roman" w:eastAsia="方正仿宋_GBK" w:cs="Nimbus Roman"/>
          <w:sz w:val="32"/>
          <w:szCs w:val="32"/>
        </w:rPr>
        <w:t>187</w:t>
      </w:r>
      <w:r>
        <w:rPr>
          <w:rFonts w:hint="eastAsia" w:ascii="方正仿宋_GBK" w:hAnsi="方正仿宋_GBK" w:eastAsia="方正仿宋_GBK" w:cs="方正仿宋_GBK"/>
          <w:sz w:val="32"/>
          <w:szCs w:val="32"/>
        </w:rPr>
        <w:t>名一线骑手送上保温杯、防风手套、护膝等冬季实用慰问品。截至目前，累计为快递员、外卖员、货车司机等“送温暖”</w:t>
      </w:r>
      <w:r>
        <w:rPr>
          <w:rFonts w:hint="eastAsia" w:ascii="Nimbus Roman" w:hAnsi="Nimbus Roman" w:eastAsia="方正仿宋_GBK" w:cs="Nimbus Roman"/>
          <w:sz w:val="32"/>
          <w:szCs w:val="32"/>
        </w:rPr>
        <w:t>395</w:t>
      </w:r>
      <w:r>
        <w:rPr>
          <w:rFonts w:hint="eastAsia" w:ascii="方正仿宋_GBK" w:hAnsi="方正仿宋_GBK" w:eastAsia="方正仿宋_GBK" w:cs="方正仿宋_GBK"/>
          <w:sz w:val="32"/>
          <w:szCs w:val="32"/>
        </w:rPr>
        <w:t>人次（</w:t>
      </w:r>
      <w:r>
        <w:rPr>
          <w:rFonts w:hint="eastAsia" w:ascii="Nimbus Roman" w:hAnsi="Nimbus Roman" w:eastAsia="方正仿宋_GBK" w:cs="Nimbus Roman"/>
          <w:sz w:val="32"/>
          <w:szCs w:val="32"/>
        </w:rPr>
        <w:t>4.245</w:t>
      </w:r>
      <w:r>
        <w:rPr>
          <w:rFonts w:hint="eastAsia" w:ascii="方正仿宋_GBK" w:hAnsi="方正仿宋_GBK" w:eastAsia="方正仿宋_GBK" w:cs="方正仿宋_GBK"/>
          <w:sz w:val="32"/>
          <w:szCs w:val="32"/>
        </w:rPr>
        <w:t>万元）、“送清凉”</w:t>
      </w:r>
      <w:r>
        <w:rPr>
          <w:rFonts w:hint="eastAsia" w:ascii="Nimbus Roman" w:hAnsi="Nimbus Roman" w:eastAsia="方正仿宋_GBK" w:cs="Nimbus Roman"/>
          <w:sz w:val="32"/>
          <w:szCs w:val="32"/>
        </w:rPr>
        <w:t>105</w:t>
      </w:r>
      <w:r>
        <w:rPr>
          <w:rFonts w:hint="eastAsia" w:ascii="方正仿宋_GBK" w:hAnsi="方正仿宋_GBK" w:eastAsia="方正仿宋_GBK" w:cs="方正仿宋_GBK"/>
          <w:sz w:val="32"/>
          <w:szCs w:val="32"/>
        </w:rPr>
        <w:t>人次（</w:t>
      </w:r>
      <w:r>
        <w:rPr>
          <w:rFonts w:hint="eastAsia" w:ascii="Nimbus Roman" w:hAnsi="Nimbus Roman" w:eastAsia="方正仿宋_GBK" w:cs="Nimbus Roman"/>
          <w:sz w:val="32"/>
          <w:szCs w:val="32"/>
        </w:rPr>
        <w:t>1.05</w:t>
      </w:r>
      <w:r>
        <w:rPr>
          <w:rFonts w:hint="eastAsia" w:ascii="方正仿宋_GBK" w:hAnsi="方正仿宋_GBK" w:eastAsia="方正仿宋_GBK" w:cs="方正仿宋_GBK"/>
          <w:sz w:val="32"/>
          <w:szCs w:val="32"/>
        </w:rPr>
        <w:t>万元）。</w:t>
      </w:r>
    </w:p>
    <w:p w14:paraId="2B4B5C6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充分发挥党建引领基层治理协调机制作用，务实创新、高效运作、协同推进。组建了由县委书记任总召集人、县委专职副书记和县委组织部部长任副总召集人、县委社会工作部部长和县委组织部分管副部长任召集人的党建引领基层治理协调机制。推动完成</w:t>
      </w:r>
      <w:r>
        <w:rPr>
          <w:rFonts w:hint="eastAsia" w:ascii="Nimbus Roman" w:hAnsi="Nimbus Roman" w:eastAsia="方正仿宋_GBK" w:cs="Nimbus Roman"/>
          <w:sz w:val="32"/>
          <w:szCs w:val="32"/>
        </w:rPr>
        <w:t>10</w:t>
      </w:r>
      <w:r>
        <w:rPr>
          <w:rFonts w:hint="eastAsia" w:ascii="方正仿宋_GBK" w:hAnsi="方正仿宋_GBK" w:eastAsia="方正仿宋_GBK" w:cs="方正仿宋_GBK"/>
          <w:sz w:val="32"/>
          <w:szCs w:val="32"/>
        </w:rPr>
        <w:t>名社区专职工作人员的招聘工作。全县共配备社区工作者</w:t>
      </w:r>
      <w:r>
        <w:rPr>
          <w:rFonts w:hint="eastAsia" w:ascii="Nimbus Roman" w:hAnsi="Nimbus Roman" w:eastAsia="方正仿宋_GBK" w:cs="Nimbus Roman"/>
          <w:sz w:val="32"/>
          <w:szCs w:val="32"/>
        </w:rPr>
        <w:t>136</w:t>
      </w:r>
      <w:r>
        <w:rPr>
          <w:rFonts w:hint="eastAsia" w:ascii="方正仿宋_GBK" w:hAnsi="方正仿宋_GBK" w:eastAsia="方正仿宋_GBK" w:cs="方正仿宋_GBK"/>
          <w:sz w:val="32"/>
          <w:szCs w:val="32"/>
        </w:rPr>
        <w:t>名，圆满完成“每万城镇常住人口配备</w:t>
      </w:r>
      <w:r>
        <w:rPr>
          <w:rFonts w:hint="eastAsia" w:ascii="Nimbus Roman" w:hAnsi="Nimbus Roman" w:eastAsia="方正仿宋_GBK" w:cs="Nimbus Roman"/>
          <w:sz w:val="32"/>
          <w:szCs w:val="32"/>
        </w:rPr>
        <w:t>18</w:t>
      </w:r>
      <w:r>
        <w:rPr>
          <w:rFonts w:hint="eastAsia" w:ascii="方正仿宋_GBK" w:hAnsi="方正仿宋_GBK" w:eastAsia="方正仿宋_GBK" w:cs="方正仿宋_GBK"/>
          <w:sz w:val="32"/>
          <w:szCs w:val="32"/>
        </w:rPr>
        <w:t>名社区工作者”工作目标。先后举办村（社区）党组织书记及村（居）委会主任培训班、村（社区）后备力量培育储备培训班，累计培训村（社区）干部</w:t>
      </w:r>
      <w:r>
        <w:rPr>
          <w:rFonts w:hint="eastAsia" w:ascii="Nimbus Roman" w:hAnsi="Nimbus Roman" w:eastAsia="方正仿宋_GBK" w:cs="Nimbus Roman"/>
          <w:sz w:val="32"/>
          <w:szCs w:val="32"/>
        </w:rPr>
        <w:t>486</w:t>
      </w:r>
      <w:r>
        <w:rPr>
          <w:rFonts w:hint="eastAsia" w:ascii="方正仿宋_GBK" w:hAnsi="方正仿宋_GBK" w:eastAsia="方正仿宋_GBK" w:cs="方正仿宋_GBK"/>
          <w:sz w:val="32"/>
          <w:szCs w:val="32"/>
        </w:rPr>
        <w:t>人，为基层治理注入强劲动力。</w:t>
      </w:r>
    </w:p>
    <w:p w14:paraId="5FC1D30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用心用情用力做好服务凝聚群众工作，守正创新、大胆作为、一体推进。</w:t>
      </w: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年，累计收集县处级以上领导干部各类问题</w:t>
      </w:r>
      <w:r>
        <w:rPr>
          <w:rFonts w:hint="eastAsia" w:ascii="Nimbus Roman" w:hAnsi="Nimbus Roman" w:eastAsia="方正仿宋_GBK" w:cs="Nimbus Roman"/>
          <w:sz w:val="32"/>
          <w:szCs w:val="32"/>
        </w:rPr>
        <w:t>503</w:t>
      </w:r>
      <w:r>
        <w:rPr>
          <w:rFonts w:hint="eastAsia" w:ascii="方正仿宋_GBK" w:hAnsi="方正仿宋_GBK" w:eastAsia="方正仿宋_GBK" w:cs="方正仿宋_GBK"/>
          <w:sz w:val="32"/>
          <w:szCs w:val="32"/>
        </w:rPr>
        <w:t>个，解决群众急难愁盼问题</w:t>
      </w:r>
      <w:r>
        <w:rPr>
          <w:rFonts w:hint="eastAsia" w:ascii="Nimbus Roman" w:hAnsi="Nimbus Roman" w:eastAsia="方正仿宋_GBK" w:cs="Nimbus Roman"/>
          <w:sz w:val="32"/>
          <w:szCs w:val="32"/>
        </w:rPr>
        <w:t>474</w:t>
      </w:r>
      <w:r>
        <w:rPr>
          <w:rFonts w:hint="eastAsia" w:ascii="方正仿宋_GBK" w:hAnsi="方正仿宋_GBK" w:eastAsia="方正仿宋_GBK" w:cs="方正仿宋_GBK"/>
          <w:sz w:val="32"/>
          <w:szCs w:val="32"/>
        </w:rPr>
        <w:t>个，征集合理化建议</w:t>
      </w:r>
      <w:r>
        <w:rPr>
          <w:rFonts w:hint="eastAsia" w:ascii="Nimbus Roman" w:hAnsi="Nimbus Roman" w:eastAsia="方正仿宋_GBK" w:cs="Nimbus Roman"/>
          <w:sz w:val="32"/>
          <w:szCs w:val="32"/>
        </w:rPr>
        <w:t>218</w:t>
      </w:r>
      <w:r>
        <w:rPr>
          <w:rFonts w:hint="eastAsia" w:ascii="方正仿宋_GBK" w:hAnsi="方正仿宋_GBK" w:eastAsia="方正仿宋_GBK" w:cs="方正仿宋_GBK"/>
          <w:sz w:val="32"/>
          <w:szCs w:val="32"/>
        </w:rPr>
        <w:t>条，对优质建议及时协调相关部门吸收采纳，推动调研成果转化为工作实效。全年共受理诉求来电</w:t>
      </w:r>
      <w:r>
        <w:rPr>
          <w:rFonts w:hint="eastAsia" w:ascii="Nimbus Roman" w:hAnsi="Nimbus Roman" w:eastAsia="方正仿宋_GBK" w:cs="Nimbus Roman"/>
          <w:sz w:val="32"/>
          <w:szCs w:val="32"/>
        </w:rPr>
        <w:t>14721</w:t>
      </w:r>
      <w:r>
        <w:rPr>
          <w:rFonts w:hint="eastAsia" w:ascii="方正仿宋_GBK" w:hAnsi="方正仿宋_GBK" w:eastAsia="方正仿宋_GBK" w:cs="方正仿宋_GBK"/>
          <w:sz w:val="32"/>
          <w:szCs w:val="32"/>
        </w:rPr>
        <w:t>件，受理（含网站、微信公众号、移动客户端等渠道）各类有效诉求（剔除重复诉求等）</w:t>
      </w:r>
      <w:r>
        <w:rPr>
          <w:rFonts w:hint="eastAsia" w:ascii="Nimbus Roman" w:hAnsi="Nimbus Roman" w:eastAsia="方正仿宋_GBK" w:cs="Nimbus Roman"/>
          <w:sz w:val="32"/>
          <w:szCs w:val="32"/>
        </w:rPr>
        <w:t>12202</w:t>
      </w:r>
      <w:r>
        <w:rPr>
          <w:rFonts w:hint="eastAsia" w:ascii="方正仿宋_GBK" w:hAnsi="方正仿宋_GBK" w:eastAsia="方正仿宋_GBK" w:cs="方正仿宋_GBK"/>
          <w:sz w:val="32"/>
          <w:szCs w:val="32"/>
        </w:rPr>
        <w:t>件。其中省长信箱派单</w:t>
      </w:r>
      <w:r>
        <w:rPr>
          <w:rFonts w:hint="eastAsia" w:ascii="Nimbus Roman" w:hAnsi="Nimbus Roman" w:eastAsia="方正仿宋_GBK" w:cs="Nimbus Roman"/>
          <w:sz w:val="32"/>
          <w:szCs w:val="32"/>
        </w:rPr>
        <w:t>11</w:t>
      </w:r>
      <w:r>
        <w:rPr>
          <w:rFonts w:hint="eastAsia" w:ascii="方正仿宋_GBK" w:hAnsi="方正仿宋_GBK" w:eastAsia="方正仿宋_GBK" w:cs="方正仿宋_GBK"/>
          <w:sz w:val="32"/>
          <w:szCs w:val="32"/>
        </w:rPr>
        <w:t>件、湘易办转办工单</w:t>
      </w:r>
      <w:r>
        <w:rPr>
          <w:rFonts w:hint="eastAsia" w:ascii="Nimbus Roman" w:hAnsi="Nimbus Roman" w:eastAsia="方正仿宋_GBK" w:cs="Nimbus Roman"/>
          <w:sz w:val="32"/>
          <w:szCs w:val="32"/>
        </w:rPr>
        <w:t>15</w:t>
      </w:r>
      <w:r>
        <w:rPr>
          <w:rFonts w:hint="eastAsia" w:ascii="方正仿宋_GBK" w:hAnsi="方正仿宋_GBK" w:eastAsia="方正仿宋_GBK" w:cs="方正仿宋_GBK"/>
          <w:sz w:val="32"/>
          <w:szCs w:val="32"/>
        </w:rPr>
        <w:t>件、中国政府网派单</w:t>
      </w:r>
      <w:r>
        <w:rPr>
          <w:rFonts w:hint="eastAsia" w:ascii="Nimbus Roman" w:hAnsi="Nimbus Roman" w:eastAsia="方正仿宋_GBK" w:cs="Nimbus Roman"/>
          <w:sz w:val="32"/>
          <w:szCs w:val="32"/>
        </w:rPr>
        <w:t>4</w:t>
      </w:r>
      <w:r>
        <w:rPr>
          <w:rFonts w:hint="eastAsia" w:ascii="方正仿宋_GBK" w:hAnsi="方正仿宋_GBK" w:eastAsia="方正仿宋_GBK" w:cs="方正仿宋_GBK"/>
          <w:sz w:val="32"/>
          <w:szCs w:val="32"/>
        </w:rPr>
        <w:t>件、省级</w:t>
      </w:r>
      <w:r>
        <w:rPr>
          <w:rFonts w:hint="eastAsia" w:ascii="Nimbus Roman" w:hAnsi="Nimbus Roman" w:eastAsia="方正仿宋_GBK" w:cs="Nimbus Roman"/>
          <w:sz w:val="32"/>
          <w:szCs w:val="32"/>
        </w:rPr>
        <w:t>12345</w:t>
      </w:r>
      <w:r>
        <w:rPr>
          <w:rFonts w:hint="eastAsia" w:ascii="方正仿宋_GBK" w:hAnsi="方正仿宋_GBK" w:eastAsia="方正仿宋_GBK" w:cs="方正仿宋_GBK"/>
          <w:sz w:val="32"/>
          <w:szCs w:val="32"/>
        </w:rPr>
        <w:t>派单</w:t>
      </w:r>
      <w:r>
        <w:rPr>
          <w:rFonts w:hint="eastAsia" w:ascii="Nimbus Roman" w:hAnsi="Nimbus Roman" w:eastAsia="方正仿宋_GBK" w:cs="Nimbus Roman"/>
          <w:sz w:val="32"/>
          <w:szCs w:val="32"/>
        </w:rPr>
        <w:t>58</w:t>
      </w:r>
      <w:r>
        <w:rPr>
          <w:rFonts w:hint="eastAsia" w:ascii="方正仿宋_GBK" w:hAnsi="方正仿宋_GBK" w:eastAsia="方正仿宋_GBK" w:cs="方正仿宋_GBK"/>
          <w:sz w:val="32"/>
          <w:szCs w:val="32"/>
        </w:rPr>
        <w:t>件、市级</w:t>
      </w:r>
      <w:r>
        <w:rPr>
          <w:rFonts w:hint="eastAsia" w:ascii="Nimbus Roman" w:hAnsi="Nimbus Roman" w:eastAsia="方正仿宋_GBK" w:cs="Nimbus Roman"/>
          <w:sz w:val="32"/>
          <w:szCs w:val="32"/>
        </w:rPr>
        <w:t>12345</w:t>
      </w:r>
      <w:r>
        <w:rPr>
          <w:rFonts w:hint="eastAsia" w:ascii="方正仿宋_GBK" w:hAnsi="方正仿宋_GBK" w:eastAsia="方正仿宋_GBK" w:cs="方正仿宋_GBK"/>
          <w:sz w:val="32"/>
          <w:szCs w:val="32"/>
        </w:rPr>
        <w:t>派单</w:t>
      </w:r>
      <w:r>
        <w:rPr>
          <w:rFonts w:hint="eastAsia" w:ascii="Nimbus Roman" w:hAnsi="Nimbus Roman" w:eastAsia="方正仿宋_GBK" w:cs="Nimbus Roman"/>
          <w:sz w:val="32"/>
          <w:szCs w:val="32"/>
        </w:rPr>
        <w:t>21</w:t>
      </w:r>
      <w:r>
        <w:rPr>
          <w:rFonts w:hint="eastAsia" w:ascii="方正仿宋_GBK" w:hAnsi="方正仿宋_GBK" w:eastAsia="方正仿宋_GBK" w:cs="方正仿宋_GBK"/>
          <w:sz w:val="32"/>
          <w:szCs w:val="32"/>
        </w:rPr>
        <w:t>件、微信公众号转事件有效工单</w:t>
      </w:r>
      <w:r>
        <w:rPr>
          <w:rFonts w:hint="eastAsia" w:ascii="Nimbus Roman" w:hAnsi="Nimbus Roman" w:eastAsia="方正仿宋_GBK" w:cs="Nimbus Roman"/>
          <w:sz w:val="32"/>
          <w:szCs w:val="32"/>
        </w:rPr>
        <w:t>20</w:t>
      </w:r>
      <w:r>
        <w:rPr>
          <w:rFonts w:hint="eastAsia" w:ascii="方正仿宋_GBK" w:hAnsi="方正仿宋_GBK" w:eastAsia="方正仿宋_GBK" w:cs="方正仿宋_GBK"/>
          <w:sz w:val="32"/>
          <w:szCs w:val="32"/>
        </w:rPr>
        <w:t>件、</w:t>
      </w:r>
      <w:r>
        <w:rPr>
          <w:rFonts w:hint="eastAsia" w:ascii="Nimbus Roman" w:hAnsi="Nimbus Roman" w:eastAsia="方正仿宋_GBK" w:cs="Nimbus Roman"/>
          <w:sz w:val="32"/>
          <w:szCs w:val="32"/>
        </w:rPr>
        <w:t>110</w:t>
      </w:r>
      <w:r>
        <w:rPr>
          <w:rFonts w:hint="eastAsia" w:ascii="方正仿宋_GBK" w:hAnsi="方正仿宋_GBK" w:eastAsia="方正仿宋_GBK" w:cs="方正仿宋_GBK"/>
          <w:sz w:val="32"/>
          <w:szCs w:val="32"/>
        </w:rPr>
        <w:t>转事件</w:t>
      </w:r>
      <w:r>
        <w:rPr>
          <w:rFonts w:hint="eastAsia" w:ascii="Nimbus Roman" w:hAnsi="Nimbus Roman" w:eastAsia="方正仿宋_GBK" w:cs="Nimbus Roman"/>
          <w:sz w:val="32"/>
          <w:szCs w:val="32"/>
        </w:rPr>
        <w:t>147</w:t>
      </w:r>
      <w:r>
        <w:rPr>
          <w:rFonts w:hint="eastAsia" w:ascii="方正仿宋_GBK" w:hAnsi="方正仿宋_GBK" w:eastAsia="方正仿宋_GBK" w:cs="方正仿宋_GBK"/>
          <w:sz w:val="32"/>
          <w:szCs w:val="32"/>
        </w:rPr>
        <w:t>件。全县总接通率</w:t>
      </w:r>
      <w:r>
        <w:rPr>
          <w:rFonts w:hint="eastAsia" w:ascii="Nimbus Roman" w:hAnsi="Nimbus Roman" w:eastAsia="方正仿宋_GBK" w:cs="Nimbus Roman"/>
          <w:sz w:val="32"/>
          <w:szCs w:val="32"/>
        </w:rPr>
        <w:t>99%</w:t>
      </w:r>
      <w:r>
        <w:rPr>
          <w:rFonts w:hint="eastAsia" w:ascii="方正仿宋_GBK" w:hAnsi="方正仿宋_GBK" w:eastAsia="方正仿宋_GBK" w:cs="方正仿宋_GBK"/>
          <w:sz w:val="32"/>
          <w:szCs w:val="32"/>
        </w:rPr>
        <w:t>，在线办结率</w:t>
      </w:r>
      <w:r>
        <w:rPr>
          <w:rFonts w:hint="eastAsia" w:ascii="Nimbus Roman" w:hAnsi="Nimbus Roman" w:eastAsia="方正仿宋_GBK" w:cs="Nimbus Roman"/>
          <w:sz w:val="32"/>
          <w:szCs w:val="32"/>
        </w:rPr>
        <w:t>89.34%</w:t>
      </w:r>
      <w:r>
        <w:rPr>
          <w:rFonts w:hint="eastAsia" w:ascii="方正仿宋_GBK" w:hAnsi="方正仿宋_GBK" w:eastAsia="方正仿宋_GBK" w:cs="方正仿宋_GBK"/>
          <w:sz w:val="32"/>
          <w:szCs w:val="32"/>
        </w:rPr>
        <w:t>，按时办结率</w:t>
      </w:r>
      <w:r>
        <w:rPr>
          <w:rFonts w:hint="eastAsia" w:ascii="Nimbus Roman" w:hAnsi="Nimbus Roman" w:eastAsia="方正仿宋_GBK" w:cs="Nimbus Roman"/>
          <w:sz w:val="32"/>
          <w:szCs w:val="32"/>
        </w:rPr>
        <w:t>100%</w:t>
      </w:r>
      <w:r>
        <w:rPr>
          <w:rFonts w:hint="eastAsia" w:ascii="方正仿宋_GBK" w:hAnsi="方正仿宋_GBK" w:eastAsia="方正仿宋_GBK" w:cs="方正仿宋_GBK"/>
          <w:sz w:val="32"/>
          <w:szCs w:val="32"/>
        </w:rPr>
        <w:t>，回访率</w:t>
      </w:r>
      <w:r>
        <w:rPr>
          <w:rFonts w:hint="eastAsia" w:ascii="Nimbus Roman" w:hAnsi="Nimbus Roman" w:eastAsia="方正仿宋_GBK" w:cs="Nimbus Roman"/>
          <w:sz w:val="32"/>
          <w:szCs w:val="32"/>
        </w:rPr>
        <w:t>100%</w:t>
      </w:r>
      <w:r>
        <w:rPr>
          <w:rFonts w:hint="eastAsia" w:ascii="方正仿宋_GBK" w:hAnsi="方正仿宋_GBK" w:eastAsia="方正仿宋_GBK" w:cs="方正仿宋_GBK"/>
          <w:sz w:val="32"/>
          <w:szCs w:val="32"/>
        </w:rPr>
        <w:t>，话务回访满意率</w:t>
      </w:r>
      <w:r>
        <w:rPr>
          <w:rFonts w:hint="eastAsia" w:ascii="Nimbus Roman" w:hAnsi="Nimbus Roman" w:eastAsia="方正仿宋_GBK" w:cs="Nimbus Roman"/>
          <w:sz w:val="32"/>
          <w:szCs w:val="32"/>
        </w:rPr>
        <w:t>96.8%</w:t>
      </w:r>
      <w:r>
        <w:rPr>
          <w:rFonts w:hint="eastAsia" w:ascii="方正仿宋_GBK" w:hAnsi="方正仿宋_GBK" w:eastAsia="方正仿宋_GBK" w:cs="方正仿宋_GBK"/>
          <w:sz w:val="32"/>
          <w:szCs w:val="32"/>
        </w:rPr>
        <w:t>。</w:t>
      </w:r>
      <w:r>
        <w:rPr>
          <w:rFonts w:hint="eastAsia" w:ascii="Nimbus Roman" w:hAnsi="Nimbus Roman" w:eastAsia="方正仿宋_GBK" w:cs="Nimbus Roman"/>
          <w:sz w:val="32"/>
          <w:szCs w:val="32"/>
        </w:rPr>
        <w:t>2025</w:t>
      </w:r>
      <w:r>
        <w:rPr>
          <w:rFonts w:hint="eastAsia" w:ascii="方正仿宋_GBK" w:hAnsi="方正仿宋_GBK" w:eastAsia="方正仿宋_GBK" w:cs="方正仿宋_GBK"/>
          <w:sz w:val="32"/>
          <w:szCs w:val="32"/>
        </w:rPr>
        <w:t>年，全县志愿服务组织和志愿服务团队参与志愿服务</w:t>
      </w:r>
      <w:r>
        <w:rPr>
          <w:rFonts w:hint="eastAsia" w:ascii="Nimbus Roman" w:hAnsi="Nimbus Roman" w:eastAsia="方正仿宋_GBK" w:cs="Nimbus Roman"/>
          <w:sz w:val="32"/>
          <w:szCs w:val="32"/>
        </w:rPr>
        <w:t>1800</w:t>
      </w:r>
      <w:r>
        <w:rPr>
          <w:rFonts w:hint="eastAsia" w:ascii="方正仿宋_GBK" w:hAnsi="方正仿宋_GBK" w:eastAsia="方正仿宋_GBK" w:cs="方正仿宋_GBK"/>
          <w:sz w:val="32"/>
          <w:szCs w:val="32"/>
        </w:rPr>
        <w:t>余场次，参与活动志愿者累计</w:t>
      </w:r>
      <w:r>
        <w:rPr>
          <w:rFonts w:hint="eastAsia" w:ascii="Nimbus Roman" w:hAnsi="Nimbus Roman" w:eastAsia="方正仿宋_GBK" w:cs="Nimbus Roman"/>
          <w:sz w:val="32"/>
          <w:szCs w:val="32"/>
        </w:rPr>
        <w:t>3500</w:t>
      </w:r>
      <w:r>
        <w:rPr>
          <w:rFonts w:hint="eastAsia" w:ascii="方正仿宋_GBK" w:hAnsi="方正仿宋_GBK" w:eastAsia="方正仿宋_GBK" w:cs="方正仿宋_GBK"/>
          <w:sz w:val="32"/>
          <w:szCs w:val="32"/>
        </w:rPr>
        <w:t>余人次，受益群众</w:t>
      </w:r>
      <w:r>
        <w:rPr>
          <w:rFonts w:hint="eastAsia" w:ascii="Nimbus Roman" w:hAnsi="Nimbus Roman" w:eastAsia="方正仿宋_GBK" w:cs="Nimbus Roman"/>
          <w:sz w:val="32"/>
          <w:szCs w:val="32"/>
        </w:rPr>
        <w:t>7</w:t>
      </w:r>
      <w:r>
        <w:rPr>
          <w:rFonts w:hint="eastAsia" w:ascii="方正仿宋_GBK" w:hAnsi="方正仿宋_GBK" w:eastAsia="方正仿宋_GBK" w:cs="方正仿宋_GBK"/>
          <w:sz w:val="32"/>
          <w:szCs w:val="32"/>
        </w:rPr>
        <w:t>万余人，志愿服务质效显著提升。</w:t>
      </w:r>
    </w:p>
    <w:p w14:paraId="5B6784F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（七）</w:t>
      </w:r>
      <w:r>
        <w:rPr>
          <w:rFonts w:hint="eastAsia" w:ascii="方正楷体_GBK" w:hAnsi="方正楷体_GBK" w:eastAsia="方正楷体_GBK" w:cs="方正楷体_GBK"/>
          <w:sz w:val="32"/>
          <w:szCs w:val="32"/>
        </w:rPr>
        <w:t>存在的问题及原因分析</w:t>
      </w:r>
    </w:p>
    <w:p w14:paraId="2E22E28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存在的问题：</w:t>
      </w:r>
    </w:p>
    <w:p w14:paraId="53341FC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1</w:t>
      </w:r>
      <w:r>
        <w:rPr>
          <w:rFonts w:hint="eastAsia" w:ascii="方正仿宋_GBK" w:hAnsi="方正仿宋_GBK" w:eastAsia="方正仿宋_GBK" w:cs="方正仿宋_GBK"/>
          <w:sz w:val="32"/>
          <w:szCs w:val="32"/>
        </w:rPr>
        <w:t>.绩效目标评价标准不够精细，缺乏可量化的指标。</w:t>
      </w:r>
    </w:p>
    <w:p w14:paraId="57093C9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Nimbus Roman" w:hAnsi="Nimbus Roman" w:eastAsia="方正仿宋_GBK" w:cs="Nimbus Roman"/>
          <w:sz w:val="32"/>
          <w:szCs w:val="32"/>
        </w:rPr>
        <w:t>2</w:t>
      </w:r>
      <w:r>
        <w:rPr>
          <w:rFonts w:hint="eastAsia" w:ascii="方正仿宋_GBK" w:hAnsi="方正仿宋_GBK" w:eastAsia="方正仿宋_GBK" w:cs="方正仿宋_GBK"/>
          <w:sz w:val="32"/>
          <w:szCs w:val="32"/>
        </w:rPr>
        <w:t>.年初预算不够精准，预算目标设置不够清晰，预算约束力不强，资金使用不规范。</w:t>
      </w:r>
    </w:p>
    <w:p w14:paraId="523FE93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原因分析：</w:t>
      </w:r>
    </w:p>
    <w:p w14:paraId="6A62E53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一是部门预算绩效管理措施不够完善，对绩效管理培训力度不足；二是前期缺乏与各部门的工作对接，在设定绩效目标时，部分项目效果指标缺乏相对应的数据支撑，以致无法衡量项目效果，影响客观评价。</w:t>
      </w:r>
    </w:p>
    <w:p w14:paraId="6409C9C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eastAsia="zh-CN"/>
        </w:rPr>
        <w:t>（八）</w:t>
      </w:r>
      <w:r>
        <w:rPr>
          <w:rFonts w:hint="eastAsia" w:ascii="方正楷体_GBK" w:hAnsi="方正楷体_GBK" w:eastAsia="方正楷体_GBK" w:cs="方正楷体_GBK"/>
          <w:b w:val="0"/>
          <w:bCs w:val="0"/>
          <w:sz w:val="32"/>
          <w:szCs w:val="32"/>
        </w:rPr>
        <w:t>下一步改进措施</w:t>
      </w:r>
    </w:p>
    <w:p w14:paraId="1686BD4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一是加强部门预算整体绩效管理培训，提高绩效管理业务人员管理能力、专业素质和思想水平；二是建立科学的资金效益考评制度体系，不断提高资金使用管理水平和效率。</w:t>
      </w:r>
    </w:p>
    <w:p w14:paraId="21B6260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（九）</w:t>
      </w:r>
      <w:r>
        <w:rPr>
          <w:rFonts w:hint="eastAsia" w:ascii="方正楷体_GBK" w:hAnsi="方正楷体_GBK" w:eastAsia="方正楷体_GBK" w:cs="方正楷体_GBK"/>
          <w:sz w:val="32"/>
          <w:szCs w:val="32"/>
        </w:rPr>
        <w:t>绩效自评结果拟应用和公开情况</w:t>
      </w:r>
    </w:p>
    <w:p w14:paraId="7A970DD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无。</w:t>
      </w:r>
    </w:p>
    <w:p w14:paraId="73988D2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（十）</w:t>
      </w:r>
      <w:r>
        <w:rPr>
          <w:rFonts w:hint="eastAsia" w:ascii="方正楷体_GBK" w:hAnsi="方正楷体_GBK" w:eastAsia="方正楷体_GBK" w:cs="方正楷体_GBK"/>
          <w:sz w:val="32"/>
          <w:szCs w:val="32"/>
        </w:rPr>
        <w:t>其他需要说明的情况</w:t>
      </w:r>
    </w:p>
    <w:p w14:paraId="7130A7C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无。</w:t>
      </w:r>
    </w:p>
    <w:p w14:paraId="33F1ADF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p>
    <w:p w14:paraId="08A4FF4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p>
    <w:p w14:paraId="39E6F7E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Nimbus Roman">
    <w:altName w:val="FFont-Family"/>
    <w:panose1 w:val="00000500000000000000"/>
    <w:charset w:val="00"/>
    <w:family w:val="auto"/>
    <w:pitch w:val="default"/>
    <w:sig w:usb0="00000000" w:usb1="00000000" w:usb2="00000000" w:usb3="00000000" w:csb0="6000009F" w:csb1="00000000"/>
  </w:font>
  <w:font w:name="方正黑体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K">
    <w:altName w:val="微软雅黑"/>
    <w:panose1 w:val="02000000000000000000"/>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FFont-Family">
    <w:panose1 w:val="02000509000000000000"/>
    <w:charset w:val="00"/>
    <w:family w:val="auto"/>
    <w:pitch w:val="default"/>
    <w:sig w:usb0="00000001" w:usb1="00000000" w:usb2="00000000" w:usb3="00000000" w:csb0="0000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8A1B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5D292">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5FDD3">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C9F3C">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E3FC02">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3E3FC02">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CF51AA"/>
    <w:multiLevelType w:val="singleLevel"/>
    <w:tmpl w:val="BFCF51AA"/>
    <w:lvl w:ilvl="0" w:tentative="0">
      <w:start w:val="1"/>
      <w:numFmt w:val="decimalEnclosedCircleChinese"/>
      <w:suff w:val="nothing"/>
      <w:lvlText w:val="%1　"/>
      <w:lvlJc w:val="left"/>
      <w:pPr>
        <w:ind w:left="0" w:firstLine="400"/>
      </w:pPr>
      <w:rPr>
        <w:rFonts w:hint="eastAsia"/>
      </w:rPr>
    </w:lvl>
  </w:abstractNum>
  <w:abstractNum w:abstractNumId="1">
    <w:nsid w:val="EBFB2559"/>
    <w:multiLevelType w:val="singleLevel"/>
    <w:tmpl w:val="EBFB2559"/>
    <w:lvl w:ilvl="0" w:tentative="0">
      <w:start w:val="1"/>
      <w:numFmt w:val="decimalEnclosedCircleChinese"/>
      <w:suff w:val="nothing"/>
      <w:lvlText w:val="%1　"/>
      <w:lvlJc w:val="left"/>
      <w:pPr>
        <w:ind w:left="0" w:firstLine="400"/>
      </w:pPr>
      <w:rPr>
        <w:rFonts w:hint="eastAsia"/>
      </w:rPr>
    </w:lvl>
  </w:abstractNum>
  <w:abstractNum w:abstractNumId="2">
    <w:nsid w:val="FBFE63D4"/>
    <w:multiLevelType w:val="singleLevel"/>
    <w:tmpl w:val="FBFE63D4"/>
    <w:lvl w:ilvl="0" w:tentative="0">
      <w:start w:val="3"/>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B3C2C"/>
    <w:rsid w:val="197B78DF"/>
    <w:rsid w:val="4F0F97C1"/>
    <w:rsid w:val="5F5F4F87"/>
    <w:rsid w:val="7998B654"/>
    <w:rsid w:val="7D2F707A"/>
    <w:rsid w:val="DFE773D9"/>
    <w:rsid w:val="EC7F0260"/>
    <w:rsid w:val="F6BF7384"/>
    <w:rsid w:val="FBB845DA"/>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table" w:styleId="10">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12938</Words>
  <Characters>14887</Characters>
  <Lines>69</Lines>
  <Paragraphs>19</Paragraphs>
  <TotalTime>13</TotalTime>
  <ScaleCrop>false</ScaleCrop>
  <LinksUpToDate>false</LinksUpToDate>
  <CharactersWithSpaces>16111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2025-08-21T02:17:00Z</dcterms:created>
  <dc:creator>李航 null</dc:creator>
  <cp:lastModifiedBy>燕</cp:lastModifiedBy>
  <cp:lastPrinted>2024-08-11T10:20:00Z</cp:lastPrinted>
  <dcterms:modified xsi:type="dcterms:W3CDTF">2026-10-22T01:17:21Z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eyJoZGlkIjoiMjczMzY5YThhNWFjZDE4OTkyYTIxZTVkMjk0MGIyYjIiLCJ1c2VySWQiOiI2MjQyMjY1MTUifQ==</vt:lpwstr>
  </property>
</Properties>
</file>