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1C146">
      <w:pPr>
        <w:pStyle w:val="13"/>
        <w:jc w:val="center"/>
        <w:rPr>
          <w:rFonts w:ascii="Times New Roman" w:hAnsi="Times New Roman" w:cs="Times New Roman"/>
          <w:sz w:val="56"/>
          <w:szCs w:val="56"/>
        </w:rPr>
      </w:pPr>
    </w:p>
    <w:p w14:paraId="3DC53611">
      <w:pPr>
        <w:pStyle w:val="13"/>
        <w:jc w:val="center"/>
        <w:rPr>
          <w:rFonts w:ascii="Times New Roman" w:hAnsi="Times New Roman" w:cs="Times New Roman"/>
          <w:sz w:val="84"/>
          <w:szCs w:val="84"/>
        </w:rPr>
      </w:pPr>
    </w:p>
    <w:p w14:paraId="5B30AE34">
      <w:pPr>
        <w:pStyle w:val="13"/>
        <w:jc w:val="center"/>
        <w:rPr>
          <w:rFonts w:ascii="Times New Roman" w:hAnsi="Times New Roman" w:cs="Times New Roman"/>
          <w:sz w:val="84"/>
          <w:szCs w:val="84"/>
        </w:rPr>
      </w:pPr>
    </w:p>
    <w:p w14:paraId="1611C87E">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1B9E859">
      <w:pPr>
        <w:pStyle w:val="13"/>
        <w:jc w:val="center"/>
        <w:rPr>
          <w:rFonts w:hint="eastAsia" w:hAnsi="黑体"/>
          <w:color w:val="auto"/>
          <w:sz w:val="84"/>
          <w:szCs w:val="84"/>
          <w:highlight w:val="none"/>
          <w:lang w:eastAsia="zh-CN"/>
        </w:rPr>
      </w:pPr>
      <w:r>
        <w:rPr>
          <w:rFonts w:hint="eastAsia" w:hAnsi="黑体"/>
          <w:color w:val="auto"/>
          <w:sz w:val="84"/>
          <w:szCs w:val="84"/>
          <w:highlight w:val="none"/>
          <w:lang w:val="en-US" w:eastAsia="zh-CN"/>
        </w:rPr>
        <w:t>政务服务中心</w:t>
      </w:r>
      <w:r>
        <w:rPr>
          <w:rFonts w:hint="eastAsia" w:hAnsi="黑体"/>
          <w:color w:val="auto"/>
          <w:sz w:val="84"/>
          <w:szCs w:val="84"/>
          <w:highlight w:val="none"/>
          <w:lang w:eastAsia="zh-CN"/>
        </w:rPr>
        <w:t>部门决算</w:t>
      </w:r>
    </w:p>
    <w:p w14:paraId="3B1055AF">
      <w:pPr>
        <w:pStyle w:val="13"/>
        <w:jc w:val="center"/>
        <w:rPr>
          <w:rFonts w:ascii="Times New Roman" w:hAnsi="Times New Roman" w:eastAsia="方正小标宋_GBK" w:cs="Times New Roman"/>
          <w:sz w:val="56"/>
          <w:szCs w:val="56"/>
        </w:rPr>
      </w:pPr>
    </w:p>
    <w:p w14:paraId="125C10A1">
      <w:pPr>
        <w:pStyle w:val="13"/>
        <w:jc w:val="center"/>
        <w:rPr>
          <w:rFonts w:ascii="Times New Roman" w:hAnsi="Times New Roman" w:cs="Times New Roman"/>
          <w:sz w:val="56"/>
          <w:szCs w:val="56"/>
        </w:rPr>
      </w:pPr>
    </w:p>
    <w:p w14:paraId="5A2A857C">
      <w:pPr>
        <w:pStyle w:val="13"/>
        <w:rPr>
          <w:rFonts w:ascii="Times New Roman" w:hAnsi="Times New Roman" w:cs="Times New Roman"/>
          <w:sz w:val="56"/>
          <w:szCs w:val="56"/>
        </w:rPr>
      </w:pPr>
    </w:p>
    <w:p w14:paraId="7941E7D8">
      <w:pPr>
        <w:pStyle w:val="13"/>
        <w:jc w:val="center"/>
        <w:rPr>
          <w:rFonts w:ascii="Times New Roman" w:hAnsi="Times New Roman" w:cs="Times New Roman"/>
          <w:sz w:val="32"/>
          <w:szCs w:val="32"/>
        </w:rPr>
      </w:pPr>
    </w:p>
    <w:p w14:paraId="6762BD75">
      <w:pPr>
        <w:pStyle w:val="13"/>
        <w:jc w:val="center"/>
        <w:rPr>
          <w:rFonts w:ascii="Times New Roman" w:hAnsi="Times New Roman" w:cs="Times New Roman"/>
          <w:sz w:val="32"/>
          <w:szCs w:val="32"/>
        </w:rPr>
      </w:pPr>
    </w:p>
    <w:p w14:paraId="16605F82">
      <w:pPr>
        <w:pStyle w:val="13"/>
        <w:jc w:val="center"/>
        <w:rPr>
          <w:rFonts w:ascii="Times New Roman" w:hAnsi="Times New Roman" w:cs="Times New Roman"/>
          <w:sz w:val="32"/>
          <w:szCs w:val="32"/>
        </w:rPr>
      </w:pPr>
    </w:p>
    <w:p w14:paraId="20C97C0F">
      <w:pPr>
        <w:pStyle w:val="13"/>
        <w:jc w:val="center"/>
        <w:rPr>
          <w:rFonts w:ascii="Times New Roman" w:hAnsi="Times New Roman" w:cs="Times New Roman"/>
          <w:sz w:val="32"/>
          <w:szCs w:val="32"/>
        </w:rPr>
      </w:pPr>
    </w:p>
    <w:p w14:paraId="3307CCF6">
      <w:pPr>
        <w:pStyle w:val="13"/>
        <w:jc w:val="center"/>
        <w:rPr>
          <w:rFonts w:ascii="Times New Roman" w:hAnsi="Times New Roman" w:cs="Times New Roman"/>
          <w:sz w:val="32"/>
          <w:szCs w:val="32"/>
        </w:rPr>
      </w:pPr>
    </w:p>
    <w:p w14:paraId="05C45045">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59C12DCC">
      <w:pPr>
        <w:pStyle w:val="13"/>
        <w:spacing w:line="600" w:lineRule="exact"/>
        <w:jc w:val="both"/>
        <w:rPr>
          <w:rFonts w:ascii="Times New Roman" w:hAnsi="Times New Roman" w:cs="Times New Roman"/>
          <w:b/>
          <w:sz w:val="36"/>
          <w:szCs w:val="28"/>
        </w:rPr>
      </w:pPr>
    </w:p>
    <w:p w14:paraId="7B48CF34">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F7870E0">
      <w:pPr>
        <w:pStyle w:val="13"/>
        <w:spacing w:line="600" w:lineRule="exact"/>
        <w:jc w:val="center"/>
        <w:rPr>
          <w:rFonts w:ascii="Times New Roman" w:hAnsi="Times New Roman" w:cs="Times New Roman"/>
          <w:b/>
          <w:sz w:val="36"/>
          <w:szCs w:val="28"/>
        </w:rPr>
      </w:pPr>
    </w:p>
    <w:p w14:paraId="204DAA2C">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XX部门（单位）概况</w:t>
      </w:r>
    </w:p>
    <w:p w14:paraId="77F65A9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497CE4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163E6C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E7A908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43E53F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2E7A14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5B7351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4C726A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CCA191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BAF311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8B66FD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8D3ACA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0F70F8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A2C358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AFEE7C6">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0B0D3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C252D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B7992B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6CFF1EF">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FC3DC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DB73BB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77FC38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7E9A0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B42908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4BEFCC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E6FF55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6BFBF95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377073A7">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165E08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1A204DD">
      <w:pPr>
        <w:pStyle w:val="13"/>
        <w:spacing w:line="600" w:lineRule="exact"/>
        <w:rPr>
          <w:rFonts w:ascii="Times New Roman" w:hAnsi="Times New Roman" w:cs="Times New Roman"/>
          <w:bCs/>
          <w:sz w:val="28"/>
          <w:szCs w:val="28"/>
        </w:rPr>
      </w:pPr>
    </w:p>
    <w:p w14:paraId="49867AE4">
      <w:pPr>
        <w:jc w:val="center"/>
        <w:rPr>
          <w:rFonts w:ascii="Times New Roman" w:hAnsi="Times New Roman" w:cs="Times New Roman"/>
          <w:sz w:val="72"/>
          <w:szCs w:val="72"/>
        </w:rPr>
      </w:pPr>
    </w:p>
    <w:p w14:paraId="343B91F1">
      <w:pPr>
        <w:jc w:val="center"/>
        <w:rPr>
          <w:rFonts w:ascii="Times New Roman" w:hAnsi="Times New Roman" w:cs="Times New Roman"/>
          <w:sz w:val="72"/>
          <w:szCs w:val="72"/>
        </w:rPr>
      </w:pPr>
    </w:p>
    <w:p w14:paraId="7F2795FB">
      <w:pPr>
        <w:jc w:val="center"/>
        <w:rPr>
          <w:rFonts w:ascii="Times New Roman" w:hAnsi="Times New Roman" w:cs="Times New Roman"/>
          <w:sz w:val="72"/>
          <w:szCs w:val="72"/>
        </w:rPr>
      </w:pPr>
    </w:p>
    <w:p w14:paraId="184ED6D5">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C259BAD">
      <w:pPr>
        <w:rPr>
          <w:rFonts w:ascii="Times New Roman" w:hAnsi="Times New Roman" w:eastAsia="方正小标宋_GBK" w:cs="Times New Roman"/>
          <w:sz w:val="72"/>
          <w:szCs w:val="72"/>
        </w:rPr>
      </w:pPr>
    </w:p>
    <w:p w14:paraId="07BF1D5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A1E0CCD">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会同县政务服务中心</w:t>
      </w:r>
      <w:r>
        <w:rPr>
          <w:rFonts w:ascii="Times New Roman" w:hAnsi="Times New Roman" w:eastAsia="方正小标宋_GBK" w:cs="Times New Roman"/>
          <w:sz w:val="52"/>
          <w:szCs w:val="52"/>
        </w:rPr>
        <w:t>概况</w:t>
      </w:r>
    </w:p>
    <w:p w14:paraId="424A1109">
      <w:pPr>
        <w:pStyle w:val="13"/>
        <w:spacing w:line="360" w:lineRule="auto"/>
        <w:jc w:val="center"/>
        <w:rPr>
          <w:rFonts w:ascii="Times New Roman" w:hAnsi="Times New Roman" w:eastAsia="方正小标宋_GBK" w:cs="Times New Roman"/>
          <w:sz w:val="52"/>
          <w:szCs w:val="52"/>
        </w:rPr>
      </w:pPr>
    </w:p>
    <w:p w14:paraId="71990940">
      <w:pPr>
        <w:pStyle w:val="3"/>
        <w:ind w:left="0" w:leftChars="0" w:firstLine="0" w:firstLineChars="0"/>
        <w:rPr>
          <w:rFonts w:ascii="Times New Roman" w:hAnsi="Times New Roman" w:cs="Times New Roman"/>
        </w:rPr>
      </w:pPr>
    </w:p>
    <w:p w14:paraId="69C64212">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D30A31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30" w:lineRule="atLeast"/>
        <w:ind w:left="0" w:right="0" w:firstLine="640"/>
        <w:jc w:val="both"/>
        <w:rPr>
          <w:rFonts w:hint="default" w:ascii="Helvetica" w:hAnsi="Helvetica" w:eastAsia="Helvetica" w:cs="Helvetica"/>
          <w:i w:val="0"/>
          <w:iCs w:val="0"/>
          <w:caps w:val="0"/>
          <w:color w:val="3D3D3D"/>
          <w:spacing w:val="0"/>
          <w:sz w:val="27"/>
          <w:szCs w:val="27"/>
        </w:rPr>
      </w:pPr>
      <w:r>
        <w:rPr>
          <w:rFonts w:hint="eastAsia" w:ascii="新宋体" w:hAnsi="新宋体" w:eastAsia="新宋体" w:cs="新宋体"/>
          <w:i w:val="0"/>
          <w:iCs w:val="0"/>
          <w:caps w:val="0"/>
          <w:color w:val="000000"/>
          <w:spacing w:val="0"/>
          <w:kern w:val="0"/>
          <w:sz w:val="32"/>
          <w:szCs w:val="32"/>
          <w:shd w:val="clear" w:fill="FFFFFF"/>
          <w:lang w:val="en-US" w:eastAsia="zh-CN" w:bidi="ar"/>
        </w:rPr>
        <w:t>会同县政务服务中心贯彻落实党中央、省委、市委和县委关于政务服务工作的方针和决策部署，全面落实县委关于政务服务工作的部署要求，在履行职责过程中坚持和加强党对政务服务工作的集中统一领导。其主要职责是：</w:t>
      </w:r>
    </w:p>
    <w:p w14:paraId="2AC187A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30" w:lineRule="atLeast"/>
        <w:ind w:left="0" w:right="0" w:firstLine="640"/>
        <w:jc w:val="both"/>
        <w:rPr>
          <w:rFonts w:hint="default" w:ascii="Helvetica" w:hAnsi="Helvetica" w:eastAsia="Helvetica" w:cs="Helvetica"/>
          <w:i w:val="0"/>
          <w:iCs w:val="0"/>
          <w:caps w:val="0"/>
          <w:color w:val="3D3D3D"/>
          <w:spacing w:val="0"/>
          <w:sz w:val="27"/>
          <w:szCs w:val="27"/>
        </w:rPr>
      </w:pPr>
      <w:r>
        <w:rPr>
          <w:rFonts w:hint="eastAsia" w:ascii="新宋体" w:hAnsi="新宋体" w:eastAsia="新宋体" w:cs="新宋体"/>
          <w:i w:val="0"/>
          <w:iCs w:val="0"/>
          <w:caps w:val="0"/>
          <w:color w:val="000000"/>
          <w:spacing w:val="0"/>
          <w:kern w:val="0"/>
          <w:sz w:val="32"/>
          <w:szCs w:val="32"/>
          <w:shd w:val="clear" w:fill="FFFFFF"/>
          <w:lang w:val="en-US" w:eastAsia="zh-CN" w:bidi="ar"/>
        </w:rPr>
        <w:t>1、按照国家、省、市、县关于政务公开、政务服务、电子政务方面的法律、法规、方针政策和标准规范开展工作，拟订相关发展规划、年度计划和措施办法并组织实施；为“放管服”改革、优化营商环境、“互联网+政务服务”等工作提供服务保障。</w:t>
      </w:r>
    </w:p>
    <w:p w14:paraId="46AE5B2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30" w:lineRule="atLeast"/>
        <w:ind w:left="0" w:right="0" w:firstLine="640"/>
        <w:jc w:val="both"/>
        <w:rPr>
          <w:rFonts w:hint="default" w:ascii="Helvetica" w:hAnsi="Helvetica" w:eastAsia="Helvetica" w:cs="Helvetica"/>
          <w:i w:val="0"/>
          <w:iCs w:val="0"/>
          <w:caps w:val="0"/>
          <w:color w:val="3D3D3D"/>
          <w:spacing w:val="0"/>
          <w:sz w:val="27"/>
          <w:szCs w:val="27"/>
        </w:rPr>
      </w:pPr>
      <w:r>
        <w:rPr>
          <w:rFonts w:hint="eastAsia" w:ascii="新宋体" w:hAnsi="新宋体" w:eastAsia="新宋体" w:cs="新宋体"/>
          <w:i w:val="0"/>
          <w:iCs w:val="0"/>
          <w:caps w:val="0"/>
          <w:color w:val="000000"/>
          <w:spacing w:val="0"/>
          <w:kern w:val="0"/>
          <w:sz w:val="32"/>
          <w:szCs w:val="32"/>
          <w:shd w:val="clear" w:fill="FFFFFF"/>
          <w:lang w:val="en-US" w:eastAsia="zh-CN" w:bidi="ar"/>
        </w:rPr>
        <w:t>2、承担县政府行政审批制度改革工作领导小组的日常事务性工作；协助组织各级各有关部门和单位集中开展行政审批和政务服务。</w:t>
      </w:r>
    </w:p>
    <w:p w14:paraId="63AE054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30" w:lineRule="atLeast"/>
        <w:ind w:left="0" w:right="0" w:firstLine="640"/>
        <w:jc w:val="both"/>
        <w:rPr>
          <w:rFonts w:hint="default" w:ascii="Helvetica" w:hAnsi="Helvetica" w:eastAsia="Helvetica" w:cs="Helvetica"/>
          <w:i w:val="0"/>
          <w:iCs w:val="0"/>
          <w:caps w:val="0"/>
          <w:color w:val="3D3D3D"/>
          <w:spacing w:val="0"/>
          <w:sz w:val="27"/>
          <w:szCs w:val="27"/>
        </w:rPr>
      </w:pPr>
      <w:r>
        <w:rPr>
          <w:rFonts w:hint="eastAsia" w:ascii="新宋体" w:hAnsi="新宋体" w:eastAsia="新宋体" w:cs="新宋体"/>
          <w:i w:val="0"/>
          <w:iCs w:val="0"/>
          <w:caps w:val="0"/>
          <w:color w:val="000000"/>
          <w:spacing w:val="0"/>
          <w:kern w:val="0"/>
          <w:sz w:val="32"/>
          <w:szCs w:val="32"/>
          <w:shd w:val="clear" w:fill="FFFFFF"/>
          <w:lang w:val="en-US" w:eastAsia="zh-CN" w:bidi="ar"/>
        </w:rPr>
        <w:t>3、协助配合工程建设项目审批制度改革、商事制度改革，协助开展对并联审批项目进行协调督查；负责为重点项目、招商引资、工程建设项目等提供代办服务。</w:t>
      </w:r>
    </w:p>
    <w:p w14:paraId="268C5A3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30" w:lineRule="atLeast"/>
        <w:ind w:left="0" w:right="0" w:firstLine="640"/>
        <w:jc w:val="both"/>
        <w:rPr>
          <w:rFonts w:hint="default" w:ascii="Helvetica" w:hAnsi="Helvetica" w:eastAsia="Helvetica" w:cs="Helvetica"/>
          <w:i w:val="0"/>
          <w:iCs w:val="0"/>
          <w:caps w:val="0"/>
          <w:color w:val="3D3D3D"/>
          <w:spacing w:val="0"/>
          <w:sz w:val="27"/>
          <w:szCs w:val="27"/>
        </w:rPr>
      </w:pPr>
      <w:r>
        <w:rPr>
          <w:rFonts w:hint="eastAsia" w:ascii="新宋体" w:hAnsi="新宋体" w:eastAsia="新宋体" w:cs="新宋体"/>
          <w:i w:val="0"/>
          <w:iCs w:val="0"/>
          <w:caps w:val="0"/>
          <w:color w:val="000000"/>
          <w:spacing w:val="0"/>
          <w:kern w:val="0"/>
          <w:sz w:val="32"/>
          <w:szCs w:val="32"/>
          <w:shd w:val="clear" w:fill="FFFFFF"/>
          <w:lang w:val="en-US" w:eastAsia="zh-CN" w:bidi="ar"/>
        </w:rPr>
        <w:t>4、负责本级政务大厅建设和维护工作，协调指导乡镇政务（便民）服务大厅建设运行工作；承担进驻县政务大厅的办事窗口及政务服务事项的指导、协调和管理等事务，提供咨询、导办服务。</w:t>
      </w:r>
    </w:p>
    <w:p w14:paraId="75374EB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30" w:lineRule="atLeast"/>
        <w:ind w:left="0" w:right="0" w:firstLine="640"/>
        <w:jc w:val="both"/>
        <w:rPr>
          <w:rFonts w:hint="default" w:ascii="Helvetica" w:hAnsi="Helvetica" w:eastAsia="Helvetica" w:cs="Helvetica"/>
          <w:i w:val="0"/>
          <w:iCs w:val="0"/>
          <w:caps w:val="0"/>
          <w:color w:val="3D3D3D"/>
          <w:spacing w:val="0"/>
          <w:sz w:val="27"/>
          <w:szCs w:val="27"/>
        </w:rPr>
      </w:pPr>
      <w:r>
        <w:rPr>
          <w:rFonts w:hint="eastAsia" w:ascii="新宋体" w:hAnsi="新宋体" w:eastAsia="新宋体" w:cs="新宋体"/>
          <w:i w:val="0"/>
          <w:iCs w:val="0"/>
          <w:caps w:val="0"/>
          <w:color w:val="000000"/>
          <w:spacing w:val="0"/>
          <w:kern w:val="0"/>
          <w:sz w:val="32"/>
          <w:szCs w:val="32"/>
          <w:shd w:val="clear" w:fill="FFFFFF"/>
          <w:lang w:val="en-US" w:eastAsia="zh-CN" w:bidi="ar"/>
        </w:rPr>
        <w:t>5、负责研究制度政务大厅管理制度和运行规范，组织实施日常管理和绩效考评。</w:t>
      </w:r>
    </w:p>
    <w:p w14:paraId="1AB45CF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30" w:lineRule="atLeast"/>
        <w:ind w:left="0" w:right="0" w:firstLine="640"/>
        <w:jc w:val="both"/>
        <w:rPr>
          <w:rFonts w:hint="default" w:ascii="Helvetica" w:hAnsi="Helvetica" w:eastAsia="Helvetica" w:cs="Helvetica"/>
          <w:i w:val="0"/>
          <w:iCs w:val="0"/>
          <w:caps w:val="0"/>
          <w:color w:val="3D3D3D"/>
          <w:spacing w:val="0"/>
          <w:sz w:val="27"/>
          <w:szCs w:val="27"/>
        </w:rPr>
      </w:pPr>
      <w:r>
        <w:rPr>
          <w:rFonts w:hint="eastAsia" w:ascii="新宋体" w:hAnsi="新宋体" w:eastAsia="新宋体" w:cs="新宋体"/>
          <w:i w:val="0"/>
          <w:iCs w:val="0"/>
          <w:caps w:val="0"/>
          <w:color w:val="000000"/>
          <w:spacing w:val="0"/>
          <w:kern w:val="0"/>
          <w:sz w:val="32"/>
          <w:szCs w:val="32"/>
          <w:shd w:val="clear" w:fill="FFFFFF"/>
          <w:lang w:val="en-US" w:eastAsia="zh-CN" w:bidi="ar"/>
        </w:rPr>
        <w:t>6、负责对经县人民政府批准设立的各类专门办事大厅和分中心的政务服务工作的指导和督查考评；指导乡镇政务（便民）服务工作。</w:t>
      </w:r>
    </w:p>
    <w:p w14:paraId="51A1625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30" w:lineRule="atLeast"/>
        <w:ind w:left="0" w:right="0" w:firstLine="640"/>
        <w:jc w:val="both"/>
        <w:rPr>
          <w:rFonts w:hint="default" w:ascii="Helvetica" w:hAnsi="Helvetica" w:eastAsia="Helvetica" w:cs="Helvetica"/>
          <w:i w:val="0"/>
          <w:iCs w:val="0"/>
          <w:caps w:val="0"/>
          <w:color w:val="3D3D3D"/>
          <w:spacing w:val="0"/>
          <w:sz w:val="27"/>
          <w:szCs w:val="27"/>
        </w:rPr>
      </w:pPr>
      <w:r>
        <w:rPr>
          <w:rFonts w:hint="eastAsia" w:ascii="新宋体" w:hAnsi="新宋体" w:eastAsia="新宋体" w:cs="新宋体"/>
          <w:i w:val="0"/>
          <w:iCs w:val="0"/>
          <w:caps w:val="0"/>
          <w:color w:val="000000"/>
          <w:spacing w:val="0"/>
          <w:kern w:val="0"/>
          <w:sz w:val="32"/>
          <w:szCs w:val="32"/>
          <w:shd w:val="clear" w:fill="FFFFFF"/>
          <w:lang w:val="en-US" w:eastAsia="zh-CN" w:bidi="ar"/>
        </w:rPr>
        <w:t>7、承办县人民政府交办的其他工作</w:t>
      </w:r>
    </w:p>
    <w:p w14:paraId="70C56535">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832E146">
      <w:pPr>
        <w:widowControl/>
        <w:spacing w:line="600" w:lineRule="exact"/>
        <w:ind w:firstLine="300" w:firstLineChars="100"/>
        <w:rPr>
          <w:rFonts w:hint="default" w:ascii="新宋体" w:hAnsi="新宋体" w:eastAsia="新宋体" w:cs="新宋体"/>
          <w:i w:val="0"/>
          <w:iCs w:val="0"/>
          <w:caps w:val="0"/>
          <w:color w:val="000000"/>
          <w:spacing w:val="0"/>
          <w:kern w:val="0"/>
          <w:sz w:val="32"/>
          <w:szCs w:val="32"/>
          <w:shd w:val="clear" w:fill="FFFFFF"/>
          <w:lang w:val="en-US" w:eastAsia="zh-CN" w:bidi="ar"/>
        </w:rPr>
      </w:pPr>
      <w:r>
        <w:rPr>
          <w:rFonts w:hint="eastAsia" w:ascii="新宋体" w:hAnsi="新宋体" w:eastAsia="新宋体" w:cs="Times New Roman"/>
          <w:color w:val="000000"/>
          <w:kern w:val="0"/>
          <w:sz w:val="30"/>
          <w:szCs w:val="24"/>
          <w:shd w:val="clear" w:color="auto" w:fill="FFFFFF"/>
          <w:lang w:val="en-US" w:eastAsia="zh-CN" w:bidi="ar"/>
        </w:rPr>
        <w:t>（</w:t>
      </w:r>
      <w:r>
        <w:rPr>
          <w:rFonts w:hint="eastAsia" w:ascii="新宋体" w:hAnsi="新宋体" w:eastAsia="新宋体" w:cs="新宋体"/>
          <w:i w:val="0"/>
          <w:iCs w:val="0"/>
          <w:caps w:val="0"/>
          <w:color w:val="000000"/>
          <w:spacing w:val="0"/>
          <w:kern w:val="0"/>
          <w:sz w:val="32"/>
          <w:szCs w:val="32"/>
          <w:shd w:val="clear" w:fill="FFFFFF"/>
          <w:lang w:val="en-US" w:eastAsia="zh-CN" w:bidi="ar"/>
        </w:rPr>
        <w:t>一）内设机构设置。会同县政务服务中心内设机构包括：综合部、行政审批制度改革办公室、政务公开办公室、政务服务部、行政效能监察和政务大厅监管部、政府网站运维和网络运行保障部、县长热线办公室、政务服务代办部。</w:t>
      </w:r>
    </w:p>
    <w:p w14:paraId="301BA606">
      <w:pPr>
        <w:widowControl/>
        <w:spacing w:line="600" w:lineRule="exact"/>
        <w:ind w:firstLine="320" w:firstLineChars="100"/>
        <w:rPr>
          <w:rFonts w:hint="eastAsia" w:ascii="新宋体" w:hAnsi="新宋体" w:eastAsia="新宋体" w:cs="新宋体"/>
          <w:i w:val="0"/>
          <w:iCs w:val="0"/>
          <w:caps w:val="0"/>
          <w:color w:val="000000"/>
          <w:spacing w:val="0"/>
          <w:kern w:val="0"/>
          <w:sz w:val="32"/>
          <w:szCs w:val="32"/>
          <w:shd w:val="clear" w:fill="FFFFFF"/>
          <w:lang w:val="en-US" w:eastAsia="zh-CN" w:bidi="ar"/>
        </w:rPr>
      </w:pPr>
      <w:r>
        <w:rPr>
          <w:rFonts w:hint="eastAsia" w:ascii="新宋体" w:hAnsi="新宋体" w:eastAsia="新宋体" w:cs="新宋体"/>
          <w:i w:val="0"/>
          <w:iCs w:val="0"/>
          <w:caps w:val="0"/>
          <w:color w:val="000000"/>
          <w:spacing w:val="0"/>
          <w:kern w:val="0"/>
          <w:sz w:val="32"/>
          <w:szCs w:val="32"/>
          <w:shd w:val="clear" w:fill="FFFFFF"/>
          <w:lang w:val="en-US" w:eastAsia="zh-CN" w:bidi="ar"/>
        </w:rPr>
        <w:t>（二）决算单位构成。会同县政务服务中心2025年部门决算汇总公开单位构成包括：会同县政务服务中心本级。</w:t>
      </w:r>
    </w:p>
    <w:p w14:paraId="78E648F6">
      <w:pPr>
        <w:jc w:val="center"/>
        <w:rPr>
          <w:rFonts w:ascii="Times New Roman" w:hAnsi="Times New Roman" w:eastAsia="黑体" w:cs="Times New Roman"/>
          <w:sz w:val="28"/>
          <w:szCs w:val="28"/>
        </w:rPr>
      </w:pPr>
    </w:p>
    <w:p w14:paraId="4D2165BD">
      <w:pPr>
        <w:jc w:val="center"/>
        <w:rPr>
          <w:rFonts w:ascii="Times New Roman" w:hAnsi="Times New Roman" w:eastAsia="黑体" w:cs="Times New Roman"/>
          <w:sz w:val="28"/>
          <w:szCs w:val="28"/>
        </w:rPr>
      </w:pPr>
    </w:p>
    <w:p w14:paraId="7C088DEB">
      <w:pPr>
        <w:jc w:val="center"/>
        <w:rPr>
          <w:rFonts w:ascii="Times New Roman" w:hAnsi="Times New Roman" w:eastAsia="黑体" w:cs="Times New Roman"/>
          <w:sz w:val="28"/>
          <w:szCs w:val="28"/>
        </w:rPr>
      </w:pPr>
    </w:p>
    <w:p w14:paraId="2BF2013D">
      <w:pPr>
        <w:jc w:val="center"/>
        <w:rPr>
          <w:rFonts w:ascii="Times New Roman" w:hAnsi="Times New Roman" w:eastAsia="黑体" w:cs="Times New Roman"/>
          <w:sz w:val="28"/>
          <w:szCs w:val="28"/>
        </w:rPr>
      </w:pPr>
    </w:p>
    <w:p w14:paraId="5B51F98B">
      <w:pPr>
        <w:jc w:val="center"/>
        <w:rPr>
          <w:rFonts w:ascii="Times New Roman" w:hAnsi="Times New Roman" w:eastAsia="黑体" w:cs="Times New Roman"/>
          <w:sz w:val="28"/>
          <w:szCs w:val="28"/>
        </w:rPr>
      </w:pPr>
    </w:p>
    <w:p w14:paraId="16341DE3">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5AC876A">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79EB0B0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E1B82B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F9667E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692A8E7F">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613E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704C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2B5182F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1BD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360C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3B9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97EB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E369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BD5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18D0C7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BAD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40188">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0ABA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76E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F38F4">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43CF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50461B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6AED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C3F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136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310.32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C833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8A6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138B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92.48</w:t>
            </w:r>
          </w:p>
        </w:tc>
      </w:tr>
      <w:tr w14:paraId="586366E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0C17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829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B7603">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6FF6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6A0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2019">
            <w:pPr>
              <w:jc w:val="right"/>
              <w:rPr>
                <w:rFonts w:ascii="Times New Roman" w:hAnsi="Times New Roman" w:eastAsia="仿宋_GB2312" w:cs="Times New Roman"/>
                <w:color w:val="000000"/>
                <w:sz w:val="22"/>
              </w:rPr>
            </w:pPr>
          </w:p>
        </w:tc>
      </w:tr>
      <w:tr w14:paraId="091E956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989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654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A719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F40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605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99017">
            <w:pPr>
              <w:jc w:val="right"/>
              <w:rPr>
                <w:rFonts w:ascii="Times New Roman" w:hAnsi="Times New Roman" w:eastAsia="仿宋_GB2312" w:cs="Times New Roman"/>
                <w:color w:val="000000"/>
                <w:sz w:val="22"/>
              </w:rPr>
            </w:pPr>
          </w:p>
        </w:tc>
      </w:tr>
      <w:tr w14:paraId="4609801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334C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D78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C0B0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DCB6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077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580D2">
            <w:pPr>
              <w:jc w:val="right"/>
              <w:rPr>
                <w:rFonts w:ascii="Times New Roman" w:hAnsi="Times New Roman" w:eastAsia="仿宋_GB2312" w:cs="Times New Roman"/>
                <w:color w:val="000000"/>
                <w:sz w:val="22"/>
              </w:rPr>
            </w:pPr>
          </w:p>
        </w:tc>
      </w:tr>
      <w:tr w14:paraId="6C47CD8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EC03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3FE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3A90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900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821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08E8">
            <w:pPr>
              <w:jc w:val="right"/>
              <w:rPr>
                <w:rFonts w:ascii="Times New Roman" w:hAnsi="Times New Roman" w:eastAsia="仿宋_GB2312" w:cs="Times New Roman"/>
                <w:color w:val="000000"/>
                <w:sz w:val="22"/>
              </w:rPr>
            </w:pPr>
          </w:p>
        </w:tc>
      </w:tr>
      <w:tr w14:paraId="7CAA77A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DC9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774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21F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0D4E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23D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159E0">
            <w:pPr>
              <w:jc w:val="right"/>
              <w:rPr>
                <w:rFonts w:ascii="Times New Roman" w:hAnsi="Times New Roman" w:eastAsia="仿宋_GB2312" w:cs="Times New Roman"/>
                <w:color w:val="000000"/>
                <w:sz w:val="22"/>
              </w:rPr>
            </w:pPr>
          </w:p>
        </w:tc>
      </w:tr>
      <w:tr w14:paraId="11C7C1B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FB8D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439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442A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ADAF">
            <w:pPr>
              <w:widowControl/>
              <w:jc w:val="left"/>
              <w:textAlignment w:val="center"/>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277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8395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12.73</w:t>
            </w:r>
          </w:p>
        </w:tc>
      </w:tr>
      <w:tr w14:paraId="2869372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AE74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5B6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B3F37">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66F9E">
            <w:pPr>
              <w:jc w:val="lef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696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330A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   7.41</w:t>
            </w:r>
          </w:p>
        </w:tc>
      </w:tr>
      <w:tr w14:paraId="4C4B195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7EB6">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2EC20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56F9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B6E03">
            <w:pPr>
              <w:jc w:val="left"/>
              <w:rPr>
                <w:rFonts w:hint="eastAsia"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2"/>
                <w:szCs w:val="22"/>
                <w:lang w:val="en-US" w:eastAsia="zh-CN"/>
              </w:rPr>
              <w:t>九、城乡社区支出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119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5953D">
            <w:pPr>
              <w:jc w:val="right"/>
              <w:rPr>
                <w:rFonts w:hint="default" w:ascii="Times New Roman" w:hAnsi="Times New Roman" w:eastAsia="仿宋_GB2312" w:cs="Times New Roman"/>
                <w:b w:val="0"/>
                <w:bCs/>
                <w:color w:val="000000"/>
                <w:sz w:val="22"/>
                <w:lang w:val="en-US" w:eastAsia="zh-CN"/>
              </w:rPr>
            </w:pPr>
            <w:r>
              <w:rPr>
                <w:rFonts w:hint="eastAsia" w:ascii="Times New Roman" w:hAnsi="Times New Roman" w:eastAsia="仿宋_GB2312" w:cs="Times New Roman"/>
                <w:b w:val="0"/>
                <w:bCs/>
                <w:color w:val="000000"/>
                <w:sz w:val="22"/>
                <w:lang w:val="en-US" w:eastAsia="zh-CN"/>
              </w:rPr>
              <w:t>197.7</w:t>
            </w:r>
          </w:p>
        </w:tc>
      </w:tr>
      <w:tr w14:paraId="0706075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7CFA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7E9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EE94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248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009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3AB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310.32</w:t>
            </w:r>
          </w:p>
        </w:tc>
      </w:tr>
      <w:tr w14:paraId="159624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91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634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1BCF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CF1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8C6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FE435">
            <w:pPr>
              <w:rPr>
                <w:rFonts w:ascii="Times New Roman" w:hAnsi="Times New Roman" w:eastAsia="仿宋_GB2312" w:cs="Times New Roman"/>
                <w:color w:val="000000"/>
                <w:sz w:val="22"/>
              </w:rPr>
            </w:pPr>
          </w:p>
        </w:tc>
      </w:tr>
      <w:tr w14:paraId="7FA69F4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935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405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0FA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1AF9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7EC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01F06">
            <w:pPr>
              <w:rPr>
                <w:rFonts w:ascii="Times New Roman" w:hAnsi="Times New Roman" w:eastAsia="仿宋_GB2312" w:cs="Times New Roman"/>
                <w:color w:val="000000"/>
                <w:sz w:val="22"/>
              </w:rPr>
            </w:pPr>
          </w:p>
        </w:tc>
      </w:tr>
      <w:tr w14:paraId="7F1840C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9745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F80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41B3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310.32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2A37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C9B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085C">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310.32</w:t>
            </w:r>
          </w:p>
        </w:tc>
      </w:tr>
    </w:tbl>
    <w:p w14:paraId="4E86A926">
      <w:pPr>
        <w:widowControl/>
        <w:jc w:val="left"/>
        <w:textAlignment w:val="center"/>
        <w:rPr>
          <w:rFonts w:ascii="Times New Roman" w:hAnsi="Times New Roman" w:eastAsia="宋体" w:cs="Times New Roman"/>
          <w:color w:val="000000"/>
          <w:kern w:val="0"/>
          <w:sz w:val="24"/>
          <w:szCs w:val="24"/>
          <w:lang w:bidi="ar"/>
        </w:rPr>
      </w:pPr>
    </w:p>
    <w:p w14:paraId="68833BA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1609647D">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8A78BEA">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6A60E1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5299B8D">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3143B75">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会同县政务服务中心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hint="eastAsia" w:ascii="Times New Roman" w:hAnsi="Times New Roman" w:eastAsia="仿宋_GB2312" w:cs="Times New Roman"/>
          <w:sz w:val="24"/>
          <w:szCs w:val="24"/>
          <w:lang w:val="en-US" w:eastAsia="zh-CN"/>
        </w:rPr>
        <w:t>单位</w:t>
      </w:r>
      <w:r>
        <w:rPr>
          <w:rFonts w:ascii="Times New Roman" w:hAnsi="Times New Roman" w:eastAsia="仿宋_GB2312" w:cs="Times New Roman"/>
          <w:color w:val="000000"/>
          <w:sz w:val="20"/>
          <w:szCs w:val="20"/>
        </w:rPr>
        <w:t>万元</w:t>
      </w:r>
    </w:p>
    <w:tbl>
      <w:tblPr>
        <w:tblStyle w:val="9"/>
        <w:tblW w:w="14666" w:type="dxa"/>
        <w:jc w:val="center"/>
        <w:tblLayout w:type="fixed"/>
        <w:tblCellMar>
          <w:top w:w="0" w:type="dxa"/>
          <w:left w:w="0" w:type="dxa"/>
          <w:bottom w:w="0" w:type="dxa"/>
          <w:right w:w="0" w:type="dxa"/>
        </w:tblCellMar>
      </w:tblPr>
      <w:tblGrid>
        <w:gridCol w:w="1146"/>
        <w:gridCol w:w="2040"/>
        <w:gridCol w:w="1640"/>
        <w:gridCol w:w="1640"/>
        <w:gridCol w:w="1640"/>
        <w:gridCol w:w="1640"/>
        <w:gridCol w:w="1640"/>
        <w:gridCol w:w="1897"/>
        <w:gridCol w:w="1383"/>
      </w:tblGrid>
      <w:tr w14:paraId="72782035">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BB5EB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0E6DD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CB4140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A21C7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AAE3B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193AF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1498A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7444D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06227734">
        <w:tblPrEx>
          <w:tblCellMar>
            <w:top w:w="0" w:type="dxa"/>
            <w:left w:w="0" w:type="dxa"/>
            <w:bottom w:w="0" w:type="dxa"/>
            <w:right w:w="0" w:type="dxa"/>
          </w:tblCellMar>
        </w:tblPrEx>
        <w:trPr>
          <w:trHeight w:val="334" w:hRule="exact"/>
          <w:jc w:val="center"/>
        </w:trPr>
        <w:tc>
          <w:tcPr>
            <w:tcW w:w="114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2FC80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04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8AF04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6049E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C56FFF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009496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CE438C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486D3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3534F9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D55606D">
            <w:pPr>
              <w:rPr>
                <w:rFonts w:ascii="Times New Roman" w:hAnsi="Times New Roman" w:eastAsia="仿宋_GB2312" w:cs="Times New Roman"/>
                <w:sz w:val="24"/>
                <w:szCs w:val="24"/>
              </w:rPr>
            </w:pPr>
          </w:p>
        </w:tc>
      </w:tr>
      <w:tr w14:paraId="4FB402B7">
        <w:tblPrEx>
          <w:tblCellMar>
            <w:top w:w="0" w:type="dxa"/>
            <w:left w:w="0" w:type="dxa"/>
            <w:bottom w:w="0" w:type="dxa"/>
            <w:right w:w="0" w:type="dxa"/>
          </w:tblCellMar>
        </w:tblPrEx>
        <w:trPr>
          <w:trHeight w:val="312" w:hRule="atLeast"/>
          <w:jc w:val="center"/>
        </w:trPr>
        <w:tc>
          <w:tcPr>
            <w:tcW w:w="1146" w:type="dxa"/>
            <w:vMerge w:val="continue"/>
            <w:tcBorders>
              <w:top w:val="single" w:color="auto" w:sz="4" w:space="0"/>
              <w:left w:val="single" w:color="auto" w:sz="4" w:space="0"/>
              <w:bottom w:val="single" w:color="auto" w:sz="4" w:space="0"/>
              <w:right w:val="single" w:color="auto" w:sz="4" w:space="0"/>
            </w:tcBorders>
            <w:vAlign w:val="center"/>
          </w:tcPr>
          <w:p w14:paraId="66C053F4">
            <w:pPr>
              <w:rPr>
                <w:rFonts w:ascii="Times New Roman" w:hAnsi="Times New Roman" w:eastAsia="仿宋_GB2312" w:cs="Times New Roman"/>
                <w:sz w:val="24"/>
                <w:szCs w:val="24"/>
              </w:rPr>
            </w:pPr>
          </w:p>
        </w:tc>
        <w:tc>
          <w:tcPr>
            <w:tcW w:w="2040" w:type="dxa"/>
            <w:vMerge w:val="continue"/>
            <w:tcBorders>
              <w:top w:val="nil"/>
              <w:left w:val="single" w:color="auto" w:sz="4" w:space="0"/>
              <w:bottom w:val="single" w:color="auto" w:sz="4" w:space="0"/>
              <w:right w:val="single" w:color="auto" w:sz="4" w:space="0"/>
            </w:tcBorders>
            <w:vAlign w:val="center"/>
          </w:tcPr>
          <w:p w14:paraId="5D5647A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387FB1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0538E7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2F3279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7C9381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5803BC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241B57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B459D98">
            <w:pPr>
              <w:rPr>
                <w:rFonts w:ascii="Times New Roman" w:hAnsi="Times New Roman" w:eastAsia="仿宋_GB2312" w:cs="Times New Roman"/>
                <w:sz w:val="24"/>
                <w:szCs w:val="24"/>
              </w:rPr>
            </w:pPr>
          </w:p>
        </w:tc>
      </w:tr>
      <w:tr w14:paraId="52EFA7F0">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FE077A">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22805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259F9C">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2AF04B">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A714EC">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497F3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A1A8D2">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A5D72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4537A2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6BF0F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D1FA8">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310.32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633ED2">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310.32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2C84F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CEDD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222C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7BD80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ECEBE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FD8CB14">
        <w:tblPrEx>
          <w:tblCellMar>
            <w:top w:w="0" w:type="dxa"/>
            <w:left w:w="0" w:type="dxa"/>
            <w:bottom w:w="0" w:type="dxa"/>
            <w:right w:w="0" w:type="dxa"/>
          </w:tblCellMar>
        </w:tblPrEx>
        <w:trPr>
          <w:trHeight w:val="450" w:hRule="atLeast"/>
          <w:jc w:val="center"/>
        </w:trPr>
        <w:tc>
          <w:tcPr>
            <w:tcW w:w="11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BA7C2C">
            <w:pPr>
              <w:jc w:val="center"/>
              <w:rPr>
                <w:rFonts w:hint="eastAsia" w:ascii="新宋体" w:hAnsi="新宋体" w:eastAsia="新宋体" w:cs="新宋体"/>
                <w:color w:val="000000" w:themeColor="text1"/>
                <w:sz w:val="20"/>
                <w:szCs w:val="20"/>
                <w:lang w:val="en-US" w:eastAsia="zh-CN"/>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2010101</w:t>
            </w:r>
          </w:p>
        </w:tc>
        <w:tc>
          <w:tcPr>
            <w:tcW w:w="20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AF684B">
            <w:pPr>
              <w:jc w:val="center"/>
              <w:rPr>
                <w:rFonts w:hint="eastAsia" w:ascii="新宋体" w:hAnsi="新宋体" w:eastAsia="新宋体" w:cs="新宋体"/>
                <w:color w:val="000000" w:themeColor="text1"/>
                <w:sz w:val="20"/>
                <w:szCs w:val="20"/>
                <w:lang w:val="en-US" w:eastAsia="zh-CN"/>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EABAF6">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14.99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2E310D">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14.99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80F366">
            <w:pPr>
              <w:jc w:val="right"/>
              <w:rPr>
                <w:rFonts w:ascii="Times New Roman" w:hAnsi="Times New Roman" w:eastAsia="仿宋_GB2312" w:cs="Times New Roman"/>
                <w:sz w:val="20"/>
                <w:szCs w:val="20"/>
              </w:rPr>
            </w:pPr>
            <w:r>
              <w:rPr>
                <w:rFonts w:ascii="Times New Roman" w:hAnsi="Times New Roman" w:eastAsia="仿宋_GB2312" w:cs="Times New Roman"/>
                <w:sz w:val="20"/>
                <w:szCs w:val="20"/>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094F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485F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30A5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C6C7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80482B0">
        <w:tblPrEx>
          <w:tblCellMar>
            <w:top w:w="0" w:type="dxa"/>
            <w:left w:w="0" w:type="dxa"/>
            <w:bottom w:w="0" w:type="dxa"/>
            <w:right w:w="0" w:type="dxa"/>
          </w:tblCellMar>
        </w:tblPrEx>
        <w:trPr>
          <w:trHeight w:val="450" w:hRule="atLeast"/>
          <w:jc w:val="center"/>
        </w:trPr>
        <w:tc>
          <w:tcPr>
            <w:tcW w:w="11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4EC35E">
            <w:pPr>
              <w:jc w:val="center"/>
              <w:rPr>
                <w:rFonts w:hint="eastAsia" w:ascii="新宋体" w:hAnsi="新宋体" w:eastAsia="新宋体" w:cs="新宋体"/>
                <w:color w:val="000000" w:themeColor="text1"/>
                <w:sz w:val="20"/>
                <w:szCs w:val="20"/>
                <w:lang w:val="en-US" w:eastAsia="zh-CN"/>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2010301</w:t>
            </w:r>
          </w:p>
        </w:tc>
        <w:tc>
          <w:tcPr>
            <w:tcW w:w="20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182A6A">
            <w:pPr>
              <w:jc w:val="center"/>
              <w:rPr>
                <w:rFonts w:hint="eastAsia" w:ascii="新宋体" w:hAnsi="新宋体" w:eastAsia="新宋体" w:cs="新宋体"/>
                <w:color w:val="000000" w:themeColor="text1"/>
                <w:sz w:val="20"/>
                <w:szCs w:val="20"/>
                <w:lang w:val="en-US" w:eastAsia="zh-CN"/>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A57D91">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75F221">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1.47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D09A1A">
            <w:pPr>
              <w:jc w:val="right"/>
              <w:rPr>
                <w:rFonts w:ascii="Times New Roman" w:hAnsi="Times New Roman" w:eastAsia="仿宋_GB2312" w:cs="Times New Roman"/>
                <w:sz w:val="20"/>
                <w:szCs w:val="20"/>
              </w:rPr>
            </w:pPr>
            <w:r>
              <w:rPr>
                <w:rFonts w:ascii="Times New Roman" w:hAnsi="Times New Roman" w:eastAsia="仿宋_GB2312" w:cs="Times New Roman"/>
                <w:sz w:val="20"/>
                <w:szCs w:val="20"/>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4B978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C08F3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5D223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9CF9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10D6443">
        <w:tblPrEx>
          <w:tblCellMar>
            <w:top w:w="0" w:type="dxa"/>
            <w:left w:w="0" w:type="dxa"/>
            <w:bottom w:w="0" w:type="dxa"/>
            <w:right w:w="0" w:type="dxa"/>
          </w:tblCellMar>
        </w:tblPrEx>
        <w:trPr>
          <w:trHeight w:val="450" w:hRule="atLeast"/>
          <w:jc w:val="center"/>
        </w:trPr>
        <w:tc>
          <w:tcPr>
            <w:tcW w:w="11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9F8F42">
            <w:pPr>
              <w:jc w:val="center"/>
              <w:rPr>
                <w:rFonts w:hint="eastAsia" w:ascii="新宋体" w:hAnsi="新宋体" w:eastAsia="新宋体" w:cs="新宋体"/>
                <w:color w:val="000000" w:themeColor="text1"/>
                <w:sz w:val="20"/>
                <w:szCs w:val="20"/>
                <w:lang w:val="en-US" w:eastAsia="zh-CN"/>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2019999</w:t>
            </w:r>
          </w:p>
        </w:tc>
        <w:tc>
          <w:tcPr>
            <w:tcW w:w="20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7723FC">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29815A">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76.01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1591C">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76.01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69F841">
            <w:pPr>
              <w:jc w:val="right"/>
              <w:rPr>
                <w:rFonts w:ascii="Times New Roman" w:hAnsi="Times New Roman" w:eastAsia="仿宋_GB2312" w:cs="Times New Roman"/>
                <w:sz w:val="20"/>
                <w:szCs w:val="20"/>
              </w:rPr>
            </w:pPr>
            <w:r>
              <w:rPr>
                <w:rFonts w:ascii="Times New Roman" w:hAnsi="Times New Roman" w:eastAsia="仿宋_GB2312" w:cs="Times New Roman"/>
                <w:sz w:val="20"/>
                <w:szCs w:val="20"/>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A9DE2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CAE09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A53C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4A31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E9FE55C">
        <w:tblPrEx>
          <w:tblCellMar>
            <w:top w:w="0" w:type="dxa"/>
            <w:left w:w="0" w:type="dxa"/>
            <w:bottom w:w="0" w:type="dxa"/>
            <w:right w:w="0" w:type="dxa"/>
          </w:tblCellMar>
        </w:tblPrEx>
        <w:trPr>
          <w:trHeight w:val="450" w:hRule="atLeast"/>
          <w:jc w:val="center"/>
        </w:trPr>
        <w:tc>
          <w:tcPr>
            <w:tcW w:w="11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56DE7F">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2080505</w:t>
            </w:r>
          </w:p>
        </w:tc>
        <w:tc>
          <w:tcPr>
            <w:tcW w:w="20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4A75B8">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966049">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12.61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1BC0AB">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12.61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40E8B4">
            <w:pPr>
              <w:jc w:val="right"/>
              <w:rPr>
                <w:rFonts w:ascii="Times New Roman" w:hAnsi="Times New Roman" w:eastAsia="仿宋_GB2312" w:cs="Times New Roman"/>
                <w:sz w:val="20"/>
                <w:szCs w:val="20"/>
              </w:rPr>
            </w:pPr>
            <w:r>
              <w:rPr>
                <w:rFonts w:ascii="Times New Roman" w:hAnsi="Times New Roman" w:eastAsia="仿宋_GB2312" w:cs="Times New Roman"/>
                <w:sz w:val="20"/>
                <w:szCs w:val="20"/>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D4D93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016B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9B02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2EC1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F1181D9">
        <w:tblPrEx>
          <w:tblCellMar>
            <w:top w:w="0" w:type="dxa"/>
            <w:left w:w="0" w:type="dxa"/>
            <w:bottom w:w="0" w:type="dxa"/>
            <w:right w:w="0" w:type="dxa"/>
          </w:tblCellMar>
        </w:tblPrEx>
        <w:trPr>
          <w:trHeight w:val="450" w:hRule="atLeast"/>
          <w:jc w:val="center"/>
        </w:trPr>
        <w:tc>
          <w:tcPr>
            <w:tcW w:w="11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B55480">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2082799</w:t>
            </w:r>
          </w:p>
        </w:tc>
        <w:tc>
          <w:tcPr>
            <w:tcW w:w="20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DD657C">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其他财政对社会保险基金的补助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77B11E">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0.01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E1A91">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0.01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3D583E">
            <w:pPr>
              <w:jc w:val="right"/>
              <w:rPr>
                <w:rFonts w:ascii="Times New Roman" w:hAnsi="Times New Roman" w:eastAsia="仿宋_GB2312" w:cs="Times New Roman"/>
                <w:sz w:val="20"/>
                <w:szCs w:val="20"/>
              </w:rPr>
            </w:pPr>
            <w:r>
              <w:rPr>
                <w:rFonts w:ascii="Times New Roman" w:hAnsi="Times New Roman" w:eastAsia="仿宋_GB2312" w:cs="Times New Roman"/>
                <w:sz w:val="20"/>
                <w:szCs w:val="20"/>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6E2B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6D17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88E4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3BB0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0DD2293">
        <w:tblPrEx>
          <w:tblCellMar>
            <w:top w:w="0" w:type="dxa"/>
            <w:left w:w="0" w:type="dxa"/>
            <w:bottom w:w="0" w:type="dxa"/>
            <w:right w:w="0" w:type="dxa"/>
          </w:tblCellMar>
        </w:tblPrEx>
        <w:trPr>
          <w:trHeight w:val="450" w:hRule="atLeast"/>
          <w:jc w:val="center"/>
        </w:trPr>
        <w:tc>
          <w:tcPr>
            <w:tcW w:w="11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4F40F6">
            <w:pPr>
              <w:keepNext w:val="0"/>
              <w:keepLines w:val="0"/>
              <w:widowControl/>
              <w:suppressLineNumbers w:val="0"/>
              <w:jc w:val="center"/>
              <w:textAlignment w:val="center"/>
              <w:rPr>
                <w:rFonts w:hint="default"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2089999</w:t>
            </w:r>
          </w:p>
        </w:tc>
        <w:tc>
          <w:tcPr>
            <w:tcW w:w="20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0BB14D">
            <w:pPr>
              <w:keepNext w:val="0"/>
              <w:keepLines w:val="0"/>
              <w:widowControl/>
              <w:suppressLineNumbers w:val="0"/>
              <w:jc w:val="center"/>
              <w:textAlignment w:val="center"/>
              <w:rPr>
                <w:rFonts w:hint="default"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3CD4FF">
            <w:pPr>
              <w:jc w:val="center"/>
              <w:rPr>
                <w:rFonts w:hint="default" w:ascii="新宋体" w:hAnsi="新宋体" w:eastAsia="新宋体" w:cs="新宋体"/>
                <w:color w:val="000000" w:themeColor="text1"/>
                <w:sz w:val="20"/>
                <w:szCs w:val="20"/>
                <w:lang w:val="en-US" w:eastAsia="zh-CN"/>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0.12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F326E">
            <w:pPr>
              <w:jc w:val="center"/>
              <w:rPr>
                <w:rFonts w:hint="default" w:ascii="新宋体" w:hAnsi="新宋体" w:eastAsia="新宋体" w:cs="新宋体"/>
                <w:color w:val="000000" w:themeColor="text1"/>
                <w:sz w:val="20"/>
                <w:szCs w:val="20"/>
                <w:lang w:val="en-US" w:eastAsia="zh-CN"/>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0.12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F99A27">
            <w:pPr>
              <w:jc w:val="right"/>
              <w:rPr>
                <w:rFonts w:ascii="Times New Roman" w:hAnsi="Times New Roman" w:eastAsia="仿宋_GB2312" w:cs="Times New Roman"/>
                <w:sz w:val="20"/>
                <w:szCs w:val="20"/>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213F6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32FA85">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717FFF">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DD2313">
            <w:pPr>
              <w:jc w:val="right"/>
              <w:rPr>
                <w:rFonts w:ascii="Times New Roman" w:hAnsi="Times New Roman" w:eastAsia="仿宋_GB2312" w:cs="Times New Roman"/>
              </w:rPr>
            </w:pPr>
          </w:p>
        </w:tc>
      </w:tr>
      <w:tr w14:paraId="3EEA3266">
        <w:tblPrEx>
          <w:tblCellMar>
            <w:top w:w="0" w:type="dxa"/>
            <w:left w:w="0" w:type="dxa"/>
            <w:bottom w:w="0" w:type="dxa"/>
            <w:right w:w="0" w:type="dxa"/>
          </w:tblCellMar>
        </w:tblPrEx>
        <w:trPr>
          <w:trHeight w:val="450" w:hRule="atLeast"/>
          <w:jc w:val="center"/>
        </w:trPr>
        <w:tc>
          <w:tcPr>
            <w:tcW w:w="11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138B39">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2100199</w:t>
            </w:r>
          </w:p>
        </w:tc>
        <w:tc>
          <w:tcPr>
            <w:tcW w:w="204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D65C53">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其他卫生健康管理事务支出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856F1D">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7.41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52FD8E">
            <w:pPr>
              <w:jc w:val="center"/>
              <w:rPr>
                <w:rFonts w:hint="eastAsia" w:ascii="新宋体" w:hAnsi="新宋体" w:eastAsia="新宋体" w:cs="新宋体"/>
                <w:color w:val="000000" w:themeColor="text1"/>
                <w:sz w:val="20"/>
                <w:szCs w:val="20"/>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7.41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585353">
            <w:pPr>
              <w:jc w:val="right"/>
              <w:rPr>
                <w:rFonts w:ascii="Times New Roman" w:hAnsi="Times New Roman" w:eastAsia="仿宋_GB2312" w:cs="Times New Roman"/>
                <w:sz w:val="20"/>
                <w:szCs w:val="20"/>
              </w:rPr>
            </w:pPr>
            <w:r>
              <w:rPr>
                <w:rFonts w:ascii="Times New Roman" w:hAnsi="Times New Roman" w:eastAsia="仿宋_GB2312" w:cs="Times New Roman"/>
                <w:sz w:val="20"/>
                <w:szCs w:val="20"/>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D7F80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06F49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37CF4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B5EEB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69E39EA">
        <w:tblPrEx>
          <w:tblCellMar>
            <w:top w:w="0" w:type="dxa"/>
            <w:left w:w="0" w:type="dxa"/>
            <w:bottom w:w="0" w:type="dxa"/>
            <w:right w:w="0" w:type="dxa"/>
          </w:tblCellMar>
        </w:tblPrEx>
        <w:trPr>
          <w:trHeight w:val="450" w:hRule="atLeast"/>
          <w:jc w:val="center"/>
        </w:trPr>
        <w:tc>
          <w:tcPr>
            <w:tcW w:w="114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B8AB27">
            <w:pPr>
              <w:keepNext w:val="0"/>
              <w:keepLines w:val="0"/>
              <w:widowControl/>
              <w:suppressLineNumbers w:val="0"/>
              <w:jc w:val="center"/>
              <w:textAlignment w:val="cente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2120199</w:t>
            </w:r>
          </w:p>
        </w:tc>
        <w:tc>
          <w:tcPr>
            <w:tcW w:w="2040"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79F73C">
            <w:pPr>
              <w:keepNext w:val="0"/>
              <w:keepLines w:val="0"/>
              <w:widowControl/>
              <w:suppressLineNumbers w:val="0"/>
              <w:jc w:val="center"/>
              <w:textAlignment w:val="cente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其他城乡社区管理事务支出</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35B8A5">
            <w:pPr>
              <w:jc w:val="center"/>
              <w:rPr>
                <w:rFonts w:hint="eastAsia" w:ascii="新宋体" w:hAnsi="新宋体" w:eastAsia="新宋体" w:cs="新宋体"/>
                <w:color w:val="000000" w:themeColor="text1"/>
                <w:sz w:val="20"/>
                <w:szCs w:val="20"/>
                <w:lang w:val="en-US" w:eastAsia="zh-CN"/>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197.7</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0F12E4">
            <w:pPr>
              <w:jc w:val="center"/>
              <w:rPr>
                <w:rFonts w:hint="eastAsia" w:ascii="新宋体" w:hAnsi="新宋体" w:eastAsia="新宋体" w:cs="新宋体"/>
                <w:color w:val="000000" w:themeColor="text1"/>
                <w:sz w:val="20"/>
                <w:szCs w:val="20"/>
                <w:lang w:val="en-US" w:eastAsia="zh-CN"/>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197.7</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B32B9">
            <w:pPr>
              <w:jc w:val="right"/>
              <w:rPr>
                <w:rFonts w:ascii="Times New Roman" w:hAnsi="Times New Roman" w:eastAsia="仿宋_GB2312" w:cs="Times New Roman"/>
                <w:sz w:val="20"/>
                <w:szCs w:val="20"/>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A63690">
            <w:pPr>
              <w:jc w:val="right"/>
              <w:rPr>
                <w:rFonts w:ascii="Times New Roman" w:hAnsi="Times New Roman" w:eastAsia="仿宋_GB2312" w:cs="Times New Roman"/>
              </w:rPr>
            </w:pP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14EBAB">
            <w:pPr>
              <w:jc w:val="right"/>
              <w:rPr>
                <w:rFonts w:ascii="Times New Roman" w:hAnsi="Times New Roman" w:eastAsia="仿宋_GB2312" w:cs="Times New Roman"/>
              </w:rPr>
            </w:pP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476AC5">
            <w:pPr>
              <w:jc w:val="right"/>
              <w:rPr>
                <w:rFonts w:ascii="Times New Roman" w:hAnsi="Times New Roman" w:eastAsia="仿宋_GB2312" w:cs="Times New Roman"/>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267D60">
            <w:pPr>
              <w:jc w:val="right"/>
              <w:rPr>
                <w:rFonts w:ascii="Times New Roman" w:hAnsi="Times New Roman" w:eastAsia="仿宋_GB2312" w:cs="Times New Roman"/>
              </w:rPr>
            </w:pPr>
          </w:p>
        </w:tc>
      </w:tr>
    </w:tbl>
    <w:p w14:paraId="27F53719">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233D16B">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ECA734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CC0071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7C06E8C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autofit"/>
        <w:tblCellMar>
          <w:top w:w="0" w:type="dxa"/>
          <w:left w:w="108" w:type="dxa"/>
          <w:bottom w:w="0" w:type="dxa"/>
          <w:right w:w="108" w:type="dxa"/>
        </w:tblCellMar>
      </w:tblPr>
      <w:tblGrid>
        <w:gridCol w:w="2124"/>
        <w:gridCol w:w="3421"/>
        <w:gridCol w:w="1578"/>
        <w:gridCol w:w="1035"/>
        <w:gridCol w:w="1035"/>
        <w:gridCol w:w="1578"/>
        <w:gridCol w:w="1035"/>
        <w:gridCol w:w="2403"/>
      </w:tblGrid>
      <w:tr w14:paraId="3B343F27">
        <w:tblPrEx>
          <w:tblCellMar>
            <w:top w:w="0" w:type="dxa"/>
            <w:left w:w="108" w:type="dxa"/>
            <w:bottom w:w="0" w:type="dxa"/>
            <w:right w:w="108" w:type="dxa"/>
          </w:tblCellMar>
        </w:tblPrEx>
        <w:trPr>
          <w:trHeight w:val="595" w:hRule="atLeast"/>
          <w:jc w:val="center"/>
        </w:trPr>
        <w:tc>
          <w:tcPr>
            <w:tcW w:w="1950"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13532C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5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4DB50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96900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E805EB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5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17701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A26BA6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4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AF66B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5B547C9">
        <w:tblPrEx>
          <w:tblCellMar>
            <w:top w:w="0" w:type="dxa"/>
            <w:left w:w="108" w:type="dxa"/>
            <w:bottom w:w="0" w:type="dxa"/>
            <w:right w:w="108" w:type="dxa"/>
          </w:tblCellMar>
        </w:tblPrEx>
        <w:trPr>
          <w:trHeight w:val="312" w:hRule="exact"/>
          <w:jc w:val="center"/>
        </w:trPr>
        <w:tc>
          <w:tcPr>
            <w:tcW w:w="7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1F4457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03" w:type="pct"/>
            <w:vMerge w:val="restart"/>
            <w:tcBorders>
              <w:top w:val="nil"/>
              <w:left w:val="single" w:color="auto" w:sz="4" w:space="0"/>
              <w:bottom w:val="single" w:color="auto" w:sz="4" w:space="0"/>
              <w:right w:val="single" w:color="auto" w:sz="4" w:space="0"/>
            </w:tcBorders>
            <w:shd w:val="clear" w:color="000000" w:fill="FFFFFF"/>
            <w:vAlign w:val="center"/>
          </w:tcPr>
          <w:p w14:paraId="08738C1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55" w:type="pct"/>
            <w:vMerge w:val="continue"/>
            <w:tcBorders>
              <w:top w:val="single" w:color="auto" w:sz="4" w:space="0"/>
              <w:left w:val="single" w:color="auto" w:sz="4" w:space="0"/>
              <w:bottom w:val="single" w:color="auto" w:sz="4" w:space="0"/>
              <w:right w:val="single" w:color="auto" w:sz="4" w:space="0"/>
            </w:tcBorders>
            <w:vAlign w:val="center"/>
          </w:tcPr>
          <w:p w14:paraId="64E9A237">
            <w:pPr>
              <w:widowControl/>
              <w:jc w:val="left"/>
              <w:rPr>
                <w:rFonts w:ascii="Times New Roman" w:hAnsi="Times New Roman" w:eastAsia="仿宋_GB2312" w:cs="Times New Roman"/>
                <w:b/>
                <w:bCs/>
                <w:kern w:val="0"/>
                <w:sz w:val="24"/>
                <w:szCs w:val="24"/>
              </w:rPr>
            </w:pPr>
          </w:p>
        </w:tc>
        <w:tc>
          <w:tcPr>
            <w:tcW w:w="364" w:type="pct"/>
            <w:vMerge w:val="continue"/>
            <w:tcBorders>
              <w:top w:val="single" w:color="auto" w:sz="4" w:space="0"/>
              <w:left w:val="single" w:color="auto" w:sz="4" w:space="0"/>
              <w:bottom w:val="single" w:color="auto" w:sz="4" w:space="0"/>
              <w:right w:val="single" w:color="auto" w:sz="4" w:space="0"/>
            </w:tcBorders>
            <w:vAlign w:val="center"/>
          </w:tcPr>
          <w:p w14:paraId="6956C5D5">
            <w:pPr>
              <w:widowControl/>
              <w:jc w:val="left"/>
              <w:rPr>
                <w:rFonts w:ascii="Times New Roman" w:hAnsi="Times New Roman" w:eastAsia="仿宋_GB2312" w:cs="Times New Roman"/>
                <w:b/>
                <w:bCs/>
                <w:kern w:val="0"/>
                <w:sz w:val="24"/>
                <w:szCs w:val="24"/>
              </w:rPr>
            </w:pPr>
          </w:p>
        </w:tc>
        <w:tc>
          <w:tcPr>
            <w:tcW w:w="364" w:type="pct"/>
            <w:vMerge w:val="continue"/>
            <w:tcBorders>
              <w:top w:val="single" w:color="auto" w:sz="4" w:space="0"/>
              <w:left w:val="single" w:color="auto" w:sz="4" w:space="0"/>
              <w:bottom w:val="single" w:color="auto" w:sz="4" w:space="0"/>
              <w:right w:val="single" w:color="auto" w:sz="4" w:space="0"/>
            </w:tcBorders>
            <w:vAlign w:val="center"/>
          </w:tcPr>
          <w:p w14:paraId="5B3FC708">
            <w:pPr>
              <w:widowControl/>
              <w:jc w:val="left"/>
              <w:rPr>
                <w:rFonts w:ascii="Times New Roman" w:hAnsi="Times New Roman" w:eastAsia="仿宋_GB2312" w:cs="Times New Roman"/>
                <w:b/>
                <w:bCs/>
                <w:kern w:val="0"/>
                <w:sz w:val="24"/>
                <w:szCs w:val="24"/>
              </w:rPr>
            </w:pPr>
          </w:p>
        </w:tc>
        <w:tc>
          <w:tcPr>
            <w:tcW w:w="555" w:type="pct"/>
            <w:vMerge w:val="continue"/>
            <w:tcBorders>
              <w:top w:val="single" w:color="auto" w:sz="4" w:space="0"/>
              <w:left w:val="single" w:color="auto" w:sz="4" w:space="0"/>
              <w:bottom w:val="single" w:color="auto" w:sz="4" w:space="0"/>
              <w:right w:val="single" w:color="auto" w:sz="4" w:space="0"/>
            </w:tcBorders>
            <w:vAlign w:val="center"/>
          </w:tcPr>
          <w:p w14:paraId="6EE0B8C5">
            <w:pPr>
              <w:widowControl/>
              <w:jc w:val="left"/>
              <w:rPr>
                <w:rFonts w:ascii="Times New Roman" w:hAnsi="Times New Roman" w:eastAsia="仿宋_GB2312" w:cs="Times New Roman"/>
                <w:b/>
                <w:bCs/>
                <w:kern w:val="0"/>
                <w:sz w:val="24"/>
                <w:szCs w:val="24"/>
              </w:rPr>
            </w:pPr>
          </w:p>
        </w:tc>
        <w:tc>
          <w:tcPr>
            <w:tcW w:w="364" w:type="pct"/>
            <w:vMerge w:val="continue"/>
            <w:tcBorders>
              <w:top w:val="single" w:color="auto" w:sz="4" w:space="0"/>
              <w:left w:val="single" w:color="auto" w:sz="4" w:space="0"/>
              <w:bottom w:val="single" w:color="auto" w:sz="4" w:space="0"/>
              <w:right w:val="single" w:color="auto" w:sz="4" w:space="0"/>
            </w:tcBorders>
            <w:vAlign w:val="center"/>
          </w:tcPr>
          <w:p w14:paraId="487C364A">
            <w:pPr>
              <w:widowControl/>
              <w:jc w:val="left"/>
              <w:rPr>
                <w:rFonts w:ascii="Times New Roman" w:hAnsi="Times New Roman" w:eastAsia="仿宋_GB2312" w:cs="Times New Roman"/>
                <w:b/>
                <w:bCs/>
                <w:kern w:val="0"/>
                <w:sz w:val="24"/>
                <w:szCs w:val="24"/>
              </w:rPr>
            </w:pPr>
          </w:p>
        </w:tc>
        <w:tc>
          <w:tcPr>
            <w:tcW w:w="845" w:type="pct"/>
            <w:vMerge w:val="continue"/>
            <w:tcBorders>
              <w:top w:val="single" w:color="auto" w:sz="4" w:space="0"/>
              <w:left w:val="single" w:color="auto" w:sz="4" w:space="0"/>
              <w:bottom w:val="single" w:color="auto" w:sz="4" w:space="0"/>
              <w:right w:val="single" w:color="auto" w:sz="4" w:space="0"/>
            </w:tcBorders>
            <w:vAlign w:val="center"/>
          </w:tcPr>
          <w:p w14:paraId="6EB7E544">
            <w:pPr>
              <w:widowControl/>
              <w:jc w:val="left"/>
              <w:rPr>
                <w:rFonts w:ascii="Times New Roman" w:hAnsi="Times New Roman" w:eastAsia="仿宋_GB2312" w:cs="Times New Roman"/>
                <w:b/>
                <w:bCs/>
                <w:kern w:val="0"/>
                <w:sz w:val="24"/>
                <w:szCs w:val="24"/>
              </w:rPr>
            </w:pPr>
          </w:p>
        </w:tc>
      </w:tr>
      <w:tr w14:paraId="07E361B6">
        <w:tblPrEx>
          <w:tblCellMar>
            <w:top w:w="0" w:type="dxa"/>
            <w:left w:w="108" w:type="dxa"/>
            <w:bottom w:w="0" w:type="dxa"/>
            <w:right w:w="108" w:type="dxa"/>
          </w:tblCellMar>
        </w:tblPrEx>
        <w:trPr>
          <w:trHeight w:val="595" w:hRule="atLeast"/>
          <w:jc w:val="center"/>
        </w:trPr>
        <w:tc>
          <w:tcPr>
            <w:tcW w:w="747" w:type="pct"/>
            <w:vMerge w:val="continue"/>
            <w:tcBorders>
              <w:top w:val="single" w:color="auto" w:sz="4" w:space="0"/>
              <w:left w:val="single" w:color="auto" w:sz="4" w:space="0"/>
              <w:bottom w:val="single" w:color="auto" w:sz="4" w:space="0"/>
              <w:right w:val="single" w:color="auto" w:sz="4" w:space="0"/>
            </w:tcBorders>
            <w:vAlign w:val="center"/>
          </w:tcPr>
          <w:p w14:paraId="54DF0E9C">
            <w:pPr>
              <w:widowControl/>
              <w:jc w:val="left"/>
              <w:rPr>
                <w:rFonts w:ascii="Times New Roman" w:hAnsi="Times New Roman" w:eastAsia="仿宋_GB2312" w:cs="Times New Roman"/>
                <w:kern w:val="0"/>
                <w:sz w:val="24"/>
                <w:szCs w:val="24"/>
              </w:rPr>
            </w:pPr>
          </w:p>
        </w:tc>
        <w:tc>
          <w:tcPr>
            <w:tcW w:w="1203" w:type="pct"/>
            <w:vMerge w:val="continue"/>
            <w:tcBorders>
              <w:top w:val="nil"/>
              <w:left w:val="single" w:color="auto" w:sz="4" w:space="0"/>
              <w:bottom w:val="single" w:color="auto" w:sz="4" w:space="0"/>
              <w:right w:val="single" w:color="auto" w:sz="4" w:space="0"/>
            </w:tcBorders>
            <w:vAlign w:val="center"/>
          </w:tcPr>
          <w:p w14:paraId="44235110">
            <w:pPr>
              <w:widowControl/>
              <w:jc w:val="left"/>
              <w:rPr>
                <w:rFonts w:ascii="Times New Roman" w:hAnsi="Times New Roman" w:eastAsia="仿宋_GB2312" w:cs="Times New Roman"/>
                <w:kern w:val="0"/>
                <w:sz w:val="24"/>
                <w:szCs w:val="24"/>
              </w:rPr>
            </w:pPr>
          </w:p>
        </w:tc>
        <w:tc>
          <w:tcPr>
            <w:tcW w:w="555" w:type="pct"/>
            <w:vMerge w:val="continue"/>
            <w:tcBorders>
              <w:top w:val="single" w:color="auto" w:sz="4" w:space="0"/>
              <w:left w:val="single" w:color="auto" w:sz="4" w:space="0"/>
              <w:bottom w:val="single" w:color="auto" w:sz="4" w:space="0"/>
              <w:right w:val="single" w:color="auto" w:sz="4" w:space="0"/>
            </w:tcBorders>
            <w:vAlign w:val="center"/>
          </w:tcPr>
          <w:p w14:paraId="62D3CBD1">
            <w:pPr>
              <w:widowControl/>
              <w:jc w:val="left"/>
              <w:rPr>
                <w:rFonts w:ascii="Times New Roman" w:hAnsi="Times New Roman" w:eastAsia="仿宋_GB2312" w:cs="Times New Roman"/>
                <w:kern w:val="0"/>
                <w:sz w:val="24"/>
                <w:szCs w:val="24"/>
              </w:rPr>
            </w:pPr>
          </w:p>
        </w:tc>
        <w:tc>
          <w:tcPr>
            <w:tcW w:w="364" w:type="pct"/>
            <w:vMerge w:val="continue"/>
            <w:tcBorders>
              <w:top w:val="single" w:color="auto" w:sz="4" w:space="0"/>
              <w:left w:val="single" w:color="auto" w:sz="4" w:space="0"/>
              <w:bottom w:val="single" w:color="auto" w:sz="4" w:space="0"/>
              <w:right w:val="single" w:color="auto" w:sz="4" w:space="0"/>
            </w:tcBorders>
            <w:vAlign w:val="center"/>
          </w:tcPr>
          <w:p w14:paraId="77616B18">
            <w:pPr>
              <w:widowControl/>
              <w:jc w:val="left"/>
              <w:rPr>
                <w:rFonts w:ascii="Times New Roman" w:hAnsi="Times New Roman" w:eastAsia="仿宋_GB2312" w:cs="Times New Roman"/>
                <w:kern w:val="0"/>
                <w:sz w:val="24"/>
                <w:szCs w:val="24"/>
              </w:rPr>
            </w:pPr>
          </w:p>
        </w:tc>
        <w:tc>
          <w:tcPr>
            <w:tcW w:w="364" w:type="pct"/>
            <w:vMerge w:val="continue"/>
            <w:tcBorders>
              <w:top w:val="single" w:color="auto" w:sz="4" w:space="0"/>
              <w:left w:val="single" w:color="auto" w:sz="4" w:space="0"/>
              <w:bottom w:val="single" w:color="auto" w:sz="4" w:space="0"/>
              <w:right w:val="single" w:color="auto" w:sz="4" w:space="0"/>
            </w:tcBorders>
            <w:vAlign w:val="center"/>
          </w:tcPr>
          <w:p w14:paraId="6CE77696">
            <w:pPr>
              <w:widowControl/>
              <w:jc w:val="left"/>
              <w:rPr>
                <w:rFonts w:ascii="Times New Roman" w:hAnsi="Times New Roman" w:eastAsia="仿宋_GB2312" w:cs="Times New Roman"/>
                <w:kern w:val="0"/>
                <w:sz w:val="24"/>
                <w:szCs w:val="24"/>
              </w:rPr>
            </w:pPr>
          </w:p>
        </w:tc>
        <w:tc>
          <w:tcPr>
            <w:tcW w:w="555" w:type="pct"/>
            <w:vMerge w:val="continue"/>
            <w:tcBorders>
              <w:top w:val="single" w:color="auto" w:sz="4" w:space="0"/>
              <w:left w:val="single" w:color="auto" w:sz="4" w:space="0"/>
              <w:bottom w:val="single" w:color="auto" w:sz="4" w:space="0"/>
              <w:right w:val="single" w:color="auto" w:sz="4" w:space="0"/>
            </w:tcBorders>
            <w:vAlign w:val="center"/>
          </w:tcPr>
          <w:p w14:paraId="3ED97EAB">
            <w:pPr>
              <w:widowControl/>
              <w:jc w:val="left"/>
              <w:rPr>
                <w:rFonts w:ascii="Times New Roman" w:hAnsi="Times New Roman" w:eastAsia="仿宋_GB2312" w:cs="Times New Roman"/>
                <w:kern w:val="0"/>
                <w:sz w:val="24"/>
                <w:szCs w:val="24"/>
              </w:rPr>
            </w:pPr>
          </w:p>
        </w:tc>
        <w:tc>
          <w:tcPr>
            <w:tcW w:w="364" w:type="pct"/>
            <w:vMerge w:val="continue"/>
            <w:tcBorders>
              <w:top w:val="single" w:color="auto" w:sz="4" w:space="0"/>
              <w:left w:val="single" w:color="auto" w:sz="4" w:space="0"/>
              <w:bottom w:val="single" w:color="auto" w:sz="4" w:space="0"/>
              <w:right w:val="single" w:color="auto" w:sz="4" w:space="0"/>
            </w:tcBorders>
            <w:vAlign w:val="center"/>
          </w:tcPr>
          <w:p w14:paraId="78D23A82">
            <w:pPr>
              <w:widowControl/>
              <w:jc w:val="left"/>
              <w:rPr>
                <w:rFonts w:ascii="Times New Roman" w:hAnsi="Times New Roman" w:eastAsia="仿宋_GB2312" w:cs="Times New Roman"/>
                <w:kern w:val="0"/>
                <w:sz w:val="24"/>
                <w:szCs w:val="24"/>
              </w:rPr>
            </w:pPr>
          </w:p>
        </w:tc>
        <w:tc>
          <w:tcPr>
            <w:tcW w:w="845" w:type="pct"/>
            <w:vMerge w:val="continue"/>
            <w:tcBorders>
              <w:top w:val="single" w:color="auto" w:sz="4" w:space="0"/>
              <w:left w:val="single" w:color="auto" w:sz="4" w:space="0"/>
              <w:bottom w:val="single" w:color="auto" w:sz="4" w:space="0"/>
              <w:right w:val="single" w:color="auto" w:sz="4" w:space="0"/>
            </w:tcBorders>
            <w:vAlign w:val="center"/>
          </w:tcPr>
          <w:p w14:paraId="5F6785F5">
            <w:pPr>
              <w:widowControl/>
              <w:jc w:val="left"/>
              <w:rPr>
                <w:rFonts w:ascii="Times New Roman" w:hAnsi="Times New Roman" w:eastAsia="仿宋_GB2312" w:cs="Times New Roman"/>
                <w:kern w:val="0"/>
                <w:sz w:val="24"/>
                <w:szCs w:val="24"/>
              </w:rPr>
            </w:pPr>
          </w:p>
        </w:tc>
      </w:tr>
      <w:tr w14:paraId="68600CA3">
        <w:tblPrEx>
          <w:tblCellMar>
            <w:top w:w="0" w:type="dxa"/>
            <w:left w:w="108" w:type="dxa"/>
            <w:bottom w:w="0" w:type="dxa"/>
            <w:right w:w="108" w:type="dxa"/>
          </w:tblCellMar>
        </w:tblPrEx>
        <w:trPr>
          <w:trHeight w:val="595" w:hRule="atLeast"/>
          <w:jc w:val="center"/>
        </w:trPr>
        <w:tc>
          <w:tcPr>
            <w:tcW w:w="1950"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BB9A0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55" w:type="pct"/>
            <w:tcBorders>
              <w:top w:val="nil"/>
              <w:left w:val="nil"/>
              <w:bottom w:val="single" w:color="auto" w:sz="4" w:space="0"/>
              <w:right w:val="single" w:color="auto" w:sz="4" w:space="0"/>
            </w:tcBorders>
            <w:shd w:val="clear" w:color="000000" w:fill="FFFFFF"/>
            <w:noWrap/>
            <w:vAlign w:val="center"/>
          </w:tcPr>
          <w:p w14:paraId="28B22C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64" w:type="pct"/>
            <w:tcBorders>
              <w:top w:val="nil"/>
              <w:left w:val="nil"/>
              <w:bottom w:val="single" w:color="auto" w:sz="4" w:space="0"/>
              <w:right w:val="single" w:color="auto" w:sz="4" w:space="0"/>
            </w:tcBorders>
            <w:shd w:val="clear" w:color="000000" w:fill="FFFFFF"/>
            <w:noWrap/>
            <w:vAlign w:val="center"/>
          </w:tcPr>
          <w:p w14:paraId="4B72CA5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64" w:type="pct"/>
            <w:tcBorders>
              <w:top w:val="nil"/>
              <w:left w:val="nil"/>
              <w:bottom w:val="single" w:color="auto" w:sz="4" w:space="0"/>
              <w:right w:val="single" w:color="auto" w:sz="4" w:space="0"/>
            </w:tcBorders>
            <w:shd w:val="clear" w:color="000000" w:fill="FFFFFF"/>
            <w:noWrap/>
            <w:vAlign w:val="center"/>
          </w:tcPr>
          <w:p w14:paraId="0F159B8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55" w:type="pct"/>
            <w:tcBorders>
              <w:top w:val="nil"/>
              <w:left w:val="nil"/>
              <w:bottom w:val="single" w:color="auto" w:sz="4" w:space="0"/>
              <w:right w:val="single" w:color="auto" w:sz="4" w:space="0"/>
            </w:tcBorders>
            <w:shd w:val="clear" w:color="000000" w:fill="FFFFFF"/>
            <w:noWrap/>
            <w:vAlign w:val="center"/>
          </w:tcPr>
          <w:p w14:paraId="139B3B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64" w:type="pct"/>
            <w:tcBorders>
              <w:top w:val="nil"/>
              <w:left w:val="nil"/>
              <w:bottom w:val="single" w:color="auto" w:sz="4" w:space="0"/>
              <w:right w:val="single" w:color="auto" w:sz="4" w:space="0"/>
            </w:tcBorders>
            <w:shd w:val="clear" w:color="000000" w:fill="FFFFFF"/>
            <w:noWrap/>
            <w:vAlign w:val="center"/>
          </w:tcPr>
          <w:p w14:paraId="519E075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45" w:type="pct"/>
            <w:tcBorders>
              <w:top w:val="nil"/>
              <w:left w:val="nil"/>
              <w:bottom w:val="single" w:color="auto" w:sz="4" w:space="0"/>
              <w:right w:val="single" w:color="auto" w:sz="4" w:space="0"/>
            </w:tcBorders>
            <w:shd w:val="clear" w:color="000000" w:fill="FFFFFF"/>
            <w:noWrap/>
            <w:vAlign w:val="center"/>
          </w:tcPr>
          <w:p w14:paraId="5CF455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4DA8B4E">
        <w:tblPrEx>
          <w:tblCellMar>
            <w:top w:w="0" w:type="dxa"/>
            <w:left w:w="108" w:type="dxa"/>
            <w:bottom w:w="0" w:type="dxa"/>
            <w:right w:w="108" w:type="dxa"/>
          </w:tblCellMar>
        </w:tblPrEx>
        <w:trPr>
          <w:trHeight w:val="595" w:hRule="atLeast"/>
          <w:jc w:val="center"/>
        </w:trPr>
        <w:tc>
          <w:tcPr>
            <w:tcW w:w="1950"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DD019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55" w:type="pct"/>
            <w:tcBorders>
              <w:top w:val="nil"/>
              <w:left w:val="nil"/>
              <w:bottom w:val="single" w:color="auto" w:sz="4" w:space="0"/>
              <w:right w:val="single" w:color="auto" w:sz="4" w:space="0"/>
            </w:tcBorders>
            <w:shd w:val="clear" w:color="auto" w:fill="auto"/>
            <w:noWrap/>
            <w:vAlign w:val="center"/>
          </w:tcPr>
          <w:p w14:paraId="374BE74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310.32</w:t>
            </w:r>
          </w:p>
        </w:tc>
        <w:tc>
          <w:tcPr>
            <w:tcW w:w="364" w:type="pct"/>
            <w:tcBorders>
              <w:top w:val="nil"/>
              <w:left w:val="nil"/>
              <w:bottom w:val="single" w:color="auto" w:sz="4" w:space="0"/>
              <w:right w:val="single" w:color="auto" w:sz="4" w:space="0"/>
            </w:tcBorders>
            <w:shd w:val="clear" w:color="auto" w:fill="auto"/>
            <w:noWrap/>
            <w:vAlign w:val="center"/>
          </w:tcPr>
          <w:p w14:paraId="72E0214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57.61</w:t>
            </w:r>
          </w:p>
        </w:tc>
        <w:tc>
          <w:tcPr>
            <w:tcW w:w="364" w:type="pct"/>
            <w:tcBorders>
              <w:top w:val="nil"/>
              <w:left w:val="nil"/>
              <w:bottom w:val="single" w:color="auto" w:sz="4" w:space="0"/>
              <w:right w:val="single" w:color="auto" w:sz="4" w:space="0"/>
            </w:tcBorders>
            <w:shd w:val="clear" w:color="auto" w:fill="auto"/>
            <w:noWrap/>
            <w:vAlign w:val="center"/>
          </w:tcPr>
          <w:p w14:paraId="04DC236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252.71</w:t>
            </w:r>
          </w:p>
        </w:tc>
        <w:tc>
          <w:tcPr>
            <w:tcW w:w="555" w:type="pct"/>
            <w:tcBorders>
              <w:top w:val="nil"/>
              <w:left w:val="nil"/>
              <w:bottom w:val="single" w:color="auto" w:sz="4" w:space="0"/>
              <w:right w:val="single" w:color="auto" w:sz="4" w:space="0"/>
            </w:tcBorders>
            <w:shd w:val="clear" w:color="auto" w:fill="auto"/>
            <w:noWrap/>
            <w:vAlign w:val="center"/>
          </w:tcPr>
          <w:p w14:paraId="2B2B0A4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4" w:type="pct"/>
            <w:tcBorders>
              <w:top w:val="nil"/>
              <w:left w:val="nil"/>
              <w:bottom w:val="single" w:color="auto" w:sz="4" w:space="0"/>
              <w:right w:val="single" w:color="auto" w:sz="4" w:space="0"/>
            </w:tcBorders>
            <w:shd w:val="clear" w:color="auto" w:fill="auto"/>
            <w:noWrap/>
            <w:vAlign w:val="center"/>
          </w:tcPr>
          <w:p w14:paraId="096603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5" w:type="pct"/>
            <w:tcBorders>
              <w:top w:val="nil"/>
              <w:left w:val="nil"/>
              <w:bottom w:val="single" w:color="auto" w:sz="4" w:space="0"/>
              <w:right w:val="single" w:color="auto" w:sz="4" w:space="0"/>
            </w:tcBorders>
            <w:shd w:val="clear" w:color="auto" w:fill="auto"/>
            <w:noWrap/>
            <w:vAlign w:val="center"/>
          </w:tcPr>
          <w:p w14:paraId="4D006FA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3FADC66">
        <w:tblPrEx>
          <w:tblCellMar>
            <w:top w:w="0" w:type="dxa"/>
            <w:left w:w="108" w:type="dxa"/>
            <w:bottom w:w="0" w:type="dxa"/>
            <w:right w:w="108" w:type="dxa"/>
          </w:tblCellMar>
        </w:tblPrEx>
        <w:trPr>
          <w:trHeight w:val="595" w:hRule="atLeast"/>
          <w:jc w:val="center"/>
        </w:trPr>
        <w:tc>
          <w:tcPr>
            <w:tcW w:w="74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1AC9537">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2010101</w:t>
            </w:r>
          </w:p>
        </w:tc>
        <w:tc>
          <w:tcPr>
            <w:tcW w:w="120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B7D660">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行政运行</w:t>
            </w: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C1D3DB">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14.99</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C38E00">
            <w:pPr>
              <w:widowControl/>
              <w:jc w:val="center"/>
              <w:rPr>
                <w:rFonts w:hint="eastAsia" w:ascii="新宋体" w:hAnsi="新宋体" w:eastAsia="新宋体" w:cs="新宋体"/>
                <w:kern w:val="0"/>
                <w:sz w:val="20"/>
                <w:szCs w:val="20"/>
              </w:rPr>
            </w:pPr>
            <w:r>
              <w:rPr>
                <w:rFonts w:hint="eastAsia" w:ascii="新宋体" w:hAnsi="新宋体" w:eastAsia="新宋体" w:cs="新宋体"/>
                <w:kern w:val="0"/>
                <w:sz w:val="20"/>
                <w:szCs w:val="20"/>
                <w:lang w:val="en-US" w:eastAsia="zh-CN"/>
              </w:rPr>
              <w:t>14.99</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F3C789">
            <w:pPr>
              <w:widowControl/>
              <w:jc w:val="center"/>
              <w:rPr>
                <w:rFonts w:hint="eastAsia" w:ascii="新宋体" w:hAnsi="新宋体" w:eastAsia="新宋体" w:cs="新宋体"/>
                <w:kern w:val="0"/>
                <w:sz w:val="20"/>
                <w:szCs w:val="20"/>
              </w:rPr>
            </w:pP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849F6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A35FD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85FD6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2279D46">
        <w:tblPrEx>
          <w:tblCellMar>
            <w:top w:w="0" w:type="dxa"/>
            <w:left w:w="108" w:type="dxa"/>
            <w:bottom w:w="0" w:type="dxa"/>
            <w:right w:w="108" w:type="dxa"/>
          </w:tblCellMar>
        </w:tblPrEx>
        <w:trPr>
          <w:trHeight w:val="595" w:hRule="atLeast"/>
          <w:jc w:val="center"/>
        </w:trPr>
        <w:tc>
          <w:tcPr>
            <w:tcW w:w="74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45372D">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2010301</w:t>
            </w:r>
          </w:p>
        </w:tc>
        <w:tc>
          <w:tcPr>
            <w:tcW w:w="120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46C83B">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行政运行</w:t>
            </w: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00F4FA">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1.47</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F17BEE">
            <w:pPr>
              <w:widowControl/>
              <w:jc w:val="center"/>
              <w:rPr>
                <w:rFonts w:hint="eastAsia" w:ascii="新宋体" w:hAnsi="新宋体" w:eastAsia="新宋体" w:cs="新宋体"/>
                <w:kern w:val="0"/>
                <w:sz w:val="20"/>
                <w:szCs w:val="20"/>
              </w:rPr>
            </w:pPr>
            <w:r>
              <w:rPr>
                <w:rFonts w:hint="eastAsia" w:ascii="新宋体" w:hAnsi="新宋体" w:eastAsia="新宋体" w:cs="新宋体"/>
                <w:kern w:val="0"/>
                <w:sz w:val="20"/>
                <w:szCs w:val="20"/>
                <w:lang w:val="en-US" w:eastAsia="zh-CN"/>
              </w:rPr>
              <w:t>1.47</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B583C4">
            <w:pPr>
              <w:widowControl/>
              <w:jc w:val="center"/>
              <w:rPr>
                <w:rFonts w:hint="eastAsia" w:ascii="新宋体" w:hAnsi="新宋体" w:eastAsia="新宋体" w:cs="新宋体"/>
                <w:kern w:val="0"/>
                <w:sz w:val="20"/>
                <w:szCs w:val="20"/>
              </w:rPr>
            </w:pP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70439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21CB9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7F24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58924BF">
        <w:tblPrEx>
          <w:tblCellMar>
            <w:top w:w="0" w:type="dxa"/>
            <w:left w:w="108" w:type="dxa"/>
            <w:bottom w:w="0" w:type="dxa"/>
            <w:right w:w="108" w:type="dxa"/>
          </w:tblCellMar>
        </w:tblPrEx>
        <w:trPr>
          <w:trHeight w:val="595" w:hRule="atLeast"/>
          <w:jc w:val="center"/>
        </w:trPr>
        <w:tc>
          <w:tcPr>
            <w:tcW w:w="74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947D972">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2019999</w:t>
            </w:r>
          </w:p>
        </w:tc>
        <w:tc>
          <w:tcPr>
            <w:tcW w:w="120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F21EC39">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其他一般公共服务支出</w:t>
            </w: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5767B8">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76.01</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D977B3">
            <w:pPr>
              <w:widowControl/>
              <w:jc w:val="center"/>
              <w:rPr>
                <w:rFonts w:hint="eastAsia" w:ascii="新宋体" w:hAnsi="新宋体" w:eastAsia="新宋体" w:cs="新宋体"/>
                <w:kern w:val="0"/>
                <w:sz w:val="20"/>
                <w:szCs w:val="20"/>
              </w:rPr>
            </w:pP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DB1462">
            <w:pPr>
              <w:widowControl/>
              <w:jc w:val="center"/>
              <w:rPr>
                <w:rFonts w:hint="eastAsia" w:ascii="新宋体" w:hAnsi="新宋体" w:eastAsia="新宋体" w:cs="新宋体"/>
                <w:kern w:val="0"/>
                <w:sz w:val="20"/>
                <w:szCs w:val="20"/>
              </w:rPr>
            </w:pPr>
            <w:r>
              <w:rPr>
                <w:rFonts w:hint="eastAsia" w:ascii="新宋体" w:hAnsi="新宋体" w:eastAsia="新宋体" w:cs="新宋体"/>
                <w:kern w:val="0"/>
                <w:sz w:val="20"/>
                <w:szCs w:val="20"/>
                <w:lang w:val="en-US" w:eastAsia="zh-CN"/>
              </w:rPr>
              <w:t>76.01</w:t>
            </w: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39088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2DDF5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B708F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91620EE">
        <w:tblPrEx>
          <w:tblCellMar>
            <w:top w:w="0" w:type="dxa"/>
            <w:left w:w="108" w:type="dxa"/>
            <w:bottom w:w="0" w:type="dxa"/>
            <w:right w:w="108" w:type="dxa"/>
          </w:tblCellMar>
        </w:tblPrEx>
        <w:trPr>
          <w:trHeight w:val="595" w:hRule="atLeast"/>
          <w:jc w:val="center"/>
        </w:trPr>
        <w:tc>
          <w:tcPr>
            <w:tcW w:w="74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31EF05">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2080505</w:t>
            </w:r>
          </w:p>
        </w:tc>
        <w:tc>
          <w:tcPr>
            <w:tcW w:w="120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0F59F57">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机关事业单位基本养老保险缴费支出</w:t>
            </w: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BE7529">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12.61</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26C16B">
            <w:pPr>
              <w:widowControl/>
              <w:jc w:val="center"/>
              <w:rPr>
                <w:rFonts w:hint="eastAsia" w:ascii="新宋体" w:hAnsi="新宋体" w:eastAsia="新宋体" w:cs="新宋体"/>
                <w:kern w:val="0"/>
                <w:sz w:val="20"/>
                <w:szCs w:val="20"/>
              </w:rPr>
            </w:pPr>
            <w:r>
              <w:rPr>
                <w:rFonts w:hint="eastAsia" w:ascii="新宋体" w:hAnsi="新宋体" w:eastAsia="新宋体" w:cs="新宋体"/>
                <w:kern w:val="0"/>
                <w:sz w:val="20"/>
                <w:szCs w:val="20"/>
                <w:lang w:val="en-US" w:eastAsia="zh-CN"/>
              </w:rPr>
              <w:t>12.61</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245DB5">
            <w:pPr>
              <w:widowControl/>
              <w:jc w:val="center"/>
              <w:rPr>
                <w:rFonts w:hint="eastAsia" w:ascii="新宋体" w:hAnsi="新宋体" w:eastAsia="新宋体" w:cs="新宋体"/>
                <w:kern w:val="0"/>
                <w:sz w:val="20"/>
                <w:szCs w:val="20"/>
              </w:rPr>
            </w:pP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1E690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A927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167C5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2547FA0">
        <w:tblPrEx>
          <w:tblCellMar>
            <w:top w:w="0" w:type="dxa"/>
            <w:left w:w="108" w:type="dxa"/>
            <w:bottom w:w="0" w:type="dxa"/>
            <w:right w:w="108" w:type="dxa"/>
          </w:tblCellMar>
        </w:tblPrEx>
        <w:trPr>
          <w:trHeight w:val="595" w:hRule="atLeast"/>
          <w:jc w:val="center"/>
        </w:trPr>
        <w:tc>
          <w:tcPr>
            <w:tcW w:w="74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3E36450">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2082799</w:t>
            </w:r>
          </w:p>
        </w:tc>
        <w:tc>
          <w:tcPr>
            <w:tcW w:w="120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AD7D7B">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其他财政对社会保险基金的补助</w:t>
            </w: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9CCFB7">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0.01</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CB7E0A">
            <w:pPr>
              <w:widowControl/>
              <w:jc w:val="center"/>
              <w:rPr>
                <w:rFonts w:hint="eastAsia" w:ascii="新宋体" w:hAnsi="新宋体" w:eastAsia="新宋体" w:cs="新宋体"/>
                <w:kern w:val="0"/>
                <w:sz w:val="20"/>
                <w:szCs w:val="20"/>
              </w:rPr>
            </w:pPr>
            <w:r>
              <w:rPr>
                <w:rFonts w:hint="eastAsia" w:ascii="新宋体" w:hAnsi="新宋体" w:eastAsia="新宋体" w:cs="新宋体"/>
                <w:kern w:val="0"/>
                <w:sz w:val="20"/>
                <w:szCs w:val="20"/>
                <w:lang w:val="en-US" w:eastAsia="zh-CN"/>
              </w:rPr>
              <w:t>0.01</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F9AC69">
            <w:pPr>
              <w:widowControl/>
              <w:jc w:val="center"/>
              <w:rPr>
                <w:rFonts w:hint="eastAsia" w:ascii="新宋体" w:hAnsi="新宋体" w:eastAsia="新宋体" w:cs="新宋体"/>
                <w:kern w:val="0"/>
                <w:sz w:val="20"/>
                <w:szCs w:val="20"/>
              </w:rPr>
            </w:pP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F8C3A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F7FCC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67B1E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89DF9D4">
        <w:tblPrEx>
          <w:tblCellMar>
            <w:top w:w="0" w:type="dxa"/>
            <w:left w:w="108" w:type="dxa"/>
            <w:bottom w:w="0" w:type="dxa"/>
            <w:right w:w="108" w:type="dxa"/>
          </w:tblCellMar>
        </w:tblPrEx>
        <w:trPr>
          <w:trHeight w:val="595" w:hRule="atLeast"/>
          <w:jc w:val="center"/>
        </w:trPr>
        <w:tc>
          <w:tcPr>
            <w:tcW w:w="74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3F205FF">
            <w:pPr>
              <w:keepNext w:val="0"/>
              <w:keepLines w:val="0"/>
              <w:widowControl/>
              <w:suppressLineNumbers w:val="0"/>
              <w:jc w:val="center"/>
              <w:textAlignment w:val="cente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2089999</w:t>
            </w:r>
          </w:p>
        </w:tc>
        <w:tc>
          <w:tcPr>
            <w:tcW w:w="120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7234BD">
            <w:pPr>
              <w:keepNext w:val="0"/>
              <w:keepLines w:val="0"/>
              <w:widowControl/>
              <w:suppressLineNumbers w:val="0"/>
              <w:jc w:val="center"/>
              <w:textAlignment w:val="cente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其他社会保障和就业支出</w:t>
            </w: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87D2BF">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0.12</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5686C6">
            <w:pPr>
              <w:widowControl/>
              <w:jc w:val="center"/>
              <w:rPr>
                <w:rFonts w:hint="eastAsia" w:ascii="新宋体" w:hAnsi="新宋体" w:eastAsia="新宋体" w:cs="新宋体"/>
                <w:kern w:val="0"/>
                <w:sz w:val="20"/>
                <w:szCs w:val="20"/>
              </w:rPr>
            </w:pPr>
            <w:r>
              <w:rPr>
                <w:rFonts w:hint="eastAsia" w:ascii="新宋体" w:hAnsi="新宋体" w:eastAsia="新宋体" w:cs="新宋体"/>
                <w:kern w:val="0"/>
                <w:sz w:val="20"/>
                <w:szCs w:val="20"/>
                <w:lang w:val="en-US" w:eastAsia="zh-CN"/>
              </w:rPr>
              <w:t>0.12</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7FF4A9">
            <w:pPr>
              <w:widowControl/>
              <w:jc w:val="center"/>
              <w:rPr>
                <w:rFonts w:hint="eastAsia" w:ascii="新宋体" w:hAnsi="新宋体" w:eastAsia="新宋体" w:cs="新宋体"/>
                <w:kern w:val="0"/>
                <w:sz w:val="20"/>
                <w:szCs w:val="20"/>
              </w:rPr>
            </w:pP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E47C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98A15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9F3A9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16AB26">
        <w:tblPrEx>
          <w:tblCellMar>
            <w:top w:w="0" w:type="dxa"/>
            <w:left w:w="108" w:type="dxa"/>
            <w:bottom w:w="0" w:type="dxa"/>
            <w:right w:w="108" w:type="dxa"/>
          </w:tblCellMar>
        </w:tblPrEx>
        <w:trPr>
          <w:trHeight w:val="595" w:hRule="atLeast"/>
          <w:jc w:val="center"/>
        </w:trPr>
        <w:tc>
          <w:tcPr>
            <w:tcW w:w="74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C97C716">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2100199</w:t>
            </w:r>
          </w:p>
        </w:tc>
        <w:tc>
          <w:tcPr>
            <w:tcW w:w="120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E0A594">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其他卫生健康管理事务支出</w:t>
            </w: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FC2ABB">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7.41</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3ABA1B">
            <w:pPr>
              <w:widowControl/>
              <w:jc w:val="center"/>
              <w:rPr>
                <w:rFonts w:hint="eastAsia" w:ascii="新宋体" w:hAnsi="新宋体" w:eastAsia="新宋体" w:cs="新宋体"/>
                <w:kern w:val="0"/>
                <w:sz w:val="20"/>
                <w:szCs w:val="20"/>
                <w:lang w:val="en-US" w:eastAsia="zh-CN"/>
              </w:rPr>
            </w:pPr>
            <w:r>
              <w:rPr>
                <w:rFonts w:hint="eastAsia" w:ascii="新宋体" w:hAnsi="新宋体" w:eastAsia="新宋体" w:cs="新宋体"/>
                <w:kern w:val="0"/>
                <w:sz w:val="20"/>
                <w:szCs w:val="20"/>
                <w:lang w:val="en-US" w:eastAsia="zh-CN"/>
              </w:rPr>
              <w:t>7.41</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32E18E">
            <w:pPr>
              <w:widowControl/>
              <w:jc w:val="center"/>
              <w:rPr>
                <w:rFonts w:hint="eastAsia" w:ascii="新宋体" w:hAnsi="新宋体" w:eastAsia="新宋体" w:cs="新宋体"/>
                <w:kern w:val="0"/>
                <w:sz w:val="20"/>
                <w:szCs w:val="20"/>
              </w:rPr>
            </w:pP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586F87">
            <w:pPr>
              <w:widowControl/>
              <w:jc w:val="right"/>
              <w:rPr>
                <w:rFonts w:ascii="Times New Roman" w:hAnsi="Times New Roman" w:eastAsia="仿宋_GB2312" w:cs="Times New Roman"/>
                <w:kern w:val="0"/>
                <w:sz w:val="24"/>
                <w:szCs w:val="24"/>
              </w:rPr>
            </w:pP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1ADE0C">
            <w:pPr>
              <w:widowControl/>
              <w:jc w:val="right"/>
              <w:rPr>
                <w:rFonts w:ascii="Times New Roman" w:hAnsi="Times New Roman" w:eastAsia="仿宋_GB2312" w:cs="Times New Roman"/>
                <w:kern w:val="0"/>
                <w:sz w:val="24"/>
                <w:szCs w:val="24"/>
              </w:rPr>
            </w:pPr>
          </w:p>
        </w:tc>
        <w:tc>
          <w:tcPr>
            <w:tcW w:w="8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A88B99">
            <w:pPr>
              <w:widowControl/>
              <w:jc w:val="right"/>
              <w:rPr>
                <w:rFonts w:ascii="Times New Roman" w:hAnsi="Times New Roman" w:eastAsia="仿宋_GB2312" w:cs="Times New Roman"/>
                <w:kern w:val="0"/>
                <w:sz w:val="24"/>
                <w:szCs w:val="24"/>
              </w:rPr>
            </w:pPr>
          </w:p>
        </w:tc>
      </w:tr>
      <w:tr w14:paraId="4C9DC74C">
        <w:tblPrEx>
          <w:tblCellMar>
            <w:top w:w="0" w:type="dxa"/>
            <w:left w:w="108" w:type="dxa"/>
            <w:bottom w:w="0" w:type="dxa"/>
            <w:right w:w="108" w:type="dxa"/>
          </w:tblCellMar>
        </w:tblPrEx>
        <w:trPr>
          <w:trHeight w:val="595" w:hRule="atLeast"/>
          <w:jc w:val="center"/>
        </w:trPr>
        <w:tc>
          <w:tcPr>
            <w:tcW w:w="74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63A916">
            <w:pPr>
              <w:keepNext w:val="0"/>
              <w:keepLines w:val="0"/>
              <w:widowControl/>
              <w:suppressLineNumbers w:val="0"/>
              <w:jc w:val="center"/>
              <w:textAlignment w:val="cente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2120199</w:t>
            </w:r>
          </w:p>
        </w:tc>
        <w:tc>
          <w:tcPr>
            <w:tcW w:w="120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D773E1">
            <w:pPr>
              <w:keepNext w:val="0"/>
              <w:keepLines w:val="0"/>
              <w:widowControl/>
              <w:suppressLineNumbers w:val="0"/>
              <w:jc w:val="center"/>
              <w:textAlignment w:val="cente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其他城乡社区管理事务支出</w:t>
            </w: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F399C5">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197.7</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B9F028">
            <w:pPr>
              <w:widowControl/>
              <w:jc w:val="center"/>
              <w:rPr>
                <w:rFonts w:hint="eastAsia" w:ascii="新宋体" w:hAnsi="新宋体" w:eastAsia="新宋体" w:cs="新宋体"/>
                <w:kern w:val="0"/>
                <w:sz w:val="20"/>
                <w:szCs w:val="20"/>
                <w:lang w:val="en-US" w:eastAsia="zh-CN"/>
              </w:rPr>
            </w:pPr>
            <w:r>
              <w:rPr>
                <w:rFonts w:hint="eastAsia" w:ascii="新宋体" w:hAnsi="新宋体" w:eastAsia="新宋体" w:cs="新宋体"/>
                <w:kern w:val="0"/>
                <w:sz w:val="20"/>
                <w:szCs w:val="20"/>
                <w:lang w:val="en-US" w:eastAsia="zh-CN"/>
              </w:rPr>
              <w:t>21</w:t>
            </w: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8CD186">
            <w:pPr>
              <w:widowControl/>
              <w:jc w:val="center"/>
              <w:rPr>
                <w:rFonts w:hint="eastAsia" w:ascii="新宋体" w:hAnsi="新宋体" w:eastAsia="新宋体" w:cs="新宋体"/>
                <w:kern w:val="0"/>
                <w:sz w:val="20"/>
                <w:szCs w:val="20"/>
                <w:lang w:val="en-US" w:eastAsia="zh-CN"/>
              </w:rPr>
            </w:pPr>
            <w:r>
              <w:rPr>
                <w:rFonts w:hint="eastAsia" w:ascii="新宋体" w:hAnsi="新宋体" w:eastAsia="新宋体" w:cs="新宋体"/>
                <w:kern w:val="0"/>
                <w:sz w:val="20"/>
                <w:szCs w:val="20"/>
                <w:lang w:val="en-US" w:eastAsia="zh-CN"/>
              </w:rPr>
              <w:t>176.7</w:t>
            </w:r>
          </w:p>
        </w:tc>
        <w:tc>
          <w:tcPr>
            <w:tcW w:w="5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D8B11F">
            <w:pPr>
              <w:widowControl/>
              <w:jc w:val="right"/>
              <w:rPr>
                <w:rFonts w:ascii="Times New Roman" w:hAnsi="Times New Roman" w:eastAsia="仿宋_GB2312" w:cs="Times New Roman"/>
                <w:kern w:val="0"/>
                <w:sz w:val="24"/>
                <w:szCs w:val="24"/>
              </w:rPr>
            </w:pPr>
          </w:p>
        </w:tc>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D58B6B">
            <w:pPr>
              <w:widowControl/>
              <w:jc w:val="right"/>
              <w:rPr>
                <w:rFonts w:ascii="Times New Roman" w:hAnsi="Times New Roman" w:eastAsia="仿宋_GB2312" w:cs="Times New Roman"/>
                <w:kern w:val="0"/>
                <w:sz w:val="24"/>
                <w:szCs w:val="24"/>
              </w:rPr>
            </w:pPr>
          </w:p>
        </w:tc>
        <w:tc>
          <w:tcPr>
            <w:tcW w:w="8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24A2E4">
            <w:pPr>
              <w:widowControl/>
              <w:jc w:val="right"/>
              <w:rPr>
                <w:rFonts w:ascii="Times New Roman" w:hAnsi="Times New Roman" w:eastAsia="仿宋_GB2312" w:cs="Times New Roman"/>
                <w:kern w:val="0"/>
                <w:sz w:val="24"/>
                <w:szCs w:val="24"/>
              </w:rPr>
            </w:pPr>
          </w:p>
        </w:tc>
      </w:tr>
    </w:tbl>
    <w:p w14:paraId="1C33F2C9">
      <w:pPr>
        <w:widowControl/>
        <w:spacing w:before="120"/>
        <w:jc w:val="left"/>
        <w:rPr>
          <w:rFonts w:ascii="Times New Roman" w:hAnsi="Times New Roman" w:eastAsia="宋体" w:cs="Times New Roman"/>
          <w:kern w:val="0"/>
          <w:sz w:val="24"/>
          <w:szCs w:val="24"/>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83C476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BFB543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3F7C64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2A6A1E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516"/>
        <w:gridCol w:w="616"/>
        <w:gridCol w:w="821"/>
        <w:gridCol w:w="2795"/>
        <w:gridCol w:w="457"/>
        <w:gridCol w:w="696"/>
        <w:gridCol w:w="1801"/>
        <w:gridCol w:w="1697"/>
        <w:gridCol w:w="1821"/>
      </w:tblGrid>
      <w:tr w14:paraId="6163F200">
        <w:tblPrEx>
          <w:tblCellMar>
            <w:top w:w="0" w:type="dxa"/>
            <w:left w:w="108" w:type="dxa"/>
            <w:bottom w:w="0" w:type="dxa"/>
            <w:right w:w="108" w:type="dxa"/>
          </w:tblCellMar>
        </w:tblPrEx>
        <w:trPr>
          <w:trHeight w:val="402" w:hRule="atLeast"/>
          <w:jc w:val="center"/>
        </w:trPr>
        <w:tc>
          <w:tcPr>
            <w:tcW w:w="495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F58413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67" w:type="dxa"/>
            <w:gridSpan w:val="6"/>
            <w:tcBorders>
              <w:top w:val="single" w:color="auto" w:sz="4" w:space="0"/>
              <w:left w:val="nil"/>
              <w:bottom w:val="single" w:color="auto" w:sz="4" w:space="0"/>
              <w:right w:val="single" w:color="auto" w:sz="4" w:space="0"/>
            </w:tcBorders>
            <w:shd w:val="clear" w:color="000000" w:fill="FFFFFF"/>
            <w:noWrap/>
            <w:vAlign w:val="center"/>
          </w:tcPr>
          <w:p w14:paraId="6D28D7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930518E">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3FB3BE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36E9B89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21" w:type="dxa"/>
            <w:tcBorders>
              <w:top w:val="nil"/>
              <w:left w:val="nil"/>
              <w:bottom w:val="single" w:color="auto" w:sz="4" w:space="0"/>
              <w:right w:val="single" w:color="auto" w:sz="4" w:space="0"/>
            </w:tcBorders>
            <w:shd w:val="clear" w:color="auto" w:fill="auto"/>
            <w:noWrap/>
            <w:vAlign w:val="center"/>
          </w:tcPr>
          <w:p w14:paraId="56AF78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795" w:type="dxa"/>
            <w:tcBorders>
              <w:top w:val="nil"/>
              <w:left w:val="nil"/>
              <w:bottom w:val="single" w:color="auto" w:sz="4" w:space="0"/>
              <w:right w:val="single" w:color="auto" w:sz="4" w:space="0"/>
            </w:tcBorders>
            <w:shd w:val="clear" w:color="auto" w:fill="auto"/>
            <w:noWrap/>
            <w:vAlign w:val="center"/>
          </w:tcPr>
          <w:p w14:paraId="2F5AE0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57" w:type="dxa"/>
            <w:tcBorders>
              <w:top w:val="nil"/>
              <w:left w:val="nil"/>
              <w:bottom w:val="single" w:color="auto" w:sz="4" w:space="0"/>
              <w:right w:val="single" w:color="auto" w:sz="4" w:space="0"/>
            </w:tcBorders>
            <w:shd w:val="clear" w:color="auto" w:fill="auto"/>
            <w:noWrap/>
            <w:vAlign w:val="center"/>
          </w:tcPr>
          <w:p w14:paraId="60A40BC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696" w:type="dxa"/>
            <w:tcBorders>
              <w:top w:val="nil"/>
              <w:left w:val="nil"/>
              <w:bottom w:val="single" w:color="auto" w:sz="4" w:space="0"/>
              <w:right w:val="single" w:color="auto" w:sz="4" w:space="0"/>
            </w:tcBorders>
            <w:shd w:val="clear" w:color="auto" w:fill="auto"/>
            <w:noWrap/>
            <w:vAlign w:val="center"/>
          </w:tcPr>
          <w:p w14:paraId="1A6B4A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01" w:type="dxa"/>
            <w:tcBorders>
              <w:top w:val="nil"/>
              <w:left w:val="nil"/>
              <w:bottom w:val="single" w:color="auto" w:sz="4" w:space="0"/>
              <w:right w:val="single" w:color="auto" w:sz="4" w:space="0"/>
            </w:tcBorders>
            <w:shd w:val="clear" w:color="auto" w:fill="auto"/>
            <w:vAlign w:val="center"/>
          </w:tcPr>
          <w:p w14:paraId="116D7D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97" w:type="dxa"/>
            <w:tcBorders>
              <w:top w:val="nil"/>
              <w:left w:val="nil"/>
              <w:bottom w:val="single" w:color="auto" w:sz="4" w:space="0"/>
              <w:right w:val="single" w:color="auto" w:sz="4" w:space="0"/>
            </w:tcBorders>
            <w:shd w:val="clear" w:color="auto" w:fill="auto"/>
            <w:vAlign w:val="center"/>
          </w:tcPr>
          <w:p w14:paraId="2AAA03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821" w:type="dxa"/>
            <w:tcBorders>
              <w:top w:val="nil"/>
              <w:left w:val="nil"/>
              <w:bottom w:val="single" w:color="auto" w:sz="4" w:space="0"/>
              <w:right w:val="single" w:color="auto" w:sz="4" w:space="0"/>
            </w:tcBorders>
            <w:shd w:val="clear" w:color="auto" w:fill="auto"/>
            <w:vAlign w:val="center"/>
          </w:tcPr>
          <w:p w14:paraId="208F3B0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27830F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A4FB4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2D2E6C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dxa"/>
            <w:tcBorders>
              <w:top w:val="nil"/>
              <w:left w:val="nil"/>
              <w:bottom w:val="single" w:color="auto" w:sz="4" w:space="0"/>
              <w:right w:val="single" w:color="auto" w:sz="4" w:space="0"/>
            </w:tcBorders>
            <w:shd w:val="clear" w:color="auto" w:fill="auto"/>
            <w:noWrap/>
            <w:vAlign w:val="center"/>
          </w:tcPr>
          <w:p w14:paraId="293AF94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795" w:type="dxa"/>
            <w:tcBorders>
              <w:top w:val="nil"/>
              <w:left w:val="nil"/>
              <w:bottom w:val="single" w:color="auto" w:sz="4" w:space="0"/>
              <w:right w:val="single" w:color="auto" w:sz="4" w:space="0"/>
            </w:tcBorders>
            <w:shd w:val="clear" w:color="auto" w:fill="auto"/>
            <w:noWrap/>
            <w:vAlign w:val="center"/>
          </w:tcPr>
          <w:p w14:paraId="22AA83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57" w:type="dxa"/>
            <w:tcBorders>
              <w:top w:val="nil"/>
              <w:left w:val="nil"/>
              <w:bottom w:val="single" w:color="auto" w:sz="4" w:space="0"/>
              <w:right w:val="single" w:color="auto" w:sz="4" w:space="0"/>
            </w:tcBorders>
            <w:shd w:val="clear" w:color="auto" w:fill="auto"/>
            <w:noWrap/>
            <w:vAlign w:val="center"/>
          </w:tcPr>
          <w:p w14:paraId="7512B4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6" w:type="dxa"/>
            <w:tcBorders>
              <w:top w:val="nil"/>
              <w:left w:val="nil"/>
              <w:bottom w:val="single" w:color="auto" w:sz="4" w:space="0"/>
              <w:right w:val="single" w:color="auto" w:sz="4" w:space="0"/>
            </w:tcBorders>
            <w:shd w:val="clear" w:color="auto" w:fill="auto"/>
            <w:noWrap/>
            <w:vAlign w:val="center"/>
          </w:tcPr>
          <w:p w14:paraId="188DE7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801" w:type="dxa"/>
            <w:tcBorders>
              <w:top w:val="nil"/>
              <w:left w:val="nil"/>
              <w:bottom w:val="single" w:color="auto" w:sz="4" w:space="0"/>
              <w:right w:val="single" w:color="auto" w:sz="4" w:space="0"/>
            </w:tcBorders>
            <w:shd w:val="clear" w:color="auto" w:fill="auto"/>
            <w:noWrap/>
            <w:vAlign w:val="center"/>
          </w:tcPr>
          <w:p w14:paraId="6DC81F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97" w:type="dxa"/>
            <w:tcBorders>
              <w:top w:val="nil"/>
              <w:left w:val="nil"/>
              <w:bottom w:val="single" w:color="auto" w:sz="4" w:space="0"/>
              <w:right w:val="single" w:color="auto" w:sz="4" w:space="0"/>
            </w:tcBorders>
            <w:shd w:val="clear" w:color="auto" w:fill="auto"/>
            <w:noWrap/>
            <w:vAlign w:val="center"/>
          </w:tcPr>
          <w:p w14:paraId="4DE238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821" w:type="dxa"/>
            <w:tcBorders>
              <w:top w:val="nil"/>
              <w:left w:val="nil"/>
              <w:bottom w:val="single" w:color="auto" w:sz="4" w:space="0"/>
              <w:right w:val="single" w:color="auto" w:sz="4" w:space="0"/>
            </w:tcBorders>
            <w:shd w:val="clear" w:color="auto" w:fill="auto"/>
            <w:noWrap/>
            <w:vAlign w:val="center"/>
          </w:tcPr>
          <w:p w14:paraId="42839E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09F124F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174E4D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416AA7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21" w:type="dxa"/>
            <w:tcBorders>
              <w:top w:val="nil"/>
              <w:left w:val="nil"/>
              <w:bottom w:val="single" w:color="auto" w:sz="4" w:space="0"/>
              <w:right w:val="single" w:color="auto" w:sz="4" w:space="0"/>
            </w:tcBorders>
            <w:shd w:val="clear" w:color="auto" w:fill="auto"/>
            <w:noWrap/>
            <w:vAlign w:val="center"/>
          </w:tcPr>
          <w:p w14:paraId="2941492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310.32</w:t>
            </w: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17232B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457" w:type="dxa"/>
            <w:tcBorders>
              <w:top w:val="nil"/>
              <w:left w:val="nil"/>
              <w:bottom w:val="single" w:color="auto" w:sz="4" w:space="0"/>
              <w:right w:val="single" w:color="auto" w:sz="4" w:space="0"/>
            </w:tcBorders>
            <w:shd w:val="clear" w:color="auto" w:fill="auto"/>
            <w:noWrap/>
            <w:vAlign w:val="center"/>
          </w:tcPr>
          <w:p w14:paraId="7BA262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696" w:type="dxa"/>
            <w:tcBorders>
              <w:top w:val="nil"/>
              <w:left w:val="nil"/>
              <w:bottom w:val="single" w:color="auto" w:sz="4" w:space="0"/>
              <w:right w:val="single" w:color="auto" w:sz="4" w:space="0"/>
            </w:tcBorders>
            <w:shd w:val="clear" w:color="auto" w:fill="auto"/>
            <w:noWrap/>
            <w:vAlign w:val="center"/>
          </w:tcPr>
          <w:p w14:paraId="2C91FA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52529A1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92.48</w:t>
            </w: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019B51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7129196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E028D6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AA850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401377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21" w:type="dxa"/>
            <w:tcBorders>
              <w:top w:val="nil"/>
              <w:left w:val="nil"/>
              <w:bottom w:val="single" w:color="auto" w:sz="4" w:space="0"/>
              <w:right w:val="single" w:color="auto" w:sz="4" w:space="0"/>
            </w:tcBorders>
            <w:shd w:val="clear" w:color="auto" w:fill="auto"/>
            <w:noWrap/>
            <w:vAlign w:val="center"/>
          </w:tcPr>
          <w:p w14:paraId="2DFFF75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5CA3EF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457" w:type="dxa"/>
            <w:tcBorders>
              <w:top w:val="nil"/>
              <w:left w:val="nil"/>
              <w:bottom w:val="single" w:color="auto" w:sz="4" w:space="0"/>
              <w:right w:val="single" w:color="auto" w:sz="4" w:space="0"/>
            </w:tcBorders>
            <w:shd w:val="clear" w:color="auto" w:fill="auto"/>
            <w:noWrap/>
            <w:vAlign w:val="center"/>
          </w:tcPr>
          <w:p w14:paraId="3E4820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696" w:type="dxa"/>
            <w:tcBorders>
              <w:top w:val="nil"/>
              <w:left w:val="nil"/>
              <w:bottom w:val="single" w:color="auto" w:sz="4" w:space="0"/>
              <w:right w:val="single" w:color="auto" w:sz="4" w:space="0"/>
            </w:tcBorders>
            <w:shd w:val="clear" w:color="auto" w:fill="auto"/>
            <w:noWrap/>
            <w:vAlign w:val="center"/>
          </w:tcPr>
          <w:p w14:paraId="24F48D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0AAD6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08C9AE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65AED2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E469D5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047E0A6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57F7FC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21" w:type="dxa"/>
            <w:tcBorders>
              <w:top w:val="nil"/>
              <w:left w:val="nil"/>
              <w:bottom w:val="single" w:color="auto" w:sz="4" w:space="0"/>
              <w:right w:val="single" w:color="auto" w:sz="4" w:space="0"/>
            </w:tcBorders>
            <w:shd w:val="clear" w:color="auto" w:fill="auto"/>
            <w:noWrap/>
            <w:vAlign w:val="center"/>
          </w:tcPr>
          <w:p w14:paraId="5AA844C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2F570C3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457" w:type="dxa"/>
            <w:tcBorders>
              <w:top w:val="nil"/>
              <w:left w:val="nil"/>
              <w:bottom w:val="single" w:color="auto" w:sz="4" w:space="0"/>
              <w:right w:val="single" w:color="auto" w:sz="4" w:space="0"/>
            </w:tcBorders>
            <w:shd w:val="clear" w:color="auto" w:fill="auto"/>
            <w:noWrap/>
            <w:vAlign w:val="center"/>
          </w:tcPr>
          <w:p w14:paraId="23233A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696" w:type="dxa"/>
            <w:tcBorders>
              <w:top w:val="nil"/>
              <w:left w:val="nil"/>
              <w:bottom w:val="single" w:color="auto" w:sz="4" w:space="0"/>
              <w:right w:val="single" w:color="auto" w:sz="4" w:space="0"/>
            </w:tcBorders>
            <w:shd w:val="clear" w:color="auto" w:fill="auto"/>
            <w:noWrap/>
            <w:vAlign w:val="center"/>
          </w:tcPr>
          <w:p w14:paraId="729F1C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60906A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0DEE6E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772E1F4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C1057D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DEDA0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65C0E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21" w:type="dxa"/>
            <w:tcBorders>
              <w:top w:val="nil"/>
              <w:left w:val="nil"/>
              <w:bottom w:val="single" w:color="auto" w:sz="4" w:space="0"/>
              <w:right w:val="single" w:color="auto" w:sz="4" w:space="0"/>
            </w:tcBorders>
            <w:shd w:val="clear" w:color="auto" w:fill="auto"/>
            <w:noWrap/>
            <w:vAlign w:val="center"/>
          </w:tcPr>
          <w:p w14:paraId="46832D2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44FA33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457" w:type="dxa"/>
            <w:tcBorders>
              <w:top w:val="nil"/>
              <w:left w:val="nil"/>
              <w:bottom w:val="single" w:color="auto" w:sz="4" w:space="0"/>
              <w:right w:val="single" w:color="auto" w:sz="4" w:space="0"/>
            </w:tcBorders>
            <w:shd w:val="clear" w:color="auto" w:fill="auto"/>
            <w:noWrap/>
            <w:vAlign w:val="center"/>
          </w:tcPr>
          <w:p w14:paraId="76995F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696" w:type="dxa"/>
            <w:tcBorders>
              <w:top w:val="nil"/>
              <w:left w:val="nil"/>
              <w:bottom w:val="single" w:color="auto" w:sz="4" w:space="0"/>
              <w:right w:val="single" w:color="auto" w:sz="4" w:space="0"/>
            </w:tcBorders>
            <w:shd w:val="clear" w:color="auto" w:fill="auto"/>
            <w:noWrap/>
            <w:vAlign w:val="center"/>
          </w:tcPr>
          <w:p w14:paraId="30E95F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234928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51D0B4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3319224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3508A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C7822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C3475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21" w:type="dxa"/>
            <w:tcBorders>
              <w:top w:val="nil"/>
              <w:left w:val="nil"/>
              <w:bottom w:val="single" w:color="auto" w:sz="4" w:space="0"/>
              <w:right w:val="single" w:color="auto" w:sz="4" w:space="0"/>
            </w:tcBorders>
            <w:shd w:val="clear" w:color="auto" w:fill="auto"/>
            <w:noWrap/>
            <w:vAlign w:val="center"/>
          </w:tcPr>
          <w:p w14:paraId="12A910F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3A73B80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457" w:type="dxa"/>
            <w:tcBorders>
              <w:top w:val="nil"/>
              <w:left w:val="nil"/>
              <w:bottom w:val="single" w:color="auto" w:sz="4" w:space="0"/>
              <w:right w:val="single" w:color="auto" w:sz="4" w:space="0"/>
            </w:tcBorders>
            <w:shd w:val="clear" w:color="auto" w:fill="auto"/>
            <w:noWrap/>
            <w:vAlign w:val="center"/>
          </w:tcPr>
          <w:p w14:paraId="0155EB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696" w:type="dxa"/>
            <w:tcBorders>
              <w:top w:val="nil"/>
              <w:left w:val="nil"/>
              <w:bottom w:val="single" w:color="auto" w:sz="4" w:space="0"/>
              <w:right w:val="single" w:color="auto" w:sz="4" w:space="0"/>
            </w:tcBorders>
            <w:shd w:val="clear" w:color="auto" w:fill="auto"/>
            <w:noWrap/>
            <w:vAlign w:val="center"/>
          </w:tcPr>
          <w:p w14:paraId="3EBDB6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3E4B67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33908C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53C402A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9CBA9E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897055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55E91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21" w:type="dxa"/>
            <w:tcBorders>
              <w:top w:val="nil"/>
              <w:left w:val="nil"/>
              <w:bottom w:val="single" w:color="auto" w:sz="4" w:space="0"/>
              <w:right w:val="single" w:color="auto" w:sz="4" w:space="0"/>
            </w:tcBorders>
            <w:shd w:val="clear" w:color="auto" w:fill="auto"/>
            <w:noWrap/>
            <w:vAlign w:val="center"/>
          </w:tcPr>
          <w:p w14:paraId="5C46E84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0EB767B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4"/>
                <w:szCs w:val="24"/>
                <w:lang w:val="en-US" w:eastAsia="zh-CN"/>
              </w:rPr>
              <w:t>六、社会保障和就业支出</w:t>
            </w:r>
          </w:p>
        </w:tc>
        <w:tc>
          <w:tcPr>
            <w:tcW w:w="457" w:type="dxa"/>
            <w:tcBorders>
              <w:top w:val="nil"/>
              <w:left w:val="nil"/>
              <w:bottom w:val="single" w:color="auto" w:sz="4" w:space="0"/>
              <w:right w:val="single" w:color="auto" w:sz="4" w:space="0"/>
            </w:tcBorders>
            <w:shd w:val="clear" w:color="auto" w:fill="auto"/>
            <w:noWrap/>
            <w:vAlign w:val="center"/>
          </w:tcPr>
          <w:p w14:paraId="0EF6E5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696" w:type="dxa"/>
            <w:tcBorders>
              <w:top w:val="nil"/>
              <w:left w:val="nil"/>
              <w:bottom w:val="single" w:color="auto" w:sz="4" w:space="0"/>
              <w:right w:val="single" w:color="auto" w:sz="4" w:space="0"/>
            </w:tcBorders>
            <w:shd w:val="clear" w:color="auto" w:fill="auto"/>
            <w:noWrap/>
            <w:vAlign w:val="center"/>
          </w:tcPr>
          <w:p w14:paraId="396205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3DFE83B1">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12.73</w:t>
            </w:r>
          </w:p>
        </w:tc>
        <w:tc>
          <w:tcPr>
            <w:tcW w:w="1697" w:type="dxa"/>
            <w:tcBorders>
              <w:top w:val="nil"/>
              <w:left w:val="nil"/>
              <w:bottom w:val="single" w:color="auto" w:sz="4" w:space="0"/>
              <w:right w:val="single" w:color="auto" w:sz="4" w:space="0"/>
            </w:tcBorders>
            <w:shd w:val="clear" w:color="auto" w:fill="auto"/>
            <w:noWrap/>
            <w:vAlign w:val="center"/>
          </w:tcPr>
          <w:p w14:paraId="1A4D61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23CB892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D91528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972D5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CF262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21" w:type="dxa"/>
            <w:tcBorders>
              <w:top w:val="nil"/>
              <w:left w:val="nil"/>
              <w:bottom w:val="single" w:color="auto" w:sz="4" w:space="0"/>
              <w:right w:val="single" w:color="auto" w:sz="4" w:space="0"/>
            </w:tcBorders>
            <w:shd w:val="clear" w:color="auto" w:fill="auto"/>
            <w:noWrap/>
            <w:vAlign w:val="center"/>
          </w:tcPr>
          <w:p w14:paraId="3A40697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3C878BB6">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2"/>
                <w:lang w:val="en-US" w:eastAsia="zh-CN"/>
              </w:rPr>
              <w:t>七、卫生健康支出</w:t>
            </w:r>
          </w:p>
        </w:tc>
        <w:tc>
          <w:tcPr>
            <w:tcW w:w="457" w:type="dxa"/>
            <w:tcBorders>
              <w:top w:val="nil"/>
              <w:left w:val="nil"/>
              <w:bottom w:val="single" w:color="auto" w:sz="4" w:space="0"/>
              <w:right w:val="single" w:color="auto" w:sz="4" w:space="0"/>
            </w:tcBorders>
            <w:shd w:val="clear" w:color="auto" w:fill="auto"/>
            <w:noWrap/>
            <w:vAlign w:val="center"/>
          </w:tcPr>
          <w:p w14:paraId="15959D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696" w:type="dxa"/>
            <w:tcBorders>
              <w:top w:val="nil"/>
              <w:left w:val="nil"/>
              <w:bottom w:val="single" w:color="auto" w:sz="4" w:space="0"/>
              <w:right w:val="single" w:color="auto" w:sz="4" w:space="0"/>
            </w:tcBorders>
            <w:shd w:val="clear" w:color="auto" w:fill="auto"/>
            <w:noWrap/>
            <w:vAlign w:val="center"/>
          </w:tcPr>
          <w:p w14:paraId="07CBEB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46284A0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7.41</w:t>
            </w: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189A90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35533CA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6BB66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5D108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3CDA7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21" w:type="dxa"/>
            <w:tcBorders>
              <w:top w:val="nil"/>
              <w:left w:val="nil"/>
              <w:bottom w:val="single" w:color="auto" w:sz="4" w:space="0"/>
              <w:right w:val="single" w:color="auto" w:sz="4" w:space="0"/>
            </w:tcBorders>
            <w:shd w:val="clear" w:color="auto" w:fill="auto"/>
            <w:noWrap/>
            <w:vAlign w:val="center"/>
          </w:tcPr>
          <w:p w14:paraId="430761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5DCB6F2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八、城乡社区支出</w:t>
            </w:r>
          </w:p>
        </w:tc>
        <w:tc>
          <w:tcPr>
            <w:tcW w:w="457" w:type="dxa"/>
            <w:tcBorders>
              <w:top w:val="nil"/>
              <w:left w:val="nil"/>
              <w:bottom w:val="single" w:color="auto" w:sz="4" w:space="0"/>
              <w:right w:val="single" w:color="auto" w:sz="4" w:space="0"/>
            </w:tcBorders>
            <w:shd w:val="clear" w:color="auto" w:fill="auto"/>
            <w:noWrap/>
            <w:vAlign w:val="center"/>
          </w:tcPr>
          <w:p w14:paraId="3BEBB5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noWrap/>
            <w:vAlign w:val="center"/>
          </w:tcPr>
          <w:p w14:paraId="5038E1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36D6299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197.7</w:t>
            </w: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30FE5E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79B018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0AE2E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2A7740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34E136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821" w:type="dxa"/>
            <w:tcBorders>
              <w:top w:val="nil"/>
              <w:left w:val="nil"/>
              <w:bottom w:val="single" w:color="auto" w:sz="4" w:space="0"/>
              <w:right w:val="single" w:color="auto" w:sz="4" w:space="0"/>
            </w:tcBorders>
            <w:shd w:val="clear" w:color="auto" w:fill="auto"/>
            <w:noWrap/>
            <w:vAlign w:val="center"/>
          </w:tcPr>
          <w:p w14:paraId="74AED7C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020E16B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457" w:type="dxa"/>
            <w:tcBorders>
              <w:top w:val="nil"/>
              <w:left w:val="nil"/>
              <w:bottom w:val="single" w:color="auto" w:sz="4" w:space="0"/>
              <w:right w:val="single" w:color="auto" w:sz="4" w:space="0"/>
            </w:tcBorders>
            <w:shd w:val="clear" w:color="auto" w:fill="auto"/>
            <w:noWrap/>
            <w:vAlign w:val="center"/>
          </w:tcPr>
          <w:p w14:paraId="323B95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696" w:type="dxa"/>
            <w:tcBorders>
              <w:top w:val="nil"/>
              <w:left w:val="nil"/>
              <w:bottom w:val="single" w:color="auto" w:sz="4" w:space="0"/>
              <w:right w:val="single" w:color="auto" w:sz="4" w:space="0"/>
            </w:tcBorders>
            <w:shd w:val="clear" w:color="auto" w:fill="auto"/>
            <w:noWrap/>
            <w:vAlign w:val="center"/>
          </w:tcPr>
          <w:p w14:paraId="3E8B36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60B9B21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310.32</w:t>
            </w: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2E972C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6B0ECB3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F61B9B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093DD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6D0B42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821" w:type="dxa"/>
            <w:tcBorders>
              <w:top w:val="nil"/>
              <w:left w:val="nil"/>
              <w:bottom w:val="single" w:color="auto" w:sz="4" w:space="0"/>
              <w:right w:val="single" w:color="auto" w:sz="4" w:space="0"/>
            </w:tcBorders>
            <w:shd w:val="clear" w:color="auto" w:fill="auto"/>
            <w:noWrap/>
            <w:vAlign w:val="center"/>
          </w:tcPr>
          <w:p w14:paraId="68CBB23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5FCC13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457" w:type="dxa"/>
            <w:tcBorders>
              <w:top w:val="nil"/>
              <w:left w:val="nil"/>
              <w:bottom w:val="single" w:color="auto" w:sz="4" w:space="0"/>
              <w:right w:val="single" w:color="auto" w:sz="4" w:space="0"/>
            </w:tcBorders>
            <w:shd w:val="clear" w:color="auto" w:fill="auto"/>
            <w:noWrap/>
            <w:vAlign w:val="center"/>
          </w:tcPr>
          <w:p w14:paraId="780029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696" w:type="dxa"/>
            <w:tcBorders>
              <w:top w:val="nil"/>
              <w:left w:val="nil"/>
              <w:bottom w:val="single" w:color="auto" w:sz="4" w:space="0"/>
              <w:right w:val="single" w:color="auto" w:sz="4" w:space="0"/>
            </w:tcBorders>
            <w:shd w:val="clear" w:color="auto" w:fill="auto"/>
            <w:noWrap/>
            <w:vAlign w:val="center"/>
          </w:tcPr>
          <w:p w14:paraId="783D67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40CE48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028C3A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3A0FDFA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8AEEA0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D37DC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5F2AEF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821" w:type="dxa"/>
            <w:tcBorders>
              <w:top w:val="nil"/>
              <w:left w:val="nil"/>
              <w:bottom w:val="single" w:color="auto" w:sz="4" w:space="0"/>
              <w:right w:val="single" w:color="auto" w:sz="4" w:space="0"/>
            </w:tcBorders>
            <w:shd w:val="clear" w:color="auto" w:fill="auto"/>
            <w:noWrap/>
            <w:vAlign w:val="center"/>
          </w:tcPr>
          <w:p w14:paraId="5E6C86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08E557A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7" w:type="dxa"/>
            <w:tcBorders>
              <w:top w:val="nil"/>
              <w:left w:val="nil"/>
              <w:bottom w:val="single" w:color="auto" w:sz="4" w:space="0"/>
              <w:right w:val="single" w:color="auto" w:sz="4" w:space="0"/>
            </w:tcBorders>
            <w:shd w:val="clear" w:color="auto" w:fill="auto"/>
            <w:noWrap/>
            <w:vAlign w:val="center"/>
          </w:tcPr>
          <w:p w14:paraId="59A4F0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696" w:type="dxa"/>
            <w:tcBorders>
              <w:top w:val="nil"/>
              <w:left w:val="nil"/>
              <w:bottom w:val="single" w:color="auto" w:sz="4" w:space="0"/>
              <w:right w:val="single" w:color="auto" w:sz="4" w:space="0"/>
            </w:tcBorders>
            <w:shd w:val="clear" w:color="auto" w:fill="auto"/>
            <w:noWrap/>
            <w:vAlign w:val="center"/>
          </w:tcPr>
          <w:p w14:paraId="47F8CD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1D0404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6DC789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3D69F77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315733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B8204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618918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821" w:type="dxa"/>
            <w:tcBorders>
              <w:top w:val="nil"/>
              <w:left w:val="nil"/>
              <w:bottom w:val="single" w:color="auto" w:sz="4" w:space="0"/>
              <w:right w:val="single" w:color="auto" w:sz="4" w:space="0"/>
            </w:tcBorders>
            <w:shd w:val="clear" w:color="auto" w:fill="auto"/>
            <w:noWrap/>
            <w:vAlign w:val="center"/>
          </w:tcPr>
          <w:p w14:paraId="591D12C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524BCF5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7" w:type="dxa"/>
            <w:tcBorders>
              <w:top w:val="nil"/>
              <w:left w:val="nil"/>
              <w:bottom w:val="single" w:color="auto" w:sz="4" w:space="0"/>
              <w:right w:val="single" w:color="auto" w:sz="4" w:space="0"/>
            </w:tcBorders>
            <w:shd w:val="clear" w:color="auto" w:fill="auto"/>
            <w:noWrap/>
            <w:vAlign w:val="center"/>
          </w:tcPr>
          <w:p w14:paraId="3AFE39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696" w:type="dxa"/>
            <w:tcBorders>
              <w:top w:val="nil"/>
              <w:left w:val="nil"/>
              <w:bottom w:val="single" w:color="auto" w:sz="4" w:space="0"/>
              <w:right w:val="single" w:color="auto" w:sz="4" w:space="0"/>
            </w:tcBorders>
            <w:shd w:val="clear" w:color="auto" w:fill="auto"/>
            <w:noWrap/>
            <w:vAlign w:val="center"/>
          </w:tcPr>
          <w:p w14:paraId="67EA64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14B414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279EAA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330A8F9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E63D1D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7948D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6B778A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821" w:type="dxa"/>
            <w:tcBorders>
              <w:top w:val="nil"/>
              <w:left w:val="nil"/>
              <w:bottom w:val="single" w:color="auto" w:sz="4" w:space="0"/>
              <w:right w:val="single" w:color="auto" w:sz="4" w:space="0"/>
            </w:tcBorders>
            <w:shd w:val="clear" w:color="auto" w:fill="auto"/>
            <w:noWrap/>
            <w:vAlign w:val="center"/>
          </w:tcPr>
          <w:p w14:paraId="18F9136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auto" w:fill="auto"/>
            <w:noWrap/>
            <w:vAlign w:val="center"/>
          </w:tcPr>
          <w:p w14:paraId="4FF76D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57" w:type="dxa"/>
            <w:tcBorders>
              <w:top w:val="nil"/>
              <w:left w:val="nil"/>
              <w:bottom w:val="single" w:color="auto" w:sz="4" w:space="0"/>
              <w:right w:val="single" w:color="auto" w:sz="4" w:space="0"/>
            </w:tcBorders>
            <w:shd w:val="clear" w:color="auto" w:fill="auto"/>
            <w:noWrap/>
            <w:vAlign w:val="center"/>
          </w:tcPr>
          <w:p w14:paraId="174220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696" w:type="dxa"/>
            <w:tcBorders>
              <w:top w:val="nil"/>
              <w:left w:val="nil"/>
              <w:bottom w:val="single" w:color="auto" w:sz="4" w:space="0"/>
              <w:right w:val="single" w:color="auto" w:sz="4" w:space="0"/>
            </w:tcBorders>
            <w:shd w:val="clear" w:color="auto" w:fill="auto"/>
            <w:noWrap/>
            <w:vAlign w:val="center"/>
          </w:tcPr>
          <w:p w14:paraId="295E3A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auto" w:fill="auto"/>
            <w:noWrap/>
            <w:vAlign w:val="center"/>
          </w:tcPr>
          <w:p w14:paraId="58B5B8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32EBC2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1414AF6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481F85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6E072EC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605CB5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821" w:type="dxa"/>
            <w:tcBorders>
              <w:top w:val="nil"/>
              <w:left w:val="nil"/>
              <w:bottom w:val="single" w:color="auto" w:sz="4" w:space="0"/>
              <w:right w:val="single" w:color="auto" w:sz="4" w:space="0"/>
            </w:tcBorders>
            <w:shd w:val="clear" w:color="auto" w:fill="auto"/>
            <w:noWrap/>
            <w:vAlign w:val="center"/>
          </w:tcPr>
          <w:p w14:paraId="3E22566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795" w:type="dxa"/>
            <w:tcBorders>
              <w:top w:val="nil"/>
              <w:left w:val="nil"/>
              <w:bottom w:val="single" w:color="auto" w:sz="4" w:space="0"/>
              <w:right w:val="single" w:color="auto" w:sz="4" w:space="0"/>
            </w:tcBorders>
            <w:shd w:val="clear" w:color="000000" w:fill="FFFFFF"/>
            <w:noWrap/>
            <w:vAlign w:val="center"/>
          </w:tcPr>
          <w:p w14:paraId="5EB4480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57" w:type="dxa"/>
            <w:tcBorders>
              <w:top w:val="nil"/>
              <w:left w:val="nil"/>
              <w:bottom w:val="single" w:color="auto" w:sz="4" w:space="0"/>
              <w:right w:val="single" w:color="auto" w:sz="4" w:space="0"/>
            </w:tcBorders>
            <w:shd w:val="clear" w:color="000000" w:fill="FFFFFF"/>
            <w:noWrap/>
            <w:vAlign w:val="center"/>
          </w:tcPr>
          <w:p w14:paraId="5AC0DB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696" w:type="dxa"/>
            <w:tcBorders>
              <w:top w:val="nil"/>
              <w:left w:val="nil"/>
              <w:bottom w:val="single" w:color="auto" w:sz="4" w:space="0"/>
              <w:right w:val="single" w:color="auto" w:sz="4" w:space="0"/>
            </w:tcBorders>
            <w:shd w:val="clear" w:color="000000" w:fill="FFFFFF"/>
            <w:noWrap/>
            <w:vAlign w:val="center"/>
          </w:tcPr>
          <w:p w14:paraId="5F0DB6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01" w:type="dxa"/>
            <w:tcBorders>
              <w:top w:val="nil"/>
              <w:left w:val="nil"/>
              <w:bottom w:val="single" w:color="auto" w:sz="4" w:space="0"/>
              <w:right w:val="single" w:color="auto" w:sz="4" w:space="0"/>
            </w:tcBorders>
            <w:shd w:val="clear" w:color="000000" w:fill="FFFFFF"/>
            <w:noWrap/>
            <w:vAlign w:val="center"/>
          </w:tcPr>
          <w:p w14:paraId="68B3B4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7" w:type="dxa"/>
            <w:tcBorders>
              <w:top w:val="nil"/>
              <w:left w:val="nil"/>
              <w:bottom w:val="single" w:color="auto" w:sz="4" w:space="0"/>
              <w:right w:val="single" w:color="auto" w:sz="4" w:space="0"/>
            </w:tcBorders>
            <w:shd w:val="clear" w:color="auto" w:fill="auto"/>
            <w:noWrap/>
            <w:vAlign w:val="center"/>
          </w:tcPr>
          <w:p w14:paraId="048138E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821" w:type="dxa"/>
            <w:tcBorders>
              <w:top w:val="nil"/>
              <w:left w:val="nil"/>
              <w:bottom w:val="single" w:color="auto" w:sz="4" w:space="0"/>
              <w:right w:val="single" w:color="auto" w:sz="4" w:space="0"/>
            </w:tcBorders>
            <w:shd w:val="clear" w:color="auto" w:fill="auto"/>
            <w:noWrap/>
            <w:vAlign w:val="center"/>
          </w:tcPr>
          <w:p w14:paraId="3CBAB8D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1850C2E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ED3C6F8">
      <w:pPr>
        <w:widowControl/>
        <w:jc w:val="center"/>
        <w:rPr>
          <w:rFonts w:ascii="Times New Roman" w:hAnsi="Times New Roman" w:eastAsia="方正小标宋_GBK" w:cs="Times New Roman"/>
          <w:kern w:val="0"/>
          <w:sz w:val="36"/>
          <w:szCs w:val="36"/>
        </w:rPr>
      </w:pPr>
    </w:p>
    <w:p w14:paraId="0F4A329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0C0F802">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140740B4">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E92090C">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983CE6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46E348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5252012">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FD239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419A390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0A306F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01444F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F2352B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B885A5B">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2638E0A">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93DE30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7197F5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3AF017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810077D">
            <w:pPr>
              <w:widowControl/>
              <w:jc w:val="left"/>
              <w:rPr>
                <w:rFonts w:ascii="Times New Roman" w:hAnsi="Times New Roman" w:eastAsia="仿宋_GB2312" w:cs="Times New Roman"/>
                <w:kern w:val="0"/>
                <w:szCs w:val="21"/>
              </w:rPr>
            </w:pPr>
          </w:p>
        </w:tc>
      </w:tr>
      <w:tr w14:paraId="67926263">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E0CBD0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782FED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0786B0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9229F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12C8525">
            <w:pPr>
              <w:widowControl/>
              <w:jc w:val="left"/>
              <w:rPr>
                <w:rFonts w:ascii="Times New Roman" w:hAnsi="Times New Roman" w:eastAsia="仿宋_GB2312" w:cs="Times New Roman"/>
                <w:kern w:val="0"/>
                <w:szCs w:val="21"/>
              </w:rPr>
            </w:pPr>
          </w:p>
        </w:tc>
      </w:tr>
      <w:tr w14:paraId="41D013A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6ABF67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006D37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079941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E6087A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FD0D56C">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9DD48D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8D8616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310.32</w:t>
            </w:r>
          </w:p>
        </w:tc>
        <w:tc>
          <w:tcPr>
            <w:tcW w:w="3492" w:type="dxa"/>
            <w:tcBorders>
              <w:top w:val="nil"/>
              <w:left w:val="nil"/>
              <w:bottom w:val="single" w:color="auto" w:sz="4" w:space="0"/>
              <w:right w:val="single" w:color="auto" w:sz="4" w:space="0"/>
            </w:tcBorders>
            <w:shd w:val="clear" w:color="auto" w:fill="auto"/>
            <w:vAlign w:val="center"/>
          </w:tcPr>
          <w:p w14:paraId="62674F5C">
            <w:pPr>
              <w:widowControl/>
              <w:tabs>
                <w:tab w:val="left" w:pos="277"/>
                <w:tab w:val="center" w:pos="1803"/>
              </w:tabs>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57.61</w:t>
            </w:r>
          </w:p>
        </w:tc>
        <w:tc>
          <w:tcPr>
            <w:tcW w:w="3000" w:type="dxa"/>
            <w:tcBorders>
              <w:top w:val="nil"/>
              <w:left w:val="nil"/>
              <w:bottom w:val="single" w:color="auto" w:sz="4" w:space="0"/>
              <w:right w:val="single" w:color="auto" w:sz="8" w:space="0"/>
            </w:tcBorders>
            <w:shd w:val="clear" w:color="auto" w:fill="auto"/>
            <w:vAlign w:val="center"/>
          </w:tcPr>
          <w:p w14:paraId="3FFEDDA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252.71</w:t>
            </w:r>
          </w:p>
        </w:tc>
      </w:tr>
      <w:tr w14:paraId="762BAE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135EA930">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2010101</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686B6860">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F3A1772">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14.99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DB7498B">
            <w:pPr>
              <w:widowControl/>
              <w:jc w:val="center"/>
              <w:rPr>
                <w:rFonts w:hint="eastAsia" w:ascii="新宋体" w:hAnsi="新宋体" w:eastAsia="新宋体" w:cs="新宋体"/>
                <w:kern w:val="0"/>
                <w:sz w:val="20"/>
                <w:szCs w:val="20"/>
                <w:lang w:val="en-US" w:eastAsia="zh-CN" w:bidi="ar-SA"/>
              </w:rPr>
            </w:pPr>
            <w:r>
              <w:rPr>
                <w:rFonts w:hint="eastAsia" w:ascii="新宋体" w:hAnsi="新宋体" w:eastAsia="新宋体" w:cs="新宋体"/>
                <w:kern w:val="0"/>
                <w:sz w:val="20"/>
                <w:szCs w:val="20"/>
                <w:lang w:val="en-US" w:eastAsia="zh-CN"/>
              </w:rPr>
              <w:t>14.99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0D1F88">
            <w:pPr>
              <w:widowControl/>
              <w:jc w:val="center"/>
              <w:rPr>
                <w:rFonts w:hint="eastAsia" w:ascii="新宋体" w:hAnsi="新宋体" w:eastAsia="新宋体" w:cs="新宋体"/>
                <w:kern w:val="0"/>
                <w:sz w:val="20"/>
                <w:szCs w:val="20"/>
                <w:lang w:val="en-US" w:eastAsia="zh-CN" w:bidi="ar-SA"/>
              </w:rPr>
            </w:pPr>
          </w:p>
        </w:tc>
      </w:tr>
      <w:tr w14:paraId="1671730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5B425E3D">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2010301</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4743D42B">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FEA5CD4">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1.47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D4C024D">
            <w:pPr>
              <w:widowControl/>
              <w:jc w:val="center"/>
              <w:rPr>
                <w:rFonts w:hint="eastAsia" w:ascii="新宋体" w:hAnsi="新宋体" w:eastAsia="新宋体" w:cs="新宋体"/>
                <w:kern w:val="0"/>
                <w:sz w:val="20"/>
                <w:szCs w:val="20"/>
                <w:lang w:val="en-US" w:eastAsia="zh-CN" w:bidi="ar-SA"/>
              </w:rPr>
            </w:pPr>
            <w:r>
              <w:rPr>
                <w:rFonts w:hint="eastAsia" w:ascii="新宋体" w:hAnsi="新宋体" w:eastAsia="新宋体" w:cs="新宋体"/>
                <w:kern w:val="0"/>
                <w:sz w:val="20"/>
                <w:szCs w:val="20"/>
                <w:lang w:val="en-US" w:eastAsia="zh-CN"/>
              </w:rPr>
              <w:t>1.47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832389F">
            <w:pPr>
              <w:widowControl/>
              <w:jc w:val="center"/>
              <w:rPr>
                <w:rFonts w:hint="eastAsia" w:ascii="新宋体" w:hAnsi="新宋体" w:eastAsia="新宋体" w:cs="新宋体"/>
                <w:kern w:val="0"/>
                <w:sz w:val="20"/>
                <w:szCs w:val="20"/>
                <w:lang w:val="en-US" w:eastAsia="zh-CN" w:bidi="ar-SA"/>
              </w:rPr>
            </w:pPr>
          </w:p>
        </w:tc>
      </w:tr>
      <w:tr w14:paraId="2764D9A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4DC062B1">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2019999</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64826422">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500E95E">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76.01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15F9DB1">
            <w:pPr>
              <w:widowControl/>
              <w:jc w:val="center"/>
              <w:rPr>
                <w:rFonts w:hint="eastAsia" w:ascii="新宋体" w:hAnsi="新宋体" w:eastAsia="新宋体" w:cs="新宋体"/>
                <w:kern w:val="0"/>
                <w:sz w:val="20"/>
                <w:szCs w:val="20"/>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B1A633D">
            <w:pPr>
              <w:widowControl/>
              <w:jc w:val="center"/>
              <w:rPr>
                <w:rFonts w:hint="eastAsia" w:ascii="新宋体" w:hAnsi="新宋体" w:eastAsia="新宋体" w:cs="新宋体"/>
                <w:kern w:val="0"/>
                <w:sz w:val="20"/>
                <w:szCs w:val="20"/>
                <w:lang w:val="en-US" w:eastAsia="zh-CN" w:bidi="ar-SA"/>
              </w:rPr>
            </w:pPr>
            <w:r>
              <w:rPr>
                <w:rFonts w:hint="eastAsia" w:ascii="新宋体" w:hAnsi="新宋体" w:eastAsia="新宋体" w:cs="新宋体"/>
                <w:kern w:val="0"/>
                <w:sz w:val="20"/>
                <w:szCs w:val="20"/>
                <w:lang w:val="en-US" w:eastAsia="zh-CN"/>
              </w:rPr>
              <w:t>76.01</w:t>
            </w:r>
          </w:p>
        </w:tc>
      </w:tr>
      <w:tr w14:paraId="525636E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7427810C">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2080505</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2CE174B8">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273A4FE">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12.61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A76ED65">
            <w:pPr>
              <w:widowControl/>
              <w:jc w:val="center"/>
              <w:rPr>
                <w:rFonts w:hint="eastAsia" w:ascii="新宋体" w:hAnsi="新宋体" w:eastAsia="新宋体" w:cs="新宋体"/>
                <w:kern w:val="0"/>
                <w:sz w:val="20"/>
                <w:szCs w:val="20"/>
                <w:lang w:val="en-US" w:eastAsia="zh-CN" w:bidi="ar-SA"/>
              </w:rPr>
            </w:pPr>
            <w:r>
              <w:rPr>
                <w:rFonts w:hint="eastAsia" w:ascii="新宋体" w:hAnsi="新宋体" w:eastAsia="新宋体" w:cs="新宋体"/>
                <w:kern w:val="0"/>
                <w:sz w:val="20"/>
                <w:szCs w:val="20"/>
                <w:lang w:val="en-US" w:eastAsia="zh-CN"/>
              </w:rPr>
              <w:t>12.61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6F8AA66">
            <w:pPr>
              <w:widowControl/>
              <w:jc w:val="center"/>
              <w:rPr>
                <w:rFonts w:hint="eastAsia" w:ascii="新宋体" w:hAnsi="新宋体" w:eastAsia="新宋体" w:cs="新宋体"/>
                <w:kern w:val="0"/>
                <w:sz w:val="20"/>
                <w:szCs w:val="20"/>
                <w:lang w:val="en-US" w:eastAsia="zh-CN" w:bidi="ar-SA"/>
              </w:rPr>
            </w:pPr>
          </w:p>
        </w:tc>
      </w:tr>
      <w:tr w14:paraId="1EA92FC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000A574B">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2082799</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6D6DD811">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其他财政对社会保险基金的补助</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33E6B50">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0.01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4BB6D8D">
            <w:pPr>
              <w:widowControl/>
              <w:jc w:val="center"/>
              <w:rPr>
                <w:rFonts w:hint="eastAsia" w:ascii="新宋体" w:hAnsi="新宋体" w:eastAsia="新宋体" w:cs="新宋体"/>
                <w:kern w:val="0"/>
                <w:sz w:val="20"/>
                <w:szCs w:val="20"/>
                <w:lang w:val="en-US" w:eastAsia="zh-CN" w:bidi="ar-SA"/>
              </w:rPr>
            </w:pPr>
            <w:r>
              <w:rPr>
                <w:rFonts w:hint="eastAsia" w:ascii="新宋体" w:hAnsi="新宋体" w:eastAsia="新宋体" w:cs="新宋体"/>
                <w:kern w:val="0"/>
                <w:sz w:val="20"/>
                <w:szCs w:val="20"/>
                <w:lang w:val="en-US" w:eastAsia="zh-CN"/>
              </w:rPr>
              <w:t>0.01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346FA54">
            <w:pPr>
              <w:widowControl/>
              <w:jc w:val="center"/>
              <w:rPr>
                <w:rFonts w:hint="eastAsia" w:ascii="新宋体" w:hAnsi="新宋体" w:eastAsia="新宋体" w:cs="新宋体"/>
                <w:kern w:val="0"/>
                <w:sz w:val="20"/>
                <w:szCs w:val="20"/>
                <w:lang w:val="en-US" w:eastAsia="zh-CN" w:bidi="ar-SA"/>
              </w:rPr>
            </w:pPr>
          </w:p>
        </w:tc>
      </w:tr>
      <w:tr w14:paraId="1FC7D86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5583BFED">
            <w:pPr>
              <w:keepNext w:val="0"/>
              <w:keepLines w:val="0"/>
              <w:widowControl/>
              <w:suppressLineNumbers w:val="0"/>
              <w:jc w:val="center"/>
              <w:textAlignment w:val="cente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2089999</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2DF9163C">
            <w:pPr>
              <w:keepNext w:val="0"/>
              <w:keepLines w:val="0"/>
              <w:widowControl/>
              <w:suppressLineNumbers w:val="0"/>
              <w:jc w:val="center"/>
              <w:textAlignment w:val="cente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4DDEBB2">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0.12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16DAA65">
            <w:pPr>
              <w:widowControl/>
              <w:jc w:val="center"/>
              <w:rPr>
                <w:rFonts w:hint="eastAsia" w:ascii="新宋体" w:hAnsi="新宋体" w:eastAsia="新宋体" w:cs="新宋体"/>
                <w:kern w:val="0"/>
                <w:sz w:val="20"/>
                <w:szCs w:val="20"/>
                <w:lang w:val="en-US" w:eastAsia="zh-CN" w:bidi="ar-SA"/>
              </w:rPr>
            </w:pPr>
            <w:r>
              <w:rPr>
                <w:rFonts w:hint="eastAsia" w:ascii="新宋体" w:hAnsi="新宋体" w:eastAsia="新宋体" w:cs="新宋体"/>
                <w:kern w:val="0"/>
                <w:sz w:val="20"/>
                <w:szCs w:val="20"/>
                <w:lang w:val="en-US" w:eastAsia="zh-CN"/>
              </w:rPr>
              <w:t>0.12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80949A0">
            <w:pPr>
              <w:widowControl/>
              <w:jc w:val="center"/>
              <w:rPr>
                <w:rFonts w:hint="eastAsia" w:ascii="新宋体" w:hAnsi="新宋体" w:eastAsia="新宋体" w:cs="新宋体"/>
                <w:kern w:val="0"/>
                <w:sz w:val="20"/>
                <w:szCs w:val="20"/>
                <w:lang w:val="en-US" w:eastAsia="zh-CN" w:bidi="ar-SA"/>
              </w:rPr>
            </w:pPr>
          </w:p>
        </w:tc>
      </w:tr>
      <w:tr w14:paraId="53872D1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51489081">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2100199</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45900C57">
            <w:pPr>
              <w:keepNext w:val="0"/>
              <w:keepLines w:val="0"/>
              <w:widowControl/>
              <w:suppressLineNumbers w:val="0"/>
              <w:jc w:val="center"/>
              <w:textAlignment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其他卫生健康管理事务支出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9134007">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7.41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8C3A2BA">
            <w:pPr>
              <w:widowControl/>
              <w:jc w:val="center"/>
              <w:rPr>
                <w:rFonts w:hint="eastAsia" w:ascii="新宋体" w:hAnsi="新宋体" w:eastAsia="新宋体" w:cs="新宋体"/>
                <w:kern w:val="0"/>
                <w:sz w:val="20"/>
                <w:szCs w:val="20"/>
                <w:lang w:val="en-US" w:eastAsia="zh-CN" w:bidi="ar-SA"/>
              </w:rPr>
            </w:pPr>
            <w:r>
              <w:rPr>
                <w:rFonts w:hint="eastAsia" w:ascii="新宋体" w:hAnsi="新宋体" w:eastAsia="新宋体" w:cs="新宋体"/>
                <w:kern w:val="0"/>
                <w:sz w:val="20"/>
                <w:szCs w:val="20"/>
                <w:lang w:val="en-US" w:eastAsia="zh-CN"/>
              </w:rPr>
              <w:t>7.41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401601A">
            <w:pPr>
              <w:widowControl/>
              <w:jc w:val="center"/>
              <w:rPr>
                <w:rFonts w:hint="eastAsia" w:ascii="新宋体" w:hAnsi="新宋体" w:eastAsia="新宋体" w:cs="新宋体"/>
                <w:kern w:val="0"/>
                <w:sz w:val="20"/>
                <w:szCs w:val="20"/>
                <w:lang w:val="en-US" w:eastAsia="zh-CN" w:bidi="ar-SA"/>
              </w:rPr>
            </w:pPr>
          </w:p>
        </w:tc>
      </w:tr>
      <w:tr w14:paraId="27C875C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3816575F">
            <w:pPr>
              <w:keepNext w:val="0"/>
              <w:keepLines w:val="0"/>
              <w:widowControl/>
              <w:suppressLineNumbers w:val="0"/>
              <w:jc w:val="center"/>
              <w:textAlignment w:val="cente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2120199</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70E93265">
            <w:pPr>
              <w:keepNext w:val="0"/>
              <w:keepLines w:val="0"/>
              <w:widowControl/>
              <w:suppressLineNumbers w:val="0"/>
              <w:jc w:val="center"/>
              <w:textAlignment w:val="cente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pPr>
            <w:r>
              <w:rPr>
                <w:rFonts w:hint="eastAsia" w:ascii="新宋体" w:hAnsi="新宋体" w:eastAsia="新宋体" w:cs="新宋体"/>
                <w:i w:val="0"/>
                <w:iCs w:val="0"/>
                <w:color w:val="000000" w:themeColor="text1"/>
                <w:kern w:val="0"/>
                <w:sz w:val="20"/>
                <w:szCs w:val="20"/>
                <w:u w:val="none"/>
                <w:lang w:val="en-US" w:eastAsia="zh-CN" w:bidi="ar"/>
                <w14:textFill>
                  <w14:solidFill>
                    <w14:schemeClr w14:val="tx1"/>
                  </w14:solidFill>
                </w14:textFill>
              </w:rPr>
              <w:t>其他城乡社区管理事务支出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AEB4925">
            <w:pPr>
              <w:jc w:val="center"/>
              <w:rPr>
                <w:rFonts w:hint="eastAsia" w:ascii="新宋体" w:hAnsi="新宋体" w:eastAsia="新宋体" w:cs="新宋体"/>
                <w:color w:val="000000" w:themeColor="text1"/>
                <w:kern w:val="2"/>
                <w:sz w:val="20"/>
                <w:szCs w:val="20"/>
                <w:lang w:val="en-US" w:eastAsia="zh-CN" w:bidi="ar-SA"/>
                <w14:textFill>
                  <w14:solidFill>
                    <w14:schemeClr w14:val="tx1"/>
                  </w14:solidFill>
                </w14:textFill>
              </w:rPr>
            </w:pPr>
            <w:r>
              <w:rPr>
                <w:rFonts w:hint="eastAsia" w:ascii="新宋体" w:hAnsi="新宋体" w:eastAsia="新宋体" w:cs="新宋体"/>
                <w:color w:val="000000" w:themeColor="text1"/>
                <w:sz w:val="20"/>
                <w:szCs w:val="20"/>
                <w:lang w:val="en-US" w:eastAsia="zh-CN"/>
                <w14:textFill>
                  <w14:solidFill>
                    <w14:schemeClr w14:val="tx1"/>
                  </w14:solidFill>
                </w14:textFill>
              </w:rPr>
              <w:t>197.7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4FFE889">
            <w:pPr>
              <w:widowControl/>
              <w:jc w:val="center"/>
              <w:rPr>
                <w:rFonts w:hint="eastAsia" w:ascii="新宋体" w:hAnsi="新宋体" w:eastAsia="新宋体" w:cs="新宋体"/>
                <w:kern w:val="0"/>
                <w:sz w:val="20"/>
                <w:szCs w:val="20"/>
                <w:lang w:val="en-US" w:eastAsia="zh-CN" w:bidi="ar-SA"/>
              </w:rPr>
            </w:pPr>
            <w:r>
              <w:rPr>
                <w:rFonts w:hint="eastAsia" w:ascii="新宋体" w:hAnsi="新宋体" w:eastAsia="新宋体" w:cs="新宋体"/>
                <w:kern w:val="0"/>
                <w:sz w:val="20"/>
                <w:szCs w:val="20"/>
                <w:lang w:val="en-US" w:eastAsia="zh-CN"/>
              </w:rPr>
              <w:t>21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7492607">
            <w:pPr>
              <w:widowControl/>
              <w:jc w:val="center"/>
              <w:rPr>
                <w:rFonts w:hint="eastAsia" w:ascii="新宋体" w:hAnsi="新宋体" w:eastAsia="新宋体" w:cs="新宋体"/>
                <w:kern w:val="0"/>
                <w:sz w:val="20"/>
                <w:szCs w:val="20"/>
                <w:lang w:val="en-US" w:eastAsia="zh-CN" w:bidi="ar-SA"/>
              </w:rPr>
            </w:pPr>
            <w:r>
              <w:rPr>
                <w:rFonts w:hint="eastAsia" w:ascii="新宋体" w:hAnsi="新宋体" w:eastAsia="新宋体" w:cs="新宋体"/>
                <w:kern w:val="0"/>
                <w:sz w:val="20"/>
                <w:szCs w:val="20"/>
                <w:lang w:val="en-US" w:eastAsia="zh-CN"/>
              </w:rPr>
              <w:t>176.7</w:t>
            </w:r>
          </w:p>
        </w:tc>
      </w:tr>
    </w:tbl>
    <w:p w14:paraId="3BA9C0C7">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31CF39BC">
      <w:pPr>
        <w:widowControl/>
        <w:jc w:val="left"/>
        <w:rPr>
          <w:rFonts w:ascii="Times New Roman" w:hAnsi="Times New Roman" w:eastAsia="仿宋_GB2312" w:cs="Times New Roman"/>
          <w:bCs/>
          <w:kern w:val="0"/>
          <w:szCs w:val="21"/>
        </w:rPr>
      </w:pPr>
    </w:p>
    <w:p w14:paraId="3CFA6A9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28C555BC">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D90BDC4">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7B9E1F48">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0886A0F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1D0E8A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15BA262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734F69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D20B8A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27C67C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E58AD4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27220C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41174BE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C4FF47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ACE2B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28FF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43E60C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CE1EF7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40.02</w:t>
            </w:r>
          </w:p>
        </w:tc>
        <w:tc>
          <w:tcPr>
            <w:tcW w:w="1116" w:type="dxa"/>
            <w:tcBorders>
              <w:top w:val="nil"/>
              <w:left w:val="nil"/>
              <w:bottom w:val="single" w:color="auto" w:sz="4" w:space="0"/>
              <w:right w:val="single" w:color="auto" w:sz="4" w:space="0"/>
            </w:tcBorders>
            <w:shd w:val="clear" w:color="auto" w:fill="auto"/>
            <w:noWrap/>
            <w:vAlign w:val="center"/>
          </w:tcPr>
          <w:p w14:paraId="7CE742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E513A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D8A2F3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17.14</w:t>
            </w:r>
          </w:p>
        </w:tc>
        <w:tc>
          <w:tcPr>
            <w:tcW w:w="1217" w:type="dxa"/>
            <w:tcBorders>
              <w:top w:val="nil"/>
              <w:left w:val="nil"/>
              <w:bottom w:val="single" w:color="auto" w:sz="4" w:space="0"/>
              <w:right w:val="single" w:color="auto" w:sz="4" w:space="0"/>
            </w:tcBorders>
            <w:shd w:val="clear" w:color="auto" w:fill="auto"/>
            <w:noWrap/>
            <w:vAlign w:val="center"/>
          </w:tcPr>
          <w:p w14:paraId="5A2877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74B4B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70311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A9CD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7696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51EAFE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31E4BB8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5.48</w:t>
            </w:r>
          </w:p>
        </w:tc>
        <w:tc>
          <w:tcPr>
            <w:tcW w:w="1116" w:type="dxa"/>
            <w:tcBorders>
              <w:top w:val="nil"/>
              <w:left w:val="nil"/>
              <w:bottom w:val="single" w:color="auto" w:sz="4" w:space="0"/>
              <w:right w:val="single" w:color="auto" w:sz="4" w:space="0"/>
            </w:tcBorders>
            <w:shd w:val="clear" w:color="auto" w:fill="auto"/>
            <w:noWrap/>
            <w:vAlign w:val="center"/>
          </w:tcPr>
          <w:p w14:paraId="34FF39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1284B4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5A5972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8.3</w:t>
            </w:r>
          </w:p>
        </w:tc>
        <w:tc>
          <w:tcPr>
            <w:tcW w:w="1217" w:type="dxa"/>
            <w:tcBorders>
              <w:top w:val="nil"/>
              <w:left w:val="nil"/>
              <w:bottom w:val="single" w:color="auto" w:sz="4" w:space="0"/>
              <w:right w:val="single" w:color="auto" w:sz="4" w:space="0"/>
            </w:tcBorders>
            <w:shd w:val="clear" w:color="auto" w:fill="auto"/>
            <w:noWrap/>
            <w:vAlign w:val="center"/>
          </w:tcPr>
          <w:p w14:paraId="138E54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627DA3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6E6EE4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76CB7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ED29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F663A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6E79C2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F3BF9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448629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0AE16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D8C64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3F1737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5D71E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77AC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3DA4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0FC544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769DFD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D5A88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4C0761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6260BC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C6F87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67FDA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31A47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10D5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68EB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576092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21B87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0CF4D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668B2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46C55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D0297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396AE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31C333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133651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A19E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419467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3696C15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6.76</w:t>
            </w:r>
          </w:p>
        </w:tc>
        <w:tc>
          <w:tcPr>
            <w:tcW w:w="1116" w:type="dxa"/>
            <w:tcBorders>
              <w:top w:val="nil"/>
              <w:left w:val="nil"/>
              <w:bottom w:val="single" w:color="auto" w:sz="4" w:space="0"/>
              <w:right w:val="single" w:color="auto" w:sz="4" w:space="0"/>
            </w:tcBorders>
            <w:shd w:val="clear" w:color="auto" w:fill="auto"/>
            <w:noWrap/>
            <w:vAlign w:val="center"/>
          </w:tcPr>
          <w:p w14:paraId="2EF692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A6CA2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C8D9D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B8CFE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05D6D6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34729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05EF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44DA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4DAAB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1D5CE68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12.61</w:t>
            </w:r>
          </w:p>
        </w:tc>
        <w:tc>
          <w:tcPr>
            <w:tcW w:w="1116" w:type="dxa"/>
            <w:tcBorders>
              <w:top w:val="nil"/>
              <w:left w:val="nil"/>
              <w:bottom w:val="single" w:color="auto" w:sz="4" w:space="0"/>
              <w:right w:val="single" w:color="auto" w:sz="4" w:space="0"/>
            </w:tcBorders>
            <w:shd w:val="clear" w:color="auto" w:fill="auto"/>
            <w:noWrap/>
            <w:vAlign w:val="center"/>
          </w:tcPr>
          <w:p w14:paraId="07F940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594EF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0454CC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2F131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FF181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59CA9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D650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F50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05736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3F84B4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CD386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D7B0D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36C153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25F7B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670A30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DF082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7D11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6480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33C69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7CCDFE6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8.22</w:t>
            </w:r>
          </w:p>
        </w:tc>
        <w:tc>
          <w:tcPr>
            <w:tcW w:w="1116" w:type="dxa"/>
            <w:tcBorders>
              <w:top w:val="nil"/>
              <w:left w:val="nil"/>
              <w:bottom w:val="single" w:color="auto" w:sz="4" w:space="0"/>
              <w:right w:val="single" w:color="auto" w:sz="4" w:space="0"/>
            </w:tcBorders>
            <w:shd w:val="clear" w:color="auto" w:fill="auto"/>
            <w:noWrap/>
            <w:vAlign w:val="center"/>
          </w:tcPr>
          <w:p w14:paraId="4A1063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348C9D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325ED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74BC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6ACE5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4487F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0B47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DDB9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67E380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1FAADA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E1018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C473D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235BDD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1A39A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1F3E8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343BE6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F752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7846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E9E07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267F8B9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6.82</w:t>
            </w:r>
          </w:p>
        </w:tc>
        <w:tc>
          <w:tcPr>
            <w:tcW w:w="1116" w:type="dxa"/>
            <w:tcBorders>
              <w:top w:val="nil"/>
              <w:left w:val="nil"/>
              <w:bottom w:val="single" w:color="auto" w:sz="4" w:space="0"/>
              <w:right w:val="single" w:color="auto" w:sz="4" w:space="0"/>
            </w:tcBorders>
            <w:shd w:val="clear" w:color="auto" w:fill="auto"/>
            <w:noWrap/>
            <w:vAlign w:val="center"/>
          </w:tcPr>
          <w:p w14:paraId="77766F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623AD3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50B5FE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2.35</w:t>
            </w:r>
          </w:p>
        </w:tc>
        <w:tc>
          <w:tcPr>
            <w:tcW w:w="1217" w:type="dxa"/>
            <w:tcBorders>
              <w:top w:val="nil"/>
              <w:left w:val="nil"/>
              <w:bottom w:val="single" w:color="auto" w:sz="4" w:space="0"/>
              <w:right w:val="single" w:color="auto" w:sz="4" w:space="0"/>
            </w:tcBorders>
            <w:shd w:val="clear" w:color="auto" w:fill="auto"/>
            <w:noWrap/>
            <w:vAlign w:val="center"/>
          </w:tcPr>
          <w:p w14:paraId="7E5C07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8BADA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6CFE20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E497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4BB2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0877C4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56C9A3C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0.13</w:t>
            </w:r>
          </w:p>
        </w:tc>
        <w:tc>
          <w:tcPr>
            <w:tcW w:w="1116" w:type="dxa"/>
            <w:tcBorders>
              <w:top w:val="nil"/>
              <w:left w:val="nil"/>
              <w:bottom w:val="single" w:color="auto" w:sz="4" w:space="0"/>
              <w:right w:val="single" w:color="auto" w:sz="4" w:space="0"/>
            </w:tcBorders>
            <w:shd w:val="clear" w:color="auto" w:fill="auto"/>
            <w:noWrap/>
            <w:vAlign w:val="center"/>
          </w:tcPr>
          <w:p w14:paraId="30027E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005C86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22385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3607B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EAAB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3FBF7C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AF82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5FB4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F26FE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52795E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FBE2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C5850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0034F05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0.01</w:t>
            </w:r>
          </w:p>
        </w:tc>
        <w:tc>
          <w:tcPr>
            <w:tcW w:w="1217" w:type="dxa"/>
            <w:tcBorders>
              <w:top w:val="nil"/>
              <w:left w:val="nil"/>
              <w:bottom w:val="single" w:color="auto" w:sz="4" w:space="0"/>
              <w:right w:val="single" w:color="auto" w:sz="4" w:space="0"/>
            </w:tcBorders>
            <w:shd w:val="clear" w:color="auto" w:fill="auto"/>
            <w:noWrap/>
            <w:vAlign w:val="center"/>
          </w:tcPr>
          <w:p w14:paraId="24628F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15D92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863D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36AE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6AC3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DB2B7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714DA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AF8DB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3F1E0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323F95D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0.12</w:t>
            </w:r>
          </w:p>
        </w:tc>
        <w:tc>
          <w:tcPr>
            <w:tcW w:w="1217" w:type="dxa"/>
            <w:tcBorders>
              <w:top w:val="nil"/>
              <w:left w:val="nil"/>
              <w:bottom w:val="single" w:color="auto" w:sz="4" w:space="0"/>
              <w:right w:val="single" w:color="auto" w:sz="4" w:space="0"/>
            </w:tcBorders>
            <w:shd w:val="clear" w:color="auto" w:fill="auto"/>
            <w:noWrap/>
            <w:vAlign w:val="center"/>
          </w:tcPr>
          <w:p w14:paraId="108C13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41978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CFA4E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3DE4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5C68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4AEBB9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FBA027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0.45</w:t>
            </w:r>
          </w:p>
        </w:tc>
        <w:tc>
          <w:tcPr>
            <w:tcW w:w="1116" w:type="dxa"/>
            <w:tcBorders>
              <w:top w:val="nil"/>
              <w:left w:val="nil"/>
              <w:bottom w:val="single" w:color="auto" w:sz="4" w:space="0"/>
              <w:right w:val="single" w:color="auto" w:sz="4" w:space="0"/>
            </w:tcBorders>
            <w:shd w:val="clear" w:color="auto" w:fill="auto"/>
            <w:noWrap/>
            <w:vAlign w:val="center"/>
          </w:tcPr>
          <w:p w14:paraId="2DC13E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470C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34642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FF0C7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1FDF43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77F40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305BA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29FF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225A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455553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11CC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44FF9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DCF23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7A340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4FE8DC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416B5E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0CAC5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C8F7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59F2B7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486E12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7C021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026E93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1BB835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82AC2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9387D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BD97E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E65FC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2AFC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B9F3C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732738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4921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42AA8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0901C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F9370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5DBE49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3139BF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B2DD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1A06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E4038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537150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E57BB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88A95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1CD389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78DD7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77AF32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BF950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A041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F07E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E75E2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DB2CB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72CD9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A31C0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3E6E6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E1883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666B87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466F1C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8A44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0B5D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6BE05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7C35E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1EF1A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15E441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364E1D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65054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5EF85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D5D92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1E6B0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69EB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5BB69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14E2AD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28B37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89F35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FF883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CCB8E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0B8DA4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5BAE51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20FE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BA9B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36EC94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2AA730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B1EDD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21DF6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3737649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5.77</w:t>
            </w:r>
          </w:p>
        </w:tc>
        <w:tc>
          <w:tcPr>
            <w:tcW w:w="1217" w:type="dxa"/>
            <w:tcBorders>
              <w:top w:val="nil"/>
              <w:left w:val="nil"/>
              <w:bottom w:val="single" w:color="auto" w:sz="4" w:space="0"/>
              <w:right w:val="single" w:color="auto" w:sz="4" w:space="0"/>
            </w:tcBorders>
            <w:shd w:val="clear" w:color="auto" w:fill="auto"/>
            <w:noWrap/>
            <w:vAlign w:val="center"/>
          </w:tcPr>
          <w:p w14:paraId="60E761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41CE45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84D1A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1824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1B8B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E22E4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1D2406E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0.45</w:t>
            </w:r>
          </w:p>
        </w:tc>
        <w:tc>
          <w:tcPr>
            <w:tcW w:w="1116" w:type="dxa"/>
            <w:tcBorders>
              <w:top w:val="nil"/>
              <w:left w:val="nil"/>
              <w:bottom w:val="single" w:color="auto" w:sz="4" w:space="0"/>
              <w:right w:val="single" w:color="auto" w:sz="4" w:space="0"/>
            </w:tcBorders>
            <w:shd w:val="clear" w:color="auto" w:fill="auto"/>
            <w:noWrap/>
            <w:vAlign w:val="center"/>
          </w:tcPr>
          <w:p w14:paraId="06F01D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330BC6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463355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8F473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69319A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B910A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DD1E41A">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5687455D">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31B7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A2F8DF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96C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70F06EB">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458D9F5D">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875E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A07723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520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B43FD13">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5B0FA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2EA65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1EF9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08DA8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FE74E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55454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432F32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6FE817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901DB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6428A6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C9588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20AD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2A78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4A9E0E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052D16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C638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055A5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053DDE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02119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03119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5CB51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B505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14B1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0FF63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5C795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0A889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68AFF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5E043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E65D0E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444988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33447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0974F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AF69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24A2E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56905D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BD3CE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70EA1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F4B406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0.59</w:t>
            </w:r>
          </w:p>
        </w:tc>
        <w:tc>
          <w:tcPr>
            <w:tcW w:w="1217" w:type="dxa"/>
            <w:tcBorders>
              <w:top w:val="nil"/>
              <w:left w:val="nil"/>
              <w:bottom w:val="single" w:color="auto" w:sz="4" w:space="0"/>
              <w:right w:val="single" w:color="auto" w:sz="4" w:space="0"/>
            </w:tcBorders>
            <w:shd w:val="clear" w:color="auto" w:fill="auto"/>
            <w:noWrap/>
            <w:vAlign w:val="center"/>
          </w:tcPr>
          <w:p w14:paraId="101B570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8C5810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ACB11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C0E5BD">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1E21F0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D7DB9C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40.47</w:t>
            </w: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1C971D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0B0963CF">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17.14</w:t>
            </w:r>
          </w:p>
        </w:tc>
      </w:tr>
    </w:tbl>
    <w:p w14:paraId="40ABADBD">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7085D81">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7D10B2D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CC3650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4D9AE5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1EF2928">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DDF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E03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DC5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1178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792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D7D08D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2FB5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4F3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0A01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63E2D">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775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E09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46EC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1C580">
            <w:pPr>
              <w:widowControl/>
              <w:jc w:val="center"/>
              <w:rPr>
                <w:rFonts w:ascii="Times New Roman" w:hAnsi="Times New Roman" w:eastAsia="仿宋_GB2312" w:cs="Times New Roman"/>
                <w:color w:val="000000"/>
                <w:sz w:val="24"/>
                <w:szCs w:val="24"/>
              </w:rPr>
            </w:pPr>
          </w:p>
        </w:tc>
      </w:tr>
      <w:tr w14:paraId="426E465D">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5E55F">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3B4E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B807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D626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7932E">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E252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6C22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19019">
            <w:pPr>
              <w:jc w:val="center"/>
              <w:rPr>
                <w:rFonts w:ascii="Times New Roman" w:hAnsi="Times New Roman" w:eastAsia="仿宋_GB2312" w:cs="Times New Roman"/>
                <w:color w:val="000000"/>
                <w:sz w:val="24"/>
                <w:szCs w:val="24"/>
              </w:rPr>
            </w:pPr>
          </w:p>
        </w:tc>
      </w:tr>
      <w:tr w14:paraId="286F5DE0">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94E0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190A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D579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03BF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FB45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2B2D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9C94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21FBE">
            <w:pPr>
              <w:jc w:val="center"/>
              <w:rPr>
                <w:rFonts w:ascii="Times New Roman" w:hAnsi="Times New Roman" w:eastAsia="仿宋_GB2312" w:cs="Times New Roman"/>
                <w:color w:val="000000"/>
                <w:sz w:val="24"/>
                <w:szCs w:val="24"/>
              </w:rPr>
            </w:pPr>
          </w:p>
        </w:tc>
      </w:tr>
      <w:tr w14:paraId="5558B6F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6110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9A9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59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48E0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87B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B3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1C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D9D26A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DD90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B18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C6B25">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00D2">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5749">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874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7448">
            <w:pPr>
              <w:jc w:val="center"/>
              <w:rPr>
                <w:rFonts w:ascii="Times New Roman" w:hAnsi="Times New Roman" w:eastAsia="仿宋_GB2312" w:cs="Times New Roman"/>
                <w:color w:val="000000"/>
                <w:sz w:val="24"/>
                <w:szCs w:val="24"/>
              </w:rPr>
            </w:pPr>
          </w:p>
        </w:tc>
      </w:tr>
      <w:tr w14:paraId="345E6F2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FC51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060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34E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DCA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142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E05F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3B9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B87C9">
            <w:pPr>
              <w:rPr>
                <w:rFonts w:ascii="Times New Roman" w:hAnsi="Times New Roman" w:eastAsia="仿宋_GB2312" w:cs="Times New Roman"/>
                <w:color w:val="000000"/>
                <w:sz w:val="24"/>
                <w:szCs w:val="24"/>
              </w:rPr>
            </w:pPr>
          </w:p>
        </w:tc>
      </w:tr>
      <w:tr w14:paraId="6C617BC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567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89BF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0E32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AAF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BA4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2EF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270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2220">
            <w:pPr>
              <w:rPr>
                <w:rFonts w:ascii="Times New Roman" w:hAnsi="Times New Roman" w:eastAsia="仿宋_GB2312" w:cs="Times New Roman"/>
                <w:color w:val="000000"/>
                <w:sz w:val="24"/>
                <w:szCs w:val="24"/>
              </w:rPr>
            </w:pPr>
          </w:p>
        </w:tc>
      </w:tr>
      <w:tr w14:paraId="5B35856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A3A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302AB">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42E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462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862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8DE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9B6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B908F">
            <w:pPr>
              <w:rPr>
                <w:rFonts w:ascii="Times New Roman" w:hAnsi="Times New Roman" w:eastAsia="仿宋_GB2312" w:cs="Times New Roman"/>
                <w:color w:val="000000"/>
                <w:sz w:val="24"/>
                <w:szCs w:val="24"/>
              </w:rPr>
            </w:pPr>
          </w:p>
        </w:tc>
      </w:tr>
      <w:tr w14:paraId="096D73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A90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D1A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D6D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F32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947E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57C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3C1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DFA98">
            <w:pPr>
              <w:rPr>
                <w:rFonts w:ascii="Times New Roman" w:hAnsi="Times New Roman" w:eastAsia="仿宋_GB2312" w:cs="Times New Roman"/>
                <w:color w:val="000000"/>
                <w:sz w:val="24"/>
                <w:szCs w:val="24"/>
              </w:rPr>
            </w:pPr>
          </w:p>
        </w:tc>
      </w:tr>
      <w:tr w14:paraId="4DCABF1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3FA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7B6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840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39B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53D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718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B9D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51AF">
            <w:pPr>
              <w:rPr>
                <w:rFonts w:ascii="Times New Roman" w:hAnsi="Times New Roman" w:eastAsia="仿宋_GB2312" w:cs="Times New Roman"/>
                <w:color w:val="000000"/>
                <w:sz w:val="24"/>
                <w:szCs w:val="24"/>
              </w:rPr>
            </w:pPr>
          </w:p>
        </w:tc>
      </w:tr>
      <w:tr w14:paraId="61FA196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599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E83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872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F8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FDD4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27F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7E8C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6443E">
            <w:pPr>
              <w:rPr>
                <w:rFonts w:ascii="Times New Roman" w:hAnsi="Times New Roman" w:eastAsia="仿宋_GB2312" w:cs="Times New Roman"/>
                <w:color w:val="000000"/>
                <w:sz w:val="24"/>
                <w:szCs w:val="24"/>
              </w:rPr>
            </w:pPr>
          </w:p>
        </w:tc>
      </w:tr>
    </w:tbl>
    <w:p w14:paraId="59D116E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A29B94F">
      <w:pPr>
        <w:widowControl/>
        <w:jc w:val="left"/>
        <w:textAlignment w:val="center"/>
        <w:rPr>
          <w:rFonts w:ascii="Times New Roman" w:hAnsi="Times New Roman" w:eastAsia="仿宋_GB2312" w:cs="Times New Roman"/>
          <w:color w:val="000000"/>
          <w:kern w:val="0"/>
          <w:sz w:val="24"/>
          <w:szCs w:val="24"/>
          <w:lang w:bidi="ar"/>
        </w:rPr>
      </w:pPr>
    </w:p>
    <w:p w14:paraId="1DC39336">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6DBD850C">
      <w:pPr>
        <w:widowControl/>
        <w:jc w:val="center"/>
        <w:rPr>
          <w:rFonts w:ascii="Times New Roman" w:hAnsi="Times New Roman" w:eastAsia="方正小标宋_GBK" w:cs="Times New Roman"/>
          <w:color w:val="000000"/>
          <w:kern w:val="0"/>
          <w:sz w:val="36"/>
          <w:szCs w:val="36"/>
        </w:rPr>
      </w:pPr>
    </w:p>
    <w:p w14:paraId="1C502C2B">
      <w:pPr>
        <w:widowControl/>
        <w:spacing w:line="400" w:lineRule="exact"/>
        <w:textAlignment w:val="center"/>
        <w:rPr>
          <w:rFonts w:ascii="Times New Roman" w:hAnsi="Times New Roman" w:eastAsia="黑体" w:cs="Times New Roman"/>
          <w:color w:val="000000"/>
          <w:kern w:val="0"/>
          <w:sz w:val="36"/>
          <w:szCs w:val="36"/>
          <w:lang w:bidi="ar"/>
        </w:rPr>
      </w:pPr>
    </w:p>
    <w:p w14:paraId="5D8E5C5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39A07A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9AF25C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295D536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03C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2F87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3CF27A6">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91C5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0BB2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5F8F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441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B9C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7C777FF">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1CAA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45F3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2F2A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B817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63097">
            <w:pPr>
              <w:jc w:val="center"/>
              <w:rPr>
                <w:rFonts w:ascii="Times New Roman" w:hAnsi="Times New Roman" w:eastAsia="仿宋_GB2312" w:cs="Times New Roman"/>
                <w:color w:val="000000"/>
                <w:sz w:val="24"/>
                <w:szCs w:val="24"/>
              </w:rPr>
            </w:pPr>
          </w:p>
        </w:tc>
      </w:tr>
      <w:tr w14:paraId="7067C1F0">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9124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541A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B44C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4293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1509C">
            <w:pPr>
              <w:jc w:val="center"/>
              <w:rPr>
                <w:rFonts w:ascii="Times New Roman" w:hAnsi="Times New Roman" w:eastAsia="仿宋_GB2312" w:cs="Times New Roman"/>
                <w:color w:val="000000"/>
                <w:sz w:val="24"/>
                <w:szCs w:val="24"/>
              </w:rPr>
            </w:pPr>
          </w:p>
        </w:tc>
      </w:tr>
      <w:tr w14:paraId="5403FD1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C49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958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D38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EE1E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8BAC02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1B0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8212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2B58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DA992">
            <w:pPr>
              <w:jc w:val="center"/>
              <w:rPr>
                <w:rFonts w:ascii="Times New Roman" w:hAnsi="Times New Roman" w:eastAsia="仿宋_GB2312" w:cs="Times New Roman"/>
                <w:color w:val="000000"/>
                <w:sz w:val="24"/>
                <w:szCs w:val="24"/>
              </w:rPr>
            </w:pPr>
          </w:p>
        </w:tc>
      </w:tr>
      <w:tr w14:paraId="4A28E1D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05E3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A3DF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C46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6805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2DE3C">
            <w:pPr>
              <w:rPr>
                <w:rFonts w:ascii="Times New Roman" w:hAnsi="Times New Roman" w:eastAsia="仿宋_GB2312" w:cs="Times New Roman"/>
                <w:color w:val="000000"/>
                <w:sz w:val="24"/>
                <w:szCs w:val="24"/>
              </w:rPr>
            </w:pPr>
          </w:p>
        </w:tc>
      </w:tr>
      <w:tr w14:paraId="22D9286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9A3D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EA47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23A9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FC37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E7315">
            <w:pPr>
              <w:rPr>
                <w:rFonts w:ascii="Times New Roman" w:hAnsi="Times New Roman" w:eastAsia="仿宋_GB2312" w:cs="Times New Roman"/>
                <w:color w:val="000000"/>
                <w:sz w:val="24"/>
                <w:szCs w:val="24"/>
              </w:rPr>
            </w:pPr>
          </w:p>
        </w:tc>
      </w:tr>
      <w:tr w14:paraId="045E066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2840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9A9B5">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F8FA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0031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0C4C4">
            <w:pPr>
              <w:rPr>
                <w:rFonts w:ascii="Times New Roman" w:hAnsi="Times New Roman" w:eastAsia="宋体" w:cs="Times New Roman"/>
                <w:color w:val="000000"/>
                <w:sz w:val="24"/>
                <w:szCs w:val="24"/>
              </w:rPr>
            </w:pPr>
          </w:p>
        </w:tc>
      </w:tr>
      <w:tr w14:paraId="6BC964A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B5C2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90EB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AFF7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7687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C4B55">
            <w:pPr>
              <w:rPr>
                <w:rFonts w:ascii="Times New Roman" w:hAnsi="Times New Roman" w:eastAsia="宋体" w:cs="Times New Roman"/>
                <w:color w:val="000000"/>
                <w:sz w:val="24"/>
                <w:szCs w:val="24"/>
              </w:rPr>
            </w:pPr>
          </w:p>
        </w:tc>
      </w:tr>
      <w:tr w14:paraId="2580E5E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167A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8AD7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A56A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B5B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46EC4">
            <w:pPr>
              <w:rPr>
                <w:rFonts w:ascii="Times New Roman" w:hAnsi="Times New Roman" w:eastAsia="宋体" w:cs="Times New Roman"/>
                <w:color w:val="000000"/>
                <w:sz w:val="24"/>
                <w:szCs w:val="24"/>
              </w:rPr>
            </w:pPr>
          </w:p>
        </w:tc>
      </w:tr>
      <w:tr w14:paraId="5A0EA3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8A01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1481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093A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468F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3C7F0">
            <w:pPr>
              <w:rPr>
                <w:rFonts w:ascii="Times New Roman" w:hAnsi="Times New Roman" w:eastAsia="宋体" w:cs="Times New Roman"/>
                <w:color w:val="000000"/>
                <w:sz w:val="24"/>
                <w:szCs w:val="24"/>
              </w:rPr>
            </w:pPr>
          </w:p>
        </w:tc>
      </w:tr>
    </w:tbl>
    <w:p w14:paraId="7C627AA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10C51203">
      <w:pPr>
        <w:widowControl/>
        <w:jc w:val="left"/>
        <w:textAlignment w:val="center"/>
        <w:rPr>
          <w:rFonts w:ascii="Times New Roman" w:hAnsi="Times New Roman" w:eastAsia="宋体" w:cs="Times New Roman"/>
          <w:color w:val="000000"/>
          <w:kern w:val="0"/>
          <w:sz w:val="24"/>
          <w:szCs w:val="24"/>
          <w:lang w:bidi="ar"/>
        </w:rPr>
      </w:pPr>
    </w:p>
    <w:p w14:paraId="0F415244">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146269C7">
      <w:pPr>
        <w:widowControl/>
        <w:jc w:val="center"/>
        <w:rPr>
          <w:rFonts w:ascii="Times New Roman" w:hAnsi="Times New Roman" w:eastAsia="方正小标宋_GBK" w:cs="Times New Roman"/>
          <w:color w:val="000000"/>
          <w:kern w:val="0"/>
          <w:sz w:val="36"/>
          <w:szCs w:val="36"/>
        </w:rPr>
      </w:pPr>
    </w:p>
    <w:p w14:paraId="009268F5">
      <w:pPr>
        <w:pStyle w:val="7"/>
        <w:spacing w:line="400" w:lineRule="exact"/>
        <w:rPr>
          <w:rFonts w:ascii="Times New Roman" w:hAnsi="Times New Roman" w:eastAsia="华文中宋" w:cs="Times New Roman"/>
          <w:color w:val="000000"/>
          <w:kern w:val="0"/>
          <w:sz w:val="32"/>
          <w:szCs w:val="32"/>
          <w:lang w:bidi="ar"/>
        </w:rPr>
      </w:pPr>
    </w:p>
    <w:p w14:paraId="5E2B72E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E9A68F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729751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A04A0A6">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EA3E9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B90F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3517A76">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A8DAF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8C841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B47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4B30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4909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5252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F8A2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70FD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C227B18">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D4117">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FFEE3">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F1A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F1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F849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00B43">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0D13D">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9319F">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D13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4F6B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BFB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A19BF">
            <w:pPr>
              <w:jc w:val="center"/>
              <w:rPr>
                <w:rFonts w:ascii="Times New Roman" w:hAnsi="Times New Roman" w:eastAsia="仿宋_GB2312" w:cs="Times New Roman"/>
                <w:color w:val="000000"/>
                <w:sz w:val="22"/>
              </w:rPr>
            </w:pPr>
          </w:p>
        </w:tc>
      </w:tr>
      <w:tr w14:paraId="4BBAFBE6">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618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7D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967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9C0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EC9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E58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7BE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C24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63F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230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550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017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9472581">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54699">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E68D7">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19377">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DF240">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C888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533CB">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EBF6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886C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D50E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F2B3">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AE379">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302D6">
            <w:pPr>
              <w:rPr>
                <w:rFonts w:ascii="Times New Roman" w:hAnsi="Times New Roman" w:eastAsia="仿宋_GB2312" w:cs="Times New Roman"/>
                <w:color w:val="000000"/>
                <w:sz w:val="22"/>
              </w:rPr>
            </w:pPr>
          </w:p>
        </w:tc>
      </w:tr>
    </w:tbl>
    <w:p w14:paraId="1ED693F1">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A47AF1C">
      <w:pPr>
        <w:autoSpaceDE w:val="0"/>
        <w:autoSpaceDN w:val="0"/>
        <w:adjustRightInd w:val="0"/>
        <w:ind w:left="315" w:leftChars="150"/>
        <w:jc w:val="left"/>
        <w:rPr>
          <w:rFonts w:ascii="Times New Roman" w:hAnsi="Times New Roman" w:eastAsia="宋体" w:cs="Times New Roman"/>
          <w:kern w:val="0"/>
          <w:sz w:val="24"/>
          <w:szCs w:val="24"/>
        </w:rPr>
      </w:pPr>
    </w:p>
    <w:p w14:paraId="7E3EBCFE">
      <w:pPr>
        <w:autoSpaceDE w:val="0"/>
        <w:autoSpaceDN w:val="0"/>
        <w:adjustRightInd w:val="0"/>
        <w:ind w:left="315" w:leftChars="150"/>
        <w:jc w:val="left"/>
        <w:rPr>
          <w:rFonts w:ascii="Times New Roman" w:hAnsi="Times New Roman" w:eastAsia="宋体" w:cs="Times New Roman"/>
          <w:kern w:val="0"/>
          <w:sz w:val="24"/>
          <w:szCs w:val="24"/>
        </w:rPr>
      </w:pPr>
    </w:p>
    <w:p w14:paraId="79B62115">
      <w:pPr>
        <w:autoSpaceDE w:val="0"/>
        <w:autoSpaceDN w:val="0"/>
        <w:adjustRightInd w:val="0"/>
        <w:ind w:left="315" w:leftChars="150"/>
        <w:jc w:val="left"/>
        <w:rPr>
          <w:rFonts w:ascii="Times New Roman" w:hAnsi="Times New Roman" w:eastAsia="宋体" w:cs="Times New Roman"/>
          <w:kern w:val="0"/>
          <w:sz w:val="24"/>
          <w:szCs w:val="24"/>
        </w:rPr>
      </w:pPr>
    </w:p>
    <w:p w14:paraId="0F7CDB2D">
      <w:pPr>
        <w:autoSpaceDE w:val="0"/>
        <w:autoSpaceDN w:val="0"/>
        <w:adjustRightInd w:val="0"/>
        <w:ind w:left="315" w:leftChars="150"/>
        <w:jc w:val="left"/>
        <w:rPr>
          <w:rFonts w:ascii="Times New Roman" w:hAnsi="Times New Roman" w:eastAsia="宋体" w:cs="Times New Roman"/>
          <w:kern w:val="0"/>
          <w:sz w:val="24"/>
          <w:szCs w:val="24"/>
        </w:rPr>
      </w:pPr>
    </w:p>
    <w:p w14:paraId="67F11F05">
      <w:pPr>
        <w:autoSpaceDE w:val="0"/>
        <w:autoSpaceDN w:val="0"/>
        <w:adjustRightInd w:val="0"/>
        <w:ind w:left="315" w:leftChars="150"/>
        <w:jc w:val="left"/>
        <w:rPr>
          <w:rFonts w:ascii="Times New Roman" w:hAnsi="Times New Roman" w:eastAsia="宋体" w:cs="Times New Roman"/>
          <w:kern w:val="0"/>
          <w:sz w:val="24"/>
          <w:szCs w:val="24"/>
        </w:rPr>
      </w:pPr>
    </w:p>
    <w:p w14:paraId="5BDE7F61">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FF0781F">
      <w:pPr>
        <w:pStyle w:val="13"/>
        <w:rPr>
          <w:rFonts w:ascii="Times New Roman" w:hAnsi="Times New Roman" w:cs="Times New Roman"/>
          <w:sz w:val="72"/>
          <w:szCs w:val="72"/>
        </w:rPr>
      </w:pPr>
    </w:p>
    <w:p w14:paraId="417E9A01">
      <w:pPr>
        <w:pStyle w:val="13"/>
        <w:rPr>
          <w:rFonts w:ascii="Times New Roman" w:hAnsi="Times New Roman" w:cs="Times New Roman"/>
          <w:sz w:val="72"/>
          <w:szCs w:val="72"/>
        </w:rPr>
      </w:pPr>
    </w:p>
    <w:p w14:paraId="6FFBD154">
      <w:pPr>
        <w:pStyle w:val="13"/>
        <w:rPr>
          <w:rFonts w:ascii="Times New Roman" w:hAnsi="Times New Roman" w:cs="Times New Roman"/>
          <w:sz w:val="72"/>
          <w:szCs w:val="72"/>
        </w:rPr>
      </w:pPr>
    </w:p>
    <w:p w14:paraId="382E59B7">
      <w:pPr>
        <w:pStyle w:val="13"/>
        <w:jc w:val="center"/>
        <w:rPr>
          <w:rFonts w:ascii="Times New Roman" w:hAnsi="Times New Roman" w:cs="Times New Roman"/>
          <w:sz w:val="72"/>
          <w:szCs w:val="72"/>
        </w:rPr>
      </w:pPr>
    </w:p>
    <w:p w14:paraId="34626A52">
      <w:pPr>
        <w:pStyle w:val="13"/>
        <w:jc w:val="center"/>
        <w:rPr>
          <w:rFonts w:ascii="Times New Roman" w:hAnsi="Times New Roman" w:eastAsia="方正小标宋_GBK" w:cs="Times New Roman"/>
          <w:sz w:val="72"/>
          <w:szCs w:val="72"/>
        </w:rPr>
      </w:pPr>
    </w:p>
    <w:p w14:paraId="124A2CC8">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D91823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1F94176">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9A207D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26406D6">
      <w:pPr>
        <w:pStyle w:val="13"/>
        <w:spacing w:line="60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310.32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194.5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38.53</w:t>
      </w:r>
      <w:r>
        <w:rPr>
          <w:rFonts w:ascii="Times New Roman" w:hAnsi="Times New Roman" w:eastAsia="仿宋_GB2312" w:cs="Times New Roman"/>
          <w:sz w:val="32"/>
          <w:szCs w:val="32"/>
        </w:rPr>
        <w:t>%，主要是因为</w:t>
      </w:r>
      <w:r>
        <w:rPr>
          <w:rFonts w:hint="eastAsia" w:ascii="Times New Roman" w:hAnsi="Times New Roman" w:eastAsia="仿宋_GB2312" w:cs="Times New Roman"/>
          <w:color w:val="auto"/>
          <w:sz w:val="32"/>
          <w:szCs w:val="32"/>
          <w:highlight w:val="none"/>
          <w:lang w:val="en-US" w:eastAsia="zh-CN"/>
        </w:rPr>
        <w:t>基本支出、项目支出、人员经费减少。</w:t>
      </w:r>
    </w:p>
    <w:p w14:paraId="61011BE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highlight w:val="none"/>
          <w:lang w:val="en-US" w:eastAsia="zh-CN"/>
        </w:rPr>
        <w:t>行政运行</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公共服务</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项目开展</w:t>
      </w:r>
      <w:r>
        <w:rPr>
          <w:rFonts w:hint="eastAsia" w:ascii="Times New Roman" w:hAnsi="Times New Roman" w:eastAsia="仿宋_GB2312" w:cs="Times New Roman"/>
          <w:sz w:val="32"/>
          <w:szCs w:val="32"/>
          <w:highlight w:val="none"/>
          <w:lang w:eastAsia="zh-CN"/>
        </w:rPr>
        <w:t>等重点支出，体现在有关支出科目中。</w:t>
      </w:r>
    </w:p>
    <w:p w14:paraId="4BFAE55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C0505A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310.32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310.32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4587CB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11FCB2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310.32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57.61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18.56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252.71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81.44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F9BCDF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DAA1A8E">
      <w:pPr>
        <w:pStyle w:val="13"/>
        <w:spacing w:line="60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310.32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194.5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38.53</w:t>
      </w:r>
      <w:r>
        <w:rPr>
          <w:rFonts w:ascii="Times New Roman" w:hAnsi="Times New Roman" w:eastAsia="仿宋_GB2312" w:cs="Times New Roman"/>
          <w:sz w:val="32"/>
          <w:szCs w:val="32"/>
        </w:rPr>
        <w:t>%，主要是因为</w:t>
      </w:r>
      <w:r>
        <w:rPr>
          <w:rFonts w:hint="eastAsia" w:ascii="Times New Roman" w:hAnsi="Times New Roman" w:eastAsia="仿宋_GB2312" w:cs="Times New Roman"/>
          <w:color w:val="auto"/>
          <w:sz w:val="32"/>
          <w:szCs w:val="32"/>
          <w:highlight w:val="none"/>
          <w:lang w:val="en-US" w:eastAsia="zh-CN"/>
        </w:rPr>
        <w:t>基本支出、项目支出、人员经费减少。</w:t>
      </w:r>
    </w:p>
    <w:p w14:paraId="1115D99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800C05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3CAFF92">
      <w:pPr>
        <w:pStyle w:val="13"/>
        <w:spacing w:line="60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310.32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194.5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38.53</w:t>
      </w:r>
      <w:r>
        <w:rPr>
          <w:rFonts w:ascii="Times New Roman" w:hAnsi="Times New Roman" w:eastAsia="仿宋_GB2312" w:cs="Times New Roman"/>
          <w:sz w:val="32"/>
          <w:szCs w:val="32"/>
        </w:rPr>
        <w:t>%，主要是因为</w:t>
      </w:r>
      <w:r>
        <w:rPr>
          <w:rFonts w:hint="eastAsia" w:ascii="Times New Roman" w:hAnsi="Times New Roman" w:eastAsia="仿宋_GB2312" w:cs="Times New Roman"/>
          <w:color w:val="auto"/>
          <w:sz w:val="32"/>
          <w:szCs w:val="32"/>
          <w:highlight w:val="none"/>
          <w:lang w:val="en-US" w:eastAsia="zh-CN"/>
        </w:rPr>
        <w:t>基本支出、项目支出、人员经费减少。</w:t>
      </w:r>
    </w:p>
    <w:p w14:paraId="143A688B">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678715D">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310.32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92.47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29.8</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highlight w:val="none"/>
          <w:lang w:val="en-US" w:eastAsia="zh-CN"/>
        </w:rPr>
        <w:t>社会保障和就业支出</w:t>
      </w:r>
      <w:r>
        <w:rPr>
          <w:rFonts w:ascii="Times New Roman" w:hAnsi="Times New Roman" w:eastAsia="仿宋_GB2312" w:cs="Times New Roman"/>
          <w:color w:val="auto"/>
          <w:sz w:val="32"/>
          <w:szCs w:val="32"/>
          <w:highlight w:val="none"/>
        </w:rPr>
        <w:t>（类）</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12.74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highlight w:val="none"/>
          <w:lang w:val="en-US" w:eastAsia="zh-CN"/>
        </w:rPr>
        <w:t>卫生健康支出（类）</w:t>
      </w:r>
      <w:r>
        <w:rPr>
          <w:rFonts w:hint="eastAsia" w:ascii="Times New Roman" w:hAnsi="Times New Roman" w:eastAsia="仿宋_GB2312" w:cs="Times New Roman"/>
          <w:color w:val="auto"/>
          <w:sz w:val="32"/>
          <w:szCs w:val="32"/>
          <w:highlight w:val="none"/>
          <w:u w:val="none"/>
          <w:lang w:val="en-US" w:eastAsia="zh-CN"/>
        </w:rPr>
        <w:t>7.41万元，占2.39%；城乡社区支出（类）支出197.7万元，占63.7%。</w:t>
      </w:r>
    </w:p>
    <w:p w14:paraId="2D65AB3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C2726C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192.7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310.32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161</w:t>
      </w:r>
      <w:r>
        <w:rPr>
          <w:rFonts w:ascii="Times New Roman" w:hAnsi="Times New Roman" w:eastAsia="仿宋_GB2312" w:cs="Times New Roman"/>
          <w:sz w:val="32"/>
          <w:szCs w:val="32"/>
        </w:rPr>
        <w:t>%，其中：</w:t>
      </w:r>
    </w:p>
    <w:p w14:paraId="15025DE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政府办公厅（室）及相关机构事务</w:t>
      </w:r>
      <w:r>
        <w:rPr>
          <w:rFonts w:ascii="Times New Roman" w:hAnsi="Times New Roman" w:eastAsia="仿宋_GB2312" w:cs="Times New Roman"/>
          <w:sz w:val="32"/>
          <w:szCs w:val="32"/>
        </w:rPr>
        <w:t>（款）</w:t>
      </w:r>
      <w:r>
        <w:rPr>
          <w:rFonts w:hint="eastAsia" w:ascii="宋体" w:hAnsi="宋体" w:eastAsia="宋体" w:cs="宋体"/>
          <w:color w:val="000000" w:themeColor="text1"/>
          <w:sz w:val="32"/>
          <w:szCs w:val="32"/>
          <w:highlight w:val="none"/>
          <w:lang w:val="en-US" w:eastAsia="zh-CN"/>
          <w14:textFill>
            <w14:solidFill>
              <w14:schemeClr w14:val="tx1"/>
            </w14:solidFill>
          </w14:textFill>
        </w:rPr>
        <w:t>行政运行</w:t>
      </w:r>
      <w:r>
        <w:rPr>
          <w:rFonts w:ascii="Times New Roman" w:hAnsi="Times New Roman" w:eastAsia="仿宋_GB2312" w:cs="Times New Roman"/>
          <w:sz w:val="32"/>
          <w:szCs w:val="32"/>
        </w:rPr>
        <w:t>（项）。</w:t>
      </w:r>
    </w:p>
    <w:p w14:paraId="22775A7F">
      <w:pPr>
        <w:pStyle w:val="13"/>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22.89</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16.46</w:t>
      </w:r>
      <w:r>
        <w:rPr>
          <w:rFonts w:ascii="Times New Roman" w:hAnsi="Times New Roman" w:eastAsia="仿宋_GB2312" w:cs="Times New Roman"/>
          <w:color w:val="000000" w:themeColor="text1"/>
          <w:sz w:val="32"/>
          <w:szCs w:val="32"/>
          <w14:textFill>
            <w14:solidFill>
              <w14:schemeClr w14:val="tx1"/>
            </w14:solidFill>
          </w14:textFill>
        </w:rPr>
        <w:t>万元，完成年初预算的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72</w:t>
      </w:r>
      <w:r>
        <w:rPr>
          <w:rFonts w:ascii="Times New Roman" w:hAnsi="Times New Roman" w:eastAsia="仿宋_GB2312" w:cs="Times New Roman"/>
          <w:color w:val="000000" w:themeColor="text1"/>
          <w:sz w:val="32"/>
          <w:szCs w:val="32"/>
          <w14:textFill>
            <w14:solidFill>
              <w14:schemeClr w14:val="tx1"/>
            </w14:solidFill>
          </w14:textFill>
        </w:rPr>
        <w:t>%，决算数小于年初预算数的主要原因是：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基本支出、人员经费减少</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74107162">
      <w:pPr>
        <w:pStyle w:val="13"/>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2、一般公共服务（类）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其他一般公共服务支出</w:t>
      </w:r>
      <w:r>
        <w:rPr>
          <w:rFonts w:ascii="Times New Roman" w:hAnsi="Times New Roman" w:eastAsia="仿宋_GB2312" w:cs="Times New Roman"/>
          <w:color w:val="000000" w:themeColor="text1"/>
          <w:sz w:val="32"/>
          <w:szCs w:val="32"/>
          <w:highlight w:val="none"/>
          <w14:textFill>
            <w14:solidFill>
              <w14:schemeClr w14:val="tx1"/>
            </w14:solidFill>
          </w14:textFill>
        </w:rPr>
        <w:t>（款）</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其他</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一般公共服务支出其他</w:t>
      </w:r>
      <w:r>
        <w:rPr>
          <w:rFonts w:ascii="Times New Roman" w:hAnsi="Times New Roman" w:eastAsia="仿宋_GB2312" w:cs="Times New Roman"/>
          <w:color w:val="000000" w:themeColor="text1"/>
          <w:sz w:val="32"/>
          <w:szCs w:val="32"/>
          <w14:textFill>
            <w14:solidFill>
              <w14:schemeClr w14:val="tx1"/>
            </w14:solidFill>
          </w14:textFill>
        </w:rPr>
        <w:t>（项）。</w:t>
      </w:r>
    </w:p>
    <w:p w14:paraId="36902464">
      <w:pPr>
        <w:pStyle w:val="13"/>
        <w:spacing w:line="600" w:lineRule="exact"/>
        <w:ind w:firstLine="640" w:firstLineChars="20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75.05</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76.01</w:t>
      </w:r>
      <w:r>
        <w:rPr>
          <w:rFonts w:ascii="Times New Roman" w:hAnsi="Times New Roman" w:eastAsia="仿宋_GB2312" w:cs="Times New Roman"/>
          <w:color w:val="000000" w:themeColor="text1"/>
          <w:sz w:val="32"/>
          <w:szCs w:val="32"/>
          <w14:textFill>
            <w14:solidFill>
              <w14:schemeClr w14:val="tx1"/>
            </w14:solidFill>
          </w14:textFill>
        </w:rPr>
        <w:t>万元，完成年初预算的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101</w:t>
      </w:r>
      <w:r>
        <w:rPr>
          <w:rFonts w:ascii="Times New Roman" w:hAnsi="Times New Roman" w:eastAsia="仿宋_GB2312" w:cs="Times New Roman"/>
          <w:color w:val="000000" w:themeColor="text1"/>
          <w:sz w:val="32"/>
          <w:szCs w:val="32"/>
          <w14:textFill>
            <w14:solidFill>
              <w14:schemeClr w14:val="tx1"/>
            </w14:solidFill>
          </w14:textFill>
        </w:rPr>
        <w:t>%，决算数大于年初预算数的主要原因是：</w:t>
      </w:r>
      <w:r>
        <w:rPr>
          <w:rFonts w:hint="eastAsia" w:ascii="Times New Roman" w:hAnsi="Times New Roman" w:eastAsia="仿宋_GB2312" w:cs="Times New Roman"/>
          <w:color w:val="000000" w:themeColor="text1"/>
          <w:sz w:val="32"/>
          <w:szCs w:val="32"/>
          <w14:textFill>
            <w14:solidFill>
              <w14:schemeClr w14:val="tx1"/>
            </w14:solidFill>
          </w14:textFill>
        </w:rPr>
        <w:t>功能科目项之间相互调剂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76434956">
      <w:pPr>
        <w:pStyle w:val="13"/>
        <w:numPr>
          <w:ilvl w:val="0"/>
          <w:numId w:val="0"/>
        </w:numPr>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lang w:val="en-US" w:eastAsia="zh-CN" w:bidi="ar-SA"/>
          <w14:textFill>
            <w14:solidFill>
              <w14:schemeClr w14:val="tx1"/>
            </w14:solidFill>
          </w14:textFill>
        </w:rPr>
        <w:t>3、</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社会保障和就业支出</w:t>
      </w:r>
      <w:r>
        <w:rPr>
          <w:rFonts w:ascii="Times New Roman" w:hAnsi="Times New Roman" w:eastAsia="仿宋_GB2312" w:cs="Times New Roman"/>
          <w:color w:val="000000" w:themeColor="text1"/>
          <w:sz w:val="32"/>
          <w:szCs w:val="32"/>
          <w14:textFill>
            <w14:solidFill>
              <w14:schemeClr w14:val="tx1"/>
            </w14:solidFill>
          </w14:textFill>
        </w:rPr>
        <w:t>（类）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行政事业单位养老支出</w:t>
      </w:r>
      <w:r>
        <w:rPr>
          <w:rFonts w:ascii="Times New Roman" w:hAnsi="Times New Roman" w:eastAsia="仿宋_GB2312" w:cs="Times New Roman"/>
          <w:color w:val="000000" w:themeColor="text1"/>
          <w:sz w:val="32"/>
          <w:szCs w:val="32"/>
          <w14:textFill>
            <w14:solidFill>
              <w14:schemeClr w14:val="tx1"/>
            </w14:solidFill>
          </w14:textFill>
        </w:rPr>
        <w:t>（款）</w:t>
      </w:r>
      <w:r>
        <w:rPr>
          <w:rFonts w:hint="eastAsia" w:ascii="宋体" w:hAnsi="宋体" w:eastAsia="宋体" w:cs="宋体"/>
          <w:color w:val="000000" w:themeColor="text1"/>
          <w:sz w:val="32"/>
          <w:szCs w:val="32"/>
          <w:highlight w:val="none"/>
          <w:lang w:val="en-US" w:eastAsia="zh-CN"/>
          <w14:textFill>
            <w14:solidFill>
              <w14:schemeClr w14:val="tx1"/>
            </w14:solidFill>
          </w14:textFill>
        </w:rPr>
        <w:t>机关事业单位养老保险缴费支出</w:t>
      </w:r>
      <w:r>
        <w:rPr>
          <w:rFonts w:ascii="Times New Roman" w:hAnsi="Times New Roman" w:eastAsia="仿宋_GB2312" w:cs="Times New Roman"/>
          <w:color w:val="000000" w:themeColor="text1"/>
          <w:sz w:val="32"/>
          <w:szCs w:val="32"/>
          <w14:textFill>
            <w14:solidFill>
              <w14:schemeClr w14:val="tx1"/>
            </w14:solidFill>
          </w14:textFill>
        </w:rPr>
        <w:t>（项）。</w:t>
      </w:r>
    </w:p>
    <w:p w14:paraId="1F40D85F">
      <w:pPr>
        <w:pStyle w:val="13"/>
        <w:spacing w:line="600" w:lineRule="exact"/>
        <w:ind w:firstLine="640" w:firstLineChars="20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10.72</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12.61</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完成年初预算的118%，</w:t>
      </w:r>
      <w:r>
        <w:rPr>
          <w:rFonts w:hint="eastAsia" w:ascii="Times New Roman" w:hAnsi="Times New Roman" w:eastAsia="仿宋_GB2312" w:cs="Times New Roman"/>
          <w:color w:val="000000" w:themeColor="text1"/>
          <w:sz w:val="32"/>
          <w:szCs w:val="32"/>
          <w14:textFill>
            <w14:solidFill>
              <w14:schemeClr w14:val="tx1"/>
            </w14:solidFill>
          </w14:textFill>
        </w:rPr>
        <w:t>决算数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大于</w:t>
      </w:r>
      <w:r>
        <w:rPr>
          <w:rFonts w:hint="eastAsia" w:ascii="Times New Roman" w:hAnsi="Times New Roman" w:eastAsia="仿宋_GB2312" w:cs="Times New Roman"/>
          <w:color w:val="000000" w:themeColor="text1"/>
          <w:sz w:val="32"/>
          <w:szCs w:val="32"/>
          <w14:textFill>
            <w14:solidFill>
              <w14:schemeClr w14:val="tx1"/>
            </w14:solidFill>
          </w14:textFill>
        </w:rPr>
        <w:t>年初预算数的主要原因是：功能科目项之间相互调剂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40C2B98F">
      <w:pPr>
        <w:pStyle w:val="13"/>
        <w:numPr>
          <w:ilvl w:val="0"/>
          <w:numId w:val="0"/>
        </w:numPr>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4、社会保障和就业支出</w:t>
      </w:r>
      <w:r>
        <w:rPr>
          <w:rFonts w:ascii="Times New Roman" w:hAnsi="Times New Roman" w:eastAsia="仿宋_GB2312" w:cs="Times New Roman"/>
          <w:color w:val="000000" w:themeColor="text1"/>
          <w:sz w:val="32"/>
          <w:szCs w:val="32"/>
          <w14:textFill>
            <w14:solidFill>
              <w14:schemeClr w14:val="tx1"/>
            </w14:solidFill>
          </w14:textFill>
        </w:rPr>
        <w:t>（类）</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就业补助</w:t>
      </w:r>
      <w:r>
        <w:rPr>
          <w:rFonts w:ascii="Times New Roman" w:hAnsi="Times New Roman" w:eastAsia="仿宋_GB2312" w:cs="Times New Roman"/>
          <w:color w:val="000000" w:themeColor="text1"/>
          <w:sz w:val="32"/>
          <w:szCs w:val="32"/>
          <w14:textFill>
            <w14:solidFill>
              <w14:schemeClr w14:val="tx1"/>
            </w14:solidFill>
          </w14:textFill>
        </w:rPr>
        <w:t>（款）</w:t>
      </w:r>
      <w:r>
        <w:rPr>
          <w:rFonts w:hint="eastAsia" w:ascii="宋体" w:hAnsi="宋体" w:eastAsia="宋体" w:cs="宋体"/>
          <w:color w:val="000000" w:themeColor="text1"/>
          <w:sz w:val="32"/>
          <w:szCs w:val="32"/>
          <w:highlight w:val="none"/>
          <w:lang w:val="en-US" w:eastAsia="zh-CN"/>
          <w14:textFill>
            <w14:solidFill>
              <w14:schemeClr w14:val="tx1"/>
            </w14:solidFill>
          </w14:textFill>
        </w:rPr>
        <w:t>其他就业补助支出</w:t>
      </w:r>
      <w:r>
        <w:rPr>
          <w:rFonts w:ascii="Times New Roman" w:hAnsi="Times New Roman" w:eastAsia="仿宋_GB2312" w:cs="Times New Roman"/>
          <w:color w:val="000000" w:themeColor="text1"/>
          <w:sz w:val="32"/>
          <w:szCs w:val="32"/>
          <w14:textFill>
            <w14:solidFill>
              <w14:schemeClr w14:val="tx1"/>
            </w14:solidFill>
          </w14:textFill>
        </w:rPr>
        <w:t>（项）。</w:t>
      </w:r>
    </w:p>
    <w:p w14:paraId="1CC40DC3">
      <w:pPr>
        <w:pStyle w:val="13"/>
        <w:spacing w:line="600" w:lineRule="exact"/>
        <w:ind w:firstLine="640" w:firstLineChars="20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0.01</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年初预算为0万元，</w:t>
      </w:r>
      <w:r>
        <w:rPr>
          <w:rFonts w:hint="eastAsia" w:ascii="Times New Roman" w:hAnsi="Times New Roman" w:eastAsia="仿宋_GB2312" w:cs="Times New Roman"/>
          <w:color w:val="000000" w:themeColor="text1"/>
          <w:sz w:val="32"/>
          <w:szCs w:val="32"/>
          <w14:textFill>
            <w14:solidFill>
              <w14:schemeClr w14:val="tx1"/>
            </w14:solidFill>
          </w14:textFill>
        </w:rPr>
        <w:t>无法计算百分比，</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决算数大于年初预算数的主要原因是：功能科目项之间相互调剂。</w:t>
      </w:r>
    </w:p>
    <w:p w14:paraId="10C69A26">
      <w:pPr>
        <w:pStyle w:val="13"/>
        <w:numPr>
          <w:ilvl w:val="0"/>
          <w:numId w:val="0"/>
        </w:numPr>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5、社会保障和就业支出</w:t>
      </w:r>
      <w:r>
        <w:rPr>
          <w:rFonts w:ascii="Times New Roman" w:hAnsi="Times New Roman" w:eastAsia="仿宋_GB2312" w:cs="Times New Roman"/>
          <w:color w:val="000000" w:themeColor="text1"/>
          <w:sz w:val="32"/>
          <w:szCs w:val="32"/>
          <w14:textFill>
            <w14:solidFill>
              <w14:schemeClr w14:val="tx1"/>
            </w14:solidFill>
          </w14:textFill>
        </w:rPr>
        <w:t>（类）</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其他社会保障和就业支出</w:t>
      </w:r>
      <w:r>
        <w:rPr>
          <w:rFonts w:ascii="Times New Roman" w:hAnsi="Times New Roman" w:eastAsia="仿宋_GB2312" w:cs="Times New Roman"/>
          <w:color w:val="000000" w:themeColor="text1"/>
          <w:sz w:val="32"/>
          <w:szCs w:val="32"/>
          <w14:textFill>
            <w14:solidFill>
              <w14:schemeClr w14:val="tx1"/>
            </w14:solidFill>
          </w14:textFill>
        </w:rPr>
        <w:t>（款）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其他社会保障和就业支出</w:t>
      </w:r>
      <w:r>
        <w:rPr>
          <w:rFonts w:ascii="Times New Roman" w:hAnsi="Times New Roman" w:eastAsia="仿宋_GB2312" w:cs="Times New Roman"/>
          <w:color w:val="000000" w:themeColor="text1"/>
          <w:sz w:val="32"/>
          <w:szCs w:val="32"/>
          <w14:textFill>
            <w14:solidFill>
              <w14:schemeClr w14:val="tx1"/>
            </w14:solidFill>
          </w14:textFill>
        </w:rPr>
        <w:t>（项）。</w:t>
      </w:r>
    </w:p>
    <w:p w14:paraId="2206EEC2">
      <w:pPr>
        <w:pStyle w:val="13"/>
        <w:spacing w:line="600" w:lineRule="exact"/>
        <w:ind w:firstLine="640" w:firstLineChars="200"/>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0.38</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0.12</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完成年初预算的32%，决算数小于年初预算数的主要原因是：功能科目项之间相互调剂。</w:t>
      </w:r>
    </w:p>
    <w:p w14:paraId="1FAAD0AB">
      <w:pPr>
        <w:pStyle w:val="13"/>
        <w:numPr>
          <w:ilvl w:val="0"/>
          <w:numId w:val="0"/>
        </w:numPr>
        <w:spacing w:line="600" w:lineRule="exact"/>
        <w:ind w:left="0" w:leftChars="0"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bidi="ar-SA"/>
          <w14:textFill>
            <w14:solidFill>
              <w14:schemeClr w14:val="tx1"/>
            </w14:solidFill>
          </w14:textFill>
        </w:rPr>
        <w:t>6</w:t>
      </w:r>
      <w:r>
        <w:rPr>
          <w:rFonts w:ascii="Times New Roman" w:hAnsi="Times New Roman" w:eastAsia="仿宋_GB2312" w:cs="Times New Roman"/>
          <w:color w:val="000000" w:themeColor="text1"/>
          <w:sz w:val="32"/>
          <w:szCs w:val="32"/>
          <w:lang w:val="en-US" w:eastAsia="zh-CN" w:bidi="ar-SA"/>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卫生健康支出</w:t>
      </w:r>
      <w:r>
        <w:rPr>
          <w:rFonts w:ascii="Times New Roman" w:hAnsi="Times New Roman" w:eastAsia="仿宋_GB2312" w:cs="Times New Roman"/>
          <w:color w:val="000000" w:themeColor="text1"/>
          <w:sz w:val="32"/>
          <w:szCs w:val="32"/>
          <w14:textFill>
            <w14:solidFill>
              <w14:schemeClr w14:val="tx1"/>
            </w14:solidFill>
          </w14:textFill>
        </w:rPr>
        <w:t>（类）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行政事业单位医疗</w:t>
      </w:r>
      <w:r>
        <w:rPr>
          <w:rFonts w:ascii="Times New Roman" w:hAnsi="Times New Roman" w:eastAsia="仿宋_GB2312" w:cs="Times New Roman"/>
          <w:color w:val="000000" w:themeColor="text1"/>
          <w:sz w:val="32"/>
          <w:szCs w:val="32"/>
          <w14:textFill>
            <w14:solidFill>
              <w14:schemeClr w14:val="tx1"/>
            </w14:solidFill>
          </w14:textFill>
        </w:rPr>
        <w:t>（款）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其他行政事业单位医疗支出</w:t>
      </w:r>
      <w:r>
        <w:rPr>
          <w:rFonts w:ascii="Times New Roman" w:hAnsi="Times New Roman" w:eastAsia="仿宋_GB2312" w:cs="Times New Roman"/>
          <w:color w:val="000000" w:themeColor="text1"/>
          <w:sz w:val="32"/>
          <w:szCs w:val="32"/>
          <w14:textFill>
            <w14:solidFill>
              <w14:schemeClr w14:val="tx1"/>
            </w14:solidFill>
          </w14:textFill>
        </w:rPr>
        <w:t>（项）。</w:t>
      </w:r>
    </w:p>
    <w:p w14:paraId="6CC65666">
      <w:pPr>
        <w:pStyle w:val="13"/>
        <w:spacing w:line="600" w:lineRule="exact"/>
        <w:ind w:firstLine="640" w:firstLineChars="200"/>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r>
        <w:rPr>
          <w:rFonts w:ascii="Times New Roman" w:hAnsi="Times New Roman" w:eastAsia="仿宋_GB2312" w:cs="Times New Roman"/>
          <w:color w:val="000000" w:themeColor="text1"/>
          <w:sz w:val="32"/>
          <w:szCs w:val="32"/>
          <w14:textFill>
            <w14:solidFill>
              <w14:schemeClr w14:val="tx1"/>
            </w14:solidFill>
          </w14:textFill>
        </w:rPr>
        <w:t>年初预算为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4.66</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7.41</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完成年初预算的159%，</w:t>
      </w:r>
      <w:r>
        <w:rPr>
          <w:rFonts w:hint="eastAsia" w:ascii="Times New Roman" w:hAnsi="Times New Roman" w:eastAsia="仿宋_GB2312" w:cs="Times New Roman"/>
          <w:color w:val="000000" w:themeColor="text1"/>
          <w:sz w:val="32"/>
          <w:szCs w:val="32"/>
          <w14:textFill>
            <w14:solidFill>
              <w14:schemeClr w14:val="tx1"/>
            </w14:solidFill>
          </w14:textFill>
        </w:rPr>
        <w:t>决算数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小</w:t>
      </w:r>
      <w:r>
        <w:rPr>
          <w:rFonts w:hint="eastAsia" w:ascii="Times New Roman" w:hAnsi="Times New Roman" w:eastAsia="仿宋_GB2312" w:cs="Times New Roman"/>
          <w:color w:val="000000" w:themeColor="text1"/>
          <w:sz w:val="32"/>
          <w:szCs w:val="32"/>
          <w14:textFill>
            <w14:solidFill>
              <w14:schemeClr w14:val="tx1"/>
            </w14:solidFill>
          </w14:textFill>
        </w:rPr>
        <w:t>于年初预算数的主要原因是：功能科目项之间相互调剂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0DEE9B04">
      <w:pPr>
        <w:pStyle w:val="13"/>
        <w:numPr>
          <w:ilvl w:val="0"/>
          <w:numId w:val="0"/>
        </w:numPr>
        <w:spacing w:line="600" w:lineRule="exact"/>
        <w:ind w:firstLine="640" w:firstLineChars="200"/>
        <w:rPr>
          <w:rFonts w:hint="eastAsia" w:ascii="宋体" w:hAnsi="宋体" w:eastAsia="宋体" w:cs="宋体"/>
          <w:color w:val="000000" w:themeColor="text1"/>
          <w:sz w:val="32"/>
          <w:szCs w:val="32"/>
          <w:highlight w:val="none"/>
          <w:lang w:eastAsia="zh-CN"/>
          <w14:textFill>
            <w14:solidFill>
              <w14:schemeClr w14:val="tx1"/>
            </w14:solidFill>
          </w14:textFill>
        </w:rPr>
      </w:pPr>
      <w:r>
        <w:rPr>
          <w:rFonts w:hint="eastAsia" w:ascii="宋体" w:hAnsi="宋体" w:eastAsia="宋体" w:cs="宋体"/>
          <w:color w:val="000000" w:themeColor="text1"/>
          <w:sz w:val="32"/>
          <w:szCs w:val="32"/>
          <w:highlight w:val="none"/>
          <w:lang w:val="en-US" w:eastAsia="zh-CN"/>
          <w14:textFill>
            <w14:solidFill>
              <w14:schemeClr w14:val="tx1"/>
            </w14:solidFill>
          </w14:textFill>
        </w:rPr>
        <w:t>7、</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城乡社区支出</w:t>
      </w:r>
      <w:r>
        <w:rPr>
          <w:rFonts w:ascii="Times New Roman" w:hAnsi="Times New Roman" w:eastAsia="仿宋_GB2312" w:cs="Times New Roman"/>
          <w:color w:val="000000" w:themeColor="text1"/>
          <w:sz w:val="32"/>
          <w:szCs w:val="32"/>
          <w:highlight w:val="none"/>
          <w14:textFill>
            <w14:solidFill>
              <w14:schemeClr w14:val="tx1"/>
            </w14:solidFill>
          </w14:textFill>
        </w:rPr>
        <w:t>（类）</w:t>
      </w:r>
      <w:r>
        <w:rPr>
          <w:rFonts w:hint="eastAsia" w:ascii="Times New Roman" w:hAnsi="Times New Roman" w:eastAsia="仿宋_GB2312"/>
          <w:color w:val="000000" w:themeColor="text1"/>
          <w:sz w:val="32"/>
          <w:szCs w:val="32"/>
          <w:lang w:val="en-US" w:eastAsia="zh-CN"/>
          <w14:textFill>
            <w14:solidFill>
              <w14:schemeClr w14:val="tx1"/>
            </w14:solidFill>
          </w14:textFill>
        </w:rPr>
        <w:t>城乡社区管理事务</w:t>
      </w:r>
      <w:r>
        <w:rPr>
          <w:rFonts w:hint="eastAsia" w:ascii="宋体" w:hAnsi="宋体" w:eastAsia="宋体" w:cs="宋体"/>
          <w:color w:val="000000" w:themeColor="text1"/>
          <w:sz w:val="32"/>
          <w:szCs w:val="32"/>
          <w:highlight w:val="none"/>
          <w14:textFill>
            <w14:solidFill>
              <w14:schemeClr w14:val="tx1"/>
            </w14:solidFill>
          </w14:textFill>
        </w:rPr>
        <w:t>（款）</w:t>
      </w:r>
      <w:r>
        <w:rPr>
          <w:rFonts w:hint="eastAsia" w:ascii="宋体" w:hAnsi="宋体" w:eastAsia="宋体" w:cs="宋体"/>
          <w:color w:val="000000" w:themeColor="text1"/>
          <w:sz w:val="32"/>
          <w:szCs w:val="32"/>
          <w:highlight w:val="none"/>
          <w:lang w:val="en-US" w:eastAsia="zh-CN"/>
          <w14:textFill>
            <w14:solidFill>
              <w14:schemeClr w14:val="tx1"/>
            </w14:solidFill>
          </w14:textFill>
        </w:rPr>
        <w:t>其他</w:t>
      </w:r>
      <w:r>
        <w:rPr>
          <w:rFonts w:hint="eastAsia" w:ascii="Times New Roman" w:hAnsi="Times New Roman" w:eastAsia="仿宋_GB2312"/>
          <w:color w:val="000000" w:themeColor="text1"/>
          <w:sz w:val="32"/>
          <w:szCs w:val="32"/>
          <w:lang w:val="en-US" w:eastAsia="zh-CN"/>
          <w14:textFill>
            <w14:solidFill>
              <w14:schemeClr w14:val="tx1"/>
            </w14:solidFill>
          </w14:textFill>
        </w:rPr>
        <w:t>城乡社区管理事务</w:t>
      </w:r>
      <w:r>
        <w:rPr>
          <w:rFonts w:hint="eastAsia" w:ascii="宋体" w:hAnsi="宋体" w:eastAsia="宋体" w:cs="宋体"/>
          <w:color w:val="000000" w:themeColor="text1"/>
          <w:sz w:val="32"/>
          <w:szCs w:val="32"/>
          <w:highlight w:val="none"/>
          <w:lang w:val="en-US" w:eastAsia="zh-CN"/>
          <w14:textFill>
            <w14:solidFill>
              <w14:schemeClr w14:val="tx1"/>
            </w14:solidFill>
          </w14:textFill>
        </w:rPr>
        <w:t>支出</w:t>
      </w:r>
      <w:r>
        <w:rPr>
          <w:rFonts w:hint="eastAsia" w:ascii="宋体" w:hAnsi="宋体" w:eastAsia="宋体" w:cs="宋体"/>
          <w:color w:val="000000" w:themeColor="text1"/>
          <w:sz w:val="32"/>
          <w:szCs w:val="32"/>
          <w:highlight w:val="none"/>
          <w14:textFill>
            <w14:solidFill>
              <w14:schemeClr w14:val="tx1"/>
            </w14:solidFill>
          </w14:textFill>
        </w:rPr>
        <w:t>（项）</w:t>
      </w:r>
      <w:r>
        <w:rPr>
          <w:rFonts w:hint="eastAsia" w:ascii="宋体" w:hAnsi="宋体" w:eastAsia="宋体" w:cs="宋体"/>
          <w:color w:val="000000" w:themeColor="text1"/>
          <w:sz w:val="32"/>
          <w:szCs w:val="32"/>
          <w:highlight w:val="none"/>
          <w:lang w:eastAsia="zh-CN"/>
          <w14:textFill>
            <w14:solidFill>
              <w14:schemeClr w14:val="tx1"/>
            </w14:solidFill>
          </w14:textFill>
        </w:rPr>
        <w:t>。</w:t>
      </w:r>
    </w:p>
    <w:p w14:paraId="382A3C22">
      <w:pPr>
        <w:pStyle w:val="13"/>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年初预算为</w:t>
      </w:r>
      <w:r>
        <w:rPr>
          <w:rFonts w:hint="eastAsia" w:ascii="宋体" w:hAnsi="宋体" w:eastAsia="宋体" w:cs="宋体"/>
          <w:color w:val="000000" w:themeColor="text1"/>
          <w:sz w:val="32"/>
          <w:szCs w:val="32"/>
          <w:highlight w:val="none"/>
          <w:lang w:val="en-US" w:eastAsia="zh-CN"/>
          <w14:textFill>
            <w14:solidFill>
              <w14:schemeClr w14:val="tx1"/>
            </w14:solidFill>
          </w14:textFill>
        </w:rPr>
        <w:t>79</w:t>
      </w:r>
      <w:r>
        <w:rPr>
          <w:rFonts w:hint="eastAsia" w:ascii="宋体" w:hAnsi="宋体" w:eastAsia="宋体" w:cs="宋体"/>
          <w:color w:val="000000" w:themeColor="text1"/>
          <w:sz w:val="32"/>
          <w:szCs w:val="32"/>
          <w:highlight w:val="none"/>
          <w14:textFill>
            <w14:solidFill>
              <w14:schemeClr w14:val="tx1"/>
            </w14:solidFill>
          </w14:textFill>
        </w:rPr>
        <w:t>万元，支出决算为</w:t>
      </w:r>
      <w:r>
        <w:rPr>
          <w:rFonts w:hint="eastAsia" w:ascii="宋体" w:hAnsi="宋体" w:eastAsia="宋体" w:cs="宋体"/>
          <w:color w:val="000000" w:themeColor="text1"/>
          <w:sz w:val="32"/>
          <w:szCs w:val="32"/>
          <w:highlight w:val="none"/>
          <w:lang w:val="en-US" w:eastAsia="zh-CN"/>
          <w14:textFill>
            <w14:solidFill>
              <w14:schemeClr w14:val="tx1"/>
            </w14:solidFill>
          </w14:textFill>
        </w:rPr>
        <w:t>197.7</w:t>
      </w:r>
      <w:r>
        <w:rPr>
          <w:rFonts w:hint="eastAsia" w:ascii="宋体" w:hAnsi="宋体" w:eastAsia="宋体" w:cs="宋体"/>
          <w:color w:val="000000" w:themeColor="text1"/>
          <w:sz w:val="32"/>
          <w:szCs w:val="32"/>
          <w:highlight w:val="none"/>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完成年初预算的250%，</w:t>
      </w:r>
      <w:r>
        <w:rPr>
          <w:rFonts w:hint="eastAsia" w:ascii="宋体" w:hAnsi="宋体" w:eastAsia="宋体" w:cs="宋体"/>
          <w:color w:val="000000" w:themeColor="text1"/>
          <w:sz w:val="32"/>
          <w:szCs w:val="32"/>
          <w:highlight w:val="none"/>
          <w14:textFill>
            <w14:solidFill>
              <w14:schemeClr w14:val="tx1"/>
            </w14:solidFill>
          </w14:textFill>
        </w:rPr>
        <w:t>决算数大于年初预算数的主要原因是：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年中增加项目支出</w:t>
      </w:r>
      <w:r>
        <w:rPr>
          <w:rFonts w:hint="eastAsia" w:ascii="宋体" w:hAnsi="宋体" w:eastAsia="宋体" w:cs="宋体"/>
          <w:color w:val="000000" w:themeColor="text1"/>
          <w:sz w:val="32"/>
          <w:szCs w:val="32"/>
          <w:highlight w:val="none"/>
          <w:lang w:eastAsia="zh-CN"/>
          <w14:textFill>
            <w14:solidFill>
              <w14:schemeClr w14:val="tx1"/>
            </w14:solidFill>
          </w14:textFill>
        </w:rPr>
        <w:t>。</w:t>
      </w:r>
    </w:p>
    <w:p w14:paraId="388913A4">
      <w:pPr>
        <w:pStyle w:val="13"/>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按照支出功能分类，</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城乡社区支出</w:t>
      </w:r>
      <w:r>
        <w:rPr>
          <w:rFonts w:hint="eastAsia" w:ascii="Times New Roman" w:hAnsi="Times New Roman" w:eastAsia="仿宋_GB2312" w:cs="Times New Roman"/>
          <w:color w:val="000000" w:themeColor="text1"/>
          <w:sz w:val="32"/>
          <w:szCs w:val="32"/>
          <w14:textFill>
            <w14:solidFill>
              <w14:schemeClr w14:val="tx1"/>
            </w14:solidFill>
          </w14:textFill>
        </w:rPr>
        <w:t>方面的支出规模较大（或占财政拨款支出总额的比重较高），主要是：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其他城乡社区管理事务支出</w:t>
      </w:r>
      <w:r>
        <w:rPr>
          <w:rFonts w:hint="eastAsia" w:ascii="Times New Roman" w:hAnsi="Times New Roman" w:eastAsia="仿宋_GB2312" w:cs="Times New Roman"/>
          <w:color w:val="000000" w:themeColor="text1"/>
          <w:sz w:val="32"/>
          <w:szCs w:val="32"/>
          <w14:textFill>
            <w14:solidFill>
              <w14:schemeClr w14:val="tx1"/>
            </w14:solidFill>
          </w14:textFill>
        </w:rPr>
        <w:t>（科目名称），2025年度决算数为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197.7</w:t>
      </w:r>
      <w:r>
        <w:rPr>
          <w:rFonts w:hint="eastAsia" w:ascii="Times New Roman" w:hAnsi="Times New Roman" w:eastAsia="仿宋_GB2312" w:cs="Times New Roman"/>
          <w:color w:val="000000" w:themeColor="text1"/>
          <w:sz w:val="32"/>
          <w:szCs w:val="32"/>
          <w14:textFill>
            <w14:solidFill>
              <w14:schemeClr w14:val="tx1"/>
            </w14:solidFill>
          </w14:textFill>
        </w:rPr>
        <w:t>万元，占财政拨款支出总额的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63.7</w:t>
      </w:r>
      <w:r>
        <w:rPr>
          <w:rFonts w:hint="eastAsia" w:ascii="Times New Roman" w:hAnsi="Times New Roman" w:eastAsia="仿宋_GB2312" w:cs="Times New Roman"/>
          <w:color w:val="000000" w:themeColor="text1"/>
          <w:sz w:val="32"/>
          <w:szCs w:val="32"/>
          <w14:textFill>
            <w14:solidFill>
              <w14:schemeClr w14:val="tx1"/>
            </w14:solidFill>
          </w14:textFill>
        </w:rPr>
        <w:t>%，主要用于</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开展网站和机房运维</w:t>
      </w:r>
      <w:r>
        <w:rPr>
          <w:rFonts w:hint="eastAsia" w:ascii="Times New Roman" w:hAnsi="Times New Roman" w:eastAsia="仿宋_GB2312" w:cs="Times New Roman"/>
          <w:color w:val="000000" w:themeColor="text1"/>
          <w:sz w:val="32"/>
          <w:szCs w:val="32"/>
          <w14:textFill>
            <w14:solidFill>
              <w14:schemeClr w14:val="tx1"/>
            </w14:solidFill>
          </w14:textFill>
        </w:rPr>
        <w:t>项目建设、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已建成项目的尾款</w:t>
      </w:r>
      <w:r>
        <w:rPr>
          <w:rFonts w:hint="eastAsia" w:ascii="Times New Roman" w:hAnsi="Times New Roman" w:eastAsia="仿宋_GB2312" w:cs="Times New Roman"/>
          <w:color w:val="000000" w:themeColor="text1"/>
          <w:sz w:val="32"/>
          <w:szCs w:val="32"/>
          <w14:textFill>
            <w14:solidFill>
              <w14:schemeClr w14:val="tx1"/>
            </w14:solidFill>
          </w14:textFill>
        </w:rPr>
        <w:t>等方面</w:t>
      </w:r>
    </w:p>
    <w:p w14:paraId="70322734">
      <w:pPr>
        <w:pStyle w:val="13"/>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六、一般公共预算财政拨款基本支出决算情况说明</w:t>
      </w:r>
    </w:p>
    <w:p w14:paraId="35761824">
      <w:pPr>
        <w:pStyle w:val="13"/>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年度一般公共预算财政拨款基本支出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57.61</w:t>
      </w:r>
      <w:r>
        <w:rPr>
          <w:rFonts w:ascii="Times New Roman" w:hAnsi="Times New Roman" w:eastAsia="仿宋_GB2312" w:cs="Times New Roman"/>
          <w:color w:val="000000" w:themeColor="text1"/>
          <w:sz w:val="32"/>
          <w:szCs w:val="32"/>
          <w14:textFill>
            <w14:solidFill>
              <w14:schemeClr w14:val="tx1"/>
            </w14:solidFill>
          </w14:textFill>
        </w:rPr>
        <w:t>万元，其中：</w:t>
      </w:r>
    </w:p>
    <w:p w14:paraId="37646946">
      <w:pPr>
        <w:pStyle w:val="13"/>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bCs/>
          <w:color w:val="000000" w:themeColor="text1"/>
          <w:sz w:val="32"/>
          <w:szCs w:val="32"/>
          <w14:textFill>
            <w14:solidFill>
              <w14:schemeClr w14:val="tx1"/>
            </w14:solidFill>
          </w14:textFill>
        </w:rPr>
        <w:t>人员经费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40.47</w:t>
      </w:r>
      <w:r>
        <w:rPr>
          <w:rFonts w:ascii="Times New Roman" w:hAnsi="Times New Roman" w:eastAsia="仿宋_GB2312" w:cs="Times New Roman"/>
          <w:color w:val="000000" w:themeColor="text1"/>
          <w:sz w:val="32"/>
          <w:szCs w:val="32"/>
          <w14:textFill>
            <w14:solidFill>
              <w14:schemeClr w14:val="tx1"/>
            </w14:solidFill>
          </w14:textFill>
        </w:rPr>
        <w:t>万元，占基本支出的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70.25</w:t>
      </w:r>
      <w:r>
        <w:rPr>
          <w:rFonts w:ascii="Times New Roman" w:hAnsi="Times New Roman" w:eastAsia="仿宋_GB2312" w:cs="Times New Roman"/>
          <w:color w:val="000000" w:themeColor="text1"/>
          <w:sz w:val="32"/>
          <w:szCs w:val="32"/>
          <w14:textFill>
            <w14:solidFill>
              <w14:schemeClr w14:val="tx1"/>
            </w14:solidFill>
          </w14:textFill>
        </w:rPr>
        <w:t>%,主要包括基本工资、</w:t>
      </w:r>
      <w:r>
        <w:rPr>
          <w:rFonts w:hint="eastAsia" w:ascii="Times New Roman" w:hAnsi="Times New Roman" w:eastAsia="仿宋_GB2312" w:cs="Times New Roman"/>
          <w:color w:val="000000" w:themeColor="text1"/>
          <w:sz w:val="32"/>
          <w:szCs w:val="32"/>
          <w14:textFill>
            <w14:solidFill>
              <w14:schemeClr w14:val="tx1"/>
            </w14:solidFill>
          </w14:textFill>
        </w:rPr>
        <w:t>机关事业单位基本养老保险缴费</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 xml:space="preserve"> 职工基本医疗保险缴费</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 xml:space="preserve"> 其他社会保障缴费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、住房公积金、医疗费</w:t>
      </w:r>
      <w:r>
        <w:rPr>
          <w:rFonts w:ascii="Times New Roman" w:hAnsi="Times New Roman" w:eastAsia="仿宋_GB2312" w:cs="Times New Roman"/>
          <w:color w:val="000000" w:themeColor="text1"/>
          <w:sz w:val="32"/>
          <w:szCs w:val="32"/>
          <w14:textFill>
            <w14:solidFill>
              <w14:schemeClr w14:val="tx1"/>
            </w14:solidFill>
          </w14:textFill>
        </w:rPr>
        <w:t>。</w:t>
      </w:r>
    </w:p>
    <w:p w14:paraId="474E0FA9">
      <w:pPr>
        <w:pStyle w:val="13"/>
        <w:overflowPunct w:val="0"/>
        <w:autoSpaceDE/>
        <w:autoSpaceDN/>
        <w:spacing w:line="600" w:lineRule="exact"/>
        <w:ind w:firstLine="640" w:firstLineChars="200"/>
        <w:jc w:val="both"/>
        <w:rPr>
          <w:rFonts w:ascii="Times New Roman" w:hAnsi="Times New Roman" w:eastAsia="仿宋_GB2312" w:cs="Times New Roman"/>
          <w:b/>
          <w:color w:val="000000" w:themeColor="text1"/>
          <w:sz w:val="32"/>
          <w:szCs w:val="32"/>
          <w14:textFill>
            <w14:solidFill>
              <w14:schemeClr w14:val="tx1"/>
            </w14:solidFill>
          </w14:textFill>
        </w:rPr>
      </w:pPr>
      <w:r>
        <w:rPr>
          <w:rFonts w:ascii="Times New Roman" w:hAnsi="Times New Roman" w:eastAsia="仿宋_GB2312" w:cs="Times New Roman"/>
          <w:b/>
          <w:bCs/>
          <w:color w:val="000000" w:themeColor="text1"/>
          <w:sz w:val="32"/>
          <w:szCs w:val="32"/>
          <w14:textFill>
            <w14:solidFill>
              <w14:schemeClr w14:val="tx1"/>
            </w14:solidFill>
          </w14:textFill>
        </w:rPr>
        <w:t>公用经费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17.14</w:t>
      </w:r>
      <w:r>
        <w:rPr>
          <w:rFonts w:ascii="Times New Roman" w:hAnsi="Times New Roman" w:eastAsia="仿宋_GB2312" w:cs="Times New Roman"/>
          <w:color w:val="000000" w:themeColor="text1"/>
          <w:sz w:val="32"/>
          <w:szCs w:val="32"/>
          <w14:textFill>
            <w14:solidFill>
              <w14:schemeClr w14:val="tx1"/>
            </w14:solidFill>
          </w14:textFill>
        </w:rPr>
        <w:t>万元，占基本支出的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29.75</w:t>
      </w:r>
      <w:r>
        <w:rPr>
          <w:rFonts w:ascii="Times New Roman" w:hAnsi="Times New Roman" w:eastAsia="仿宋_GB2312" w:cs="Times New Roman"/>
          <w:color w:val="000000" w:themeColor="text1"/>
          <w:sz w:val="32"/>
          <w:szCs w:val="32"/>
          <w14:textFill>
            <w14:solidFill>
              <w14:schemeClr w14:val="tx1"/>
            </w14:solidFill>
          </w14:textFill>
        </w:rPr>
        <w:t>%，主要包括公费、印刷费、</w:t>
      </w:r>
      <w:r>
        <w:rPr>
          <w:rFonts w:hint="eastAsia" w:ascii="Times New Roman" w:hAnsi="Times New Roman" w:eastAsia="仿宋_GB2312" w:cs="Times New Roman"/>
          <w:color w:val="000000" w:themeColor="text1"/>
          <w:sz w:val="32"/>
          <w:szCs w:val="32"/>
          <w14:textFill>
            <w14:solidFill>
              <w14:schemeClr w14:val="tx1"/>
            </w14:solidFill>
          </w14:textFill>
        </w:rPr>
        <w:t>取暖费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、差旅费、维修（护）费、租赁费、劳务费、委托业务费、工会经费、其他交通费用、其他商品和服务支出</w:t>
      </w:r>
      <w:r>
        <w:rPr>
          <w:rFonts w:ascii="Times New Roman" w:hAnsi="Times New Roman" w:eastAsia="仿宋_GB2312" w:cs="Times New Roman"/>
          <w:color w:val="000000" w:themeColor="text1"/>
          <w:sz w:val="32"/>
          <w:szCs w:val="32"/>
          <w14:textFill>
            <w14:solidFill>
              <w14:schemeClr w14:val="tx1"/>
            </w14:solidFill>
          </w14:textFill>
        </w:rPr>
        <w:t>。</w:t>
      </w:r>
    </w:p>
    <w:p w14:paraId="69ED0132">
      <w:pPr>
        <w:pStyle w:val="13"/>
        <w:overflowPunct w:val="0"/>
        <w:autoSpaceDE/>
        <w:autoSpaceDN/>
        <w:spacing w:line="600" w:lineRule="exact"/>
        <w:ind w:firstLine="640" w:firstLineChars="200"/>
        <w:jc w:val="both"/>
        <w:rPr>
          <w:rFonts w:ascii="Times New Roman" w:hAnsi="Times New Roman" w:eastAsia="仿宋_GB2312" w:cs="Times New Roman"/>
          <w:b/>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七、财政拨款“三公”经费支出决算情况说明</w:t>
      </w:r>
      <w:r>
        <w:rPr>
          <w:rFonts w:ascii="Times New Roman" w:hAnsi="Times New Roman" w:eastAsia="楷体_GB2312" w:cs="Times New Roman"/>
          <w:b/>
          <w:bCs/>
          <w:i/>
          <w:color w:val="000000" w:themeColor="text1"/>
          <w:sz w:val="32"/>
          <w:szCs w:val="32"/>
          <w14:textFill>
            <w14:solidFill>
              <w14:schemeClr w14:val="tx1"/>
            </w14:solidFill>
          </w14:textFill>
        </w:rPr>
        <w:t>（注意：“三公”经费不再是一般公共预算财政拨款口径，而是财政拨款口径）</w:t>
      </w:r>
    </w:p>
    <w:p w14:paraId="3B9051B2">
      <w:pPr>
        <w:pStyle w:val="13"/>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（一）“三公”经费财政拨款支出决算总体情况说明</w:t>
      </w:r>
    </w:p>
    <w:p w14:paraId="13040B97">
      <w:pPr>
        <w:pStyle w:val="13"/>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年度“三公”经费财政拨款支出预算为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年初预算为0万元，</w:t>
      </w:r>
      <w:r>
        <w:rPr>
          <w:rFonts w:hint="eastAsia" w:ascii="宋体" w:hAnsi="宋体" w:eastAsia="宋体" w:cs="宋体"/>
          <w:color w:val="000000" w:themeColor="text1"/>
          <w:sz w:val="32"/>
          <w:szCs w:val="32"/>
          <w:highlight w:val="none"/>
          <w14:textFill>
            <w14:solidFill>
              <w14:schemeClr w14:val="tx1"/>
            </w14:solidFill>
          </w14:textFill>
        </w:rPr>
        <w:t>无法计算百分比</w:t>
      </w:r>
      <w:r>
        <w:rPr>
          <w:rFonts w:ascii="Times New Roman" w:hAnsi="Times New Roman" w:eastAsia="仿宋_GB2312" w:cs="Times New Roman"/>
          <w:color w:val="000000" w:themeColor="text1"/>
          <w:sz w:val="32"/>
          <w:szCs w:val="32"/>
          <w14:textFill>
            <w14:solidFill>
              <w14:schemeClr w14:val="tx1"/>
            </w14:solidFill>
          </w14:textFill>
        </w:rPr>
        <w:t>。</w:t>
      </w:r>
    </w:p>
    <w:p w14:paraId="62BD54FD">
      <w:pPr>
        <w:pStyle w:val="13"/>
        <w:overflowPunct w:val="0"/>
        <w:autoSpaceDE/>
        <w:autoSpaceDN/>
        <w:spacing w:line="600" w:lineRule="exact"/>
        <w:ind w:firstLine="640" w:firstLineChars="200"/>
        <w:jc w:val="both"/>
        <w:rPr>
          <w:rFonts w:ascii="Times New Roman" w:hAnsi="Times New Roman" w:eastAsia="楷体_GB2312" w:cs="Times New Roman"/>
          <w:b/>
          <w:color w:val="000000" w:themeColor="text1"/>
          <w:sz w:val="32"/>
          <w:szCs w:val="32"/>
          <w14:textFill>
            <w14:solidFill>
              <w14:schemeClr w14:val="tx1"/>
            </w14:solidFill>
          </w14:textFill>
        </w:rPr>
      </w:pPr>
      <w:r>
        <w:rPr>
          <w:rFonts w:ascii="Times New Roman" w:hAnsi="Times New Roman" w:eastAsia="楷体_GB2312" w:cs="Times New Roman"/>
          <w:b/>
          <w:color w:val="000000" w:themeColor="text1"/>
          <w:sz w:val="32"/>
          <w:szCs w:val="32"/>
          <w14:textFill>
            <w14:solidFill>
              <w14:schemeClr w14:val="tx1"/>
            </w14:solidFill>
          </w14:textFill>
        </w:rPr>
        <w:t>（二）“三公”经费财政拨款支出决算具体情况说明</w:t>
      </w:r>
    </w:p>
    <w:p w14:paraId="4A0D0E5F">
      <w:pPr>
        <w:pStyle w:val="13"/>
        <w:overflowPunct w:val="0"/>
        <w:autoSpaceDE/>
        <w:autoSpaceDN/>
        <w:spacing w:line="600" w:lineRule="exact"/>
        <w:ind w:firstLine="640" w:firstLineChars="200"/>
        <w:jc w:val="both"/>
        <w:rPr>
          <w:rFonts w:ascii="Times New Roman" w:hAnsi="Times New Roman" w:eastAsia="楷体" w:cs="Times New Roman"/>
          <w:b/>
          <w:bCs/>
          <w:i/>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1.因公出国（境）费支出预算为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宋体" w:hAnsi="宋体" w:eastAsia="宋体" w:cs="宋体"/>
          <w:color w:val="000000" w:themeColor="text1"/>
          <w:sz w:val="32"/>
          <w:szCs w:val="32"/>
          <w:highlight w:val="none"/>
          <w14:textFill>
            <w14:solidFill>
              <w14:schemeClr w14:val="tx1"/>
            </w14:solidFill>
          </w14:textFill>
        </w:rPr>
        <w:t>无法计算百分比</w:t>
      </w:r>
      <w:r>
        <w:rPr>
          <w:rFonts w:hint="eastAsia" w:ascii="宋体" w:hAnsi="宋体" w:eastAsia="宋体" w:cs="宋体"/>
          <w:color w:val="000000" w:themeColor="text1"/>
          <w:sz w:val="32"/>
          <w:szCs w:val="32"/>
          <w:highlight w:val="none"/>
          <w:lang w:val="en-US" w:eastAsia="zh-CN"/>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与上年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持平</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2025年</w:t>
      </w:r>
      <w:r>
        <w:rPr>
          <w:rFonts w:ascii="Times New Roman" w:hAnsi="Times New Roman" w:eastAsia="仿宋_GB2312" w:cs="Times New Roman"/>
          <w:color w:val="000000" w:themeColor="text1"/>
          <w:sz w:val="32"/>
          <w:szCs w:val="32"/>
          <w14:textFill>
            <w14:solidFill>
              <w14:schemeClr w14:val="tx1"/>
            </w14:solidFill>
          </w14:textFill>
        </w:rPr>
        <w:t>度安排因公出国（境）团组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个，累计</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人次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无相关内容。</w:t>
      </w:r>
    </w:p>
    <w:p w14:paraId="2CC23DD9">
      <w:pPr>
        <w:pStyle w:val="13"/>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2.公务用车购置费及运行维护费支出预算为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年初预算为0万元，</w:t>
      </w:r>
      <w:r>
        <w:rPr>
          <w:rFonts w:hint="eastAsia" w:ascii="宋体" w:hAnsi="宋体" w:eastAsia="宋体" w:cs="宋体"/>
          <w:color w:val="000000" w:themeColor="text1"/>
          <w:sz w:val="32"/>
          <w:szCs w:val="32"/>
          <w:highlight w:val="none"/>
          <w14:textFill>
            <w14:solidFill>
              <w14:schemeClr w14:val="tx1"/>
            </w14:solidFill>
          </w14:textFill>
        </w:rPr>
        <w:t>无法计算百分比</w:t>
      </w:r>
      <w:r>
        <w:rPr>
          <w:rFonts w:ascii="Times New Roman" w:hAnsi="Times New Roman" w:eastAsia="仿宋_GB2312" w:cs="Times New Roman"/>
          <w:color w:val="000000" w:themeColor="text1"/>
          <w:sz w:val="32"/>
          <w:szCs w:val="32"/>
          <w14:textFill>
            <w14:solidFill>
              <w14:schemeClr w14:val="tx1"/>
            </w14:solidFill>
          </w14:textFill>
        </w:rPr>
        <w:t>其中：</w:t>
      </w:r>
    </w:p>
    <w:p w14:paraId="08D7BE69">
      <w:pPr>
        <w:pStyle w:val="13"/>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公务用车购置费支出预算为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年初预算为0万元，</w:t>
      </w:r>
      <w:r>
        <w:rPr>
          <w:rFonts w:hint="eastAsia" w:ascii="Times New Roman" w:hAnsi="Times New Roman" w:eastAsia="仿宋_GB2312" w:cs="Times New Roman"/>
          <w:color w:val="000000" w:themeColor="text1"/>
          <w:sz w:val="32"/>
          <w:szCs w:val="32"/>
          <w14:textFill>
            <w14:solidFill>
              <w14:schemeClr w14:val="tx1"/>
            </w14:solidFill>
          </w14:textFill>
        </w:rPr>
        <w:t>无法计算百分比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与上年持平</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4FD0A2EB">
      <w:pPr>
        <w:pStyle w:val="13"/>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公务用车运行维护费支出预算为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无相关内容。</w:t>
      </w:r>
    </w:p>
    <w:p w14:paraId="1AAF924E">
      <w:pPr>
        <w:pStyle w:val="13"/>
        <w:overflowPunct w:val="0"/>
        <w:autoSpaceDE/>
        <w:autoSpaceDN/>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ascii="Times New Roman" w:hAnsi="Times New Roman" w:eastAsia="仿宋_GB2312" w:cs="Times New Roman"/>
          <w:color w:val="000000" w:themeColor="text1"/>
          <w:sz w:val="32"/>
          <w:szCs w:val="32"/>
          <w14:textFill>
            <w14:solidFill>
              <w14:schemeClr w14:val="tx1"/>
            </w14:solidFill>
          </w14:textFill>
        </w:rPr>
        <w:t>公务接待费支出预算为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年初预算为0万元，</w:t>
      </w:r>
      <w:r>
        <w:rPr>
          <w:rFonts w:hint="eastAsia" w:ascii="Times New Roman" w:hAnsi="Times New Roman" w:eastAsia="仿宋_GB2312" w:cs="Times New Roman"/>
          <w:color w:val="000000" w:themeColor="text1"/>
          <w:sz w:val="32"/>
          <w:szCs w:val="32"/>
          <w14:textFill>
            <w14:solidFill>
              <w14:schemeClr w14:val="tx1"/>
            </w14:solidFill>
          </w14:textFill>
        </w:rPr>
        <w:t>无法计算百分比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与上年持平</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。2025年</w:t>
      </w:r>
      <w:r>
        <w:rPr>
          <w:rFonts w:ascii="Times New Roman" w:hAnsi="Times New Roman" w:eastAsia="仿宋_GB2312" w:cs="Times New Roman"/>
          <w:color w:val="000000" w:themeColor="text1"/>
          <w:sz w:val="32"/>
          <w:szCs w:val="32"/>
          <w14:textFill>
            <w14:solidFill>
              <w14:schemeClr w14:val="tx1"/>
            </w14:solidFill>
          </w14:textFill>
        </w:rPr>
        <w:t>度共接待来访团组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个、来宾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人次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无相关内容。</w:t>
      </w:r>
    </w:p>
    <w:p w14:paraId="778FD526">
      <w:pPr>
        <w:pStyle w:val="13"/>
        <w:numPr>
          <w:ilvl w:val="0"/>
          <w:numId w:val="0"/>
        </w:numPr>
        <w:overflowPunct w:val="0"/>
        <w:autoSpaceDE/>
        <w:autoSpaceDN/>
        <w:spacing w:line="600" w:lineRule="exact"/>
        <w:jc w:val="both"/>
        <w:rPr>
          <w:rFonts w:ascii="Times New Roman" w:hAnsi="Times New Roman" w:eastAsia="楷体_GB2312" w:cs="Times New Roman"/>
          <w:b/>
          <w:bCs/>
          <w:i/>
          <w:color w:val="000000" w:themeColor="text1"/>
          <w:sz w:val="32"/>
          <w:szCs w:val="32"/>
          <w14:textFill>
            <w14:solidFill>
              <w14:schemeClr w14:val="tx1"/>
            </w14:solidFill>
          </w14:textFill>
        </w:rPr>
      </w:pPr>
    </w:p>
    <w:p w14:paraId="02D34B04">
      <w:pPr>
        <w:pStyle w:val="13"/>
        <w:numPr>
          <w:ilvl w:val="0"/>
          <w:numId w:val="0"/>
        </w:numPr>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八、政府性基金预算收入支出决算情况</w:t>
      </w:r>
    </w:p>
    <w:p w14:paraId="2F4E1298">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lang w:eastAsia="zh-CN"/>
        </w:rPr>
      </w:pPr>
      <w:r>
        <w:rPr>
          <w:rFonts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年度政府性基金预算财政拨款收</w:t>
      </w:r>
      <w:r>
        <w:rPr>
          <w:rFonts w:ascii="Times New Roman" w:hAnsi="Times New Roman" w:eastAsia="仿宋_GB2312" w:cs="Times New Roman"/>
          <w:sz w:val="32"/>
          <w:szCs w:val="32"/>
        </w:rPr>
        <w:t>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万元，其中基本支出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万元，项目支出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万元；年末结转和结余</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ascii="Times New Roman" w:hAnsi="Times New Roman" w:eastAsia="仿宋_GB2312" w:cs="Times New Roman"/>
          <w:color w:val="000000" w:themeColor="text1"/>
          <w:sz w:val="32"/>
          <w:szCs w:val="32"/>
          <w:highlight w:val="none"/>
          <w14:textFill>
            <w14:solidFill>
              <w14:schemeClr w14:val="tx1"/>
            </w14:solidFill>
          </w14:textFill>
        </w:rPr>
        <w:t>本单位无政府</w:t>
      </w:r>
      <w:r>
        <w:rPr>
          <w:rFonts w:ascii="Times New Roman" w:hAnsi="Times New Roman" w:eastAsia="仿宋_GB2312" w:cs="Times New Roman"/>
          <w:color w:val="auto"/>
          <w:sz w:val="32"/>
          <w:szCs w:val="32"/>
          <w:highlight w:val="none"/>
        </w:rPr>
        <w:t>性基金收支</w:t>
      </w:r>
      <w:r>
        <w:rPr>
          <w:rFonts w:hint="eastAsia" w:ascii="Times New Roman" w:hAnsi="Times New Roman" w:eastAsia="仿宋_GB2312" w:cs="Times New Roman"/>
          <w:color w:val="auto"/>
          <w:sz w:val="32"/>
          <w:szCs w:val="32"/>
          <w:highlight w:val="none"/>
          <w:lang w:eastAsia="zh-CN"/>
        </w:rPr>
        <w:t>。</w:t>
      </w:r>
    </w:p>
    <w:p w14:paraId="7A8A74A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295DAA6">
      <w:pPr>
        <w:pStyle w:val="13"/>
        <w:ind w:firstLine="640" w:firstLineChars="200"/>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17.1</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5.6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%。主要原因是：</w:t>
      </w:r>
      <w:r>
        <w:rPr>
          <w:rFonts w:hint="eastAsia" w:ascii="Times New Roman" w:hAnsi="Times New Roman" w:eastAsia="仿宋_GB2312" w:cs="Times New Roman"/>
          <w:color w:val="auto"/>
          <w:sz w:val="32"/>
          <w:szCs w:val="32"/>
          <w:highlight w:val="none"/>
          <w:lang w:val="en-US" w:eastAsia="zh-CN"/>
        </w:rPr>
        <w:t>人员</w:t>
      </w:r>
      <w:r>
        <w:rPr>
          <w:rFonts w:hint="eastAsia" w:ascii="Times New Roman" w:hAnsi="Times New Roman" w:eastAsia="仿宋_GB2312" w:cs="Times New Roman"/>
          <w:sz w:val="32"/>
          <w:szCs w:val="32"/>
          <w:lang w:val="en-US" w:eastAsia="zh-CN"/>
        </w:rPr>
        <w:t>薪级工资增加及社保费增加。</w:t>
      </w:r>
    </w:p>
    <w:p w14:paraId="75C08C2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35E3EA0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eastAsia="仿宋_GB2312"/>
          <w:kern w:val="0"/>
          <w:sz w:val="32"/>
          <w:szCs w:val="32"/>
          <w:lang w:val="en-US" w:eastAsia="zh-CN"/>
        </w:rPr>
        <w:t>无相关内容</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eastAsia="仿宋_GB2312"/>
          <w:kern w:val="0"/>
          <w:sz w:val="32"/>
          <w:szCs w:val="32"/>
          <w:lang w:val="en-US" w:eastAsia="zh-CN"/>
        </w:rPr>
        <w:t>无相关内容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eastAsia="仿宋_GB2312"/>
          <w:kern w:val="0"/>
          <w:sz w:val="32"/>
          <w:szCs w:val="32"/>
          <w:lang w:val="en-US" w:eastAsia="zh-CN"/>
        </w:rPr>
        <w:t>无相关内容</w:t>
      </w:r>
      <w:r>
        <w:rPr>
          <w:rFonts w:ascii="Times New Roman" w:hAnsi="Times New Roman" w:eastAsia="仿宋_GB2312" w:cs="Times New Roman"/>
          <w:sz w:val="32"/>
          <w:szCs w:val="32"/>
        </w:rPr>
        <w:t>。</w:t>
      </w:r>
    </w:p>
    <w:p w14:paraId="54CBFA4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1806099">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eastAsia="楷体_GB2312" w:cs="Times New Roman"/>
          <w:b/>
          <w:bCs/>
          <w:i/>
          <w:color w:val="auto"/>
          <w:sz w:val="32"/>
          <w:szCs w:val="32"/>
        </w:rPr>
        <w:t>（政府采购金额的计算口径为：本部门纳入202</w:t>
      </w:r>
      <w:r>
        <w:rPr>
          <w:rFonts w:hint="eastAsia" w:ascii="Times New Roman" w:hAnsi="Times New Roman" w:eastAsia="楷体_GB2312" w:cs="Times New Roman"/>
          <w:b/>
          <w:bCs/>
          <w:i/>
          <w:color w:val="auto"/>
          <w:sz w:val="32"/>
          <w:szCs w:val="32"/>
          <w:lang w:val="en-US" w:eastAsia="zh-CN"/>
        </w:rPr>
        <w:t>5</w:t>
      </w:r>
      <w:r>
        <w:rPr>
          <w:rFonts w:ascii="Times New Roman" w:hAnsi="Times New Roman" w:eastAsia="楷体_GB2312" w:cs="Times New Roman"/>
          <w:b/>
          <w:bCs/>
          <w:i/>
          <w:color w:val="auto"/>
          <w:sz w:val="32"/>
          <w:szCs w:val="32"/>
        </w:rPr>
        <w:t>年度部门预算范围的各项政府采购支出金额之和，不包括涉密采购项目的支出金额）</w:t>
      </w:r>
    </w:p>
    <w:p w14:paraId="1145877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5797693">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A92564B">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7B12F4A">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w:t>
      </w:r>
      <w:r>
        <w:rPr>
          <w:rFonts w:ascii="Times New Roman" w:hAnsi="Times New Roman" w:eastAsia="仿宋_GB2312" w:cs="Times New Roman"/>
          <w:color w:val="000000" w:themeColor="text1"/>
          <w:kern w:val="0"/>
          <w:sz w:val="32"/>
          <w:szCs w:val="32"/>
          <w14:textFill>
            <w14:solidFill>
              <w14:schemeClr w14:val="tx1"/>
            </w14:solidFill>
          </w14:textFill>
        </w:rPr>
        <w:t>及项目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2</w:t>
      </w:r>
      <w:r>
        <w:rPr>
          <w:rFonts w:ascii="Times New Roman" w:hAnsi="Times New Roman" w:eastAsia="仿宋_GB2312" w:cs="Times New Roman"/>
          <w:color w:val="000000" w:themeColor="text1"/>
          <w:kern w:val="0"/>
          <w:sz w:val="32"/>
          <w:szCs w:val="32"/>
          <w14:textFill>
            <w14:solidFill>
              <w14:schemeClr w14:val="tx1"/>
            </w14:solidFill>
          </w14:textFill>
        </w:rPr>
        <w:t xml:space="preserve"> 个，共涉及资金</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79</w:t>
      </w:r>
      <w:r>
        <w:rPr>
          <w:rFonts w:ascii="Times New Roman" w:hAnsi="Times New Roman" w:eastAsia="仿宋_GB2312" w:cs="Times New Roman"/>
          <w:color w:val="000000" w:themeColor="text1"/>
          <w:kern w:val="0"/>
          <w:sz w:val="32"/>
          <w:szCs w:val="32"/>
          <w14:textFill>
            <w14:solidFill>
              <w14:schemeClr w14:val="tx1"/>
            </w14:solidFill>
          </w14:textFill>
        </w:rPr>
        <w:t>万元。其中，一般公共预算项目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2</w:t>
      </w:r>
      <w:r>
        <w:rPr>
          <w:rFonts w:ascii="Times New Roman" w:hAnsi="Times New Roman" w:eastAsia="仿宋_GB2312" w:cs="Times New Roman"/>
          <w:color w:val="000000" w:themeColor="text1"/>
          <w:kern w:val="0"/>
          <w:sz w:val="32"/>
          <w:szCs w:val="32"/>
          <w14:textFill>
            <w14:solidFill>
              <w14:schemeClr w14:val="tx1"/>
            </w14:solidFill>
          </w14:textFill>
        </w:rPr>
        <w:t xml:space="preserve"> 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79</w:t>
      </w:r>
      <w:r>
        <w:rPr>
          <w:rFonts w:ascii="Times New Roman" w:hAnsi="Times New Roman" w:eastAsia="仿宋_GB2312" w:cs="Times New Roman"/>
          <w:color w:val="000000" w:themeColor="text1"/>
          <w:kern w:val="0"/>
          <w:sz w:val="32"/>
          <w:szCs w:val="32"/>
          <w14:textFill>
            <w14:solidFill>
              <w14:schemeClr w14:val="tx1"/>
            </w14:solidFill>
          </w14:textFill>
        </w:rPr>
        <w:t xml:space="preserve"> 万元，占一般公共预算支出总额的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41</w:t>
      </w:r>
      <w:r>
        <w:rPr>
          <w:rFonts w:ascii="Times New Roman" w:hAnsi="Times New Roman" w:eastAsia="仿宋_GB2312" w:cs="Times New Roman"/>
          <w:color w:val="000000" w:themeColor="text1"/>
          <w:kern w:val="0"/>
          <w:sz w:val="32"/>
          <w:szCs w:val="32"/>
          <w14:textFill>
            <w14:solidFill>
              <w14:schemeClr w14:val="tx1"/>
            </w14:solidFill>
          </w14:textFill>
        </w:rPr>
        <w:t>%；政府性基金预算项目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 xml:space="preserve"> 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万元，占政府性基金预算支出总额的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%；国有资本经营预算项目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 xml:space="preserve"> 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 xml:space="preserve"> 万元，占国有资本经营预算支出总额的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%；社会保险基金预算项目</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 xml:space="preserve"> 个</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 xml:space="preserve"> 万元，占社会保险基金预算支出总额的</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w:t>
      </w:r>
      <w:r>
        <w:rPr>
          <w:rFonts w:ascii="Times New Roman" w:hAnsi="Times New Roman" w:eastAsia="仿宋_GB2312" w:cs="Times New Roman"/>
          <w:b/>
          <w:bCs/>
          <w:color w:val="000000" w:themeColor="text1"/>
          <w:kern w:val="0"/>
          <w:sz w:val="32"/>
          <w:szCs w:val="32"/>
          <w14:textFill>
            <w14:solidFill>
              <w14:schemeClr w14:val="tx1"/>
            </w14:solidFill>
          </w14:textFill>
        </w:rPr>
        <w:t>二是部门评价开展情况（如有，一级预算部门填写）。</w:t>
      </w:r>
      <w:r>
        <w:rPr>
          <w:rFonts w:ascii="Times New Roman" w:hAnsi="Times New Roman" w:eastAsia="仿宋_GB2312" w:cs="Times New Roman"/>
          <w:color w:val="000000" w:themeColor="text1"/>
          <w:kern w:val="0"/>
          <w:sz w:val="32"/>
          <w:szCs w:val="32"/>
          <w14:textFill>
            <w14:solidFill>
              <w14:schemeClr w14:val="tx1"/>
            </w14:solidFill>
          </w14:textFill>
        </w:rPr>
        <w:t>组织对所属单位202</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5</w:t>
      </w:r>
      <w:r>
        <w:rPr>
          <w:rFonts w:ascii="Times New Roman" w:hAnsi="Times New Roman" w:eastAsia="仿宋_GB2312" w:cs="Times New Roman"/>
          <w:color w:val="000000" w:themeColor="text1"/>
          <w:kern w:val="0"/>
          <w:sz w:val="32"/>
          <w:szCs w:val="32"/>
          <w14:textFill>
            <w14:solidFill>
              <w14:schemeClr w14:val="tx1"/>
            </w14:solidFill>
          </w14:textFill>
        </w:rPr>
        <w:t>年度</w:t>
      </w: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合同制人员工资</w:t>
      </w: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政务大厅绩效考核奖金</w:t>
      </w: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t>”</w:t>
      </w:r>
      <w:r>
        <w:rPr>
          <w:rFonts w:ascii="Times New Roman" w:hAnsi="Times New Roman" w:eastAsia="仿宋_GB2312" w:cs="Times New Roman"/>
          <w:color w:val="000000" w:themeColor="text1"/>
          <w:kern w:val="0"/>
          <w:sz w:val="32"/>
          <w:szCs w:val="32"/>
          <w14:textFill>
            <w14:solidFill>
              <w14:schemeClr w14:val="tx1"/>
            </w14:solidFill>
          </w14:textFill>
        </w:rPr>
        <w:t>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ascii="Times New Roman" w:hAnsi="Times New Roman" w:eastAsia="仿宋_GB2312" w:cs="Times New Roman"/>
          <w:color w:val="000000" w:themeColor="text1"/>
          <w:kern w:val="0"/>
          <w:sz w:val="32"/>
          <w:szCs w:val="32"/>
          <w14:textFill>
            <w14:solidFill>
              <w14:schemeClr w14:val="tx1"/>
            </w14:solidFill>
          </w14:textFill>
        </w:rPr>
        <w:t>个项目开展了部门评价，涉及一般公共预算支出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79</w:t>
      </w:r>
      <w:r>
        <w:rPr>
          <w:rFonts w:ascii="Times New Roman" w:hAnsi="Times New Roman" w:eastAsia="仿宋_GB2312" w:cs="Times New Roman"/>
          <w:color w:val="000000" w:themeColor="text1"/>
          <w:kern w:val="0"/>
          <w:sz w:val="32"/>
          <w:szCs w:val="32"/>
          <w14:textFill>
            <w14:solidFill>
              <w14:schemeClr w14:val="tx1"/>
            </w14:solidFill>
          </w14:textFill>
        </w:rPr>
        <w:t>万元，政府性基金预算支出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kern w:val="0"/>
          <w:sz w:val="32"/>
          <w:szCs w:val="32"/>
          <w14:textFill>
            <w14:solidFill>
              <w14:schemeClr w14:val="tx1"/>
            </w14:solidFill>
          </w14:textFill>
        </w:rPr>
        <w:t>万</w:t>
      </w:r>
      <w:r>
        <w:rPr>
          <w:rFonts w:ascii="Times New Roman" w:hAnsi="Times New Roman" w:eastAsia="仿宋_GB2312" w:cs="Times New Roman"/>
          <w:kern w:val="0"/>
          <w:sz w:val="32"/>
          <w:szCs w:val="32"/>
        </w:rPr>
        <w:t>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30DBC9DF">
      <w:pPr>
        <w:pStyle w:val="19"/>
        <w:keepNext w:val="0"/>
        <w:keepLines w:val="0"/>
        <w:pageBreakBefore w:val="0"/>
        <w:wordWrap/>
        <w:overflowPunct/>
        <w:topLinePunct w:val="0"/>
        <w:bidi w:val="0"/>
        <w:spacing w:line="580" w:lineRule="exact"/>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192.71</w:t>
      </w:r>
      <w:r>
        <w:rPr>
          <w:rFonts w:ascii="Times New Roman" w:hAnsi="Times New Roman" w:eastAsia="仿宋_GB2312" w:cs="Times New Roman"/>
          <w:color w:val="000000" w:themeColor="text1"/>
          <w:sz w:val="32"/>
          <w:szCs w:val="32"/>
          <w14:textFill>
            <w14:solidFill>
              <w14:schemeClr w14:val="tx1"/>
            </w14:solidFill>
          </w14:textFill>
        </w:rPr>
        <w:t>万</w:t>
      </w:r>
      <w:r>
        <w:rPr>
          <w:rFonts w:ascii="Times New Roman" w:hAnsi="Times New Roman" w:eastAsia="仿宋_GB2312" w:cs="Times New Roman"/>
          <w:sz w:val="32"/>
          <w:szCs w:val="32"/>
        </w:rPr>
        <w:t>元，执行数</w:t>
      </w:r>
      <w:r>
        <w:rPr>
          <w:rFonts w:hint="eastAsia" w:ascii="Times New Roman" w:hAnsi="Times New Roman" w:eastAsia="仿宋_GB2312" w:cs="Times New Roman"/>
          <w:sz w:val="32"/>
          <w:szCs w:val="32"/>
          <w:lang w:val="en-US" w:eastAsia="zh-CN"/>
        </w:rPr>
        <w:t>310.32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161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cs="Times New Roman"/>
          <w:sz w:val="32"/>
          <w:szCs w:val="32"/>
          <w:lang w:val="en-US" w:eastAsia="zh-CN"/>
        </w:rPr>
        <w:t>合格</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一是</w:t>
      </w:r>
      <w:r>
        <w:rPr>
          <w:rFonts w:hint="eastAsia" w:ascii="仿宋" w:hAnsi="仿宋" w:eastAsia="仿宋" w:cs="仿宋"/>
          <w:b w:val="0"/>
          <w:bCs w:val="0"/>
          <w:sz w:val="32"/>
          <w:szCs w:val="32"/>
          <w:lang w:val="en-US" w:eastAsia="zh-CN"/>
        </w:rPr>
        <w:t>项目资金作为各项工作经费，实行专款专用；用于保障各项工作正常开展，由各股室相关人员申请申报相关支出，各项费用按程序据实报账，支出手续较完备，资料齐全；</w:t>
      </w:r>
      <w:r>
        <w:rPr>
          <w:rFonts w:hint="eastAsia" w:ascii="仿宋" w:hAnsi="仿宋" w:eastAsia="仿宋" w:cs="仿宋"/>
          <w:color w:val="000000"/>
          <w:kern w:val="0"/>
          <w:sz w:val="32"/>
          <w:szCs w:val="32"/>
          <w:lang w:val="en-US" w:eastAsia="zh-CN" w:bidi="ar"/>
        </w:rPr>
        <w:t>二是按照经费使用要求，实行定标定额竞争预算，确保资金到位，使用规范，促进政务服务工作的发展。</w:t>
      </w:r>
      <w:r>
        <w:rPr>
          <w:rFonts w:ascii="Times New Roman" w:hAnsi="Times New Roman" w:eastAsia="仿宋_GB2312" w:cs="Times New Roman"/>
          <w:sz w:val="32"/>
          <w:szCs w:val="32"/>
        </w:rPr>
        <w:t>发现的主要问题及原因：</w:t>
      </w:r>
      <w:r>
        <w:rPr>
          <w:rFonts w:hint="eastAsia" w:ascii="仿宋" w:hAnsi="仿宋" w:eastAsia="仿宋" w:cs="仿宋"/>
          <w:kern w:val="0"/>
          <w:sz w:val="32"/>
          <w:szCs w:val="32"/>
          <w:lang w:val="en-US" w:eastAsia="zh-CN" w:bidi="ar"/>
        </w:rPr>
        <w:t>预算执行和绩效管理工作有待提高。</w:t>
      </w:r>
      <w:r>
        <w:rPr>
          <w:rFonts w:ascii="Times New Roman" w:hAnsi="Times New Roman" w:eastAsia="仿宋_GB2312" w:cs="Times New Roman"/>
          <w:sz w:val="32"/>
          <w:szCs w:val="32"/>
        </w:rPr>
        <w:t>下一步改进措施：一是</w:t>
      </w:r>
      <w:r>
        <w:rPr>
          <w:rFonts w:hint="eastAsia" w:ascii="仿宋" w:hAnsi="仿宋" w:eastAsia="仿宋" w:cs="仿宋"/>
          <w:sz w:val="32"/>
          <w:szCs w:val="32"/>
          <w:lang w:val="en-US" w:eastAsia="zh-CN"/>
        </w:rPr>
        <w:t>建立绩效目标和绩效自评结果与预算安排、政策调整挂钩机制，对绩效不明显的，适当予以取消</w:t>
      </w:r>
      <w:r>
        <w:rPr>
          <w:rFonts w:ascii="Times New Roman" w:hAnsi="Times New Roman" w:eastAsia="仿宋_GB2312" w:cs="Times New Roman"/>
          <w:sz w:val="32"/>
          <w:szCs w:val="32"/>
        </w:rPr>
        <w:t>；二是</w:t>
      </w:r>
      <w:r>
        <w:rPr>
          <w:rFonts w:hint="eastAsia" w:ascii="仿宋" w:hAnsi="仿宋" w:eastAsia="仿宋" w:cs="仿宋"/>
          <w:sz w:val="32"/>
          <w:szCs w:val="32"/>
          <w:lang w:val="en-US" w:eastAsia="zh-CN"/>
        </w:rPr>
        <w:t>对绩效不高的，督促及时改进；对绩效水平高的支出项目，在资金安排或政策支持上予以倾斜。</w:t>
      </w:r>
      <w:r>
        <w:rPr>
          <w:rFonts w:ascii="Times New Roman" w:hAnsi="Times New Roman" w:eastAsia="仿宋_GB2312" w:cs="Times New Roman"/>
          <w:b/>
          <w:bCs/>
          <w:color w:val="000000" w:themeColor="text1"/>
          <w:kern w:val="0"/>
          <w:sz w:val="32"/>
          <w:szCs w:val="32"/>
          <w14:textFill>
            <w14:solidFill>
              <w14:schemeClr w14:val="tx1"/>
            </w14:solidFill>
          </w14:textFill>
        </w:rPr>
        <w:t>二是部门评价结果（</w:t>
      </w:r>
      <w:r>
        <w:rPr>
          <w:rFonts w:ascii="Times New Roman" w:hAnsi="Times New Roman" w:eastAsia="仿宋_GB2312" w:cs="Times New Roman"/>
          <w:b/>
          <w:bCs/>
          <w:kern w:val="0"/>
          <w:sz w:val="32"/>
          <w:szCs w:val="32"/>
        </w:rPr>
        <w:t>如有，一级预算部门填写）。</w:t>
      </w:r>
      <w:r>
        <w:rPr>
          <w:rFonts w:hint="eastAsia" w:ascii="Times New Roman" w:hAnsi="Times New Roman" w:cs="Times New Roman"/>
          <w:b/>
          <w:bCs/>
          <w:kern w:val="0"/>
          <w:sz w:val="32"/>
          <w:szCs w:val="32"/>
          <w:lang w:val="en-US" w:eastAsia="zh-CN"/>
        </w:rPr>
        <w:t>合同制人员工资</w:t>
      </w:r>
      <w:r>
        <w:rPr>
          <w:rFonts w:ascii="Times New Roman" w:hAnsi="Times New Roman" w:eastAsia="仿宋_GB2312" w:cs="Times New Roman"/>
          <w:sz w:val="32"/>
          <w:szCs w:val="32"/>
        </w:rPr>
        <w:t>项目全年预算数</w:t>
      </w:r>
      <w:r>
        <w:rPr>
          <w:rFonts w:hint="eastAsia" w:ascii="Times New Roman" w:hAnsi="Times New Roman" w:cs="Times New Roman"/>
          <w:sz w:val="32"/>
          <w:szCs w:val="32"/>
          <w:lang w:val="en-US" w:eastAsia="zh-CN"/>
        </w:rPr>
        <w:t>45</w:t>
      </w:r>
      <w:r>
        <w:rPr>
          <w:rFonts w:ascii="Times New Roman" w:hAnsi="Times New Roman" w:eastAsia="仿宋_GB2312" w:cs="Times New Roman"/>
          <w:sz w:val="32"/>
          <w:szCs w:val="32"/>
        </w:rPr>
        <w:t>万元，执行数</w:t>
      </w:r>
      <w:r>
        <w:rPr>
          <w:rFonts w:hint="eastAsia" w:ascii="Times New Roman" w:hAnsi="Times New Roman" w:cs="Times New Roman"/>
          <w:sz w:val="32"/>
          <w:szCs w:val="32"/>
          <w:lang w:val="en-US" w:eastAsia="zh-CN"/>
        </w:rPr>
        <w:t>45</w:t>
      </w:r>
      <w:r>
        <w:rPr>
          <w:rFonts w:ascii="Times New Roman" w:hAnsi="Times New Roman" w:eastAsia="仿宋_GB2312" w:cs="Times New Roman"/>
          <w:sz w:val="32"/>
          <w:szCs w:val="32"/>
        </w:rPr>
        <w:t>万元，完成预算的</w:t>
      </w:r>
      <w:r>
        <w:rPr>
          <w:rFonts w:hint="eastAsia" w:ascii="Times New Roman" w:hAnsi="Times New Roman"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hint="eastAsia" w:ascii="Times New Roman" w:hAnsi="Times New Roman" w:cs="Times New Roman"/>
          <w:kern w:val="0"/>
          <w:sz w:val="32"/>
          <w:szCs w:val="32"/>
          <w:lang w:val="en-US" w:eastAsia="zh-CN"/>
        </w:rPr>
        <w:t>政务大厅绩效考核奖金项目预算数34万元，执行数31.785万元，完成预算的93%，</w:t>
      </w:r>
      <w:r>
        <w:rPr>
          <w:rFonts w:ascii="Times New Roman" w:hAnsi="Times New Roman" w:eastAsia="仿宋_GB2312" w:cs="Times New Roman"/>
          <w:sz w:val="32"/>
          <w:szCs w:val="32"/>
        </w:rPr>
        <w:t>部门评价得分</w:t>
      </w:r>
      <w:r>
        <w:rPr>
          <w:rFonts w:hint="eastAsia" w:ascii="Times New Roman" w:hAnsi="Times New Roman" w:cs="Times New Roman"/>
          <w:sz w:val="32"/>
          <w:szCs w:val="32"/>
          <w:lang w:val="en-US" w:eastAsia="zh-CN"/>
        </w:rPr>
        <w:t>92</w:t>
      </w:r>
      <w:r>
        <w:rPr>
          <w:rFonts w:ascii="Times New Roman" w:hAnsi="Times New Roman" w:eastAsia="仿宋_GB2312" w:cs="Times New Roman"/>
          <w:sz w:val="32"/>
          <w:szCs w:val="32"/>
        </w:rPr>
        <w:t>分，评价等级为“</w:t>
      </w:r>
      <w:r>
        <w:rPr>
          <w:rFonts w:hint="eastAsia" w:ascii="Times New Roman" w:hAnsi="Times New Roman" w:cs="Times New Roman"/>
          <w:sz w:val="32"/>
          <w:szCs w:val="32"/>
          <w:lang w:val="en-US" w:eastAsia="zh-CN"/>
        </w:rPr>
        <w:t>合格</w:t>
      </w:r>
      <w:r>
        <w:rPr>
          <w:rFonts w:ascii="Times New Roman" w:hAnsi="Times New Roman" w:eastAsia="仿宋_GB2312" w:cs="Times New Roman"/>
          <w:sz w:val="32"/>
          <w:szCs w:val="32"/>
        </w:rPr>
        <w:t>”。发现的主要问题及原因：</w:t>
      </w:r>
      <w:r>
        <w:rPr>
          <w:rFonts w:hint="eastAsia" w:ascii="仿宋" w:hAnsi="仿宋" w:eastAsia="仿宋" w:cs="仿宋"/>
          <w:kern w:val="0"/>
          <w:sz w:val="32"/>
          <w:szCs w:val="32"/>
          <w:lang w:val="en-US" w:eastAsia="zh-CN" w:bidi="ar"/>
        </w:rPr>
        <w:t>预算执行和绩效管理工作有待提高。</w:t>
      </w:r>
      <w:r>
        <w:rPr>
          <w:rFonts w:ascii="Times New Roman" w:hAnsi="Times New Roman" w:eastAsia="仿宋_GB2312" w:cs="Times New Roman"/>
          <w:sz w:val="32"/>
          <w:szCs w:val="32"/>
        </w:rPr>
        <w:t>下一步改进措施：一是</w:t>
      </w:r>
      <w:r>
        <w:rPr>
          <w:rFonts w:hint="eastAsia" w:ascii="仿宋" w:hAnsi="仿宋" w:eastAsia="仿宋" w:cs="仿宋"/>
          <w:sz w:val="32"/>
          <w:szCs w:val="32"/>
          <w:lang w:val="en-US" w:eastAsia="zh-CN"/>
        </w:rPr>
        <w:t>建立绩效目标和绩效自评结果与预算安排、政策调整挂钩机制，对绩效不明显的，适当予以取消</w:t>
      </w:r>
      <w:r>
        <w:rPr>
          <w:rFonts w:ascii="Times New Roman" w:hAnsi="Times New Roman" w:eastAsia="仿宋_GB2312" w:cs="Times New Roman"/>
          <w:sz w:val="32"/>
          <w:szCs w:val="32"/>
        </w:rPr>
        <w:t>；二是</w:t>
      </w:r>
      <w:r>
        <w:rPr>
          <w:rFonts w:hint="eastAsia" w:ascii="仿宋" w:hAnsi="仿宋" w:eastAsia="仿宋" w:cs="仿宋"/>
          <w:sz w:val="32"/>
          <w:szCs w:val="32"/>
          <w:lang w:val="en-US" w:eastAsia="zh-CN"/>
        </w:rPr>
        <w:t>对绩效不高的，督促及时改进；对绩效水平高的支出项目，在资金安排或政策支持上予以倾斜</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三是事前绩效评估结果（如有，一级预算部门填写）。</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cs="Times New Roman"/>
          <w:sz w:val="32"/>
          <w:szCs w:val="32"/>
          <w:lang w:val="en-US" w:eastAsia="zh-CN"/>
        </w:rPr>
        <w:t>0</w:t>
      </w:r>
      <w:r>
        <w:rPr>
          <w:rFonts w:ascii="Times New Roman" w:hAnsi="Times New Roman" w:eastAsia="仿宋_GB2312" w:cs="Times New Roman"/>
          <w:kern w:val="0"/>
          <w:sz w:val="32"/>
          <w:szCs w:val="32"/>
        </w:rPr>
        <w:t>万元。</w:t>
      </w:r>
    </w:p>
    <w:p w14:paraId="454CE71B">
      <w:pPr>
        <w:pStyle w:val="19"/>
        <w:keepNext w:val="0"/>
        <w:keepLines w:val="0"/>
        <w:pageBreakBefore w:val="0"/>
        <w:numPr>
          <w:ilvl w:val="0"/>
          <w:numId w:val="1"/>
        </w:numPr>
        <w:wordWrap/>
        <w:overflowPunct/>
        <w:topLinePunct w:val="0"/>
        <w:bidi w:val="0"/>
        <w:spacing w:line="580" w:lineRule="exact"/>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47DE8AB3">
      <w:pPr>
        <w:pStyle w:val="19"/>
        <w:keepNext w:val="0"/>
        <w:keepLines w:val="0"/>
        <w:pageBreakBefore w:val="0"/>
        <w:numPr>
          <w:ilvl w:val="0"/>
          <w:numId w:val="0"/>
        </w:numPr>
        <w:wordWrap/>
        <w:overflowPunct/>
        <w:topLinePunct w:val="0"/>
        <w:bidi w:val="0"/>
        <w:spacing w:line="58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建立绩效目标和绩效自评结果与预算安排、政策调整挂钩机制，对绩效不明显的，适当予以取消；对绩效不高的，督促及时改进；对绩效水平高的支出项目，在资金安排或政策支持上予以倾斜。</w:t>
      </w:r>
    </w:p>
    <w:p w14:paraId="4182FE64">
      <w:pPr>
        <w:pStyle w:val="13"/>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0A2C1E8A">
      <w:pPr>
        <w:pStyle w:val="13"/>
        <w:jc w:val="center"/>
        <w:rPr>
          <w:rFonts w:ascii="Times New Roman" w:hAnsi="Times New Roman" w:cs="Times New Roman"/>
          <w:sz w:val="72"/>
          <w:szCs w:val="72"/>
        </w:rPr>
      </w:pPr>
    </w:p>
    <w:p w14:paraId="6C87A82C">
      <w:pPr>
        <w:pStyle w:val="13"/>
        <w:spacing w:line="360" w:lineRule="auto"/>
        <w:ind w:firstLine="2080" w:firstLineChars="4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0B3CED9">
      <w:pPr>
        <w:widowControl/>
        <w:jc w:val="left"/>
        <w:rPr>
          <w:rFonts w:ascii="Times New Roman" w:hAnsi="Times New Roman" w:cs="Times New Roman"/>
          <w:color w:val="000000"/>
          <w:kern w:val="0"/>
          <w:sz w:val="32"/>
          <w:szCs w:val="32"/>
        </w:rPr>
      </w:pPr>
    </w:p>
    <w:p w14:paraId="4764F048">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一</w:t>
      </w:r>
      <w:r>
        <w:rPr>
          <w:rFonts w:hint="eastAsia" w:ascii="宋体" w:hAnsi="宋体"/>
          <w:color w:val="auto"/>
          <w:kern w:val="0"/>
          <w:sz w:val="32"/>
          <w:szCs w:val="32"/>
          <w:highlight w:val="none"/>
          <w:shd w:val="clear" w:color="auto" w:fill="FFFFFF"/>
        </w:rPr>
        <w:t>.财政拨款收入：指市级财政当年拨付的资金。</w:t>
      </w:r>
    </w:p>
    <w:p w14:paraId="129F0862">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二</w:t>
      </w:r>
      <w:r>
        <w:rPr>
          <w:rFonts w:hint="eastAsia" w:ascii="宋体" w:hAnsi="宋体"/>
          <w:color w:val="auto"/>
          <w:kern w:val="0"/>
          <w:sz w:val="32"/>
          <w:szCs w:val="32"/>
          <w:highlight w:val="none"/>
          <w:shd w:val="clear" w:color="auto" w:fill="FFFFFF"/>
        </w:rPr>
        <w:t>.上级补助收入：指单位从主管部门和上级单位取得的非财政性补助收入。</w:t>
      </w:r>
    </w:p>
    <w:p w14:paraId="4B80AB43">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三</w:t>
      </w:r>
      <w:r>
        <w:rPr>
          <w:rFonts w:hint="eastAsia" w:ascii="宋体" w:hAnsi="宋体"/>
          <w:color w:val="auto"/>
          <w:kern w:val="0"/>
          <w:sz w:val="32"/>
          <w:szCs w:val="32"/>
          <w:highlight w:val="none"/>
          <w:shd w:val="clear" w:color="auto" w:fill="FFFFFF"/>
        </w:rPr>
        <w:t>.事业收入：指事业单位开展专业业务活动及辅助活动所取得的收入。</w:t>
      </w:r>
    </w:p>
    <w:p w14:paraId="41866CBD">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四</w:t>
      </w:r>
      <w:r>
        <w:rPr>
          <w:rFonts w:hint="eastAsia" w:ascii="宋体" w:hAnsi="宋体"/>
          <w:color w:val="auto"/>
          <w:kern w:val="0"/>
          <w:sz w:val="32"/>
          <w:szCs w:val="32"/>
          <w:highlight w:val="none"/>
          <w:shd w:val="clear" w:color="auto" w:fill="FFFFFF"/>
        </w:rPr>
        <w:t>.经营收入：指事业单位在专业业务活动及辅助活动之外开展非独立核算经营活动取得的收入。</w:t>
      </w:r>
    </w:p>
    <w:p w14:paraId="3E6E5FE0">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五</w:t>
      </w:r>
      <w:r>
        <w:rPr>
          <w:rFonts w:hint="eastAsia" w:ascii="宋体" w:hAnsi="宋体"/>
          <w:color w:val="auto"/>
          <w:kern w:val="0"/>
          <w:sz w:val="32"/>
          <w:szCs w:val="32"/>
          <w:highlight w:val="none"/>
          <w:shd w:val="clear" w:color="auto" w:fill="FFFFFF"/>
        </w:rPr>
        <w:t>.附属单位上缴收入：指单位附属的独立核算单位按照</w:t>
      </w:r>
      <w:r>
        <w:rPr>
          <w:rFonts w:hint="eastAsia" w:ascii="宋体" w:hAnsi="宋体"/>
          <w:color w:val="auto"/>
          <w:kern w:val="0"/>
          <w:sz w:val="32"/>
          <w:szCs w:val="32"/>
          <w:highlight w:val="none"/>
          <w:shd w:val="clear" w:color="auto" w:fill="FFFFFF"/>
          <w:lang w:eastAsia="zh-CN"/>
        </w:rPr>
        <w:t>规定</w:t>
      </w:r>
      <w:r>
        <w:rPr>
          <w:rFonts w:hint="eastAsia" w:ascii="宋体" w:hAnsi="宋体"/>
          <w:color w:val="auto"/>
          <w:kern w:val="0"/>
          <w:sz w:val="32"/>
          <w:szCs w:val="32"/>
          <w:highlight w:val="none"/>
          <w:shd w:val="clear" w:color="auto" w:fill="FFFFFF"/>
        </w:rPr>
        <w:t>上缴的收入。</w:t>
      </w:r>
    </w:p>
    <w:p w14:paraId="157F684F">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六</w:t>
      </w:r>
      <w:r>
        <w:rPr>
          <w:rFonts w:hint="eastAsia" w:ascii="宋体" w:hAnsi="宋体"/>
          <w:color w:val="auto"/>
          <w:kern w:val="0"/>
          <w:sz w:val="32"/>
          <w:szCs w:val="32"/>
          <w:highlight w:val="none"/>
          <w:shd w:val="clear" w:color="auto" w:fill="FFFFFF"/>
        </w:rPr>
        <w:t>.其他收入：指除上述“财政拨款收入”、“上级补助收入”、“事业收入”、“经营收入”、“附属单位上缴收入”等以外的收入。</w:t>
      </w:r>
    </w:p>
    <w:p w14:paraId="3FC40154">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七</w:t>
      </w:r>
      <w:r>
        <w:rPr>
          <w:rFonts w:hint="eastAsia" w:ascii="宋体" w:hAnsi="宋体"/>
          <w:color w:val="auto"/>
          <w:kern w:val="0"/>
          <w:sz w:val="32"/>
          <w:szCs w:val="32"/>
          <w:highlight w:val="none"/>
          <w:shd w:val="clear" w:color="auto" w:fill="FFFFFF"/>
        </w:rPr>
        <w:t>.用事业基金弥补收支差额：指事业单位在当年的“财政拨款收入”、“财政拨款结转和结余资金”、“上级补助收入”、“事业收入”、“经营收入”、“附属单位上缴收入”、“其他收入”不足以安排当年支出情况下，使用以前年度积累的</w:t>
      </w:r>
      <w:r>
        <w:rPr>
          <w:rFonts w:hint="eastAsia" w:ascii="宋体" w:hAnsi="宋体"/>
          <w:color w:val="auto"/>
          <w:kern w:val="0"/>
          <w:sz w:val="32"/>
          <w:szCs w:val="32"/>
          <w:highlight w:val="none"/>
          <w:shd w:val="clear" w:color="auto" w:fill="FFFFFF"/>
          <w:lang w:eastAsia="zh-CN"/>
        </w:rPr>
        <w:t>事业</w:t>
      </w:r>
      <w:bookmarkStart w:id="3" w:name="_GoBack"/>
      <w:bookmarkEnd w:id="3"/>
      <w:r>
        <w:rPr>
          <w:rFonts w:hint="eastAsia" w:ascii="宋体" w:hAnsi="宋体"/>
          <w:color w:val="auto"/>
          <w:kern w:val="0"/>
          <w:sz w:val="32"/>
          <w:szCs w:val="32"/>
          <w:highlight w:val="none"/>
          <w:shd w:val="clear" w:color="auto" w:fill="FFFFFF"/>
        </w:rPr>
        <w:t>基金（事业单位当年收支相抵后按国家规定提取、用于弥补以后年度收支差额的基金）弥补本年度收支缺口的资金。</w:t>
      </w:r>
    </w:p>
    <w:p w14:paraId="2DD84D7F">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八</w:t>
      </w:r>
      <w:r>
        <w:rPr>
          <w:rFonts w:hint="eastAsia" w:ascii="宋体" w:hAnsi="宋体"/>
          <w:color w:val="auto"/>
          <w:kern w:val="0"/>
          <w:sz w:val="32"/>
          <w:szCs w:val="32"/>
          <w:highlight w:val="none"/>
          <w:shd w:val="clear" w:color="auto" w:fill="FFFFFF"/>
        </w:rPr>
        <w:t>.上年结转和结余：指以前年度尚未完成、结转到本年按有关规定继续使用的资金。</w:t>
      </w:r>
    </w:p>
    <w:p w14:paraId="5D65AB9B">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九</w:t>
      </w:r>
      <w:r>
        <w:rPr>
          <w:rFonts w:hint="eastAsia" w:ascii="宋体" w:hAnsi="宋体"/>
          <w:color w:val="auto"/>
          <w:kern w:val="0"/>
          <w:sz w:val="32"/>
          <w:szCs w:val="32"/>
          <w:highlight w:val="none"/>
          <w:shd w:val="clear" w:color="auto" w:fill="FFFFFF"/>
        </w:rPr>
        <w:t>.结余分配：指事业单位按规定对非财政补助结余资金提取的职工福利基金、事业基金和缴纳的所得税，以及减少单位按规定应缴回的基本建设竣工项目结余资金。</w:t>
      </w:r>
    </w:p>
    <w:p w14:paraId="67667D29">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十</w:t>
      </w:r>
      <w:r>
        <w:rPr>
          <w:rFonts w:hint="eastAsia" w:ascii="宋体" w:hAnsi="宋体"/>
          <w:color w:val="auto"/>
          <w:kern w:val="0"/>
          <w:sz w:val="32"/>
          <w:szCs w:val="32"/>
          <w:highlight w:val="none"/>
          <w:shd w:val="clear" w:color="auto" w:fill="FFFFFF"/>
        </w:rPr>
        <w:t>.年末结转和结余资金：指本年度或以前年度预算安排、因客观条件发生变化无法按原计划实施，需要延迟到以后年度按有关规定继续使用的资金。</w:t>
      </w:r>
    </w:p>
    <w:p w14:paraId="6F8BD1DB">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十一</w:t>
      </w:r>
      <w:r>
        <w:rPr>
          <w:rFonts w:hint="eastAsia" w:ascii="宋体" w:hAnsi="宋体"/>
          <w:color w:val="auto"/>
          <w:kern w:val="0"/>
          <w:sz w:val="32"/>
          <w:szCs w:val="32"/>
          <w:highlight w:val="none"/>
          <w:shd w:val="clear" w:color="auto" w:fill="FFFFFF"/>
        </w:rPr>
        <w:t>.基本支出：指保障机构正常运转、完成日常工作任务而发生的人员支出和公用支出。</w:t>
      </w:r>
    </w:p>
    <w:p w14:paraId="6760B5AD">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十二</w:t>
      </w:r>
      <w:r>
        <w:rPr>
          <w:rFonts w:hint="eastAsia" w:ascii="宋体" w:hAnsi="宋体"/>
          <w:color w:val="auto"/>
          <w:kern w:val="0"/>
          <w:sz w:val="32"/>
          <w:szCs w:val="32"/>
          <w:highlight w:val="none"/>
          <w:shd w:val="clear" w:color="auto" w:fill="FFFFFF"/>
        </w:rPr>
        <w:t>.项目支出：指在基本支出之外为完成特定行政任务和事业发展目标所发生的支出。</w:t>
      </w:r>
    </w:p>
    <w:p w14:paraId="4AE94E0C">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十三</w:t>
      </w:r>
      <w:r>
        <w:rPr>
          <w:rFonts w:hint="eastAsia" w:ascii="宋体" w:hAnsi="宋体"/>
          <w:color w:val="auto"/>
          <w:kern w:val="0"/>
          <w:sz w:val="32"/>
          <w:szCs w:val="32"/>
          <w:highlight w:val="none"/>
          <w:shd w:val="clear" w:color="auto" w:fill="FFFFFF"/>
        </w:rPr>
        <w:t>.经营支出：指事业单位在专业业务活动及其辅助活动之外开展非独立核算经营活动发生的支出。</w:t>
      </w:r>
    </w:p>
    <w:p w14:paraId="28E16A00">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十四</w:t>
      </w:r>
      <w:r>
        <w:rPr>
          <w:rFonts w:hint="eastAsia" w:ascii="宋体" w:hAnsi="宋体"/>
          <w:color w:val="auto"/>
          <w:kern w:val="0"/>
          <w:sz w:val="32"/>
          <w:szCs w:val="32"/>
          <w:highlight w:val="none"/>
          <w:shd w:val="clear" w:color="auto" w:fill="FFFFFF"/>
        </w:rPr>
        <w:t>、上缴上级支出：指事业单位按照财政部门和主管部门的规定上缴上级单位的支出。（可结合部门实际支出情况举例说明）</w:t>
      </w:r>
    </w:p>
    <w:p w14:paraId="32832A01">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十五</w:t>
      </w:r>
      <w:r>
        <w:rPr>
          <w:rFonts w:hint="eastAsia" w:ascii="宋体" w:hAnsi="宋体"/>
          <w:color w:val="auto"/>
          <w:kern w:val="0"/>
          <w:sz w:val="32"/>
          <w:szCs w:val="32"/>
          <w:highlight w:val="none"/>
          <w:shd w:val="clear" w:color="auto" w:fill="FFFFFF"/>
        </w:rPr>
        <w:t>、对附属单位补助支出：指事业单位用财政补助收入之外的收入对附属单位补助发生的支出</w:t>
      </w:r>
    </w:p>
    <w:p w14:paraId="25145037">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十六</w:t>
      </w:r>
      <w:r>
        <w:rPr>
          <w:rFonts w:hint="eastAsia" w:ascii="宋体" w:hAnsi="宋体"/>
          <w:color w:val="auto"/>
          <w:kern w:val="0"/>
          <w:sz w:val="32"/>
          <w:szCs w:val="32"/>
          <w:highlight w:val="none"/>
          <w:shd w:val="clear" w:color="auto" w:fill="FFFFFF"/>
        </w:rPr>
        <w:t>.“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3C1BB47E">
      <w:pPr>
        <w:widowControl/>
        <w:shd w:val="clear" w:color="auto" w:fill="FFFFFF"/>
        <w:spacing w:line="600" w:lineRule="exact"/>
        <w:ind w:firstLine="703"/>
        <w:jc w:val="left"/>
        <w:rPr>
          <w:rFonts w:ascii="宋体"/>
          <w:color w:val="auto"/>
          <w:kern w:val="0"/>
          <w:sz w:val="32"/>
          <w:szCs w:val="32"/>
          <w:highlight w:val="none"/>
          <w:shd w:val="clear" w:color="auto" w:fill="FFFFFF"/>
        </w:rPr>
      </w:pPr>
      <w:r>
        <w:rPr>
          <w:rFonts w:hint="eastAsia" w:ascii="宋体" w:hAnsi="宋体"/>
          <w:color w:val="auto"/>
          <w:kern w:val="0"/>
          <w:sz w:val="32"/>
          <w:szCs w:val="32"/>
          <w:highlight w:val="none"/>
          <w:shd w:val="clear" w:color="auto" w:fill="FFFFFF"/>
          <w:lang w:eastAsia="zh-CN"/>
        </w:rPr>
        <w:t>十七</w:t>
      </w:r>
      <w:r>
        <w:rPr>
          <w:rFonts w:hint="eastAsia" w:ascii="宋体" w:hAnsi="宋体"/>
          <w:color w:val="auto"/>
          <w:kern w:val="0"/>
          <w:sz w:val="32"/>
          <w:szCs w:val="32"/>
          <w:highlight w:val="none"/>
          <w:shd w:val="clear" w:color="auto" w:fill="FFFFFF"/>
        </w:rPr>
        <w:t>.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11945324">
      <w:pPr>
        <w:spacing w:line="600" w:lineRule="exact"/>
        <w:ind w:firstLine="640" w:firstLineChars="200"/>
        <w:rPr>
          <w:rFonts w:ascii="Times New Roman" w:hAnsi="Times New Roman" w:cs="Times New Roman"/>
          <w:sz w:val="72"/>
          <w:szCs w:val="72"/>
        </w:rPr>
      </w:pPr>
      <w:r>
        <w:rPr>
          <w:rFonts w:hint="eastAsia" w:ascii="宋体" w:hAnsi="宋体"/>
          <w:color w:val="auto"/>
          <w:sz w:val="32"/>
          <w:szCs w:val="32"/>
          <w:highlight w:val="none"/>
          <w:lang w:eastAsia="zh-CN"/>
        </w:rPr>
        <w:t>十八</w:t>
      </w:r>
      <w:r>
        <w:rPr>
          <w:rFonts w:hint="eastAsia" w:ascii="宋体" w:hAnsi="宋体"/>
          <w:color w:val="auto"/>
          <w:sz w:val="32"/>
          <w:szCs w:val="32"/>
          <w:highlight w:val="none"/>
        </w:rPr>
        <w:t>.政府采购 ：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004C055C">
      <w:pPr>
        <w:pStyle w:val="13"/>
        <w:jc w:val="center"/>
        <w:rPr>
          <w:rFonts w:ascii="Times New Roman" w:hAnsi="Times New Roman" w:cs="Times New Roman"/>
          <w:sz w:val="72"/>
          <w:szCs w:val="72"/>
        </w:rPr>
      </w:pPr>
    </w:p>
    <w:p w14:paraId="63A36AD7">
      <w:pPr>
        <w:pStyle w:val="13"/>
        <w:jc w:val="center"/>
        <w:rPr>
          <w:rFonts w:ascii="Times New Roman" w:hAnsi="Times New Roman" w:cs="Times New Roman"/>
          <w:sz w:val="72"/>
          <w:szCs w:val="72"/>
        </w:rPr>
      </w:pPr>
    </w:p>
    <w:p w14:paraId="05C541B4">
      <w:pPr>
        <w:pStyle w:val="13"/>
        <w:jc w:val="center"/>
        <w:rPr>
          <w:rFonts w:ascii="Times New Roman" w:hAnsi="Times New Roman" w:cs="Times New Roman"/>
          <w:sz w:val="72"/>
          <w:szCs w:val="72"/>
        </w:rPr>
      </w:pPr>
    </w:p>
    <w:p w14:paraId="5A4FBEF3">
      <w:pPr>
        <w:pStyle w:val="13"/>
        <w:spacing w:line="360" w:lineRule="auto"/>
        <w:jc w:val="both"/>
        <w:rPr>
          <w:rFonts w:ascii="Times New Roman" w:hAnsi="Times New Roman" w:eastAsia="方正小标宋_GBK" w:cs="Times New Roman"/>
          <w:sz w:val="52"/>
          <w:szCs w:val="52"/>
        </w:rPr>
      </w:pPr>
    </w:p>
    <w:p w14:paraId="46D60A74">
      <w:pPr>
        <w:pStyle w:val="13"/>
        <w:spacing w:line="360" w:lineRule="auto"/>
        <w:jc w:val="both"/>
        <w:rPr>
          <w:rFonts w:ascii="Times New Roman" w:hAnsi="Times New Roman" w:eastAsia="方正小标宋_GBK" w:cs="Times New Roman"/>
          <w:sz w:val="52"/>
          <w:szCs w:val="52"/>
        </w:rPr>
      </w:pPr>
    </w:p>
    <w:p w14:paraId="497F75D5">
      <w:pPr>
        <w:pStyle w:val="13"/>
        <w:spacing w:line="360" w:lineRule="auto"/>
        <w:jc w:val="both"/>
        <w:rPr>
          <w:rFonts w:ascii="Times New Roman" w:hAnsi="Times New Roman" w:eastAsia="方正小标宋_GBK" w:cs="Times New Roman"/>
          <w:sz w:val="52"/>
          <w:szCs w:val="52"/>
        </w:rPr>
      </w:pPr>
    </w:p>
    <w:p w14:paraId="549CD8DD">
      <w:pPr>
        <w:pStyle w:val="13"/>
        <w:spacing w:line="360" w:lineRule="auto"/>
        <w:jc w:val="both"/>
        <w:rPr>
          <w:rFonts w:ascii="Times New Roman" w:hAnsi="Times New Roman" w:eastAsia="方正小标宋_GBK" w:cs="Times New Roman"/>
          <w:sz w:val="52"/>
          <w:szCs w:val="52"/>
        </w:rPr>
      </w:pPr>
    </w:p>
    <w:p w14:paraId="0C22EA3F">
      <w:pPr>
        <w:pStyle w:val="13"/>
        <w:spacing w:line="360" w:lineRule="auto"/>
        <w:jc w:val="both"/>
        <w:rPr>
          <w:rFonts w:ascii="Times New Roman" w:hAnsi="Times New Roman" w:eastAsia="方正小标宋_GBK" w:cs="Times New Roman"/>
          <w:sz w:val="52"/>
          <w:szCs w:val="52"/>
        </w:rPr>
      </w:pPr>
    </w:p>
    <w:p w14:paraId="5AE5E879">
      <w:pPr>
        <w:pStyle w:val="13"/>
        <w:spacing w:line="360" w:lineRule="auto"/>
        <w:jc w:val="both"/>
        <w:rPr>
          <w:rFonts w:ascii="Times New Roman" w:hAnsi="Times New Roman" w:eastAsia="方正小标宋_GBK" w:cs="Times New Roman"/>
          <w:sz w:val="52"/>
          <w:szCs w:val="52"/>
        </w:rPr>
      </w:pPr>
    </w:p>
    <w:p w14:paraId="57077040">
      <w:pPr>
        <w:pStyle w:val="13"/>
        <w:spacing w:line="360" w:lineRule="auto"/>
        <w:ind w:firstLine="2080" w:firstLineChars="4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03C7559">
      <w:pPr>
        <w:rPr>
          <w:rFonts w:ascii="Times New Roman" w:hAnsi="Times New Roman" w:cs="Times New Roman"/>
          <w:sz w:val="72"/>
          <w:szCs w:val="72"/>
        </w:rPr>
      </w:pPr>
    </w:p>
    <w:p w14:paraId="321F7406">
      <w:pPr>
        <w:keepNext w:val="0"/>
        <w:keepLines w:val="0"/>
        <w:pageBreakBefore w:val="0"/>
        <w:widowControl/>
        <w:suppressLineNumbers w:val="0"/>
        <w:kinsoku/>
        <w:wordWrap/>
        <w:overflowPunct/>
        <w:topLinePunct w:val="0"/>
        <w:autoSpaceDE/>
        <w:autoSpaceDN/>
        <w:bidi w:val="0"/>
        <w:adjustRightInd/>
        <w:snapToGrid/>
        <w:spacing w:line="500" w:lineRule="exact"/>
        <w:ind w:left="0"/>
        <w:jc w:val="center"/>
        <w:textAlignment w:val="auto"/>
        <w:rPr>
          <w:rFonts w:hint="eastAsia" w:ascii="方正小标宋_GBK" w:hAnsi="方正小标宋_GBK" w:eastAsia="方正小标宋_GBK" w:cs="方正小标宋_GBK"/>
          <w:b/>
          <w:bCs/>
          <w:snapToGrid/>
          <w:color w:val="000000"/>
          <w:kern w:val="0"/>
          <w:sz w:val="44"/>
          <w:szCs w:val="44"/>
          <w:lang w:val="en-US" w:eastAsia="zh-CN" w:bidi="ar"/>
        </w:rPr>
      </w:pPr>
      <w:r>
        <w:rPr>
          <w:rFonts w:hint="eastAsia" w:ascii="方正小标宋_GBK" w:hAnsi="方正小标宋_GBK" w:eastAsia="方正小标宋_GBK" w:cs="方正小标宋_GBK"/>
          <w:b/>
          <w:bCs/>
          <w:snapToGrid/>
          <w:color w:val="000000"/>
          <w:kern w:val="0"/>
          <w:sz w:val="44"/>
          <w:szCs w:val="44"/>
          <w:lang w:val="en-US" w:eastAsia="zh-CN" w:bidi="ar"/>
        </w:rPr>
        <w:t>2025年度政务服务中心整体支出</w:t>
      </w:r>
    </w:p>
    <w:p w14:paraId="3E2C486B">
      <w:pPr>
        <w:keepNext w:val="0"/>
        <w:keepLines w:val="0"/>
        <w:pageBreakBefore w:val="0"/>
        <w:widowControl/>
        <w:suppressLineNumbers w:val="0"/>
        <w:kinsoku/>
        <w:wordWrap/>
        <w:overflowPunct/>
        <w:topLinePunct w:val="0"/>
        <w:autoSpaceDE/>
        <w:autoSpaceDN/>
        <w:bidi w:val="0"/>
        <w:adjustRightInd/>
        <w:snapToGrid/>
        <w:spacing w:line="500" w:lineRule="exact"/>
        <w:ind w:left="0"/>
        <w:jc w:val="center"/>
        <w:textAlignment w:val="auto"/>
        <w:rPr>
          <w:rFonts w:hint="eastAsia" w:ascii="方正小标宋_GBK" w:hAnsi="方正小标宋_GBK" w:eastAsia="方正小标宋_GBK" w:cs="方正小标宋_GBK"/>
          <w:b/>
          <w:bCs/>
          <w:snapToGrid/>
          <w:color w:val="000000"/>
          <w:kern w:val="0"/>
          <w:sz w:val="44"/>
          <w:szCs w:val="44"/>
          <w:lang w:val="en-US" w:eastAsia="zh-CN" w:bidi="ar"/>
        </w:rPr>
      </w:pPr>
      <w:r>
        <w:rPr>
          <w:rFonts w:hint="eastAsia" w:ascii="方正小标宋_GBK" w:hAnsi="方正小标宋_GBK" w:eastAsia="方正小标宋_GBK" w:cs="方正小标宋_GBK"/>
          <w:b/>
          <w:bCs/>
          <w:snapToGrid/>
          <w:color w:val="000000"/>
          <w:kern w:val="0"/>
          <w:sz w:val="44"/>
          <w:szCs w:val="44"/>
          <w:lang w:val="en-US" w:eastAsia="zh-CN" w:bidi="ar"/>
        </w:rPr>
        <w:t>绩效自评报告</w:t>
      </w:r>
    </w:p>
    <w:p w14:paraId="0C1EB996">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outlineLvl w:val="1"/>
        <w:rPr>
          <w:rFonts w:hint="eastAsia" w:ascii="仿宋" w:hAnsi="仿宋" w:eastAsia="仿宋" w:cs="仿宋"/>
          <w:sz w:val="32"/>
          <w:szCs w:val="32"/>
        </w:rPr>
      </w:pPr>
    </w:p>
    <w:p w14:paraId="7C1FAD0F">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黑体" w:eastAsia="黑体" w:cs="黑体"/>
          <w:snapToGrid w:val="0"/>
          <w:color w:val="000000"/>
          <w:kern w:val="0"/>
          <w:sz w:val="32"/>
          <w:szCs w:val="32"/>
          <w:lang w:eastAsia="zh-CN"/>
        </w:rPr>
      </w:pPr>
      <w:r>
        <w:rPr>
          <w:rFonts w:hint="eastAsia" w:ascii="黑体" w:hAnsi="黑体" w:eastAsia="黑体" w:cs="黑体"/>
          <w:snapToGrid w:val="0"/>
          <w:color w:val="000000"/>
          <w:kern w:val="0"/>
          <w:sz w:val="32"/>
          <w:szCs w:val="32"/>
          <w:lang w:eastAsia="zh-CN"/>
        </w:rPr>
        <w:t>一、基本情况</w:t>
      </w:r>
    </w:p>
    <w:p w14:paraId="4C5D9CC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(一)政务服务中心基本情况</w:t>
      </w:r>
    </w:p>
    <w:p w14:paraId="6EAE765C">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1.职能职责 </w:t>
      </w:r>
    </w:p>
    <w:p w14:paraId="7A7C185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会同县政务服务中心贯彻落实党中央、省委、市委和县委关于政务服务工作的方针和决策部署，全面落实县委关于政务服务工作的部署要求，在履行职责过程中坚持和加强党对政务服务工作的集中统一领导。其主要职责是：</w:t>
      </w:r>
    </w:p>
    <w:p w14:paraId="25CF467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1、按照国家、省、市、县关于政务公开、政务服务、电子政务方面的法律、法规、方针政策和标准规范开展工作，拟订相关发展规划、年度计划和措施办法并组织实施；为“放管服”改革、优化营商环境、“互联网+政务服务”等工作提供服务保障。</w:t>
      </w:r>
    </w:p>
    <w:p w14:paraId="62699FB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2、承担县政府行政审批制度改革工作领导小组的日常事务性工作；协助组织各级各有关部门和单位集中开展行政审批和政务服务。</w:t>
      </w:r>
    </w:p>
    <w:p w14:paraId="1FE89B2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3、协助配合工程建设项目审批制度改革、商事制度改革，协助开展对并联审批项目进行协调督查；负责为重点项目、招商引资、工程建设项目等提供代办服务。</w:t>
      </w:r>
    </w:p>
    <w:p w14:paraId="32110AF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4、负责本级政务大厅建设和维护工作，协调指导乡镇政务（便民）服务大厅建设运行工作；承担进驻县政务大厅的办事窗口及政务服务事项的指导、协调和管理等事务，提供咨询、导办服务。</w:t>
      </w:r>
    </w:p>
    <w:p w14:paraId="2DA0C4C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5、负责研究制度政务大厅管理制度和运行规范，组织实施日常管理和绩效考评。</w:t>
      </w:r>
    </w:p>
    <w:p w14:paraId="2433FB1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6、负责对经县人民政府批准设立的各类专门办事大厅和分中心的政务服务工作的指导和督查考评；指导乡镇政务（便民）服务工作。</w:t>
      </w:r>
    </w:p>
    <w:p w14:paraId="2D36DAC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7、负责全县电子政务外网骨干传输网、政府内网及其网络安全平台建设与管理;组织建立安全防范体系，指导乡镇、县直部门政务网络及平台的建设与管理。</w:t>
      </w:r>
    </w:p>
    <w:p w14:paraId="6D41A89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8、负责承办县政府门户网站，承担网站技术平台建设等工作;负责向省政府、市政府门户网站提供内容保障;承担全县政府网站及政务新媒体建设等工作，建立政府网站间的协调联动机制。</w:t>
      </w:r>
    </w:p>
    <w:p w14:paraId="628A91F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9、负责“县长信箱”的管理。</w:t>
      </w:r>
    </w:p>
    <w:p w14:paraId="2656EFF0">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10、承担县政务公开政务服务领导小组的有关日常工作;承担县本级政府信息网上公开的日常事务工作</w:t>
      </w:r>
    </w:p>
    <w:p w14:paraId="7E82126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11、协助推进全县电子政务应用系统资源整合共享与建设;负责县“互联网+政务服务”平台管理，指导乡镇平台建设。负责全省“互联网+监督”平台等会同县的运行维护工作。</w:t>
      </w:r>
    </w:p>
    <w:p w14:paraId="30D8598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30" w:lineRule="atLeast"/>
        <w:ind w:left="0" w:right="0" w:firstLine="640"/>
        <w:jc w:val="both"/>
        <w:rPr>
          <w:rFonts w:hint="eastAsia" w:ascii="仿宋_GB2312" w:hAnsi="仿宋_GB2312" w:eastAsia="仿宋_GB2312" w:cs="仿宋_GB2312"/>
          <w:i w:val="0"/>
          <w:iCs w:val="0"/>
          <w:caps w:val="0"/>
          <w:color w:val="auto"/>
          <w:spacing w:val="0"/>
          <w:sz w:val="32"/>
          <w:szCs w:val="32"/>
          <w:lang w:val="en-US"/>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12、承办县人民政府交办的其他工作。</w:t>
      </w:r>
    </w:p>
    <w:p w14:paraId="768035D1">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机构设置</w:t>
      </w:r>
    </w:p>
    <w:p w14:paraId="131FC2E1">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会同县政务服务中心为县政府直属正科级公益一类事业单位，中心全额拨款事业编制数11名，内设有综合部、行政审批制度办公室、政务公开办公室、政务服务部、行政效能监察和政务大厅监管部、政府网站运维和网络运行保障部、政务服务代办部等</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sz w:val="32"/>
          <w:szCs w:val="32"/>
          <w:lang w:val="en-US" w:eastAsia="zh-CN"/>
        </w:rPr>
        <w:t>个工作机构。2025年度，在编在岗10人，其中调走2人、调入1人、招录1人。</w:t>
      </w:r>
    </w:p>
    <w:p w14:paraId="374AF2C7">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人员情况：核定事业编制</w:t>
      </w:r>
      <w:r>
        <w:rPr>
          <w:rFonts w:hint="eastAsia" w:ascii="仿宋_GB2312" w:hAnsi="仿宋_GB2312" w:eastAsia="仿宋_GB2312" w:cs="仿宋_GB2312"/>
          <w:sz w:val="32"/>
          <w:szCs w:val="32"/>
          <w:lang w:val="en-US" w:eastAsia="zh-CN"/>
        </w:rPr>
        <w:t>数11人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包括全额</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sz w:val="32"/>
          <w:szCs w:val="32"/>
          <w:lang w:val="en-US" w:eastAsia="zh-CN"/>
        </w:rPr>
        <w:t>人、差额0人、自收自支0人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实有</w:t>
      </w:r>
      <w:r>
        <w:rPr>
          <w:rFonts w:hint="eastAsia" w:ascii="仿宋_GB2312" w:hAnsi="仿宋_GB2312" w:eastAsia="仿宋_GB2312" w:cs="仿宋_GB2312"/>
          <w:sz w:val="32"/>
          <w:szCs w:val="32"/>
          <w:lang w:val="en-US" w:eastAsia="zh-CN"/>
        </w:rPr>
        <w:t>10人、空编1人。</w:t>
      </w:r>
    </w:p>
    <w:p w14:paraId="4B07C92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(二)政务服务中心年度整体支出绩效目标，本级专项资金绩效目标、其他项目支出(除本级专项资金以外)绩效目标</w:t>
      </w:r>
    </w:p>
    <w:p w14:paraId="71DBE418">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1.年度整体支出绩效目标：</w:t>
      </w:r>
      <w:r>
        <w:rPr>
          <w:rFonts w:hint="eastAsia" w:ascii="仿宋_GB2312" w:hAnsi="仿宋_GB2312" w:eastAsia="仿宋_GB2312" w:cs="仿宋_GB2312"/>
          <w:sz w:val="32"/>
          <w:szCs w:val="32"/>
        </w:rPr>
        <w:t>提升行政审批效率、</w:t>
      </w:r>
      <w:r>
        <w:rPr>
          <w:rFonts w:hint="eastAsia" w:ascii="仿宋_GB2312" w:hAnsi="仿宋_GB2312" w:eastAsia="仿宋_GB2312" w:cs="仿宋_GB2312"/>
          <w:sz w:val="32"/>
          <w:szCs w:val="32"/>
          <w:lang w:val="en-US" w:eastAsia="zh-CN"/>
        </w:rPr>
        <w:t>着力推动“高效办成一件事”</w:t>
      </w:r>
      <w:r>
        <w:rPr>
          <w:rFonts w:hint="eastAsia" w:ascii="仿宋_GB2312" w:hAnsi="仿宋_GB2312" w:eastAsia="仿宋_GB2312" w:cs="仿宋_GB2312"/>
          <w:sz w:val="32"/>
          <w:szCs w:val="32"/>
        </w:rPr>
        <w:t>改革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优化办事流程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实现惠民服务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一网通办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一次办好</w:t>
      </w:r>
      <w:r>
        <w:rPr>
          <w:rFonts w:hint="eastAsia" w:ascii="仿宋_GB2312" w:hAnsi="仿宋_GB2312" w:eastAsia="仿宋_GB2312" w:cs="仿宋_GB2312"/>
          <w:sz w:val="32"/>
          <w:szCs w:val="32"/>
          <w:lang w:eastAsia="zh-CN"/>
        </w:rPr>
        <w:t>”。</w:t>
      </w:r>
    </w:p>
    <w:p w14:paraId="79E9B3FD">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2.项目支出绩效目标：</w:t>
      </w:r>
    </w:p>
    <w:p w14:paraId="7184E037">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（1）政务大厅绩效奖金：对政务大厅工作人员实行绩效考核，为群众提供更高效便捷的服务。</w:t>
      </w:r>
    </w:p>
    <w:p w14:paraId="78B93042">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（2）合同制人员工资：保障政务服务中心9名劳务派遣综合窗口工作人员工资薪酬等。</w:t>
      </w:r>
    </w:p>
    <w:p w14:paraId="0B6344A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黑体" w:eastAsia="黑体" w:cs="黑体"/>
          <w:snapToGrid w:val="0"/>
          <w:color w:val="000000"/>
          <w:kern w:val="0"/>
          <w:sz w:val="32"/>
          <w:szCs w:val="32"/>
          <w:lang w:eastAsia="zh-CN"/>
        </w:rPr>
      </w:pPr>
      <w:r>
        <w:rPr>
          <w:rFonts w:hint="eastAsia" w:ascii="黑体" w:hAnsi="黑体" w:eastAsia="黑体" w:cs="黑体"/>
          <w:snapToGrid w:val="0"/>
          <w:color w:val="000000"/>
          <w:kern w:val="0"/>
          <w:sz w:val="32"/>
          <w:szCs w:val="32"/>
          <w:lang w:eastAsia="zh-CN"/>
        </w:rPr>
        <w:t>二、一般公共预算支出情况</w:t>
      </w:r>
    </w:p>
    <w:p w14:paraId="28E0663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（一）基本支出情况</w:t>
      </w:r>
    </w:p>
    <w:p w14:paraId="43E82A6C">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lang w:val="en-US" w:eastAsia="zh-CN"/>
        </w:rPr>
        <w:t>2025年基本支出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57.6万元，其中人员经费40.4万元，公用经费17.1万元，</w:t>
      </w:r>
    </w:p>
    <w:p w14:paraId="2002F3D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val="0"/>
          <w:bCs w:val="0"/>
          <w:snapToGrid/>
          <w:color w:val="000000"/>
          <w:kern w:val="0"/>
          <w:sz w:val="32"/>
          <w:szCs w:val="32"/>
          <w:lang w:val="en-US" w:eastAsia="zh-CN"/>
        </w:rPr>
      </w:pPr>
      <w:r>
        <w:rPr>
          <w:rFonts w:hint="eastAsia" w:ascii="楷体_GB2312" w:hAnsi="宋体" w:eastAsia="楷体_GB2312" w:cs="楷体_GB2312"/>
          <w:b w:val="0"/>
          <w:bCs w:val="0"/>
          <w:snapToGrid/>
          <w:color w:val="000000"/>
          <w:kern w:val="0"/>
          <w:sz w:val="32"/>
          <w:szCs w:val="32"/>
          <w:lang w:val="en-US" w:eastAsia="zh-CN"/>
        </w:rPr>
        <w:t>（二）项目支出情况</w:t>
      </w:r>
    </w:p>
    <w:p w14:paraId="6018A9A5">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年本部门项目支出预算</w:t>
      </w:r>
      <w:r>
        <w:rPr>
          <w:rFonts w:hint="eastAsia" w:ascii="仿宋_GB2312" w:hAnsi="仿宋_GB2312" w:eastAsia="仿宋_GB2312" w:cs="仿宋_GB2312"/>
          <w:sz w:val="32"/>
          <w:szCs w:val="32"/>
          <w:lang w:val="en-US" w:eastAsia="zh-CN"/>
        </w:rPr>
        <w:t>数</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79</w:t>
      </w:r>
      <w:r>
        <w:rPr>
          <w:rFonts w:hint="eastAsia" w:ascii="仿宋_GB2312" w:hAnsi="仿宋_GB2312" w:eastAsia="仿宋_GB2312" w:cs="仿宋_GB2312"/>
          <w:sz w:val="32"/>
          <w:szCs w:val="32"/>
        </w:rPr>
        <w:t>万元，主要是部门为完成特定行政工作任务或事业发展目标而发生的支出，包括有关事业发展专项、专项业务费、基本建设支出等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45</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val="en-US" w:eastAsia="zh-CN"/>
        </w:rPr>
        <w:t>合同制人员工资</w:t>
      </w:r>
      <w:r>
        <w:rPr>
          <w:rFonts w:hint="eastAsia" w:ascii="仿宋_GB2312" w:hAnsi="仿宋_GB2312" w:eastAsia="仿宋_GB2312" w:cs="仿宋_GB2312"/>
          <w:sz w:val="32"/>
          <w:szCs w:val="32"/>
        </w:rPr>
        <w:t>等方面；</w:t>
      </w:r>
      <w:r>
        <w:rPr>
          <w:rFonts w:hint="eastAsia" w:ascii="仿宋_GB2312" w:hAnsi="仿宋_GB2312" w:eastAsia="仿宋_GB2312" w:cs="仿宋_GB2312"/>
          <w:sz w:val="32"/>
          <w:szCs w:val="32"/>
          <w:lang w:val="en-US" w:eastAsia="zh-CN"/>
        </w:rPr>
        <w:t>支出34万元，</w:t>
      </w:r>
      <w:r>
        <w:rPr>
          <w:rFonts w:hint="eastAsia" w:ascii="仿宋" w:hAnsi="仿宋" w:eastAsia="仿宋" w:cs="仿宋"/>
          <w:kern w:val="0"/>
          <w:sz w:val="32"/>
          <w:szCs w:val="32"/>
          <w:lang w:val="en-US" w:eastAsia="zh-CN"/>
        </w:rPr>
        <w:t>主要用于政务大厅绩效等方面</w:t>
      </w:r>
      <w:r>
        <w:rPr>
          <w:rFonts w:hint="eastAsia" w:ascii="仿宋_GB2312" w:hAnsi="仿宋_GB2312" w:eastAsia="仿宋_GB2312" w:cs="仿宋_GB2312"/>
          <w:sz w:val="32"/>
          <w:szCs w:val="32"/>
          <w:lang w:val="en-US" w:eastAsia="zh-CN"/>
        </w:rPr>
        <w:t>。</w:t>
      </w:r>
    </w:p>
    <w:p w14:paraId="54E34142">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黑体" w:eastAsia="黑体" w:cs="黑体"/>
          <w:snapToGrid w:val="0"/>
          <w:color w:val="000000"/>
          <w:kern w:val="0"/>
          <w:sz w:val="32"/>
          <w:szCs w:val="32"/>
          <w:lang w:eastAsia="zh-CN"/>
        </w:rPr>
      </w:pPr>
      <w:r>
        <w:rPr>
          <w:rFonts w:hint="eastAsia" w:ascii="黑体" w:hAnsi="黑体" w:eastAsia="黑体" w:cs="黑体"/>
          <w:snapToGrid w:val="0"/>
          <w:color w:val="000000"/>
          <w:kern w:val="0"/>
          <w:sz w:val="32"/>
          <w:szCs w:val="32"/>
          <w:lang w:eastAsia="zh-CN"/>
        </w:rPr>
        <w:t>三、政府性基金预算支出情况</w:t>
      </w:r>
    </w:p>
    <w:p w14:paraId="5A350966">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2025年本部门无政府性基金预算安排的支出。</w:t>
      </w:r>
    </w:p>
    <w:p w14:paraId="24B4253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黑体" w:eastAsia="黑体" w:cs="黑体"/>
          <w:snapToGrid w:val="0"/>
          <w:color w:val="000000"/>
          <w:kern w:val="0"/>
          <w:sz w:val="32"/>
          <w:szCs w:val="32"/>
          <w:lang w:eastAsia="zh-CN"/>
        </w:rPr>
      </w:pPr>
      <w:r>
        <w:rPr>
          <w:rFonts w:hint="eastAsia" w:ascii="黑体" w:hAnsi="黑体" w:eastAsia="黑体" w:cs="黑体"/>
          <w:snapToGrid w:val="0"/>
          <w:color w:val="000000"/>
          <w:kern w:val="0"/>
          <w:sz w:val="32"/>
          <w:szCs w:val="32"/>
          <w:lang w:eastAsia="zh-CN"/>
        </w:rPr>
        <w:t>四、国有资本经营预算支出情况</w:t>
      </w:r>
    </w:p>
    <w:p w14:paraId="0D9CD45D">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2025年本部门无</w:t>
      </w:r>
      <w:r>
        <w:rPr>
          <w:rFonts w:hint="eastAsia" w:ascii="仿宋_GB2312" w:hAnsi="仿宋_GB2312" w:eastAsia="仿宋_GB2312" w:cs="仿宋_GB2312"/>
          <w:sz w:val="32"/>
          <w:szCs w:val="32"/>
        </w:rPr>
        <w:t>国有资本经营预算</w:t>
      </w:r>
      <w:r>
        <w:rPr>
          <w:rFonts w:hint="eastAsia" w:ascii="仿宋_GB2312" w:hAnsi="仿宋_GB2312" w:eastAsia="仿宋_GB2312" w:cs="仿宋_GB2312"/>
          <w:sz w:val="32"/>
          <w:szCs w:val="32"/>
          <w:lang w:val="en-US" w:eastAsia="zh-CN"/>
        </w:rPr>
        <w:t>安排的支出。</w:t>
      </w:r>
    </w:p>
    <w:p w14:paraId="122550F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黑体" w:eastAsia="黑体" w:cs="黑体"/>
          <w:snapToGrid w:val="0"/>
          <w:color w:val="000000"/>
          <w:kern w:val="0"/>
          <w:sz w:val="32"/>
          <w:szCs w:val="32"/>
          <w:lang w:eastAsia="zh-CN"/>
        </w:rPr>
      </w:pPr>
      <w:r>
        <w:rPr>
          <w:rFonts w:hint="eastAsia" w:ascii="黑体" w:hAnsi="黑体" w:eastAsia="黑体" w:cs="黑体"/>
          <w:snapToGrid w:val="0"/>
          <w:color w:val="000000"/>
          <w:kern w:val="0"/>
          <w:sz w:val="32"/>
          <w:szCs w:val="32"/>
          <w:lang w:eastAsia="zh-CN"/>
        </w:rPr>
        <w:t>五、社会保险基金预算支出情况</w:t>
      </w:r>
    </w:p>
    <w:p w14:paraId="7064A433">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2025年本部门无</w:t>
      </w:r>
      <w:r>
        <w:rPr>
          <w:rFonts w:hint="eastAsia" w:ascii="仿宋_GB2312" w:hAnsi="仿宋_GB2312" w:eastAsia="仿宋_GB2312" w:cs="仿宋_GB2312"/>
          <w:sz w:val="32"/>
          <w:szCs w:val="32"/>
        </w:rPr>
        <w:t>社会保险基金预算</w:t>
      </w:r>
      <w:r>
        <w:rPr>
          <w:rFonts w:hint="eastAsia" w:ascii="仿宋_GB2312" w:hAnsi="仿宋_GB2312" w:eastAsia="仿宋_GB2312" w:cs="仿宋_GB2312"/>
          <w:sz w:val="32"/>
          <w:szCs w:val="32"/>
          <w:lang w:val="en-US" w:eastAsia="zh-CN"/>
        </w:rPr>
        <w:t>安排的支出。</w:t>
      </w:r>
    </w:p>
    <w:p w14:paraId="21474B6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黑体" w:eastAsia="黑体" w:cs="黑体"/>
          <w:snapToGrid w:val="0"/>
          <w:color w:val="000000"/>
          <w:kern w:val="0"/>
          <w:sz w:val="32"/>
          <w:szCs w:val="32"/>
          <w:lang w:eastAsia="zh-CN"/>
        </w:rPr>
      </w:pPr>
      <w:r>
        <w:rPr>
          <w:rFonts w:hint="eastAsia" w:ascii="黑体" w:hAnsi="黑体" w:eastAsia="黑体" w:cs="黑体"/>
          <w:snapToGrid w:val="0"/>
          <w:color w:val="000000"/>
          <w:kern w:val="0"/>
          <w:sz w:val="32"/>
          <w:szCs w:val="32"/>
          <w:lang w:eastAsia="zh-CN"/>
        </w:rPr>
        <w:t>六、部门整体支出绩效情况</w:t>
      </w:r>
    </w:p>
    <w:p w14:paraId="6476D734">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项目资金作为各项工作经费，实行专款专用，用于保障各项工作正常开展，由各股室相关人员申请申报相关支出，各项费用按程序据实报账，支出手续较完备，资料齐全。</w:t>
      </w:r>
    </w:p>
    <w:p w14:paraId="1944B556">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按照经费使用要求，实行定标定额竞争预算，确保资金到位，使用规范，促进政务服务工作的发展。</w:t>
      </w:r>
    </w:p>
    <w:p w14:paraId="613453C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黑体" w:eastAsia="黑体" w:cs="黑体"/>
          <w:snapToGrid w:val="0"/>
          <w:color w:val="000000"/>
          <w:kern w:val="0"/>
          <w:sz w:val="32"/>
          <w:szCs w:val="32"/>
          <w:lang w:val="en-US" w:eastAsia="zh-CN"/>
        </w:rPr>
      </w:pPr>
      <w:r>
        <w:rPr>
          <w:rFonts w:hint="eastAsia" w:ascii="黑体" w:hAnsi="黑体" w:eastAsia="黑体" w:cs="黑体"/>
          <w:snapToGrid w:val="0"/>
          <w:color w:val="000000"/>
          <w:kern w:val="0"/>
          <w:sz w:val="32"/>
          <w:szCs w:val="32"/>
          <w:lang w:val="en-US" w:eastAsia="zh-CN"/>
        </w:rPr>
        <w:t>七、存在的问题及原因分析</w:t>
      </w:r>
    </w:p>
    <w:p w14:paraId="3614BA51">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1.项目管理制度有待完善，项目管理需进一步规范。</w:t>
      </w:r>
    </w:p>
    <w:p w14:paraId="4D1347ED">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2.预算执行和绩效管理工作有待提高。</w:t>
      </w:r>
    </w:p>
    <w:p w14:paraId="57B9B8CC">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3.会计基础工作需进一步提高质量，项目资金使用监管力度有待加强。</w:t>
      </w:r>
    </w:p>
    <w:p w14:paraId="6E69B71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黑体" w:eastAsia="黑体" w:cs="黑体"/>
          <w:snapToGrid w:val="0"/>
          <w:color w:val="000000"/>
          <w:kern w:val="0"/>
          <w:sz w:val="32"/>
          <w:szCs w:val="32"/>
          <w:lang w:val="en-US" w:eastAsia="zh-CN"/>
        </w:rPr>
      </w:pPr>
      <w:r>
        <w:rPr>
          <w:rFonts w:hint="eastAsia" w:ascii="黑体" w:hAnsi="黑体" w:eastAsia="黑体" w:cs="黑体"/>
          <w:snapToGrid w:val="0"/>
          <w:color w:val="000000"/>
          <w:kern w:val="0"/>
          <w:sz w:val="32"/>
          <w:szCs w:val="32"/>
          <w:lang w:val="en-US" w:eastAsia="zh-CN"/>
        </w:rPr>
        <w:t>八、下一步改进措施</w:t>
      </w:r>
    </w:p>
    <w:p w14:paraId="03AB3625">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建立绩效目标和绩效自评结果与预算安排、政策调整挂钩机制，对绩效不明显的，适当予以取消；对绩效不高的，督促及时改进；对绩效水平高的支出项目，在资金安排或政策支持上予以倾斜。</w:t>
      </w:r>
    </w:p>
    <w:p w14:paraId="512F74B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黑体" w:eastAsia="黑体" w:cs="黑体"/>
          <w:snapToGrid w:val="0"/>
          <w:color w:val="000000"/>
          <w:kern w:val="0"/>
          <w:sz w:val="32"/>
          <w:szCs w:val="32"/>
          <w:lang w:val="en-US" w:eastAsia="zh-CN"/>
        </w:rPr>
      </w:pPr>
      <w:r>
        <w:rPr>
          <w:rFonts w:hint="eastAsia" w:ascii="黑体" w:hAnsi="黑体" w:eastAsia="黑体" w:cs="黑体"/>
          <w:snapToGrid w:val="0"/>
          <w:color w:val="000000"/>
          <w:kern w:val="0"/>
          <w:sz w:val="32"/>
          <w:szCs w:val="32"/>
          <w:lang w:val="en-US" w:eastAsia="zh-CN"/>
        </w:rPr>
        <w:t>九、绩效自评结果拟应用和公开情况</w:t>
      </w:r>
    </w:p>
    <w:p w14:paraId="59F080F2">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14:paraId="7CD9F4A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黑体" w:eastAsia="黑体" w:cs="黑体"/>
          <w:snapToGrid w:val="0"/>
          <w:color w:val="000000"/>
          <w:kern w:val="0"/>
          <w:sz w:val="32"/>
          <w:szCs w:val="32"/>
          <w:lang w:val="en-US" w:eastAsia="zh-CN"/>
        </w:rPr>
      </w:pPr>
      <w:r>
        <w:rPr>
          <w:rFonts w:hint="eastAsia" w:ascii="黑体" w:hAnsi="黑体" w:eastAsia="黑体" w:cs="黑体"/>
          <w:snapToGrid w:val="0"/>
          <w:color w:val="000000"/>
          <w:kern w:val="0"/>
          <w:sz w:val="32"/>
          <w:szCs w:val="32"/>
          <w:lang w:val="en-US" w:eastAsia="zh-CN"/>
        </w:rPr>
        <w:t>十、其他需要说明的情况</w:t>
      </w:r>
    </w:p>
    <w:p w14:paraId="523958F9">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14:paraId="2A2719E5">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p>
    <w:p w14:paraId="651C5ABE">
      <w:pP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 xml:space="preserve">    </w:t>
      </w:r>
    </w:p>
    <w:p w14:paraId="45957007">
      <w:pPr>
        <w:rPr>
          <w:rFonts w:hint="eastAsia" w:ascii="仿宋_GB2312" w:hAnsi="仿宋_GB2312" w:eastAsia="仿宋_GB2312" w:cs="仿宋_GB2312"/>
          <w:lang w:val="en-US" w:eastAsia="zh-CN"/>
        </w:rPr>
      </w:pPr>
    </w:p>
    <w:p w14:paraId="07A73169">
      <w:pPr>
        <w:jc w:val="center"/>
        <w:rPr>
          <w:rFonts w:hint="eastAsia" w:ascii="仿宋_GB2312" w:hAnsi="仿宋_GB2312" w:eastAsia="仿宋_GB2312" w:cs="仿宋_GB2312"/>
          <w:sz w:val="32"/>
          <w:szCs w:val="32"/>
          <w:lang w:val="en-US" w:eastAsia="zh-CN"/>
        </w:rPr>
      </w:pPr>
    </w:p>
    <w:p w14:paraId="3D65739E">
      <w:pPr>
        <w:rPr>
          <w:rFonts w:hint="eastAsia" w:ascii="仿宋_GB2312" w:hAnsi="仿宋_GB2312" w:eastAsia="仿宋_GB2312" w:cs="仿宋_GB2312"/>
          <w:lang w:val="en-US" w:eastAsia="zh-CN"/>
        </w:rPr>
      </w:pPr>
    </w:p>
    <w:p w14:paraId="0F247C8A">
      <w:pPr>
        <w:rPr>
          <w:rFonts w:hint="eastAsia" w:ascii="仿宋" w:hAnsi="仿宋" w:eastAsia="仿宋" w:cs="仿宋"/>
          <w:sz w:val="32"/>
          <w:szCs w:val="32"/>
          <w:lang w:val="en-US" w:eastAsia="zh-CN"/>
        </w:rPr>
      </w:pPr>
    </w:p>
    <w:p w14:paraId="5106654F">
      <w:pPr>
        <w:pStyle w:val="19"/>
        <w:rPr>
          <w:rFonts w:hint="eastAsia" w:ascii="仿宋" w:hAnsi="仿宋" w:eastAsia="仿宋" w:cs="仿宋"/>
          <w:sz w:val="32"/>
          <w:szCs w:val="32"/>
          <w:lang w:val="en-US" w:eastAsia="zh-CN"/>
        </w:rPr>
      </w:pPr>
    </w:p>
    <w:p w14:paraId="521C65E6">
      <w:pPr>
        <w:pStyle w:val="19"/>
        <w:ind w:left="0" w:leftChars="0" w:firstLine="0" w:firstLineChars="0"/>
        <w:rPr>
          <w:rFonts w:hint="eastAsia"/>
          <w:lang w:val="en-US" w:eastAsia="zh-CN"/>
        </w:rPr>
      </w:pPr>
    </w:p>
    <w:p w14:paraId="60A60D7E">
      <w:pPr>
        <w:pStyle w:val="19"/>
        <w:ind w:left="0" w:leftChars="0" w:firstLine="0" w:firstLineChars="0"/>
        <w:rPr>
          <w:rFonts w:hint="eastAsia"/>
          <w:lang w:val="en-US" w:eastAsia="zh-CN"/>
        </w:rPr>
      </w:pPr>
    </w:p>
    <w:p w14:paraId="3B034621">
      <w:pPr>
        <w:rPr>
          <w:rFonts w:hint="eastAsia"/>
          <w:lang w:val="en-US" w:eastAsia="zh-CN"/>
        </w:rPr>
      </w:pPr>
    </w:p>
    <w:p w14:paraId="534F3603">
      <w:pPr>
        <w:rPr>
          <w:rFonts w:hint="eastAsia"/>
          <w:lang w:val="en-US" w:eastAsia="zh-CN"/>
        </w:rPr>
      </w:pPr>
    </w:p>
    <w:p w14:paraId="5E856041">
      <w:pPr>
        <w:rPr>
          <w:rFonts w:hint="eastAsia"/>
          <w:lang w:val="en-US" w:eastAsia="zh-CN"/>
        </w:rPr>
      </w:pPr>
    </w:p>
    <w:p w14:paraId="467C78B4">
      <w:pPr>
        <w:rPr>
          <w:rFonts w:hint="eastAsia"/>
          <w:lang w:val="en-US" w:eastAsia="zh-CN"/>
        </w:rPr>
      </w:pPr>
    </w:p>
    <w:p w14:paraId="2B6744BF">
      <w:pPr>
        <w:rPr>
          <w:rFonts w:hint="eastAsia"/>
          <w:lang w:val="en-US" w:eastAsia="zh-CN"/>
        </w:rPr>
      </w:pPr>
    </w:p>
    <w:p w14:paraId="389F9D73">
      <w:pPr>
        <w:rPr>
          <w:rFonts w:hint="eastAsia"/>
          <w:lang w:val="en-US" w:eastAsia="zh-CN"/>
        </w:rPr>
      </w:pPr>
    </w:p>
    <w:p w14:paraId="7DCBDD63">
      <w:pPr>
        <w:rPr>
          <w:rFonts w:hint="eastAsia"/>
          <w:lang w:val="en-US" w:eastAsia="zh-CN"/>
        </w:rPr>
      </w:pPr>
    </w:p>
    <w:p w14:paraId="74F04655">
      <w:pPr>
        <w:rPr>
          <w:rFonts w:hint="eastAsia"/>
          <w:lang w:val="en-US" w:eastAsia="zh-CN"/>
        </w:rPr>
      </w:pPr>
    </w:p>
    <w:p w14:paraId="4FD7C080">
      <w:pPr>
        <w:pStyle w:val="13"/>
        <w:spacing w:line="600" w:lineRule="exact"/>
        <w:rPr>
          <w:rFonts w:ascii="Times New Roman" w:hAnsi="Times New Roman" w:eastAsia="仿宋_GB2312" w:cs="Times New Roman"/>
          <w:sz w:val="32"/>
          <w:szCs w:val="32"/>
        </w:rPr>
      </w:pPr>
    </w:p>
    <w:p w14:paraId="20D9660A">
      <w:pPr>
        <w:pStyle w:val="13"/>
        <w:jc w:val="center"/>
        <w:rPr>
          <w:rFonts w:ascii="Times New Roman" w:hAnsi="Times New Roman" w:cs="Times New Roman"/>
          <w:sz w:val="72"/>
          <w:szCs w:val="72"/>
        </w:rPr>
      </w:pPr>
    </w:p>
    <w:p w14:paraId="58C8EBFE">
      <w:pPr>
        <w:pStyle w:val="13"/>
        <w:jc w:val="center"/>
        <w:rPr>
          <w:rFonts w:ascii="Times New Roman" w:hAnsi="Times New Roman" w:cs="Times New Roman"/>
          <w:sz w:val="72"/>
          <w:szCs w:val="72"/>
        </w:rPr>
      </w:pPr>
    </w:p>
    <w:p w14:paraId="607B2832">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altName w:val="微软雅黑"/>
    <w:panose1 w:val="03000509000000000000"/>
    <w:charset w:val="86"/>
    <w:family w:val="script"/>
    <w:pitch w:val="default"/>
    <w:sig w:usb0="00000000" w:usb1="0000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0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F5F1C">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9B763">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85C47">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B8FC9">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77570">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2A77570">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93B267"/>
    <w:multiLevelType w:val="singleLevel"/>
    <w:tmpl w:val="4093B26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064FFB"/>
    <w:rsid w:val="025D08EA"/>
    <w:rsid w:val="02B074AC"/>
    <w:rsid w:val="067D59FE"/>
    <w:rsid w:val="06A50AB1"/>
    <w:rsid w:val="07C5140B"/>
    <w:rsid w:val="0AAF0151"/>
    <w:rsid w:val="0D927FE1"/>
    <w:rsid w:val="0DF06AB6"/>
    <w:rsid w:val="0F2904D1"/>
    <w:rsid w:val="10294501"/>
    <w:rsid w:val="11146F5F"/>
    <w:rsid w:val="11EC57E6"/>
    <w:rsid w:val="126A32DB"/>
    <w:rsid w:val="1376180B"/>
    <w:rsid w:val="15145780"/>
    <w:rsid w:val="159B4A4E"/>
    <w:rsid w:val="169C5A2D"/>
    <w:rsid w:val="16EA2C3C"/>
    <w:rsid w:val="184719C8"/>
    <w:rsid w:val="18DC65B5"/>
    <w:rsid w:val="1D97DEFF"/>
    <w:rsid w:val="1DFF72E5"/>
    <w:rsid w:val="1EFC6F07"/>
    <w:rsid w:val="203E7B55"/>
    <w:rsid w:val="23DC03B7"/>
    <w:rsid w:val="245C4A4D"/>
    <w:rsid w:val="249E6E14"/>
    <w:rsid w:val="27084A19"/>
    <w:rsid w:val="27E6001E"/>
    <w:rsid w:val="29C27101"/>
    <w:rsid w:val="2BBE7D9C"/>
    <w:rsid w:val="2C4E7372"/>
    <w:rsid w:val="2D4D39AA"/>
    <w:rsid w:val="2DB71F62"/>
    <w:rsid w:val="2E9C2616"/>
    <w:rsid w:val="2FDF85B8"/>
    <w:rsid w:val="2FFFEE04"/>
    <w:rsid w:val="306A29B5"/>
    <w:rsid w:val="33BA709B"/>
    <w:rsid w:val="34480B4A"/>
    <w:rsid w:val="34DF85B0"/>
    <w:rsid w:val="35456FAB"/>
    <w:rsid w:val="355D6A34"/>
    <w:rsid w:val="36B3674F"/>
    <w:rsid w:val="373A6E70"/>
    <w:rsid w:val="3ADD1FEC"/>
    <w:rsid w:val="3B8F36BC"/>
    <w:rsid w:val="3E247C22"/>
    <w:rsid w:val="41B70282"/>
    <w:rsid w:val="43F6411F"/>
    <w:rsid w:val="491FF225"/>
    <w:rsid w:val="49891591"/>
    <w:rsid w:val="4A235542"/>
    <w:rsid w:val="4A541B9F"/>
    <w:rsid w:val="4E3C6BD2"/>
    <w:rsid w:val="4FFD214C"/>
    <w:rsid w:val="50A01961"/>
    <w:rsid w:val="52CB49C9"/>
    <w:rsid w:val="54C16083"/>
    <w:rsid w:val="55A7171D"/>
    <w:rsid w:val="55E42029"/>
    <w:rsid w:val="572C012C"/>
    <w:rsid w:val="574F7976"/>
    <w:rsid w:val="5777D4F5"/>
    <w:rsid w:val="59837DAB"/>
    <w:rsid w:val="59DD8326"/>
    <w:rsid w:val="59EA6E92"/>
    <w:rsid w:val="5B1E422F"/>
    <w:rsid w:val="5B2E3D47"/>
    <w:rsid w:val="5BE663CF"/>
    <w:rsid w:val="5C71038F"/>
    <w:rsid w:val="5CE34A7F"/>
    <w:rsid w:val="5DEF592A"/>
    <w:rsid w:val="5FC6BB1E"/>
    <w:rsid w:val="5FF720F1"/>
    <w:rsid w:val="62AD7C47"/>
    <w:rsid w:val="63FA2347"/>
    <w:rsid w:val="64BE613B"/>
    <w:rsid w:val="65764C68"/>
    <w:rsid w:val="67FF5C0B"/>
    <w:rsid w:val="68C06926"/>
    <w:rsid w:val="6A152CA1"/>
    <w:rsid w:val="6A6E350B"/>
    <w:rsid w:val="6B80239C"/>
    <w:rsid w:val="6B8838BE"/>
    <w:rsid w:val="6D725D15"/>
    <w:rsid w:val="6E112F12"/>
    <w:rsid w:val="6EFC0924"/>
    <w:rsid w:val="6F410095"/>
    <w:rsid w:val="6FB74722"/>
    <w:rsid w:val="6FC7059A"/>
    <w:rsid w:val="6FEF8B7E"/>
    <w:rsid w:val="70131A31"/>
    <w:rsid w:val="706935C4"/>
    <w:rsid w:val="71A6591B"/>
    <w:rsid w:val="720900CF"/>
    <w:rsid w:val="733A040C"/>
    <w:rsid w:val="733C129F"/>
    <w:rsid w:val="737D59BA"/>
    <w:rsid w:val="73D72B03"/>
    <w:rsid w:val="740F0761"/>
    <w:rsid w:val="749E3893"/>
    <w:rsid w:val="74D177C5"/>
    <w:rsid w:val="75022074"/>
    <w:rsid w:val="75BF1D13"/>
    <w:rsid w:val="760A5684"/>
    <w:rsid w:val="76D33CC8"/>
    <w:rsid w:val="77C37683"/>
    <w:rsid w:val="79450781"/>
    <w:rsid w:val="79BF0534"/>
    <w:rsid w:val="79D19834"/>
    <w:rsid w:val="79FF515B"/>
    <w:rsid w:val="7A552C46"/>
    <w:rsid w:val="7A856327"/>
    <w:rsid w:val="7AB756AF"/>
    <w:rsid w:val="7AC02928"/>
    <w:rsid w:val="7BF549BF"/>
    <w:rsid w:val="7D2708CA"/>
    <w:rsid w:val="7D6C2781"/>
    <w:rsid w:val="7E1846B6"/>
    <w:rsid w:val="7E521976"/>
    <w:rsid w:val="7E9E1962"/>
    <w:rsid w:val="7E9F11B4"/>
    <w:rsid w:val="7F37EC1E"/>
    <w:rsid w:val="7F7DCD9D"/>
    <w:rsid w:val="7F7F6E6C"/>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BodyText1I2"/>
    <w:basedOn w:val="20"/>
    <w:next w:val="1"/>
    <w:unhideWhenUsed/>
    <w:qFormat/>
    <w:uiPriority w:val="0"/>
    <w:pPr>
      <w:ind w:firstLine="200" w:firstLineChars="200"/>
    </w:pPr>
    <w:rPr>
      <w:rFonts w:hint="default" w:ascii="Calibri" w:hAnsi="Calibri" w:eastAsia="仿宋_GB2312"/>
      <w:sz w:val="36"/>
    </w:rPr>
  </w:style>
  <w:style w:type="paragraph" w:customStyle="1" w:styleId="20">
    <w:name w:val="BodyTextIndent"/>
    <w:basedOn w:val="1"/>
    <w:unhideWhenUsed/>
    <w:qFormat/>
    <w:uiPriority w:val="0"/>
    <w:pPr>
      <w:spacing w:after="120"/>
      <w:ind w:left="420" w:leftChars="200"/>
      <w:textAlignment w:val="baseline"/>
    </w:pPr>
    <w:rPr>
      <w:rFonts w:hint="eastAsia"/>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10702</Words>
  <Characters>11951</Characters>
  <Lines>69</Lines>
  <Paragraphs>19</Paragraphs>
  <TotalTime>30</TotalTime>
  <ScaleCrop>false</ScaleCrop>
  <LinksUpToDate>false</LinksUpToDate>
  <CharactersWithSpaces>13182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燕</cp:lastModifiedBy>
  <cp:lastPrinted>2026-08-31T07:12:00Z</cp:lastPrinted>
  <dcterms:modified xsi:type="dcterms:W3CDTF">2026-09-28T07:22:05Z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E958D00FEAF442FC91AC9A8CA30BB83D_13</vt:lpwstr>
  </property>
  <property fmtid="{D5CDD505-2E9C-101B-9397-08002B2CF9AE}" pid="4" name="KSOTemplateDocerSaveRecord">
    <vt:lpwstr>eyJoZGlkIjoiMjczMzY5YThhNWFjZDE4OTkyYTIxZTVkMjk0MGIyYjIiLCJ1c2VySWQiOiI2MjQyMjY1MTUifQ==</vt:lpwstr>
  </property>
</Properties>
</file>