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5C18E">
      <w:pPr>
        <w:spacing w:before="230" w:line="215" w:lineRule="auto"/>
        <w:jc w:val="center"/>
        <w:outlineLvl w:val="0"/>
        <w:rPr>
          <w:rFonts w:hint="eastAsia" w:ascii="宋体" w:hAnsi="宋体" w:cs="宋体"/>
          <w:b/>
          <w:bCs/>
          <w:color w:val="FF0000"/>
          <w:spacing w:val="-49"/>
          <w:w w:val="46"/>
          <w:sz w:val="115"/>
          <w:szCs w:val="115"/>
          <w:lang w:eastAsia="zh-CN"/>
        </w:rPr>
      </w:pPr>
      <w:r>
        <w:rPr>
          <w:rFonts w:hint="eastAsia" w:ascii="宋体" w:hAnsi="宋体" w:eastAsia="宋体" w:cs="宋体"/>
          <w:b/>
          <w:bCs/>
          <w:color w:val="FF0000"/>
          <w:spacing w:val="34"/>
          <w:w w:val="46"/>
          <w:sz w:val="115"/>
          <w:szCs w:val="115"/>
          <w:lang w:eastAsia="zh-CN"/>
        </w:rPr>
        <w:t>会同县</w:t>
      </w:r>
      <w:r>
        <w:rPr>
          <w:rFonts w:hint="eastAsia" w:ascii="宋体" w:hAnsi="宋体" w:cs="宋体"/>
          <w:b/>
          <w:bCs/>
          <w:color w:val="FF0000"/>
          <w:spacing w:val="34"/>
          <w:w w:val="46"/>
          <w:sz w:val="115"/>
          <w:szCs w:val="115"/>
          <w:lang w:eastAsia="zh-CN"/>
        </w:rPr>
        <w:t>“十五五”规划编制工作专班</w:t>
      </w:r>
      <w:r>
        <w:rPr>
          <w:sz w:val="44"/>
        </w:rPr>
        <mc:AlternateContent>
          <mc:Choice Requires="wps">
            <w:drawing>
              <wp:anchor distT="0" distB="0" distL="114300" distR="114300" simplePos="0" relativeHeight="251659264" behindDoc="0" locked="0" layoutInCell="1" allowOverlap="1">
                <wp:simplePos x="0" y="0"/>
                <wp:positionH relativeFrom="page">
                  <wp:posOffset>711200</wp:posOffset>
                </wp:positionH>
                <wp:positionV relativeFrom="page">
                  <wp:posOffset>2011045</wp:posOffset>
                </wp:positionV>
                <wp:extent cx="6127750" cy="15240"/>
                <wp:effectExtent l="0" t="31750" r="6350" b="48260"/>
                <wp:wrapNone/>
                <wp:docPr id="4" name="直接连接符 4"/>
                <wp:cNvGraphicFramePr/>
                <a:graphic xmlns:a="http://schemas.openxmlformats.org/drawingml/2006/main">
                  <a:graphicData uri="http://schemas.microsoft.com/office/word/2010/wordprocessingShape">
                    <wps:wsp>
                      <wps:cNvCnPr/>
                      <wps:spPr>
                        <a:xfrm flipV="1">
                          <a:off x="1078230" y="1782445"/>
                          <a:ext cx="6127750" cy="15240"/>
                        </a:xfrm>
                        <a:prstGeom prst="line">
                          <a:avLst/>
                        </a:prstGeom>
                        <a:ln w="63500" cmpd="thinThick">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6pt;margin-top:158.35pt;height:1.2pt;width:482.5pt;mso-position-horizontal-relative:page;mso-position-vertical-relative:page;z-index:251659264;mso-width-relative:page;mso-height-relative:page;" filled="f" stroked="t" coordsize="21600,21600" o:gfxdata="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3t3OtoAAAAMAQAADwAAAAAAAAABACAAAAAiAAAAZHJzL2Rvd25yZXYueG1s&#10;UEsBAhQAFAAAAAgAh07iQEA37Ar2AQAAuwMAAA4AAAAAAAAAAQAgAAAAKQEAAGRycy9lMm9Eb2Mu&#10;eG1sUEsFBgAAAAAGAAYAWQEAAJEFAAAAAA==&#10;">
                <v:fill on="f" focussize="0,0"/>
                <v:stroke weight="5pt" color="#FF0000 [3204]" linestyle="thinThick" joinstyle="round"/>
                <v:imagedata o:title=""/>
                <o:lock v:ext="edit" aspectratio="f"/>
              </v:line>
            </w:pict>
          </mc:Fallback>
        </mc:AlternateContent>
      </w:r>
    </w:p>
    <w:p w14:paraId="6B5D430F">
      <w:pPr>
        <w:spacing w:line="60" w:lineRule="exact"/>
        <w:rPr>
          <w:color w:val="FF0000"/>
        </w:rPr>
      </w:pPr>
      <w:r>
        <w:rPr>
          <w:color w:val="FF0000"/>
          <w:position w:val="-1"/>
        </w:rPr>
        <w:drawing>
          <wp:inline distT="0" distB="0" distL="0" distR="0">
            <wp:extent cx="5987415" cy="635"/>
            <wp:effectExtent l="63500" t="45085" r="0" b="68580"/>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6"/>
                    <a:stretch>
                      <a:fillRect/>
                    </a:stretch>
                  </pic:blipFill>
                  <pic:spPr>
                    <a:xfrm>
                      <a:off x="0" y="0"/>
                      <a:ext cx="5988022" cy="635"/>
                    </a:xfrm>
                    <a:prstGeom prst="rect">
                      <a:avLst/>
                    </a:prstGeom>
                    <a:solidFill>
                      <a:srgbClr val="FF0000"/>
                    </a:solidFill>
                    <a:ln w="63500" cmpd="thickThin">
                      <a:solidFill>
                        <a:srgbClr val="FF0000"/>
                      </a:solidFill>
                      <a:prstDash val="solid"/>
                    </a:ln>
                  </pic:spPr>
                </pic:pic>
              </a:graphicData>
            </a:graphic>
          </wp:inline>
        </w:drawing>
      </w:r>
    </w:p>
    <w:p w14:paraId="0B4137C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kern w:val="0"/>
          <w:sz w:val="44"/>
          <w:szCs w:val="44"/>
        </w:rPr>
      </w:pPr>
    </w:p>
    <w:p w14:paraId="304E2F01">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rFonts w:hint="eastAsia" w:ascii="宋体" w:hAnsi="宋体" w:cs="宋体"/>
          <w:b/>
          <w:bCs/>
          <w:kern w:val="0"/>
          <w:sz w:val="44"/>
          <w:szCs w:val="44"/>
          <w:lang w:eastAsia="zh-CN"/>
        </w:rPr>
      </w:pPr>
      <w:r>
        <w:rPr>
          <w:rFonts w:hint="eastAsia" w:ascii="宋体" w:hAnsi="宋体" w:eastAsia="宋体" w:cs="宋体"/>
          <w:b/>
          <w:bCs/>
          <w:kern w:val="0"/>
          <w:sz w:val="44"/>
          <w:szCs w:val="44"/>
        </w:rPr>
        <w:t>关于印发《会同县实施“</w:t>
      </w:r>
      <w:r>
        <w:rPr>
          <w:rFonts w:hint="eastAsia" w:ascii="宋体" w:hAnsi="宋体" w:cs="宋体"/>
          <w:b/>
          <w:bCs/>
          <w:kern w:val="0"/>
          <w:sz w:val="44"/>
          <w:szCs w:val="44"/>
          <w:lang w:eastAsia="zh-CN"/>
        </w:rPr>
        <w:t>十五五</w:t>
      </w:r>
      <w:r>
        <w:rPr>
          <w:rFonts w:hint="eastAsia" w:ascii="宋体" w:hAnsi="宋体" w:eastAsia="宋体" w:cs="宋体"/>
          <w:b/>
          <w:bCs/>
          <w:kern w:val="0"/>
          <w:sz w:val="44"/>
          <w:szCs w:val="44"/>
        </w:rPr>
        <w:t>”</w:t>
      </w:r>
      <w:r>
        <w:rPr>
          <w:rFonts w:hint="eastAsia" w:ascii="宋体" w:hAnsi="宋体" w:cs="宋体"/>
          <w:b/>
          <w:bCs/>
          <w:kern w:val="0"/>
          <w:sz w:val="44"/>
          <w:szCs w:val="44"/>
          <w:lang w:eastAsia="zh-CN"/>
        </w:rPr>
        <w:t>规划编制</w:t>
      </w:r>
    </w:p>
    <w:p w14:paraId="3BA998DD">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rFonts w:hint="eastAsia" w:ascii="宋体" w:hAnsi="宋体" w:eastAsia="宋体" w:cs="宋体"/>
          <w:b/>
          <w:bCs/>
          <w:kern w:val="0"/>
          <w:sz w:val="44"/>
          <w:szCs w:val="44"/>
        </w:rPr>
      </w:pPr>
      <w:r>
        <w:rPr>
          <w:rFonts w:hint="eastAsia" w:ascii="宋体" w:hAnsi="宋体" w:cs="宋体"/>
          <w:b/>
          <w:bCs/>
          <w:kern w:val="0"/>
          <w:sz w:val="44"/>
          <w:szCs w:val="44"/>
          <w:lang w:eastAsia="zh-CN"/>
        </w:rPr>
        <w:t>工作方案</w:t>
      </w:r>
      <w:r>
        <w:rPr>
          <w:rFonts w:hint="eastAsia" w:ascii="宋体" w:hAnsi="宋体" w:eastAsia="宋体" w:cs="宋体"/>
          <w:b/>
          <w:bCs/>
          <w:kern w:val="0"/>
          <w:sz w:val="44"/>
          <w:szCs w:val="44"/>
        </w:rPr>
        <w:t>》的通知</w:t>
      </w:r>
    </w:p>
    <w:p w14:paraId="0F75787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kern w:val="0"/>
          <w:sz w:val="44"/>
          <w:szCs w:val="44"/>
          <w:lang w:eastAsia="zh-CN"/>
        </w:rPr>
      </w:pPr>
    </w:p>
    <w:p w14:paraId="4DED362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实施</w:t>
      </w:r>
      <w:r>
        <w:rPr>
          <w:rFonts w:hint="eastAsia" w:ascii="仿宋_GB2312" w:hAnsi="仿宋_GB2312" w:eastAsia="仿宋_GB2312" w:cs="仿宋_GB2312"/>
          <w:kern w:val="0"/>
          <w:sz w:val="32"/>
          <w:szCs w:val="32"/>
          <w:lang w:eastAsia="zh-CN"/>
        </w:rPr>
        <w:t>“十五五”规划编制</w:t>
      </w:r>
      <w:r>
        <w:rPr>
          <w:rFonts w:hint="eastAsia" w:ascii="仿宋_GB2312" w:hAnsi="仿宋_GB2312" w:eastAsia="仿宋_GB2312" w:cs="仿宋_GB2312"/>
          <w:kern w:val="0"/>
          <w:sz w:val="32"/>
          <w:szCs w:val="32"/>
        </w:rPr>
        <w:t>工作专班成员单位：</w:t>
      </w:r>
    </w:p>
    <w:p w14:paraId="244620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根据国家、省和市关于“十五五”规划编制工作的总体安排，我县已启动“十五五”规划编制工作，</w:t>
      </w:r>
      <w:r>
        <w:rPr>
          <w:rFonts w:hint="eastAsia" w:ascii="仿宋_GB2312" w:hAnsi="仿宋_GB2312" w:eastAsia="仿宋_GB2312" w:cs="仿宋_GB2312"/>
          <w:kern w:val="0"/>
          <w:sz w:val="32"/>
          <w:szCs w:val="32"/>
        </w:rPr>
        <w:t>现将《会同县实施</w:t>
      </w:r>
      <w:r>
        <w:rPr>
          <w:rFonts w:hint="eastAsia" w:ascii="仿宋_GB2312" w:hAnsi="仿宋_GB2312" w:eastAsia="仿宋_GB2312" w:cs="仿宋_GB2312"/>
          <w:kern w:val="0"/>
          <w:sz w:val="32"/>
          <w:szCs w:val="32"/>
          <w:lang w:eastAsia="zh-CN"/>
        </w:rPr>
        <w:t>“十五五”规划编制工作方案</w:t>
      </w:r>
      <w:r>
        <w:rPr>
          <w:rFonts w:hint="eastAsia" w:ascii="仿宋_GB2312" w:hAnsi="仿宋_GB2312" w:eastAsia="仿宋_GB2312" w:cs="仿宋_GB2312"/>
          <w:kern w:val="0"/>
          <w:sz w:val="32"/>
          <w:szCs w:val="32"/>
        </w:rPr>
        <w:t>》（见附件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）印发给你们，请遵照执行。</w:t>
      </w:r>
    </w:p>
    <w:p w14:paraId="69F05C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p>
    <w:p w14:paraId="03BA43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会同县实施“</w:t>
      </w:r>
      <w:r>
        <w:rPr>
          <w:rFonts w:hint="eastAsia" w:ascii="仿宋_GB2312" w:hAnsi="仿宋_GB2312" w:eastAsia="仿宋_GB2312" w:cs="仿宋_GB2312"/>
          <w:kern w:val="0"/>
          <w:sz w:val="32"/>
          <w:szCs w:val="32"/>
          <w:lang w:eastAsia="zh-CN"/>
        </w:rPr>
        <w:t>十五五</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规划编制工作方案；</w:t>
      </w:r>
    </w:p>
    <w:p w14:paraId="4C7B89F1">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2.会同县“十五五”规划纲要和专项规划建议清单；</w:t>
      </w:r>
    </w:p>
    <w:p w14:paraId="460EDB70">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3.会同县“十五五”规划编制工作联络员名单回执。</w:t>
      </w:r>
      <w:bookmarkStart w:id="2" w:name="_GoBack"/>
      <w:bookmarkEnd w:id="2"/>
    </w:p>
    <w:p w14:paraId="188C5175">
      <w:pPr>
        <w:keepNext w:val="0"/>
        <w:keepLines w:val="0"/>
        <w:pageBreakBefore w:val="0"/>
        <w:widowControl w:val="0"/>
        <w:kinsoku/>
        <w:wordWrap/>
        <w:overflowPunct/>
        <w:topLinePunct w:val="0"/>
        <w:autoSpaceDE/>
        <w:autoSpaceDN/>
        <w:bidi w:val="0"/>
        <w:adjustRightInd/>
        <w:spacing w:line="540" w:lineRule="exact"/>
        <w:ind w:left="0" w:leftChars="0" w:right="0" w:rightChars="0"/>
        <w:jc w:val="center"/>
        <w:textAlignment w:val="auto"/>
        <w:rPr>
          <w:rFonts w:hint="eastAsia" w:ascii="Times New Roman" w:hAnsi="Times New Roman" w:eastAsia="方正小标宋_GBK" w:cs="Times New Roman"/>
          <w:bCs/>
          <w:color w:val="auto"/>
          <w:spacing w:val="28"/>
          <w:kern w:val="0"/>
          <w:sz w:val="44"/>
          <w:szCs w:val="44"/>
          <w:lang w:val="en-US" w:eastAsia="zh-CN"/>
        </w:rPr>
      </w:pPr>
    </w:p>
    <w:p w14:paraId="681037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会同县</w:t>
      </w:r>
      <w:r>
        <w:rPr>
          <w:rFonts w:hint="eastAsia" w:ascii="仿宋_GB2312" w:hAnsi="仿宋_GB2312" w:eastAsia="仿宋_GB2312" w:cs="仿宋_GB2312"/>
          <w:kern w:val="0"/>
          <w:sz w:val="32"/>
          <w:szCs w:val="32"/>
        </w:rPr>
        <w:t>实施</w:t>
      </w:r>
      <w:r>
        <w:rPr>
          <w:rFonts w:hint="eastAsia" w:ascii="仿宋_GB2312" w:hAnsi="仿宋_GB2312" w:eastAsia="仿宋_GB2312" w:cs="仿宋_GB2312"/>
          <w:kern w:val="0"/>
          <w:sz w:val="32"/>
          <w:szCs w:val="32"/>
          <w:lang w:eastAsia="zh-CN"/>
        </w:rPr>
        <w:t>“十五五”规划编制工作</w:t>
      </w:r>
      <w:r>
        <w:rPr>
          <w:rFonts w:hint="eastAsia" w:ascii="仿宋_GB2312" w:hAnsi="仿宋_GB2312" w:eastAsia="仿宋_GB2312" w:cs="仿宋_GB2312"/>
          <w:kern w:val="0"/>
          <w:sz w:val="32"/>
          <w:szCs w:val="32"/>
        </w:rPr>
        <w:t>专班办公室</w:t>
      </w:r>
    </w:p>
    <w:p w14:paraId="6CC534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会同县</w:t>
      </w:r>
      <w:r>
        <w:rPr>
          <w:rFonts w:hint="eastAsia" w:ascii="仿宋_GB2312" w:hAnsi="仿宋_GB2312" w:eastAsia="仿宋_GB2312" w:cs="仿宋_GB2312"/>
          <w:kern w:val="0"/>
          <w:sz w:val="32"/>
          <w:szCs w:val="32"/>
        </w:rPr>
        <w:t>发展</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改革</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代章）</w:t>
      </w:r>
    </w:p>
    <w:p w14:paraId="49BFAF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仿宋_GB2312" w:hAnsi="仿宋_GB2312" w:eastAsia="仿宋_GB2312" w:cs="仿宋_GB2312"/>
          <w:kern w:val="0"/>
          <w:sz w:val="32"/>
          <w:szCs w:val="32"/>
          <w:lang w:val="en-US"/>
        </w:rPr>
        <w:sectPr>
          <w:footerReference r:id="rId3" w:type="default"/>
          <w:pgSz w:w="11906" w:h="16838" w:orient="landscape"/>
          <w:pgMar w:top="1440" w:right="1080" w:bottom="1440" w:left="1080" w:header="0" w:footer="0" w:gutter="0"/>
          <w:pgNumType w:fmt="decimal" w:start="1"/>
          <w:cols w:space="0" w:num="1"/>
          <w:rtlGutter w:val="0"/>
          <w:docGrid w:linePitch="0" w:charSpace="0"/>
        </w:sectPr>
      </w:pPr>
      <w:r>
        <w:rPr>
          <w:rFonts w:hint="eastAsia" w:ascii="仿宋_GB2312" w:hAnsi="仿宋_GB2312" w:eastAsia="仿宋_GB2312" w:cs="仿宋_GB2312"/>
          <w:kern w:val="0"/>
          <w:sz w:val="32"/>
          <w:szCs w:val="32"/>
          <w:lang w:val="en-US" w:eastAsia="zh-CN"/>
        </w:rPr>
        <w:t xml:space="preserve">                           2024年8月13日</w:t>
      </w:r>
    </w:p>
    <w:p w14:paraId="1A5D4CE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华文中宋" w:hAnsi="华文中宋" w:eastAsia="华文中宋" w:cs="华文中宋"/>
          <w:b/>
          <w:bCs/>
          <w:color w:val="auto"/>
          <w:sz w:val="36"/>
          <w:szCs w:val="36"/>
          <w:lang w:val="en-US" w:eastAsia="zh-CN"/>
        </w:rPr>
      </w:pPr>
      <w:bookmarkStart w:id="0" w:name="OLE_LINK1"/>
      <w:r>
        <w:rPr>
          <w:rFonts w:hint="eastAsia" w:ascii="华文中宋" w:hAnsi="华文中宋" w:eastAsia="华文中宋" w:cs="华文中宋"/>
          <w:b/>
          <w:bCs/>
          <w:color w:val="auto"/>
          <w:sz w:val="36"/>
          <w:szCs w:val="36"/>
          <w:lang w:eastAsia="zh-CN"/>
        </w:rPr>
        <w:t>附件</w:t>
      </w:r>
      <w:r>
        <w:rPr>
          <w:rFonts w:hint="eastAsia" w:ascii="华文中宋" w:hAnsi="华文中宋" w:eastAsia="华文中宋" w:cs="华文中宋"/>
          <w:b/>
          <w:bCs/>
          <w:color w:val="auto"/>
          <w:sz w:val="36"/>
          <w:szCs w:val="36"/>
          <w:lang w:val="en-US" w:eastAsia="zh-CN"/>
        </w:rPr>
        <w:t>1</w:t>
      </w:r>
    </w:p>
    <w:p w14:paraId="0B14B1AC">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eastAsia="宋体" w:cs="宋体"/>
          <w:b/>
          <w:bCs/>
          <w:sz w:val="44"/>
          <w:szCs w:val="44"/>
        </w:rPr>
      </w:pPr>
    </w:p>
    <w:p w14:paraId="20180BF9">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eastAsia="宋体" w:cs="宋体"/>
          <w:b/>
          <w:bCs/>
          <w:sz w:val="44"/>
          <w:szCs w:val="44"/>
        </w:rPr>
      </w:pPr>
      <w:r>
        <w:rPr>
          <w:rFonts w:hint="eastAsia" w:ascii="宋体" w:hAnsi="宋体" w:eastAsia="宋体" w:cs="宋体"/>
          <w:b/>
          <w:bCs/>
          <w:sz w:val="44"/>
          <w:szCs w:val="44"/>
        </w:rPr>
        <w:t>会同县“十五五”规划编制工作方案</w:t>
      </w:r>
    </w:p>
    <w:p w14:paraId="59850A39">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p>
    <w:bookmarkEnd w:id="0"/>
    <w:p w14:paraId="5AC40196">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十五五</w:t>
      </w:r>
      <w:r>
        <w:rPr>
          <w:rFonts w:hint="eastAsia" w:ascii="仿宋_GB2312" w:hAnsi="仿宋_GB2312" w:eastAsia="仿宋_GB2312" w:cs="仿宋_GB2312"/>
          <w:color w:val="auto"/>
          <w:kern w:val="2"/>
          <w:sz w:val="32"/>
          <w:szCs w:val="32"/>
        </w:rPr>
        <w:t>”时期</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是我国加快转入高质量发展轨道，基本实现现代化承上启下的关键时期，也</w:t>
      </w:r>
      <w:r>
        <w:rPr>
          <w:rFonts w:hint="eastAsia" w:ascii="仿宋_GB2312" w:hAnsi="仿宋_GB2312" w:eastAsia="仿宋_GB2312" w:cs="仿宋_GB2312"/>
          <w:color w:val="auto"/>
          <w:kern w:val="2"/>
          <w:sz w:val="32"/>
          <w:szCs w:val="32"/>
          <w:lang w:eastAsia="zh-CN"/>
        </w:rPr>
        <w:t>是</w:t>
      </w:r>
      <w:r>
        <w:rPr>
          <w:rFonts w:hint="eastAsia" w:ascii="仿宋_GB2312" w:hAnsi="仿宋_GB2312" w:eastAsia="仿宋_GB2312" w:cs="仿宋_GB2312"/>
          <w:color w:val="auto"/>
          <w:kern w:val="2"/>
          <w:sz w:val="32"/>
          <w:szCs w:val="32"/>
        </w:rPr>
        <w:t>我</w:t>
      </w:r>
      <w:r>
        <w:rPr>
          <w:rFonts w:hint="eastAsia" w:ascii="仿宋_GB2312" w:hAnsi="仿宋_GB2312" w:eastAsia="仿宋_GB2312" w:cs="仿宋_GB2312"/>
          <w:color w:val="auto"/>
          <w:kern w:val="2"/>
          <w:sz w:val="32"/>
          <w:szCs w:val="32"/>
          <w:lang w:eastAsia="zh-CN"/>
        </w:rPr>
        <w:t>县</w:t>
      </w:r>
      <w:r>
        <w:rPr>
          <w:rFonts w:hint="eastAsia" w:ascii="仿宋_GB2312" w:hAnsi="仿宋_GB2312" w:eastAsia="仿宋_GB2312" w:cs="仿宋_GB2312"/>
          <w:color w:val="auto"/>
          <w:kern w:val="2"/>
          <w:sz w:val="32"/>
          <w:szCs w:val="32"/>
        </w:rPr>
        <w:t>更深层次融入国家重大战略</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锚定“三高四新”美好蓝图</w:t>
      </w:r>
      <w:r>
        <w:rPr>
          <w:rFonts w:hint="eastAsia" w:ascii="仿宋_GB2312" w:hAnsi="仿宋_GB2312" w:eastAsia="仿宋_GB2312" w:cs="仿宋_GB2312"/>
          <w:color w:val="auto"/>
          <w:kern w:val="2"/>
          <w:sz w:val="32"/>
          <w:szCs w:val="32"/>
          <w:lang w:eastAsia="zh-CN"/>
        </w:rPr>
        <w:t>和</w:t>
      </w:r>
      <w:r>
        <w:rPr>
          <w:rFonts w:hint="eastAsia" w:ascii="仿宋_GB2312" w:hAnsi="仿宋_GB2312" w:eastAsia="仿宋_GB2312" w:cs="仿宋_GB2312"/>
          <w:color w:val="auto"/>
          <w:kern w:val="2"/>
          <w:sz w:val="32"/>
          <w:szCs w:val="32"/>
        </w:rPr>
        <w:t>积极融入“五新四城”战略推动</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1354工程</w:t>
      </w:r>
      <w:r>
        <w:rPr>
          <w:rFonts w:hint="eastAsia" w:ascii="仿宋_GB2312" w:hAnsi="仿宋_GB2312" w:eastAsia="仿宋_GB2312" w:cs="仿宋_GB2312"/>
          <w:color w:val="auto"/>
          <w:kern w:val="2"/>
          <w:sz w:val="32"/>
          <w:szCs w:val="32"/>
        </w:rPr>
        <w:t>”建设成势见效的攻坚时</w:t>
      </w:r>
      <w:r>
        <w:rPr>
          <w:rFonts w:hint="eastAsia" w:ascii="仿宋_GB2312" w:hAnsi="仿宋_GB2312" w:eastAsia="仿宋_GB2312" w:cs="仿宋_GB2312"/>
          <w:color w:val="auto"/>
          <w:kern w:val="2"/>
          <w:sz w:val="32"/>
          <w:szCs w:val="32"/>
          <w:lang w:eastAsia="zh-CN"/>
        </w:rPr>
        <w:t>期。</w:t>
      </w:r>
      <w:r>
        <w:rPr>
          <w:rFonts w:hint="eastAsia" w:ascii="仿宋_GB2312" w:hAnsi="仿宋_GB2312" w:eastAsia="仿宋_GB2312" w:cs="仿宋_GB2312"/>
          <w:color w:val="auto"/>
          <w:kern w:val="2"/>
          <w:sz w:val="32"/>
          <w:szCs w:val="32"/>
        </w:rPr>
        <w:t>根据全国、全省</w:t>
      </w:r>
      <w:r>
        <w:rPr>
          <w:rFonts w:hint="eastAsia" w:ascii="仿宋_GB2312" w:hAnsi="仿宋_GB2312" w:eastAsia="仿宋_GB2312" w:cs="仿宋_GB2312"/>
          <w:color w:val="auto"/>
          <w:kern w:val="2"/>
          <w:sz w:val="32"/>
          <w:szCs w:val="32"/>
          <w:lang w:eastAsia="zh-CN"/>
        </w:rPr>
        <w:t>、全市“</w:t>
      </w:r>
      <w:r>
        <w:rPr>
          <w:rFonts w:hint="eastAsia" w:ascii="仿宋_GB2312" w:hAnsi="仿宋_GB2312" w:eastAsia="仿宋_GB2312" w:cs="仿宋_GB2312"/>
          <w:color w:val="auto"/>
          <w:kern w:val="2"/>
          <w:sz w:val="32"/>
          <w:szCs w:val="32"/>
        </w:rPr>
        <w:t>十五五”规划编制工作会议精神</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结合我</w:t>
      </w:r>
      <w:r>
        <w:rPr>
          <w:rFonts w:hint="eastAsia" w:ascii="仿宋_GB2312" w:hAnsi="仿宋_GB2312" w:eastAsia="仿宋_GB2312" w:cs="仿宋_GB2312"/>
          <w:color w:val="auto"/>
          <w:kern w:val="2"/>
          <w:sz w:val="32"/>
          <w:szCs w:val="32"/>
          <w:lang w:eastAsia="zh-CN"/>
        </w:rPr>
        <w:t>县</w:t>
      </w:r>
      <w:r>
        <w:rPr>
          <w:rFonts w:hint="eastAsia" w:ascii="仿宋_GB2312" w:hAnsi="仿宋_GB2312" w:eastAsia="仿宋_GB2312" w:cs="仿宋_GB2312"/>
          <w:color w:val="auto"/>
          <w:kern w:val="2"/>
          <w:sz w:val="32"/>
          <w:szCs w:val="32"/>
        </w:rPr>
        <w:t>实际，制定本工作方案。</w:t>
      </w:r>
    </w:p>
    <w:p w14:paraId="6B253E75">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14:paraId="0D7816A0">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坚持以习近平新时代中国特色社会主义思想为指导，全面贯彻落实党的二十大、二十届二中全会和习近平总书记关于湖南工作的重要讲话和指示批示精神，按照</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政府决策部署，坚持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1354工程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发展战略，把握时代特征，强化战略思维，统筹规划创新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提升规划质量，明确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十五五”时期的总体思路、目标方向、实现路径、重点任务和政策举措，更好发挥规划的战略导向作用，使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十五五” 规划成为指导全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未来五年国民经济和社会发展，</w:t>
      </w:r>
      <w:r>
        <w:rPr>
          <w:rFonts w:hint="eastAsia" w:ascii="仿宋_GB2312" w:hAnsi="仿宋_GB2312" w:eastAsia="仿宋_GB2312" w:cs="仿宋_GB2312"/>
          <w:color w:val="auto"/>
          <w:sz w:val="32"/>
          <w:szCs w:val="32"/>
          <w:lang w:eastAsia="zh-CN"/>
        </w:rPr>
        <w:t>实现</w:t>
      </w:r>
      <w:r>
        <w:rPr>
          <w:rFonts w:hint="eastAsia" w:ascii="仿宋_GB2312" w:hAnsi="仿宋_GB2312" w:eastAsia="仿宋_GB2312" w:cs="仿宋_GB2312"/>
          <w:color w:val="auto"/>
          <w:sz w:val="32"/>
          <w:szCs w:val="32"/>
        </w:rPr>
        <w:t>跨越赶超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谱写中国式现代化</w:t>
      </w:r>
      <w:r>
        <w:rPr>
          <w:rFonts w:hint="eastAsia" w:ascii="仿宋_GB2312" w:hAnsi="仿宋_GB2312" w:eastAsia="仿宋_GB2312" w:cs="仿宋_GB2312"/>
          <w:color w:val="auto"/>
          <w:sz w:val="32"/>
          <w:szCs w:val="32"/>
          <w:lang w:eastAsia="zh-CN"/>
        </w:rPr>
        <w:t>会同</w:t>
      </w:r>
      <w:r>
        <w:rPr>
          <w:rFonts w:hint="eastAsia" w:ascii="仿宋_GB2312" w:hAnsi="仿宋_GB2312" w:eastAsia="仿宋_GB2312" w:cs="仿宋_GB2312"/>
          <w:color w:val="auto"/>
          <w:sz w:val="32"/>
          <w:szCs w:val="32"/>
        </w:rPr>
        <w:t>篇章的战略蓝图和行动纲领。</w:t>
      </w:r>
    </w:p>
    <w:p w14:paraId="56B45CF0">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二、编制原则</w:t>
      </w:r>
    </w:p>
    <w:p w14:paraId="227E1A15">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color w:val="auto"/>
          <w:sz w:val="32"/>
          <w:szCs w:val="32"/>
        </w:rPr>
      </w:pPr>
      <w:r>
        <w:rPr>
          <w:rFonts w:hint="eastAsia" w:ascii="方正楷体_GB2312" w:hAnsi="方正楷体_GB2312" w:eastAsia="方正楷体_GB2312" w:cs="方正楷体_GB2312"/>
          <w:b/>
          <w:bCs/>
          <w:color w:val="auto"/>
          <w:sz w:val="32"/>
          <w:szCs w:val="32"/>
        </w:rPr>
        <w:t>1.坚持立足国内和全球视野相统筹</w:t>
      </w:r>
      <w:r>
        <w:rPr>
          <w:rFonts w:hint="eastAsia" w:ascii="方正楷体_GB2312" w:hAnsi="方正楷体_GB2312" w:eastAsia="方正楷体_GB2312" w:cs="方正楷体_GB2312"/>
          <w:b/>
          <w:bCs/>
          <w:color w:val="auto"/>
          <w:sz w:val="32"/>
          <w:szCs w:val="32"/>
          <w:lang w:eastAsia="zh-CN"/>
        </w:rPr>
        <w:t>。</w:t>
      </w:r>
      <w:r>
        <w:rPr>
          <w:rFonts w:hint="eastAsia" w:ascii="仿宋_GB2312" w:hAnsi="仿宋_GB2312" w:eastAsia="仿宋_GB2312" w:cs="仿宋_GB2312"/>
          <w:color w:val="auto"/>
          <w:sz w:val="32"/>
          <w:szCs w:val="32"/>
        </w:rPr>
        <w:t>既要把发展立足点放在国内，准确认识我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在全国大局和时代大势中的历史方位，牢牢把握未来发展主动权，又要科学研判世界发展潮流和趋势，特别是抢抓国家战略“双通道”建设和 RCEP 背景下中国与东盟区域合作发展的新机遇，以更加积极的姿</w:t>
      </w:r>
      <w:r>
        <w:rPr>
          <w:rFonts w:hint="eastAsia" w:ascii="仿宋_GB2312" w:hAnsi="仿宋_GB2312" w:eastAsia="仿宋_GB2312" w:cs="仿宋_GB2312"/>
          <w:color w:val="auto"/>
          <w:sz w:val="32"/>
          <w:szCs w:val="32"/>
          <w:lang w:eastAsia="zh-CN"/>
        </w:rPr>
        <w:t>态、</w:t>
      </w:r>
      <w:r>
        <w:rPr>
          <w:rFonts w:hint="eastAsia" w:ascii="仿宋_GB2312" w:hAnsi="仿宋_GB2312" w:eastAsia="仿宋_GB2312" w:cs="仿宋_GB2312"/>
          <w:color w:val="auto"/>
          <w:sz w:val="32"/>
          <w:szCs w:val="32"/>
        </w:rPr>
        <w:t>更加有利的方式参与国际合作与竞争，更好利用两个市</w:t>
      </w:r>
      <w:r>
        <w:rPr>
          <w:rFonts w:hint="eastAsia" w:ascii="仿宋_GB2312" w:hAnsi="仿宋_GB2312" w:eastAsia="仿宋_GB2312" w:cs="仿宋_GB2312"/>
          <w:color w:val="auto"/>
          <w:sz w:val="32"/>
          <w:szCs w:val="32"/>
          <w:lang w:eastAsia="zh-CN"/>
        </w:rPr>
        <w:t>场</w:t>
      </w:r>
      <w:r>
        <w:rPr>
          <w:rFonts w:hint="eastAsia" w:ascii="仿宋_GB2312" w:hAnsi="仿宋_GB2312" w:eastAsia="仿宋_GB2312" w:cs="仿宋_GB2312"/>
          <w:color w:val="auto"/>
          <w:sz w:val="32"/>
          <w:szCs w:val="32"/>
        </w:rPr>
        <w:t>两种资源。</w:t>
      </w:r>
    </w:p>
    <w:p w14:paraId="356062FB">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color w:val="auto"/>
          <w:sz w:val="32"/>
          <w:szCs w:val="32"/>
        </w:rPr>
      </w:pPr>
      <w:r>
        <w:rPr>
          <w:rFonts w:hint="eastAsia" w:ascii="方正楷体_GB2312" w:hAnsi="方正楷体_GB2312" w:eastAsia="方正楷体_GB2312" w:cs="方正楷体_GB2312"/>
          <w:b/>
          <w:bCs/>
          <w:color w:val="auto"/>
          <w:sz w:val="32"/>
          <w:szCs w:val="32"/>
        </w:rPr>
        <w:t>2.坚持目标导向和问题导向相结合。</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着</w:t>
      </w:r>
      <w:r>
        <w:rPr>
          <w:rFonts w:hint="eastAsia" w:ascii="仿宋_GB2312" w:hAnsi="仿宋_GB2312" w:eastAsia="仿宋_GB2312" w:cs="仿宋_GB2312"/>
          <w:color w:val="auto"/>
          <w:sz w:val="32"/>
          <w:szCs w:val="32"/>
        </w:rPr>
        <w:t>实现社会主义现代化的目标要求，细化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十五五”时期必须完成的阶段性目标，又要明晰我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发展定位需要解决的重大问题和重大任务，聚焦制约高水平开放高质量发展的突出短板，提出更加有针对性的政策举措，严格执行工作路线图、时间表和任务书。</w:t>
      </w:r>
    </w:p>
    <w:p w14:paraId="7B548395">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color w:val="auto"/>
          <w:sz w:val="32"/>
          <w:szCs w:val="32"/>
        </w:rPr>
      </w:pPr>
      <w:r>
        <w:rPr>
          <w:rFonts w:hint="eastAsia" w:ascii="方正楷体_GB2312" w:hAnsi="方正楷体_GB2312" w:eastAsia="方正楷体_GB2312" w:cs="方正楷体_GB2312"/>
          <w:b/>
          <w:bCs/>
          <w:color w:val="auto"/>
          <w:sz w:val="32"/>
          <w:szCs w:val="32"/>
        </w:rPr>
        <w:t>3.坚持立足当前和谋划长远相贯通。</w:t>
      </w:r>
      <w:r>
        <w:rPr>
          <w:rFonts w:hint="eastAsia" w:ascii="仿宋_GB2312" w:hAnsi="仿宋_GB2312" w:eastAsia="仿宋_GB2312" w:cs="仿宋_GB2312"/>
          <w:color w:val="auto"/>
          <w:sz w:val="32"/>
          <w:szCs w:val="32"/>
        </w:rPr>
        <w:t>既要把握好国家关于经济社会发展的重大战略和决策部署，特别是党的二十大以来中央提出的一系列战略谋划，合理确定五年内的重点任务，又要加强对未来十年甚至更长远发展的思考布局，逐步破解长期存在的深层次矛盾和结构性问题，扎实稳步、积极有为地迈向现代化。</w:t>
      </w:r>
    </w:p>
    <w:p w14:paraId="7EBF064E">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color w:val="auto"/>
          <w:sz w:val="32"/>
          <w:szCs w:val="32"/>
        </w:rPr>
      </w:pPr>
      <w:r>
        <w:rPr>
          <w:rFonts w:hint="eastAsia" w:ascii="方正楷体_GB2312" w:hAnsi="方正楷体_GB2312" w:eastAsia="方正楷体_GB2312" w:cs="方正楷体_GB2312"/>
          <w:b/>
          <w:bCs/>
          <w:color w:val="auto"/>
          <w:sz w:val="32"/>
          <w:szCs w:val="32"/>
        </w:rPr>
        <w:t>4.坚持全面规划和突出重点相协调。</w:t>
      </w:r>
      <w:r>
        <w:rPr>
          <w:rFonts w:hint="eastAsia" w:ascii="仿宋_GB2312" w:hAnsi="仿宋_GB2312" w:eastAsia="仿宋_GB2312" w:cs="仿宋_GB2312"/>
          <w:color w:val="auto"/>
          <w:sz w:val="32"/>
          <w:szCs w:val="32"/>
        </w:rPr>
        <w:t>既要全面统筹经济社会领域各方面，加强不同领域的衔接平衡，推动全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整体发展，又要聚焦牵一发而动全身的关键环节，精准推出一批小切口的改革举措，确保</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政府重大决策部署在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十五五”的衔接和延续，在规划中得到贯彻落实。</w:t>
      </w:r>
    </w:p>
    <w:p w14:paraId="31532908">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color w:val="auto"/>
          <w:sz w:val="32"/>
          <w:szCs w:val="32"/>
          <w:lang w:eastAsia="zh-CN"/>
        </w:rPr>
      </w:pPr>
      <w:r>
        <w:rPr>
          <w:rFonts w:hint="eastAsia" w:ascii="方正楷体_GB2312" w:hAnsi="方正楷体_GB2312" w:eastAsia="方正楷体_GB2312" w:cs="方正楷体_GB2312"/>
          <w:b/>
          <w:bCs/>
          <w:color w:val="auto"/>
          <w:sz w:val="32"/>
          <w:szCs w:val="32"/>
        </w:rPr>
        <w:t>5.坚持战略性和操作性相统一</w:t>
      </w:r>
      <w:r>
        <w:rPr>
          <w:rFonts w:hint="eastAsia" w:ascii="方正楷体_GB2312" w:hAnsi="方正楷体_GB2312" w:eastAsia="方正楷体_GB2312" w:cs="方正楷体_GB2312"/>
          <w:b/>
          <w:bCs/>
          <w:color w:val="auto"/>
          <w:sz w:val="32"/>
          <w:szCs w:val="32"/>
          <w:lang w:eastAsia="zh-CN"/>
        </w:rPr>
        <w:t>。</w:t>
      </w:r>
      <w:r>
        <w:rPr>
          <w:rFonts w:hint="eastAsia" w:ascii="仿宋_GB2312" w:hAnsi="仿宋_GB2312" w:eastAsia="仿宋_GB2312" w:cs="仿宋_GB2312"/>
          <w:color w:val="auto"/>
          <w:sz w:val="32"/>
          <w:szCs w:val="32"/>
        </w:rPr>
        <w:t>既要谋划提出事关全局的大战略、大思路，体现规划的前瞻性、引领性、指导性， 又要提出可操作、能落实、易评估的目标和举措，提高规划的实效性</w:t>
      </w:r>
      <w:r>
        <w:rPr>
          <w:rFonts w:hint="eastAsia" w:ascii="仿宋_GB2312" w:hAnsi="仿宋_GB2312" w:eastAsia="仿宋_GB2312" w:cs="仿宋_GB2312"/>
          <w:color w:val="auto"/>
          <w:sz w:val="32"/>
          <w:szCs w:val="32"/>
          <w:lang w:eastAsia="zh-CN"/>
        </w:rPr>
        <w:t>。</w:t>
      </w:r>
    </w:p>
    <w:p w14:paraId="29D67A32">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三、主要任务和责任分工</w:t>
      </w:r>
    </w:p>
    <w:p w14:paraId="2C688B22">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“十五五”规划体系是以</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“十五五”规划</w:t>
      </w:r>
      <w:r>
        <w:rPr>
          <w:rFonts w:hint="eastAsia" w:ascii="仿宋_GB2312" w:hAnsi="仿宋_GB2312" w:eastAsia="仿宋_GB2312" w:cs="仿宋_GB2312"/>
          <w:color w:val="auto"/>
          <w:sz w:val="32"/>
          <w:szCs w:val="32"/>
          <w:lang w:eastAsia="zh-CN"/>
        </w:rPr>
        <w:t>《纲要》</w:t>
      </w:r>
      <w:r>
        <w:rPr>
          <w:rFonts w:hint="eastAsia" w:ascii="仿宋_GB2312" w:hAnsi="仿宋_GB2312" w:eastAsia="仿宋_GB2312" w:cs="仿宋_GB2312"/>
          <w:color w:val="auto"/>
          <w:sz w:val="32"/>
          <w:szCs w:val="32"/>
        </w:rPr>
        <w:t>为统领，以</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国土空间规划为基础，以</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专项规划为支撑组成的规划体系。各类规划编制程序包括前期研究、文本起草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征求意见衔接协调、规划论证、审批发布等环节，编制工作至 2026 年上半年前完成。具体安排如下：</w:t>
      </w:r>
    </w:p>
    <w:p w14:paraId="23770565">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方正楷体_GB2312" w:hAnsi="方正楷体_GB2312" w:eastAsia="方正楷体_GB2312" w:cs="方正楷体_GB2312"/>
          <w:b/>
          <w:bCs/>
          <w:color w:val="auto"/>
          <w:sz w:val="32"/>
          <w:szCs w:val="32"/>
        </w:rPr>
      </w:pPr>
      <w:r>
        <w:rPr>
          <w:rFonts w:hint="eastAsia" w:ascii="方正楷体_GB2312" w:hAnsi="方正楷体_GB2312" w:eastAsia="方正楷体_GB2312" w:cs="方正楷体_GB2312"/>
          <w:b/>
          <w:bCs/>
          <w:color w:val="auto"/>
          <w:sz w:val="32"/>
          <w:szCs w:val="32"/>
        </w:rPr>
        <w:t>（一）</w:t>
      </w:r>
      <w:r>
        <w:rPr>
          <w:rFonts w:hint="eastAsia" w:ascii="方正楷体_GB2312" w:hAnsi="方正楷体_GB2312" w:eastAsia="方正楷体_GB2312" w:cs="方正楷体_GB2312"/>
          <w:b/>
          <w:bCs/>
          <w:color w:val="auto"/>
          <w:sz w:val="32"/>
          <w:szCs w:val="32"/>
          <w:lang w:eastAsia="zh-CN"/>
        </w:rPr>
        <w:t>县</w:t>
      </w:r>
      <w:r>
        <w:rPr>
          <w:rFonts w:hint="eastAsia" w:ascii="方正楷体_GB2312" w:hAnsi="方正楷体_GB2312" w:eastAsia="方正楷体_GB2312" w:cs="方正楷体_GB2312"/>
          <w:b/>
          <w:bCs/>
          <w:color w:val="auto"/>
          <w:sz w:val="32"/>
          <w:szCs w:val="32"/>
        </w:rPr>
        <w:t>“十五五”规划《纲要》</w:t>
      </w:r>
    </w:p>
    <w:p w14:paraId="163ED697">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十五五”规划《纲要》是我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实现社会主义现代化战略在规划期内的阶段性部署和安排，主要阐明全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战略意图，明确经济社会发展宏伟目标、主要任务、重大举措，是市场主体的行为导向，是政府履职的重要依据，是全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人民共同奋斗的行动纲领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人民政府组织编制，经</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人民代表大会审批批准，居于规划体系最上位，是编制本级和下级各类规划以及制定有关政策和年度计划的重要依据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其他规划必须符合规划《纲要》的要求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具体编制工作由</w:t>
      </w:r>
      <w:r>
        <w:rPr>
          <w:rFonts w:hint="eastAsia" w:ascii="仿宋_GB2312" w:hAnsi="仿宋_GB2312" w:eastAsia="仿宋_GB2312" w:cs="仿宋_GB2312"/>
          <w:color w:val="auto"/>
          <w:sz w:val="32"/>
          <w:szCs w:val="32"/>
          <w:lang w:eastAsia="zh-CN"/>
        </w:rPr>
        <w:t>县发展和改革局</w:t>
      </w:r>
      <w:r>
        <w:rPr>
          <w:rFonts w:hint="eastAsia" w:ascii="仿宋_GB2312" w:hAnsi="仿宋_GB2312" w:eastAsia="仿宋_GB2312" w:cs="仿宋_GB2312"/>
          <w:color w:val="auto"/>
          <w:sz w:val="32"/>
          <w:szCs w:val="32"/>
        </w:rPr>
        <w:t>牵头，会同</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相关部门负责。</w:t>
      </w:r>
    </w:p>
    <w:p w14:paraId="5EACBB01">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1.前期研究阶段（2024年</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月-2024年12月底前）</w:t>
      </w:r>
    </w:p>
    <w:p w14:paraId="1C18C9D7">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（1）动员部署</w:t>
      </w:r>
      <w:r>
        <w:rPr>
          <w:rFonts w:hint="eastAsia" w:ascii="仿宋_GB2312" w:hAnsi="仿宋_GB2312" w:eastAsia="仿宋_GB2312" w:cs="仿宋_GB2312"/>
          <w:color w:val="auto"/>
          <w:sz w:val="32"/>
          <w:szCs w:val="32"/>
          <w:lang w:eastAsia="zh-CN"/>
        </w:rPr>
        <w:t>。县发改局</w:t>
      </w:r>
      <w:r>
        <w:rPr>
          <w:rFonts w:hint="eastAsia" w:ascii="仿宋_GB2312" w:hAnsi="仿宋_GB2312" w:eastAsia="仿宋_GB2312" w:cs="仿宋_GB2312"/>
          <w:color w:val="auto"/>
          <w:sz w:val="32"/>
          <w:szCs w:val="32"/>
        </w:rPr>
        <w:t>征集“十五五”规划前期重大课题选题的建议，明确重大课题的选题方向，制定形成全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“十五五”规划编制工作方案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召开全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“十五</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规划编制工作会议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十五五”规划编制工作领导机构和工作专班，明确专项经费。各县有关部门参考全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总体要求和具体安排，尽快启动本本行业规划编制前期准备工作。（2024年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月底前完成）</w:t>
      </w:r>
    </w:p>
    <w:p w14:paraId="19B4AAAC">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（2）开展前期课题研究。可采取定向委托、公开遴选或自行承担的方式开展前期课题研究。</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有关部门可结合基本思路研究和专项规划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国土空间规划编制，另行组织开展课题研究。（2024年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月启动，8月底前提交中期成果，</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月底前结题）</w:t>
      </w:r>
    </w:p>
    <w:p w14:paraId="1AAB8962">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（3）提出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三个重大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县有关部门研究提出纳入全国、全省、全市</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rPr>
        <w:t>十五五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规划的重大战略任务、重大改革举措、重大工程项目建议，在此基础上建立</w:t>
      </w:r>
      <w:r>
        <w:rPr>
          <w:rFonts w:hint="eastAsia" w:ascii="仿宋_GB2312" w:hAnsi="仿宋_GB2312" w:eastAsia="仿宋_GB2312" w:cs="仿宋_GB2312"/>
          <w:color w:val="auto"/>
          <w:sz w:val="32"/>
          <w:szCs w:val="32"/>
          <w:lang w:eastAsia="zh-CN"/>
        </w:rPr>
        <w:t>“十五五”</w:t>
      </w:r>
      <w:r>
        <w:rPr>
          <w:rFonts w:hint="eastAsia" w:ascii="仿宋_GB2312" w:hAnsi="仿宋_GB2312" w:eastAsia="仿宋_GB2312" w:cs="仿宋_GB2312"/>
          <w:color w:val="auto"/>
          <w:sz w:val="32"/>
          <w:szCs w:val="32"/>
        </w:rPr>
        <w:t>重大项目库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月底前报请</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政府研究后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发改委）</w:t>
      </w:r>
    </w:p>
    <w:p w14:paraId="5552A13F">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（4）起草规划《基本思路》。在开展前期重大课题研究基础上，</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有关部门从本行业、本领域实际出发，研究提出行业领域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十五</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基本思路。</w:t>
      </w:r>
      <w:r>
        <w:rPr>
          <w:rFonts w:hint="eastAsia" w:ascii="仿宋_GB2312" w:hAnsi="仿宋_GB2312" w:eastAsia="仿宋_GB2312" w:cs="仿宋_GB2312"/>
          <w:color w:val="auto"/>
          <w:sz w:val="32"/>
          <w:szCs w:val="32"/>
          <w:lang w:eastAsia="zh-CN"/>
        </w:rPr>
        <w:t>由县</w:t>
      </w:r>
      <w:r>
        <w:rPr>
          <w:rFonts w:hint="eastAsia" w:ascii="仿宋_GB2312" w:hAnsi="仿宋_GB2312" w:eastAsia="仿宋_GB2312" w:cs="仿宋_GB2312"/>
          <w:color w:val="auto"/>
          <w:sz w:val="32"/>
          <w:szCs w:val="32"/>
        </w:rPr>
        <w:t>发</w:t>
      </w:r>
      <w:r>
        <w:rPr>
          <w:rFonts w:hint="eastAsia" w:ascii="仿宋_GB2312" w:hAnsi="仿宋_GB2312" w:eastAsia="仿宋_GB2312" w:cs="仿宋_GB2312"/>
          <w:color w:val="auto"/>
          <w:sz w:val="32"/>
          <w:szCs w:val="32"/>
          <w:lang w:eastAsia="zh-CN"/>
        </w:rPr>
        <w:t>改局</w:t>
      </w:r>
      <w:r>
        <w:rPr>
          <w:rFonts w:hint="eastAsia" w:ascii="仿宋_GB2312" w:hAnsi="仿宋_GB2312" w:eastAsia="仿宋_GB2312" w:cs="仿宋_GB2312"/>
          <w:color w:val="auto"/>
          <w:sz w:val="32"/>
          <w:szCs w:val="32"/>
        </w:rPr>
        <w:t>汇总并与</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衔接后，研究提出我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十五五”规划《基本思路》。（2024年6月底前将</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规划《基本思路》重点内容初步考虑报请</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政府研究后，报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发改委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月底前将《基本思路》重点内容最终稿报请</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政府研究后，报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发改委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12月底前将《基本思路》最终稿报请市委、市政府审</w:t>
      </w:r>
      <w:r>
        <w:rPr>
          <w:rFonts w:hint="eastAsia" w:ascii="仿宋_GB2312" w:hAnsi="仿宋_GB2312" w:eastAsia="仿宋_GB2312" w:cs="仿宋_GB2312"/>
          <w:color w:val="auto"/>
          <w:sz w:val="32"/>
          <w:szCs w:val="32"/>
          <w:lang w:eastAsia="zh-CN"/>
        </w:rPr>
        <w:t>议）</w:t>
      </w:r>
    </w:p>
    <w:p w14:paraId="75DDDAE9">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2.形成《纲要》框架阶段（2025年1月-</w:t>
      </w:r>
      <w:r>
        <w:rPr>
          <w:rFonts w:hint="eastAsia" w:ascii="仿宋_GB2312" w:hAnsi="仿宋_GB2312" w:eastAsia="仿宋_GB2312" w:cs="仿宋_GB2312"/>
          <w:b/>
          <w:bCs/>
          <w:color w:val="auto"/>
          <w:sz w:val="32"/>
          <w:szCs w:val="32"/>
          <w:lang w:eastAsia="zh-CN"/>
        </w:rPr>
        <w:t>县</w:t>
      </w:r>
      <w:r>
        <w:rPr>
          <w:rFonts w:hint="eastAsia" w:ascii="仿宋_GB2312" w:hAnsi="仿宋_GB2312" w:eastAsia="仿宋_GB2312" w:cs="仿宋_GB2312"/>
          <w:b/>
          <w:bCs/>
          <w:color w:val="auto"/>
          <w:sz w:val="32"/>
          <w:szCs w:val="32"/>
        </w:rPr>
        <w:t>“十五五”规划《建议》出台前）</w:t>
      </w:r>
    </w:p>
    <w:p w14:paraId="19F6FEE0">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（1）开展规划调研。</w:t>
      </w:r>
      <w:r>
        <w:rPr>
          <w:rFonts w:hint="eastAsia" w:ascii="仿宋_GB2312" w:hAnsi="仿宋_GB2312" w:eastAsia="仿宋_GB2312" w:cs="仿宋_GB2312"/>
          <w:color w:val="auto"/>
          <w:sz w:val="32"/>
          <w:szCs w:val="32"/>
        </w:rPr>
        <w:t>各县有关部门就主要目标指标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重大战略任务、重大改革举措、重大工程项目等开展专题研究，形成调研报告后报</w:t>
      </w:r>
      <w:r>
        <w:rPr>
          <w:rFonts w:hint="eastAsia" w:ascii="仿宋_GB2312" w:hAnsi="仿宋_GB2312" w:eastAsia="仿宋_GB2312" w:cs="仿宋_GB2312"/>
          <w:color w:val="auto"/>
          <w:sz w:val="32"/>
          <w:szCs w:val="32"/>
          <w:lang w:eastAsia="zh-CN"/>
        </w:rPr>
        <w:t>县发改局</w:t>
      </w:r>
      <w:r>
        <w:rPr>
          <w:rFonts w:hint="eastAsia" w:ascii="仿宋_GB2312" w:hAnsi="仿宋_GB2312" w:eastAsia="仿宋_GB2312" w:cs="仿宋_GB2312"/>
          <w:color w:val="auto"/>
          <w:sz w:val="32"/>
          <w:szCs w:val="32"/>
        </w:rPr>
        <w:t>汇总。（2025年1月底前完成）</w:t>
      </w:r>
    </w:p>
    <w:p w14:paraId="29FF50DF">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（2）开展建言献策活动。</w:t>
      </w:r>
      <w:r>
        <w:rPr>
          <w:rFonts w:hint="eastAsia" w:ascii="仿宋_GB2312" w:hAnsi="仿宋_GB2312" w:eastAsia="仿宋_GB2312" w:cs="仿宋_GB2312"/>
          <w:color w:val="auto"/>
          <w:sz w:val="32"/>
          <w:szCs w:val="32"/>
        </w:rPr>
        <w:t>通过网络问卷调查或在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政府门户网站开设活动专栏等方式开展建言献策活动，征询社会公众意见建议。（2025年1月启动，6月底结束）</w:t>
      </w:r>
    </w:p>
    <w:p w14:paraId="43485A58">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（3）起草《纲要》框架。</w:t>
      </w:r>
      <w:r>
        <w:rPr>
          <w:rFonts w:hint="eastAsia" w:ascii="仿宋_GB2312" w:hAnsi="仿宋_GB2312" w:eastAsia="仿宋_GB2312" w:cs="仿宋_GB2312"/>
          <w:color w:val="auto"/>
          <w:sz w:val="32"/>
          <w:szCs w:val="32"/>
        </w:rPr>
        <w:t>在规划《基本思路》的基础上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起草形成我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十五五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规划《纲要》框架。</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相关部门同步完成“十五五”重大项目储备工作，报</w:t>
      </w:r>
      <w:r>
        <w:rPr>
          <w:rFonts w:hint="eastAsia" w:ascii="仿宋_GB2312" w:hAnsi="仿宋_GB2312" w:eastAsia="仿宋_GB2312" w:cs="仿宋_GB2312"/>
          <w:color w:val="auto"/>
          <w:sz w:val="32"/>
          <w:szCs w:val="32"/>
          <w:lang w:eastAsia="zh-CN"/>
        </w:rPr>
        <w:t>县发改局</w:t>
      </w:r>
      <w:r>
        <w:rPr>
          <w:rFonts w:hint="eastAsia" w:ascii="仿宋_GB2312" w:hAnsi="仿宋_GB2312" w:eastAsia="仿宋_GB2312" w:cs="仿宋_GB2312"/>
          <w:color w:val="auto"/>
          <w:sz w:val="32"/>
          <w:szCs w:val="32"/>
        </w:rPr>
        <w:t>汇总。（2025年6月底前完成）</w:t>
      </w:r>
    </w:p>
    <w:p w14:paraId="040E6FEE">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（4）召开</w:t>
      </w:r>
      <w:r>
        <w:rPr>
          <w:rFonts w:hint="eastAsia" w:ascii="仿宋_GB2312" w:hAnsi="仿宋_GB2312" w:eastAsia="仿宋_GB2312" w:cs="仿宋_GB2312"/>
          <w:b/>
          <w:bCs/>
          <w:color w:val="auto"/>
          <w:sz w:val="32"/>
          <w:szCs w:val="32"/>
          <w:lang w:eastAsia="zh-CN"/>
        </w:rPr>
        <w:t>县</w:t>
      </w:r>
      <w:r>
        <w:rPr>
          <w:rFonts w:hint="eastAsia" w:ascii="仿宋_GB2312" w:hAnsi="仿宋_GB2312" w:eastAsia="仿宋_GB2312" w:cs="仿宋_GB2312"/>
          <w:b/>
          <w:bCs/>
          <w:color w:val="auto"/>
          <w:sz w:val="32"/>
          <w:szCs w:val="32"/>
        </w:rPr>
        <w:t>“十五五”规划专家咨询委员会第一次会议。</w:t>
      </w:r>
      <w:r>
        <w:rPr>
          <w:rFonts w:hint="eastAsia" w:ascii="仿宋_GB2312" w:hAnsi="仿宋_GB2312" w:eastAsia="仿宋_GB2312" w:cs="仿宋_GB2312"/>
          <w:color w:val="auto"/>
          <w:sz w:val="32"/>
          <w:szCs w:val="32"/>
        </w:rPr>
        <w:t>报请</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政府召开会议，听取专家对全</w:t>
      </w:r>
      <w:r>
        <w:rPr>
          <w:rFonts w:hint="eastAsia" w:ascii="仿宋_GB2312" w:hAnsi="仿宋_GB2312" w:eastAsia="仿宋_GB2312" w:cs="仿宋_GB2312"/>
          <w:color w:val="auto"/>
          <w:sz w:val="32"/>
          <w:szCs w:val="32"/>
          <w:lang w:eastAsia="zh-CN"/>
        </w:rPr>
        <w:t>县“十五五”</w:t>
      </w:r>
      <w:r>
        <w:rPr>
          <w:rFonts w:hint="eastAsia" w:ascii="仿宋_GB2312" w:hAnsi="仿宋_GB2312" w:eastAsia="仿宋_GB2312" w:cs="仿宋_GB2312"/>
          <w:color w:val="auto"/>
          <w:sz w:val="32"/>
          <w:szCs w:val="32"/>
        </w:rPr>
        <w:t>规划《纲要》编制工作的意见建议，讨论“十五五”规划《纲要》框架。（2025年7月底前完成）</w:t>
      </w:r>
    </w:p>
    <w:p w14:paraId="33DAF584">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3.起草和征求意见阶段（</w:t>
      </w:r>
      <w:r>
        <w:rPr>
          <w:rFonts w:hint="eastAsia" w:ascii="仿宋_GB2312" w:hAnsi="仿宋_GB2312" w:eastAsia="仿宋_GB2312" w:cs="仿宋_GB2312"/>
          <w:b/>
          <w:bCs/>
          <w:color w:val="auto"/>
          <w:sz w:val="32"/>
          <w:szCs w:val="32"/>
          <w:lang w:eastAsia="zh-CN"/>
        </w:rPr>
        <w:t>县</w:t>
      </w:r>
      <w:r>
        <w:rPr>
          <w:rFonts w:hint="eastAsia" w:ascii="仿宋_GB2312" w:hAnsi="仿宋_GB2312" w:eastAsia="仿宋_GB2312" w:cs="仿宋_GB2312"/>
          <w:b/>
          <w:bCs/>
          <w:color w:val="auto"/>
          <w:sz w:val="32"/>
          <w:szCs w:val="32"/>
        </w:rPr>
        <w:t>委“十五五”规划《建议》出台后-2025年12月底前）</w:t>
      </w:r>
    </w:p>
    <w:p w14:paraId="0805DF36">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）起草《纲要》草案。</w:t>
      </w:r>
      <w:r>
        <w:rPr>
          <w:rFonts w:hint="eastAsia" w:ascii="仿宋_GB2312" w:hAnsi="仿宋_GB2312" w:eastAsia="仿宋_GB2312" w:cs="仿宋_GB2312"/>
          <w:b w:val="0"/>
          <w:bCs w:val="0"/>
          <w:color w:val="auto"/>
          <w:sz w:val="32"/>
          <w:szCs w:val="32"/>
        </w:rPr>
        <w:t>根据</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委“十五五”规划《建议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对规划《纲要》框架进行完善充实，形成规划《纲要》草案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（2025年10月底前完成）</w:t>
      </w:r>
    </w:p>
    <w:p w14:paraId="471660AD">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（2）充分征求意见。</w:t>
      </w:r>
      <w:r>
        <w:rPr>
          <w:rFonts w:hint="eastAsia" w:ascii="仿宋_GB2312" w:hAnsi="仿宋_GB2312" w:eastAsia="仿宋_GB2312" w:cs="仿宋_GB2312"/>
          <w:color w:val="auto"/>
          <w:sz w:val="32"/>
          <w:szCs w:val="32"/>
        </w:rPr>
        <w:t>广泛征求县各部门和代表委员、民主党派、企业家、群众团体的意见建议。（2025年11月底前完成）</w:t>
      </w:r>
    </w:p>
    <w:p w14:paraId="7D759AFE">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（3）修改完善。</w:t>
      </w:r>
      <w:r>
        <w:rPr>
          <w:rFonts w:hint="eastAsia" w:ascii="仿宋_GB2312" w:hAnsi="仿宋_GB2312" w:eastAsia="仿宋_GB2312" w:cs="仿宋_GB2312"/>
          <w:color w:val="auto"/>
          <w:sz w:val="32"/>
          <w:szCs w:val="32"/>
        </w:rPr>
        <w:t>充分吸纳各方面意见并与国家和省规划《纲要》草案衔接后，对规划《纲要》草案进行修改</w:t>
      </w:r>
      <w:r>
        <w:rPr>
          <w:rFonts w:hint="eastAsia" w:ascii="仿宋_GB2312" w:hAnsi="仿宋_GB2312" w:eastAsia="仿宋_GB2312" w:cs="仿宋_GB2312"/>
          <w:color w:val="auto"/>
          <w:sz w:val="32"/>
          <w:szCs w:val="32"/>
          <w:lang w:eastAsia="zh-CN"/>
        </w:rPr>
        <w:t>完善。</w:t>
      </w:r>
      <w:r>
        <w:rPr>
          <w:rFonts w:hint="eastAsia" w:ascii="仿宋_GB2312" w:hAnsi="仿宋_GB2312" w:eastAsia="仿宋_GB2312" w:cs="仿宋_GB2312"/>
          <w:color w:val="auto"/>
          <w:sz w:val="32"/>
          <w:szCs w:val="32"/>
        </w:rPr>
        <w:t>（2025年12月底前完成）</w:t>
      </w:r>
    </w:p>
    <w:p w14:paraId="09D32D56">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4.论证报批阶段（2025年12月-2026年全</w:t>
      </w:r>
      <w:r>
        <w:rPr>
          <w:rFonts w:hint="eastAsia" w:ascii="仿宋_GB2312" w:hAnsi="仿宋_GB2312" w:eastAsia="仿宋_GB2312" w:cs="仿宋_GB2312"/>
          <w:b/>
          <w:bCs/>
          <w:color w:val="auto"/>
          <w:sz w:val="32"/>
          <w:szCs w:val="32"/>
          <w:lang w:eastAsia="zh-CN"/>
        </w:rPr>
        <w:t>县</w:t>
      </w:r>
      <w:r>
        <w:rPr>
          <w:rFonts w:hint="eastAsia" w:ascii="仿宋_GB2312" w:hAnsi="仿宋_GB2312" w:eastAsia="仿宋_GB2312" w:cs="仿宋_GB2312"/>
          <w:b/>
          <w:bCs/>
          <w:color w:val="auto"/>
          <w:sz w:val="32"/>
          <w:szCs w:val="32"/>
        </w:rPr>
        <w:t>“两会”召开前）</w:t>
      </w:r>
    </w:p>
    <w:p w14:paraId="197C6215">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（1）召开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十五五”规划专家咨询委员会第二次会议。对规划《纲要》草案进行论证。（2025年12月上旬前完成）</w:t>
      </w:r>
    </w:p>
    <w:p w14:paraId="001DBFEF">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（2）报请</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政府研究审议全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“十五五”规划《纲要》草案。（2025年12月底前完成）</w:t>
      </w:r>
    </w:p>
    <w:p w14:paraId="68827D88">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（3）提请</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人大会议审查。按照</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政府审议意见修改完善后，经报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发改委衔接，提请</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人大审议规划《纲要》草案，审议批准后发布。（2026年全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“两会”召开前完成）</w:t>
      </w:r>
    </w:p>
    <w:p w14:paraId="39C05AFA">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方正楷体_GB2312" w:hAnsi="方正楷体_GB2312" w:eastAsia="方正楷体_GB2312" w:cs="方正楷体_GB2312"/>
          <w:b/>
          <w:bCs/>
          <w:color w:val="auto"/>
          <w:sz w:val="32"/>
          <w:szCs w:val="32"/>
        </w:rPr>
      </w:pPr>
      <w:r>
        <w:rPr>
          <w:rFonts w:hint="eastAsia" w:ascii="方正楷体_GB2312" w:hAnsi="方正楷体_GB2312" w:eastAsia="方正楷体_GB2312" w:cs="方正楷体_GB2312"/>
          <w:b/>
          <w:bCs/>
          <w:color w:val="auto"/>
          <w:sz w:val="32"/>
          <w:szCs w:val="32"/>
        </w:rPr>
        <w:t>（二）</w:t>
      </w:r>
      <w:r>
        <w:rPr>
          <w:rFonts w:hint="eastAsia" w:ascii="方正楷体_GB2312" w:hAnsi="方正楷体_GB2312" w:eastAsia="方正楷体_GB2312" w:cs="方正楷体_GB2312"/>
          <w:b/>
          <w:bCs/>
          <w:color w:val="auto"/>
          <w:sz w:val="32"/>
          <w:szCs w:val="32"/>
          <w:lang w:eastAsia="zh-CN"/>
        </w:rPr>
        <w:t>县</w:t>
      </w:r>
      <w:r>
        <w:rPr>
          <w:rFonts w:hint="eastAsia" w:ascii="方正楷体_GB2312" w:hAnsi="方正楷体_GB2312" w:eastAsia="方正楷体_GB2312" w:cs="方正楷体_GB2312"/>
          <w:b/>
          <w:bCs/>
          <w:color w:val="auto"/>
          <w:sz w:val="32"/>
          <w:szCs w:val="32"/>
        </w:rPr>
        <w:t>国土空间规划</w:t>
      </w:r>
    </w:p>
    <w:p w14:paraId="05070037">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国土空间规划在规划体系中发挥基础作用，聚焦空间开发强度管控和主要控制线落地，为我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规划《纲要》确定的重大战略任务落地实施提供空间保障，对我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各专项规划和区域规划提出的基础设施、城镇建设、资源能源、生态保护等开发活动具有空间性指导和约束作用。由</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自然资源和规划局牵头，按照全省要求完成规划编制工作。</w:t>
      </w:r>
    </w:p>
    <w:p w14:paraId="2F53A007">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方正楷体_GB2312" w:hAnsi="方正楷体_GB2312" w:eastAsia="方正楷体_GB2312" w:cs="方正楷体_GB2312"/>
          <w:b/>
          <w:bCs/>
          <w:color w:val="auto"/>
          <w:sz w:val="32"/>
          <w:szCs w:val="32"/>
        </w:rPr>
      </w:pPr>
      <w:r>
        <w:rPr>
          <w:rFonts w:hint="eastAsia" w:ascii="方正楷体_GB2312" w:hAnsi="方正楷体_GB2312" w:eastAsia="方正楷体_GB2312" w:cs="方正楷体_GB2312"/>
          <w:b/>
          <w:bCs/>
          <w:color w:val="auto"/>
          <w:sz w:val="32"/>
          <w:szCs w:val="32"/>
        </w:rPr>
        <w:t>（</w:t>
      </w:r>
      <w:r>
        <w:rPr>
          <w:rFonts w:hint="eastAsia" w:ascii="方正楷体_GB2312" w:hAnsi="方正楷体_GB2312" w:eastAsia="方正楷体_GB2312" w:cs="方正楷体_GB2312"/>
          <w:b/>
          <w:bCs/>
          <w:color w:val="auto"/>
          <w:sz w:val="32"/>
          <w:szCs w:val="32"/>
          <w:lang w:eastAsia="zh-CN"/>
        </w:rPr>
        <w:t>三</w:t>
      </w:r>
      <w:r>
        <w:rPr>
          <w:rFonts w:hint="eastAsia" w:ascii="方正楷体_GB2312" w:hAnsi="方正楷体_GB2312" w:eastAsia="方正楷体_GB2312" w:cs="方正楷体_GB2312"/>
          <w:b/>
          <w:bCs/>
          <w:color w:val="auto"/>
          <w:sz w:val="32"/>
          <w:szCs w:val="32"/>
        </w:rPr>
        <w:t>）</w:t>
      </w:r>
      <w:r>
        <w:rPr>
          <w:rFonts w:hint="eastAsia" w:ascii="方正楷体_GB2312" w:hAnsi="方正楷体_GB2312" w:eastAsia="方正楷体_GB2312" w:cs="方正楷体_GB2312"/>
          <w:b/>
          <w:bCs/>
          <w:color w:val="auto"/>
          <w:sz w:val="32"/>
          <w:szCs w:val="32"/>
          <w:lang w:eastAsia="zh-CN"/>
        </w:rPr>
        <w:t>县</w:t>
      </w:r>
      <w:r>
        <w:rPr>
          <w:rFonts w:hint="eastAsia" w:ascii="方正楷体_GB2312" w:hAnsi="方正楷体_GB2312" w:eastAsia="方正楷体_GB2312" w:cs="方正楷体_GB2312"/>
          <w:b/>
          <w:bCs/>
          <w:color w:val="auto"/>
          <w:sz w:val="32"/>
          <w:szCs w:val="32"/>
        </w:rPr>
        <w:t>专项规划</w:t>
      </w:r>
    </w:p>
    <w:p w14:paraId="7407E952">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专项规划在规划体系中发挥支撑性作用，主要是细化和落实</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规划《纲要》对特定领域提出的战略任务，是指导特定领域行业发展、审核批准重大项目、安排财政支出预算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制定相关政策的依据。由</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政府相关职能部门牵头编制，涉及多个部门的鼓励联合编制。专项规划实行报批和备案制度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未列入目录清单、审批计划的规划，原则上不得编制或批准实施，属部门日常工作或任务实施期限少于3年的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原则上不编制规划。</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有关部门于2024年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月底前将编制需求反馈</w:t>
      </w:r>
      <w:r>
        <w:rPr>
          <w:rFonts w:hint="eastAsia" w:ascii="仿宋_GB2312" w:hAnsi="仿宋_GB2312" w:eastAsia="仿宋_GB2312" w:cs="仿宋_GB2312"/>
          <w:color w:val="auto"/>
          <w:sz w:val="32"/>
          <w:szCs w:val="32"/>
          <w:lang w:eastAsia="zh-CN"/>
        </w:rPr>
        <w:t>县发改局</w:t>
      </w:r>
      <w:r>
        <w:rPr>
          <w:rFonts w:hint="eastAsia" w:ascii="仿宋_GB2312" w:hAnsi="仿宋_GB2312" w:eastAsia="仿宋_GB2312" w:cs="仿宋_GB2312"/>
          <w:color w:val="auto"/>
          <w:sz w:val="32"/>
          <w:szCs w:val="32"/>
        </w:rPr>
        <w:t>，形成“十五五”</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级重点专项规划编制目录清单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人民政府批准；于2025年10月底前完成规划初稿，报送</w:t>
      </w:r>
      <w:r>
        <w:rPr>
          <w:rFonts w:hint="eastAsia" w:ascii="仿宋_GB2312" w:hAnsi="仿宋_GB2312" w:eastAsia="仿宋_GB2312" w:cs="仿宋_GB2312"/>
          <w:color w:val="auto"/>
          <w:sz w:val="32"/>
          <w:szCs w:val="32"/>
          <w:lang w:eastAsia="zh-CN"/>
        </w:rPr>
        <w:t>县发改局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自然资源局进行规划衔接；2025年底前形成成熟文本，完成专家论证报告、</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分管领导签批意见、环境影响评价报告等程序，报请</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人大审议批准后发布。所有专项规划于2026年6月底前全部出台并送</w:t>
      </w:r>
      <w:r>
        <w:rPr>
          <w:rFonts w:hint="eastAsia" w:ascii="仿宋_GB2312" w:hAnsi="仿宋_GB2312" w:eastAsia="仿宋_GB2312" w:cs="仿宋_GB2312"/>
          <w:color w:val="auto"/>
          <w:sz w:val="32"/>
          <w:szCs w:val="32"/>
          <w:lang w:eastAsia="zh-CN"/>
        </w:rPr>
        <w:t>县发展和改革局</w:t>
      </w:r>
      <w:r>
        <w:rPr>
          <w:rFonts w:hint="eastAsia" w:ascii="仿宋_GB2312" w:hAnsi="仿宋_GB2312" w:eastAsia="仿宋_GB2312" w:cs="仿宋_GB2312"/>
          <w:color w:val="auto"/>
          <w:sz w:val="32"/>
          <w:szCs w:val="32"/>
        </w:rPr>
        <w:t>备案。</w:t>
      </w:r>
    </w:p>
    <w:p w14:paraId="14B754E9">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四、工作要求</w:t>
      </w:r>
    </w:p>
    <w:p w14:paraId="10FAB16B">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color w:val="auto"/>
          <w:sz w:val="32"/>
          <w:szCs w:val="32"/>
          <w:lang w:eastAsia="zh-CN"/>
        </w:rPr>
      </w:pPr>
      <w:r>
        <w:rPr>
          <w:rFonts w:hint="eastAsia" w:ascii="方正楷体_GB2312" w:hAnsi="方正楷体_GB2312" w:eastAsia="方正楷体_GB2312" w:cs="方正楷体_GB2312"/>
          <w:b/>
          <w:bCs/>
          <w:color w:val="auto"/>
          <w:sz w:val="32"/>
          <w:szCs w:val="32"/>
        </w:rPr>
        <w:t>1. 提高政治站位。</w:t>
      </w:r>
      <w:r>
        <w:rPr>
          <w:rFonts w:hint="eastAsia" w:ascii="仿宋_GB2312" w:hAnsi="仿宋_GB2312" w:eastAsia="仿宋_GB2312" w:cs="仿宋_GB2312"/>
          <w:color w:val="auto"/>
          <w:sz w:val="32"/>
          <w:szCs w:val="32"/>
        </w:rPr>
        <w:t>要增强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四个意识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四个自信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做到“两个维护”，以强烈的政治责任感和使命感履职尽责，切实把思想统一到党中央、国务院和省委、省政府的决策部署上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统一到</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政府的重大战略安排上，做好“十五五”规划编制工作，为全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人民描绘</w:t>
      </w:r>
      <w:r>
        <w:rPr>
          <w:rFonts w:hint="eastAsia" w:ascii="仿宋_GB2312" w:hAnsi="仿宋_GB2312" w:eastAsia="仿宋_GB2312" w:cs="仿宋_GB2312"/>
          <w:color w:val="auto"/>
          <w:sz w:val="32"/>
          <w:szCs w:val="32"/>
          <w:lang w:eastAsia="zh-CN"/>
        </w:rPr>
        <w:t>好未来五年的</w:t>
      </w:r>
      <w:r>
        <w:rPr>
          <w:rFonts w:hint="eastAsia" w:ascii="仿宋_GB2312" w:hAnsi="仿宋_GB2312" w:eastAsia="仿宋_GB2312" w:cs="仿宋_GB2312"/>
          <w:color w:val="auto"/>
          <w:sz w:val="32"/>
          <w:szCs w:val="32"/>
        </w:rPr>
        <w:t>美好蓝图</w:t>
      </w:r>
      <w:r>
        <w:rPr>
          <w:rFonts w:hint="eastAsia" w:ascii="仿宋_GB2312" w:hAnsi="仿宋_GB2312" w:eastAsia="仿宋_GB2312" w:cs="仿宋_GB2312"/>
          <w:color w:val="auto"/>
          <w:sz w:val="32"/>
          <w:szCs w:val="32"/>
          <w:lang w:eastAsia="zh-CN"/>
        </w:rPr>
        <w:t>。</w:t>
      </w:r>
    </w:p>
    <w:p w14:paraId="4A211CCE">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color w:val="auto"/>
          <w:sz w:val="32"/>
          <w:szCs w:val="32"/>
        </w:rPr>
      </w:pPr>
      <w:r>
        <w:rPr>
          <w:rFonts w:hint="eastAsia" w:ascii="方正楷体_GB2312" w:hAnsi="方正楷体_GB2312" w:eastAsia="方正楷体_GB2312" w:cs="方正楷体_GB2312"/>
          <w:b/>
          <w:bCs/>
          <w:color w:val="auto"/>
          <w:sz w:val="32"/>
          <w:szCs w:val="32"/>
        </w:rPr>
        <w:t>2. 深入调查研究。</w:t>
      </w:r>
      <w:r>
        <w:rPr>
          <w:rFonts w:hint="eastAsia" w:ascii="仿宋_GB2312" w:hAnsi="仿宋_GB2312" w:eastAsia="仿宋_GB2312" w:cs="仿宋_GB2312"/>
          <w:color w:val="auto"/>
          <w:sz w:val="32"/>
          <w:szCs w:val="32"/>
        </w:rPr>
        <w:t>要沉下心来深入思考，扎实做好基础情况梳理和数据分析，对改革发展稳定面临的深层次问题，广泛开 展调研，深入基层一线掌握第一手资料，发现真问题、寻找真办法，有针对性地提出切实可行的措施。要做好综合平衡，算好总量结构和重要资源要素的平衡账，科学合理提出发展目标。要研究新动能新项目，把宏观思路和指标具体体现到重大生产力布局中，谋划梳理一批事关全</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影响长远的重大项目。</w:t>
      </w:r>
    </w:p>
    <w:p w14:paraId="690072C5">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color w:val="auto"/>
          <w:spacing w:val="6"/>
          <w:sz w:val="32"/>
          <w:szCs w:val="32"/>
        </w:rPr>
      </w:pPr>
      <w:r>
        <w:rPr>
          <w:rFonts w:hint="eastAsia" w:ascii="方正楷体_GB2312" w:hAnsi="方正楷体_GB2312" w:eastAsia="方正楷体_GB2312" w:cs="方正楷体_GB2312"/>
          <w:b/>
          <w:bCs/>
          <w:color w:val="auto"/>
          <w:sz w:val="32"/>
          <w:szCs w:val="32"/>
        </w:rPr>
        <w:t>3.把握规划重点</w:t>
      </w:r>
      <w:r>
        <w:rPr>
          <w:rFonts w:hint="eastAsia" w:ascii="方正楷体_GB2312" w:hAnsi="方正楷体_GB2312" w:eastAsia="方正楷体_GB2312" w:cs="方正楷体_GB2312"/>
          <w:b/>
          <w:bCs/>
          <w:color w:val="auto"/>
          <w:sz w:val="32"/>
          <w:szCs w:val="32"/>
          <w:lang w:eastAsia="zh-CN"/>
        </w:rPr>
        <w:t>。</w:t>
      </w:r>
      <w:r>
        <w:rPr>
          <w:rFonts w:hint="eastAsia" w:ascii="仿宋_GB2312" w:hAnsi="仿宋_GB2312" w:eastAsia="仿宋_GB2312" w:cs="仿宋_GB2312"/>
          <w:b w:val="0"/>
          <w:bCs w:val="0"/>
          <w:color w:val="auto"/>
          <w:spacing w:val="6"/>
          <w:sz w:val="32"/>
          <w:szCs w:val="32"/>
          <w:lang w:eastAsia="zh-CN"/>
        </w:rPr>
        <w:t>要</w:t>
      </w:r>
      <w:r>
        <w:rPr>
          <w:rFonts w:hint="eastAsia" w:ascii="仿宋_GB2312" w:hAnsi="仿宋_GB2312" w:eastAsia="仿宋_GB2312" w:cs="仿宋_GB2312"/>
          <w:color w:val="auto"/>
          <w:spacing w:val="6"/>
          <w:sz w:val="32"/>
          <w:szCs w:val="32"/>
        </w:rPr>
        <w:t>认真总结“十四五”规划编制实施经验</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深入开展“十五五”重要内容研究论证，充分考虑资金、土地、能源等要素支撑条件、资源环境约束和重大风险防控等因素。重大指标设置既要与2035年远景目标相衔接，又要体现</w:t>
      </w:r>
      <w:r>
        <w:rPr>
          <w:rFonts w:hint="eastAsia" w:ascii="仿宋_GB2312" w:hAnsi="仿宋_GB2312" w:eastAsia="仿宋_GB2312" w:cs="仿宋_GB2312"/>
          <w:color w:val="auto"/>
          <w:spacing w:val="6"/>
          <w:sz w:val="32"/>
          <w:szCs w:val="32"/>
          <w:lang w:eastAsia="zh-CN"/>
        </w:rPr>
        <w:t>县</w:t>
      </w:r>
      <w:r>
        <w:rPr>
          <w:rFonts w:hint="eastAsia" w:ascii="仿宋_GB2312" w:hAnsi="仿宋_GB2312" w:eastAsia="仿宋_GB2312" w:cs="仿宋_GB2312"/>
          <w:color w:val="auto"/>
          <w:spacing w:val="6"/>
          <w:sz w:val="32"/>
          <w:szCs w:val="32"/>
        </w:rPr>
        <w:t>委、</w:t>
      </w:r>
      <w:r>
        <w:rPr>
          <w:rFonts w:hint="eastAsia" w:ascii="仿宋_GB2312" w:hAnsi="仿宋_GB2312" w:eastAsia="仿宋_GB2312" w:cs="仿宋_GB2312"/>
          <w:color w:val="auto"/>
          <w:spacing w:val="6"/>
          <w:sz w:val="32"/>
          <w:szCs w:val="32"/>
          <w:lang w:eastAsia="zh-CN"/>
        </w:rPr>
        <w:t>县</w:t>
      </w:r>
      <w:r>
        <w:rPr>
          <w:rFonts w:hint="eastAsia" w:ascii="仿宋_GB2312" w:hAnsi="仿宋_GB2312" w:eastAsia="仿宋_GB2312" w:cs="仿宋_GB2312"/>
          <w:color w:val="auto"/>
          <w:spacing w:val="6"/>
          <w:sz w:val="32"/>
          <w:szCs w:val="32"/>
        </w:rPr>
        <w:t>政府的战略目标定位。重大平台选取宜精不宜多，既要集全</w:t>
      </w:r>
      <w:r>
        <w:rPr>
          <w:rFonts w:hint="eastAsia" w:ascii="仿宋_GB2312" w:hAnsi="仿宋_GB2312" w:eastAsia="仿宋_GB2312" w:cs="仿宋_GB2312"/>
          <w:color w:val="auto"/>
          <w:spacing w:val="6"/>
          <w:sz w:val="32"/>
          <w:szCs w:val="32"/>
          <w:lang w:eastAsia="zh-CN"/>
        </w:rPr>
        <w:t>县</w:t>
      </w:r>
      <w:r>
        <w:rPr>
          <w:rFonts w:hint="eastAsia" w:ascii="仿宋_GB2312" w:hAnsi="仿宋_GB2312" w:eastAsia="仿宋_GB2312" w:cs="仿宋_GB2312"/>
          <w:color w:val="auto"/>
          <w:spacing w:val="6"/>
          <w:sz w:val="32"/>
          <w:szCs w:val="32"/>
        </w:rPr>
        <w:t>之力打造若干对全</w:t>
      </w:r>
      <w:r>
        <w:rPr>
          <w:rFonts w:hint="eastAsia" w:ascii="仿宋_GB2312" w:hAnsi="仿宋_GB2312" w:eastAsia="仿宋_GB2312" w:cs="仿宋_GB2312"/>
          <w:color w:val="auto"/>
          <w:spacing w:val="6"/>
          <w:sz w:val="32"/>
          <w:szCs w:val="32"/>
          <w:lang w:eastAsia="zh-CN"/>
        </w:rPr>
        <w:t>县</w:t>
      </w:r>
      <w:r>
        <w:rPr>
          <w:rFonts w:hint="eastAsia" w:ascii="仿宋_GB2312" w:hAnsi="仿宋_GB2312" w:eastAsia="仿宋_GB2312" w:cs="仿宋_GB2312"/>
          <w:color w:val="auto"/>
          <w:spacing w:val="6"/>
          <w:sz w:val="32"/>
          <w:szCs w:val="32"/>
        </w:rPr>
        <w:t>经济发展起引擎带动的平台，又要发挥</w:t>
      </w:r>
      <w:r>
        <w:rPr>
          <w:rFonts w:hint="eastAsia" w:ascii="仿宋_GB2312" w:hAnsi="仿宋_GB2312" w:eastAsia="仿宋_GB2312" w:cs="仿宋_GB2312"/>
          <w:color w:val="auto"/>
          <w:spacing w:val="6"/>
          <w:sz w:val="32"/>
          <w:szCs w:val="32"/>
          <w:lang w:eastAsia="zh-CN"/>
        </w:rPr>
        <w:t>相关领域</w:t>
      </w:r>
      <w:r>
        <w:rPr>
          <w:rFonts w:hint="eastAsia" w:ascii="仿宋_GB2312" w:hAnsi="仿宋_GB2312" w:eastAsia="仿宋_GB2312" w:cs="仿宋_GB2312"/>
          <w:color w:val="auto"/>
          <w:spacing w:val="6"/>
          <w:sz w:val="32"/>
          <w:szCs w:val="32"/>
        </w:rPr>
        <w:t>主战场作用。重大项目策划要注重全局发展、带动作用强，做细做实前期研究及论证工作，确保空间分布和时序安排协调有序。重大政策研究要突出对规划实施的支撑保障作用，促进财政、金融、产业、区域等领域政策协同联动、互为支撑。要加强与国省</w:t>
      </w:r>
      <w:r>
        <w:rPr>
          <w:rFonts w:hint="eastAsia" w:ascii="仿宋_GB2312" w:hAnsi="仿宋_GB2312" w:eastAsia="仿宋_GB2312" w:cs="仿宋_GB2312"/>
          <w:color w:val="auto"/>
          <w:spacing w:val="6"/>
          <w:sz w:val="32"/>
          <w:szCs w:val="32"/>
          <w:lang w:eastAsia="zh-CN"/>
        </w:rPr>
        <w:t>市</w:t>
      </w:r>
      <w:r>
        <w:rPr>
          <w:rFonts w:hint="eastAsia" w:ascii="仿宋_GB2312" w:hAnsi="仿宋_GB2312" w:eastAsia="仿宋_GB2312" w:cs="仿宋_GB2312"/>
          <w:color w:val="auto"/>
          <w:spacing w:val="6"/>
          <w:sz w:val="32"/>
          <w:szCs w:val="32"/>
        </w:rPr>
        <w:t>相关部门</w:t>
      </w:r>
      <w:r>
        <w:rPr>
          <w:rFonts w:hint="eastAsia" w:ascii="仿宋_GB2312" w:hAnsi="仿宋_GB2312" w:eastAsia="仿宋_GB2312" w:cs="仿宋_GB2312"/>
          <w:color w:val="auto"/>
          <w:spacing w:val="6"/>
          <w:sz w:val="32"/>
          <w:szCs w:val="32"/>
          <w:lang w:eastAsia="zh-CN"/>
        </w:rPr>
        <w:t>的</w:t>
      </w:r>
      <w:r>
        <w:rPr>
          <w:rFonts w:hint="eastAsia" w:ascii="仿宋_GB2312" w:hAnsi="仿宋_GB2312" w:eastAsia="仿宋_GB2312" w:cs="仿宋_GB2312"/>
          <w:color w:val="auto"/>
          <w:spacing w:val="6"/>
          <w:sz w:val="32"/>
          <w:szCs w:val="32"/>
        </w:rPr>
        <w:t>衔接汇报，争取更多项目纳入到国家和省规划“笼子”。</w:t>
      </w:r>
    </w:p>
    <w:p w14:paraId="6DB8866F">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color w:val="auto"/>
          <w:sz w:val="32"/>
          <w:szCs w:val="32"/>
        </w:rPr>
      </w:pPr>
      <w:r>
        <w:rPr>
          <w:rFonts w:hint="eastAsia" w:ascii="方正楷体_GB2312" w:hAnsi="方正楷体_GB2312" w:eastAsia="方正楷体_GB2312" w:cs="方正楷体_GB2312"/>
          <w:b/>
          <w:bCs/>
          <w:color w:val="auto"/>
          <w:sz w:val="32"/>
          <w:szCs w:val="32"/>
        </w:rPr>
        <w:t>4.加强规划衔接。</w:t>
      </w:r>
      <w:r>
        <w:rPr>
          <w:rFonts w:hint="eastAsia" w:ascii="仿宋_GB2312" w:hAnsi="仿宋_GB2312" w:eastAsia="仿宋_GB2312" w:cs="仿宋_GB2312"/>
          <w:b w:val="0"/>
          <w:bCs w:val="0"/>
          <w:color w:val="auto"/>
          <w:sz w:val="32"/>
          <w:szCs w:val="32"/>
          <w:lang w:eastAsia="zh-CN"/>
        </w:rPr>
        <w:t>要</w:t>
      </w:r>
      <w:r>
        <w:rPr>
          <w:rFonts w:hint="eastAsia" w:ascii="仿宋_GB2312" w:hAnsi="仿宋_GB2312" w:eastAsia="仿宋_GB2312" w:cs="仿宋_GB2312"/>
          <w:color w:val="auto"/>
          <w:sz w:val="32"/>
          <w:szCs w:val="32"/>
        </w:rPr>
        <w:t>按照下级规划服从上级规划、等位规划相互协调的原则，确保规划之间有机衔接、适时调整。</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规划《纲要》要着力加强与国家、省规划《纲要》的衔接</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专项规划、区域规划、空间规划要与</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规划《纲要》充分衔接，</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专项规划、区域规划、空间规划彼此之间也要加强衔接，在报请人大会审议批准前，按程序报</w:t>
      </w:r>
      <w:r>
        <w:rPr>
          <w:rFonts w:hint="eastAsia" w:ascii="仿宋_GB2312" w:hAnsi="仿宋_GB2312" w:eastAsia="仿宋_GB2312" w:cs="仿宋_GB2312"/>
          <w:color w:val="auto"/>
          <w:sz w:val="32"/>
          <w:szCs w:val="32"/>
          <w:lang w:eastAsia="zh-CN"/>
        </w:rPr>
        <w:t>县发展和改革局</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规划《纲要》进行衔接。衔接的重点是相关领域的发展目标和主要任务、重大产业和基础设施布局等。</w:t>
      </w:r>
    </w:p>
    <w:p w14:paraId="139893C8">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color w:val="auto"/>
          <w:sz w:val="32"/>
          <w:szCs w:val="32"/>
          <w:lang w:eastAsia="zh-CN"/>
        </w:rPr>
      </w:pPr>
      <w:r>
        <w:rPr>
          <w:rFonts w:hint="eastAsia" w:ascii="方正楷体_GB2312" w:hAnsi="方正楷体_GB2312" w:eastAsia="方正楷体_GB2312" w:cs="方正楷体_GB2312"/>
          <w:b/>
          <w:bCs/>
          <w:color w:val="auto"/>
          <w:sz w:val="32"/>
          <w:szCs w:val="32"/>
        </w:rPr>
        <w:t>5.创新编制方法。</w:t>
      </w:r>
      <w:r>
        <w:rPr>
          <w:rFonts w:hint="eastAsia" w:ascii="仿宋_GB2312" w:hAnsi="仿宋_GB2312" w:eastAsia="仿宋_GB2312" w:cs="仿宋_GB2312"/>
          <w:color w:val="auto"/>
          <w:sz w:val="32"/>
          <w:szCs w:val="32"/>
        </w:rPr>
        <w:t>要打破传统思维惯性，充分发挥研究力量在规划目标指标测算、政策效果评估、意见征集应用等方面，广泛应用大数据、信息监测、智能分析等现代技术手段，提高工作精细度、精准度。要创新规划表达方</w:t>
      </w:r>
      <w:r>
        <w:rPr>
          <w:rFonts w:hint="eastAsia" w:ascii="仿宋_GB2312" w:hAnsi="仿宋_GB2312" w:eastAsia="仿宋_GB2312" w:cs="仿宋_GB2312"/>
          <w:color w:val="auto"/>
          <w:sz w:val="32"/>
          <w:szCs w:val="32"/>
          <w:lang w:eastAsia="zh-CN"/>
        </w:rPr>
        <w:t>式，</w:t>
      </w:r>
      <w:r>
        <w:rPr>
          <w:rFonts w:hint="eastAsia" w:ascii="仿宋_GB2312" w:hAnsi="仿宋_GB2312" w:eastAsia="仿宋_GB2312" w:cs="仿宋_GB2312"/>
          <w:color w:val="auto"/>
          <w:sz w:val="32"/>
          <w:szCs w:val="32"/>
        </w:rPr>
        <w:t>增加可视化元素，努力做到图文并茂、形式新颖、通俗易懂</w:t>
      </w:r>
      <w:r>
        <w:rPr>
          <w:rFonts w:hint="eastAsia" w:ascii="仿宋_GB2312" w:hAnsi="仿宋_GB2312" w:eastAsia="仿宋_GB2312" w:cs="仿宋_GB2312"/>
          <w:color w:val="auto"/>
          <w:sz w:val="32"/>
          <w:szCs w:val="32"/>
          <w:lang w:eastAsia="zh-CN"/>
        </w:rPr>
        <w:t>。</w:t>
      </w:r>
    </w:p>
    <w:p w14:paraId="074B670D">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color w:val="auto"/>
          <w:sz w:val="32"/>
          <w:szCs w:val="32"/>
        </w:rPr>
      </w:pPr>
      <w:r>
        <w:rPr>
          <w:rFonts w:hint="eastAsia" w:ascii="方正楷体_GB2312" w:hAnsi="方正楷体_GB2312" w:eastAsia="方正楷体_GB2312" w:cs="方正楷体_GB2312"/>
          <w:b/>
          <w:bCs/>
          <w:color w:val="auto"/>
          <w:sz w:val="32"/>
          <w:szCs w:val="32"/>
        </w:rPr>
        <w:t>6.坚持集思广益。</w:t>
      </w:r>
      <w:r>
        <w:rPr>
          <w:rFonts w:hint="eastAsia" w:ascii="仿宋_GB2312" w:hAnsi="仿宋_GB2312" w:eastAsia="仿宋_GB2312" w:cs="仿宋_GB2312"/>
          <w:color w:val="auto"/>
          <w:sz w:val="32"/>
          <w:szCs w:val="32"/>
        </w:rPr>
        <w:t>要把加强顶层设计和坚持问计于民结合起来，充分发挥专家团队、科研机构、民间智库的咨询支撑作用，充分运用互联网平台等主动听取社会各界的意见建议，切实把社会期盼、群众智慧、专家意见、基层经验广泛吸收到“十五五”规划中来。</w:t>
      </w:r>
    </w:p>
    <w:p w14:paraId="25FD1DEF">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五、保障措施</w:t>
      </w:r>
    </w:p>
    <w:p w14:paraId="393B3557">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color w:val="auto"/>
          <w:sz w:val="32"/>
          <w:szCs w:val="32"/>
        </w:rPr>
      </w:pPr>
      <w:r>
        <w:rPr>
          <w:rFonts w:hint="eastAsia" w:ascii="方正楷体_GB2312" w:hAnsi="方正楷体_GB2312" w:eastAsia="方正楷体_GB2312" w:cs="方正楷体_GB2312"/>
          <w:b/>
          <w:bCs/>
          <w:color w:val="auto"/>
          <w:sz w:val="32"/>
          <w:szCs w:val="32"/>
        </w:rPr>
        <w:t>1.加强组织领导。</w:t>
      </w:r>
      <w:r>
        <w:rPr>
          <w:rFonts w:hint="eastAsia" w:ascii="仿宋_GB2312" w:hAnsi="仿宋_GB2312" w:eastAsia="仿宋_GB2312" w:cs="仿宋_GB2312"/>
          <w:color w:val="auto"/>
          <w:sz w:val="32"/>
          <w:szCs w:val="32"/>
        </w:rPr>
        <w:t>成立</w:t>
      </w:r>
      <w:r>
        <w:rPr>
          <w:rFonts w:hint="eastAsia" w:ascii="仿宋_GB2312" w:hAnsi="仿宋_GB2312" w:eastAsia="仿宋_GB2312" w:cs="仿宋_GB2312"/>
          <w:color w:val="auto"/>
          <w:sz w:val="32"/>
          <w:szCs w:val="32"/>
          <w:lang w:eastAsia="zh-CN"/>
        </w:rPr>
        <w:t>会同县</w:t>
      </w:r>
      <w:r>
        <w:rPr>
          <w:rFonts w:hint="eastAsia" w:ascii="仿宋_GB2312" w:hAnsi="仿宋_GB2312" w:eastAsia="仿宋_GB2312" w:cs="仿宋_GB2312"/>
          <w:color w:val="auto"/>
          <w:sz w:val="32"/>
          <w:szCs w:val="32"/>
        </w:rPr>
        <w:t>“十五五”规划编制工作专班</w:t>
      </w:r>
      <w:r>
        <w:rPr>
          <w:rFonts w:hint="eastAsia" w:ascii="仿宋_GB2312" w:hAnsi="仿宋_GB2312" w:eastAsia="仿宋_GB2312" w:cs="仿宋_GB2312"/>
          <w:color w:val="auto"/>
          <w:sz w:val="32"/>
          <w:szCs w:val="32"/>
          <w:lang w:eastAsia="zh-CN"/>
        </w:rPr>
        <w:t>，由县长任组长，各副县长任副组长，县直有关部门负责人任成员，</w:t>
      </w:r>
      <w:r>
        <w:rPr>
          <w:rFonts w:hint="eastAsia" w:ascii="仿宋_GB2312" w:hAnsi="仿宋_GB2312" w:eastAsia="仿宋_GB2312" w:cs="仿宋_GB2312"/>
          <w:color w:val="auto"/>
          <w:sz w:val="32"/>
          <w:szCs w:val="32"/>
        </w:rPr>
        <w:t>负责组</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指导、协调全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“十五五”规划编制工作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专班办公室设在</w:t>
      </w:r>
      <w:r>
        <w:rPr>
          <w:rFonts w:hint="eastAsia" w:ascii="仿宋_GB2312" w:hAnsi="仿宋_GB2312" w:eastAsia="仿宋_GB2312" w:cs="仿宋_GB2312"/>
          <w:color w:val="auto"/>
          <w:sz w:val="32"/>
          <w:szCs w:val="32"/>
          <w:lang w:eastAsia="zh-CN"/>
        </w:rPr>
        <w:t>县发改局，县发改局局长任专班主任。</w:t>
      </w:r>
    </w:p>
    <w:p w14:paraId="7D8DFECB">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color w:val="auto"/>
          <w:sz w:val="32"/>
          <w:szCs w:val="32"/>
          <w:lang w:eastAsia="zh-CN"/>
        </w:rPr>
      </w:pPr>
      <w:r>
        <w:rPr>
          <w:rFonts w:hint="eastAsia" w:ascii="方正楷体_GB2312" w:hAnsi="方正楷体_GB2312" w:eastAsia="方正楷体_GB2312" w:cs="方正楷体_GB2312"/>
          <w:b/>
          <w:bCs/>
          <w:color w:val="auto"/>
          <w:sz w:val="32"/>
          <w:szCs w:val="32"/>
        </w:rPr>
        <w:t>2.明确责任分工。</w:t>
      </w:r>
      <w:r>
        <w:rPr>
          <w:rFonts w:hint="eastAsia" w:ascii="仿宋_GB2312" w:hAnsi="仿宋_GB2312" w:eastAsia="仿宋_GB2312" w:cs="仿宋_GB2312"/>
          <w:color w:val="auto"/>
          <w:sz w:val="32"/>
          <w:szCs w:val="32"/>
        </w:rPr>
        <w:t>抓紧选配政治素质强、专业水平高、作风能力过硬的业务骨干组建专班，实行集中办公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具体承担规划编制任务。</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“十五</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规划编制工作专班办公室负责统筹推进全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“十五五”规划编制日常工作，协调解决规划编制过程中遇到的问题。具体承担</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规划《纲要》、专项规划和国土空间规划编制工作的部门为各规划编制责任主体，要严格按照时间要求和责任分工，保质保量完成各项任务，形成工作合力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确保进度安排与市各类规划保持一致</w:t>
      </w:r>
      <w:r>
        <w:rPr>
          <w:rFonts w:hint="eastAsia" w:ascii="仿宋_GB2312" w:hAnsi="仿宋_GB2312" w:eastAsia="仿宋_GB2312" w:cs="仿宋_GB2312"/>
          <w:color w:val="auto"/>
          <w:sz w:val="32"/>
          <w:szCs w:val="32"/>
          <w:lang w:eastAsia="zh-CN"/>
        </w:rPr>
        <w:t>。</w:t>
      </w:r>
    </w:p>
    <w:p w14:paraId="354E18CE">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color w:val="auto"/>
          <w:sz w:val="32"/>
          <w:szCs w:val="32"/>
        </w:rPr>
      </w:pPr>
      <w:r>
        <w:rPr>
          <w:rFonts w:hint="eastAsia" w:ascii="方正楷体_GB2312" w:hAnsi="方正楷体_GB2312" w:eastAsia="方正楷体_GB2312" w:cs="方正楷体_GB2312"/>
          <w:b/>
          <w:bCs/>
          <w:color w:val="auto"/>
          <w:sz w:val="32"/>
          <w:szCs w:val="32"/>
        </w:rPr>
        <w:t>3.落实规划经费。</w:t>
      </w:r>
      <w:r>
        <w:rPr>
          <w:rFonts w:hint="eastAsia" w:ascii="仿宋_GB2312" w:hAnsi="仿宋_GB2312" w:eastAsia="仿宋_GB2312" w:cs="仿宋_GB2312"/>
          <w:color w:val="auto"/>
          <w:sz w:val="32"/>
          <w:szCs w:val="32"/>
        </w:rPr>
        <w:t>县“十五五”规划编制和课题研究等工作所需经费，由</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级财政予以保障。</w:t>
      </w:r>
    </w:p>
    <w:p w14:paraId="7885C236">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仿宋_GB2312" w:hAnsi="仿宋_GB2312" w:eastAsia="仿宋_GB2312" w:cs="仿宋_GB2312"/>
          <w:color w:val="auto"/>
          <w:sz w:val="32"/>
          <w:szCs w:val="32"/>
        </w:rPr>
      </w:pPr>
      <w:r>
        <w:rPr>
          <w:rFonts w:hint="eastAsia" w:ascii="方正楷体_GB2312" w:hAnsi="方正楷体_GB2312" w:eastAsia="方正楷体_GB2312" w:cs="方正楷体_GB2312"/>
          <w:b/>
          <w:bCs/>
          <w:color w:val="auto"/>
          <w:sz w:val="32"/>
          <w:szCs w:val="32"/>
        </w:rPr>
        <w:t>4.组建专家团队。</w:t>
      </w:r>
      <w:r>
        <w:rPr>
          <w:rFonts w:hint="eastAsia" w:ascii="仿宋_GB2312" w:hAnsi="仿宋_GB2312" w:eastAsia="仿宋_GB2312" w:cs="仿宋_GB2312"/>
          <w:color w:val="auto"/>
          <w:sz w:val="32"/>
          <w:szCs w:val="32"/>
        </w:rPr>
        <w:t>由</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专班公室牵头，邀请</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内外知名专家学者组成全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“十五五”规划专家咨询委员会，为规划</w:t>
      </w:r>
      <w:r>
        <w:rPr>
          <w:rFonts w:hint="eastAsia" w:ascii="仿宋_GB2312" w:hAnsi="仿宋_GB2312" w:eastAsia="仿宋_GB2312" w:cs="仿宋_GB2312"/>
          <w:color w:val="auto"/>
          <w:sz w:val="32"/>
          <w:szCs w:val="32"/>
        </w:rPr>
        <w:t>编制提供评议、咨询、论证、评估等智力支持。</w:t>
      </w:r>
    </w:p>
    <w:p w14:paraId="03E83A9E">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auto"/>
          <w:sz w:val="32"/>
          <w:szCs w:val="32"/>
        </w:rPr>
      </w:pPr>
    </w:p>
    <w:p w14:paraId="47A07333">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附件： </w:t>
      </w:r>
    </w:p>
    <w:p w14:paraId="2618CDF2">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1280" w:firstLineChars="4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eastAsia="zh-CN"/>
        </w:rPr>
        <w:t>会同县</w:t>
      </w:r>
      <w:r>
        <w:rPr>
          <w:rFonts w:hint="eastAsia" w:ascii="仿宋_GB2312" w:hAnsi="仿宋_GB2312" w:eastAsia="仿宋_GB2312" w:cs="仿宋_GB2312"/>
          <w:color w:val="auto"/>
          <w:sz w:val="32"/>
          <w:szCs w:val="32"/>
        </w:rPr>
        <w:t>“十五五”规划编制工作时间安排表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14:paraId="5662B8A2">
      <w:pPr>
        <w:keepNext w:val="0"/>
        <w:keepLines w:val="0"/>
        <w:pageBreakBefore w:val="0"/>
        <w:widowControl w:val="0"/>
        <w:kinsoku w:val="0"/>
        <w:wordWrap/>
        <w:overflowPunct/>
        <w:topLinePunct w:val="0"/>
        <w:autoSpaceDE w:val="0"/>
        <w:autoSpaceDN w:val="0"/>
        <w:bidi w:val="0"/>
        <w:adjustRightInd w:val="0"/>
        <w:snapToGrid w:val="0"/>
        <w:spacing w:line="240" w:lineRule="auto"/>
        <w:ind w:left="1917" w:leftChars="608" w:hanging="640" w:hangingChars="200"/>
        <w:textAlignment w:val="baseline"/>
        <w:rPr>
          <w:rFonts w:hint="eastAsia" w:ascii="仿宋_GB2312" w:hAnsi="仿宋_GB2312" w:eastAsia="仿宋_GB2312" w:cs="仿宋_GB2312"/>
          <w:color w:val="auto"/>
          <w:spacing w:val="-11"/>
          <w:sz w:val="32"/>
          <w:szCs w:val="32"/>
          <w:lang w:eastAsia="zh-CN"/>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pacing w:val="-11"/>
          <w:sz w:val="32"/>
          <w:szCs w:val="32"/>
          <w:lang w:eastAsia="zh-CN"/>
        </w:rPr>
        <w:t>会同县</w:t>
      </w:r>
      <w:r>
        <w:rPr>
          <w:rFonts w:hint="eastAsia" w:ascii="仿宋_GB2312" w:hAnsi="仿宋_GB2312" w:eastAsia="仿宋_GB2312" w:cs="仿宋_GB2312"/>
          <w:color w:val="auto"/>
          <w:spacing w:val="-11"/>
          <w:sz w:val="32"/>
          <w:szCs w:val="32"/>
        </w:rPr>
        <w:t>“十五五”规划前期重大研究课题及责任分工</w:t>
      </w:r>
      <w:r>
        <w:rPr>
          <w:rFonts w:hint="eastAsia" w:ascii="仿宋_GB2312" w:hAnsi="仿宋_GB2312" w:eastAsia="仿宋_GB2312" w:cs="仿宋_GB2312"/>
          <w:color w:val="auto"/>
          <w:spacing w:val="-11"/>
          <w:sz w:val="32"/>
          <w:szCs w:val="32"/>
          <w:lang w:eastAsia="zh-CN"/>
        </w:rPr>
        <w:t>。</w:t>
      </w:r>
    </w:p>
    <w:p w14:paraId="6D478931">
      <w:pPr>
        <w:keepNext w:val="0"/>
        <w:keepLines w:val="0"/>
        <w:pageBreakBefore w:val="0"/>
        <w:widowControl w:val="0"/>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auto"/>
          <w:sz w:val="32"/>
          <w:szCs w:val="32"/>
          <w:lang w:eastAsia="zh-CN"/>
        </w:rPr>
      </w:pPr>
    </w:p>
    <w:p w14:paraId="45393096">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lang w:eastAsia="zh-CN"/>
        </w:rPr>
      </w:pPr>
    </w:p>
    <w:p w14:paraId="273B8073">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lang w:eastAsia="zh-CN"/>
        </w:rPr>
      </w:pPr>
    </w:p>
    <w:p w14:paraId="783959D5">
      <w:pPr>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b w:val="0"/>
          <w:bCs w:val="0"/>
          <w:color w:val="auto"/>
          <w:sz w:val="32"/>
          <w:szCs w:val="32"/>
        </w:rPr>
      </w:pPr>
    </w:p>
    <w:p w14:paraId="50FE8F06">
      <w:pPr>
        <w:widowControl w:val="0"/>
        <w:spacing w:after="120"/>
        <w:ind w:left="420" w:leftChars="200" w:firstLine="640" w:firstLineChars="200"/>
        <w:jc w:val="both"/>
        <w:rPr>
          <w:rFonts w:hint="eastAsia" w:ascii="黑体" w:hAnsi="黑体" w:eastAsia="黑体" w:cs="黑体"/>
          <w:b w:val="0"/>
          <w:bCs w:val="0"/>
          <w:color w:val="auto"/>
          <w:kern w:val="2"/>
          <w:sz w:val="32"/>
          <w:szCs w:val="32"/>
          <w:lang w:val="en-US" w:eastAsia="zh-CN" w:bidi="ar-SA"/>
        </w:rPr>
      </w:pPr>
    </w:p>
    <w:p w14:paraId="622621C8">
      <w:pPr>
        <w:rPr>
          <w:rFonts w:hint="eastAsia" w:ascii="黑体" w:hAnsi="黑体" w:eastAsia="黑体" w:cs="黑体"/>
          <w:b w:val="0"/>
          <w:bCs w:val="0"/>
          <w:color w:val="auto"/>
          <w:sz w:val="32"/>
          <w:szCs w:val="32"/>
        </w:rPr>
      </w:pPr>
    </w:p>
    <w:p w14:paraId="0FA0B15B">
      <w:pPr>
        <w:widowControl w:val="0"/>
        <w:spacing w:after="120"/>
        <w:ind w:left="420" w:leftChars="200" w:firstLine="640" w:firstLineChars="200"/>
        <w:jc w:val="both"/>
        <w:rPr>
          <w:rFonts w:hint="eastAsia" w:ascii="黑体" w:hAnsi="黑体" w:eastAsia="黑体" w:cs="黑体"/>
          <w:b w:val="0"/>
          <w:bCs w:val="0"/>
          <w:color w:val="auto"/>
          <w:kern w:val="2"/>
          <w:sz w:val="32"/>
          <w:szCs w:val="32"/>
          <w:lang w:val="en-US" w:eastAsia="zh-CN" w:bidi="ar-SA"/>
        </w:rPr>
      </w:pPr>
    </w:p>
    <w:p w14:paraId="03E1BE6A">
      <w:pPr>
        <w:rPr>
          <w:rFonts w:hint="eastAsia" w:ascii="黑体" w:hAnsi="黑体" w:eastAsia="黑体" w:cs="黑体"/>
          <w:b w:val="0"/>
          <w:bCs w:val="0"/>
          <w:color w:val="auto"/>
          <w:sz w:val="32"/>
          <w:szCs w:val="32"/>
        </w:rPr>
      </w:pPr>
    </w:p>
    <w:p w14:paraId="589C0F0D">
      <w:pPr>
        <w:widowControl w:val="0"/>
        <w:spacing w:after="120"/>
        <w:ind w:left="420" w:leftChars="200" w:firstLine="640" w:firstLineChars="200"/>
        <w:jc w:val="both"/>
        <w:rPr>
          <w:rFonts w:hint="eastAsia" w:ascii="黑体" w:hAnsi="黑体" w:eastAsia="黑体" w:cs="黑体"/>
          <w:b w:val="0"/>
          <w:bCs w:val="0"/>
          <w:color w:val="auto"/>
          <w:kern w:val="2"/>
          <w:sz w:val="32"/>
          <w:szCs w:val="32"/>
          <w:lang w:val="en-US" w:eastAsia="zh-CN" w:bidi="ar-SA"/>
        </w:rPr>
      </w:pPr>
    </w:p>
    <w:p w14:paraId="26F1F0C4">
      <w:pPr>
        <w:rPr>
          <w:rFonts w:hint="eastAsia" w:ascii="黑体" w:hAnsi="黑体" w:eastAsia="黑体" w:cs="黑体"/>
          <w:b w:val="0"/>
          <w:bCs w:val="0"/>
          <w:color w:val="auto"/>
          <w:sz w:val="32"/>
          <w:szCs w:val="32"/>
        </w:rPr>
      </w:pPr>
    </w:p>
    <w:p w14:paraId="382A4532">
      <w:pPr>
        <w:widowControl w:val="0"/>
        <w:spacing w:after="120"/>
        <w:ind w:left="420" w:leftChars="200" w:firstLine="640" w:firstLineChars="200"/>
        <w:jc w:val="both"/>
        <w:rPr>
          <w:rFonts w:hint="eastAsia" w:ascii="黑体" w:hAnsi="黑体" w:eastAsia="黑体" w:cs="黑体"/>
          <w:b w:val="0"/>
          <w:bCs w:val="0"/>
          <w:color w:val="auto"/>
          <w:kern w:val="2"/>
          <w:sz w:val="32"/>
          <w:szCs w:val="32"/>
          <w:lang w:val="en-US" w:eastAsia="zh-CN" w:bidi="ar-SA"/>
        </w:rPr>
      </w:pPr>
    </w:p>
    <w:p w14:paraId="3C72F985">
      <w:pPr>
        <w:rPr>
          <w:rFonts w:hint="eastAsia" w:ascii="黑体" w:hAnsi="黑体" w:eastAsia="黑体" w:cs="黑体"/>
          <w:b w:val="0"/>
          <w:bCs w:val="0"/>
          <w:color w:val="auto"/>
          <w:sz w:val="32"/>
          <w:szCs w:val="32"/>
        </w:rPr>
      </w:pPr>
    </w:p>
    <w:p w14:paraId="50E812D2">
      <w:pPr>
        <w:widowControl w:val="0"/>
        <w:spacing w:after="120"/>
        <w:ind w:left="420" w:leftChars="200" w:firstLine="640" w:firstLineChars="200"/>
        <w:jc w:val="both"/>
        <w:rPr>
          <w:rFonts w:hint="eastAsia" w:ascii="黑体" w:hAnsi="黑体" w:eastAsia="黑体" w:cs="黑体"/>
          <w:b w:val="0"/>
          <w:bCs w:val="0"/>
          <w:color w:val="auto"/>
          <w:kern w:val="2"/>
          <w:sz w:val="32"/>
          <w:szCs w:val="32"/>
          <w:lang w:val="en-US" w:eastAsia="zh-CN" w:bidi="ar-SA"/>
        </w:rPr>
      </w:pPr>
    </w:p>
    <w:p w14:paraId="0D0690EA">
      <w:pPr>
        <w:rPr>
          <w:rFonts w:hint="eastAsia" w:cs="Times New Roman"/>
          <w:szCs w:val="24"/>
        </w:rPr>
      </w:pPr>
    </w:p>
    <w:p w14:paraId="090C5C46">
      <w:pPr>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b w:val="0"/>
          <w:bCs w:val="0"/>
          <w:color w:val="auto"/>
          <w:sz w:val="32"/>
          <w:szCs w:val="32"/>
        </w:rPr>
      </w:pPr>
    </w:p>
    <w:p w14:paraId="7366D047">
      <w:pPr>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b w:val="0"/>
          <w:bCs w:val="0"/>
          <w:color w:val="auto"/>
          <w:sz w:val="32"/>
          <w:szCs w:val="32"/>
        </w:rPr>
      </w:pPr>
    </w:p>
    <w:p w14:paraId="4D63771C">
      <w:pPr>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b w:val="0"/>
          <w:bCs w:val="0"/>
          <w:color w:val="auto"/>
          <w:sz w:val="32"/>
          <w:szCs w:val="32"/>
        </w:rPr>
      </w:pPr>
    </w:p>
    <w:p w14:paraId="05EED1AE">
      <w:pPr>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b w:val="0"/>
          <w:bCs w:val="0"/>
          <w:color w:val="auto"/>
          <w:sz w:val="32"/>
          <w:szCs w:val="32"/>
        </w:rPr>
      </w:pPr>
    </w:p>
    <w:p w14:paraId="15DF9ADD">
      <w:pPr>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b w:val="0"/>
          <w:bCs w:val="0"/>
          <w:color w:val="auto"/>
          <w:sz w:val="32"/>
          <w:szCs w:val="32"/>
        </w:rPr>
      </w:pPr>
    </w:p>
    <w:p w14:paraId="7BD53263">
      <w:pPr>
        <w:keepNext w:val="0"/>
        <w:keepLines w:val="0"/>
        <w:pageBreakBefore w:val="0"/>
        <w:widowControl w:val="0"/>
        <w:kinsoku w:val="0"/>
        <w:wordWrap/>
        <w:overflowPunct/>
        <w:topLinePunct w:val="0"/>
        <w:autoSpaceDE w:val="0"/>
        <w:autoSpaceDN w:val="0"/>
        <w:bidi w:val="0"/>
        <w:adjustRightInd w:val="0"/>
        <w:snapToGrid w:val="0"/>
        <w:spacing w:line="580" w:lineRule="exact"/>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 1-1</w:t>
      </w:r>
    </w:p>
    <w:p w14:paraId="75F10A86">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b/>
          <w:bCs/>
          <w:color w:val="auto"/>
          <w:sz w:val="44"/>
          <w:szCs w:val="44"/>
          <w:lang w:eastAsia="zh-CN"/>
        </w:rPr>
      </w:pPr>
    </w:p>
    <w:p w14:paraId="71424899">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lang w:eastAsia="zh-CN"/>
        </w:rPr>
        <w:t>会同县</w:t>
      </w:r>
      <w:r>
        <w:rPr>
          <w:rFonts w:hint="eastAsia" w:ascii="华文中宋" w:hAnsi="华文中宋" w:eastAsia="华文中宋" w:cs="华文中宋"/>
          <w:b/>
          <w:bCs/>
          <w:color w:val="auto"/>
          <w:sz w:val="44"/>
          <w:szCs w:val="44"/>
        </w:rPr>
        <w:t>“十五五”规划编制工作时间安排表</w:t>
      </w:r>
    </w:p>
    <w:p w14:paraId="204A8F7C">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仿宋_GB2312" w:hAnsi="仿宋_GB2312" w:eastAsia="仿宋_GB2312" w:cs="仿宋_GB2312"/>
          <w:b/>
          <w:bCs/>
          <w:color w:val="auto"/>
          <w:sz w:val="28"/>
          <w:szCs w:val="28"/>
        </w:rPr>
      </w:pPr>
    </w:p>
    <w:tbl>
      <w:tblPr>
        <w:tblStyle w:val="23"/>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4504"/>
        <w:gridCol w:w="2258"/>
      </w:tblGrid>
      <w:tr w14:paraId="3972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Pr>
          <w:p w14:paraId="57D09269">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eastAsia="宋体" w:cs="宋体"/>
                <w:b/>
                <w:bCs/>
                <w:color w:val="auto"/>
                <w:sz w:val="36"/>
                <w:szCs w:val="36"/>
                <w:vertAlign w:val="baseline"/>
              </w:rPr>
            </w:pPr>
            <w:r>
              <w:rPr>
                <w:rFonts w:hint="eastAsia" w:ascii="宋体" w:hAnsi="宋体" w:eastAsia="宋体" w:cs="宋体"/>
                <w:b/>
                <w:bCs/>
                <w:color w:val="auto"/>
                <w:sz w:val="36"/>
                <w:szCs w:val="36"/>
                <w:vertAlign w:val="baseline"/>
              </w:rPr>
              <w:t>时间节点</w:t>
            </w:r>
          </w:p>
        </w:tc>
        <w:tc>
          <w:tcPr>
            <w:tcW w:w="4504" w:type="dxa"/>
          </w:tcPr>
          <w:p w14:paraId="0596E837">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eastAsia="宋体" w:cs="宋体"/>
                <w:b/>
                <w:bCs/>
                <w:color w:val="auto"/>
                <w:sz w:val="36"/>
                <w:szCs w:val="36"/>
                <w:vertAlign w:val="baseline"/>
              </w:rPr>
            </w:pPr>
            <w:r>
              <w:rPr>
                <w:rFonts w:hint="eastAsia" w:ascii="宋体" w:hAnsi="宋体" w:eastAsia="宋体" w:cs="宋体"/>
                <w:b/>
                <w:bCs/>
                <w:color w:val="auto"/>
                <w:sz w:val="36"/>
                <w:szCs w:val="36"/>
                <w:vertAlign w:val="baseline"/>
              </w:rPr>
              <w:t>工作任务</w:t>
            </w:r>
          </w:p>
        </w:tc>
        <w:tc>
          <w:tcPr>
            <w:tcW w:w="2258" w:type="dxa"/>
          </w:tcPr>
          <w:p w14:paraId="40BBE311">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eastAsia="宋体" w:cs="宋体"/>
                <w:b/>
                <w:bCs/>
                <w:color w:val="auto"/>
                <w:sz w:val="36"/>
                <w:szCs w:val="36"/>
                <w:vertAlign w:val="baseline"/>
              </w:rPr>
            </w:pPr>
            <w:r>
              <w:rPr>
                <w:rFonts w:hint="eastAsia" w:ascii="宋体" w:hAnsi="宋体" w:eastAsia="宋体" w:cs="宋体"/>
                <w:b/>
                <w:bCs/>
                <w:color w:val="auto"/>
                <w:sz w:val="36"/>
                <w:szCs w:val="36"/>
                <w:vertAlign w:val="baseline"/>
              </w:rPr>
              <w:t>责任单位</w:t>
            </w:r>
          </w:p>
        </w:tc>
      </w:tr>
      <w:tr w14:paraId="699F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769" w:type="dxa"/>
            <w:gridSpan w:val="3"/>
            <w:vAlign w:val="center"/>
          </w:tcPr>
          <w:p w14:paraId="22662FC2">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color w:val="auto"/>
                <w:sz w:val="32"/>
                <w:szCs w:val="32"/>
                <w:vertAlign w:val="baseline"/>
              </w:rPr>
            </w:pPr>
            <w:r>
              <w:rPr>
                <w:rFonts w:hint="eastAsia" w:ascii="黑体" w:hAnsi="黑体" w:eastAsia="黑体" w:cs="黑体"/>
                <w:b w:val="0"/>
                <w:bCs w:val="0"/>
                <w:color w:val="000000"/>
                <w:sz w:val="28"/>
                <w:szCs w:val="28"/>
                <w:vertAlign w:val="baseline"/>
              </w:rPr>
              <w:t>第一阶段：前期研究（2024年</w:t>
            </w:r>
            <w:r>
              <w:rPr>
                <w:rFonts w:hint="eastAsia" w:ascii="黑体" w:hAnsi="黑体" w:eastAsia="黑体" w:cs="黑体"/>
                <w:b w:val="0"/>
                <w:bCs w:val="0"/>
                <w:color w:val="000000"/>
                <w:sz w:val="28"/>
                <w:szCs w:val="28"/>
                <w:vertAlign w:val="baseline"/>
                <w:lang w:val="en-US" w:eastAsia="zh-CN"/>
              </w:rPr>
              <w:t>6</w:t>
            </w:r>
            <w:r>
              <w:rPr>
                <w:rFonts w:hint="eastAsia" w:ascii="黑体" w:hAnsi="黑体" w:eastAsia="黑体" w:cs="黑体"/>
                <w:b w:val="0"/>
                <w:bCs w:val="0"/>
                <w:color w:val="000000"/>
                <w:sz w:val="28"/>
                <w:szCs w:val="28"/>
                <w:vertAlign w:val="baseline"/>
              </w:rPr>
              <w:t>月-2024年12月底前）</w:t>
            </w:r>
          </w:p>
        </w:tc>
      </w:tr>
      <w:tr w14:paraId="62EA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2007" w:type="dxa"/>
            <w:vAlign w:val="center"/>
          </w:tcPr>
          <w:p w14:paraId="531E14A7">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rPr>
              <w:t>2024年</w:t>
            </w:r>
            <w:r>
              <w:rPr>
                <w:rFonts w:hint="eastAsia" w:ascii="仿宋_GB2312" w:hAnsi="仿宋_GB2312" w:eastAsia="仿宋_GB2312" w:cs="仿宋_GB2312"/>
                <w:b w:val="0"/>
                <w:bCs w:val="0"/>
                <w:color w:val="auto"/>
                <w:sz w:val="24"/>
                <w:szCs w:val="24"/>
                <w:vertAlign w:val="baseline"/>
                <w:lang w:val="en-US" w:eastAsia="zh-CN"/>
              </w:rPr>
              <w:t>6</w:t>
            </w:r>
            <w:r>
              <w:rPr>
                <w:rFonts w:hint="eastAsia" w:ascii="仿宋_GB2312" w:hAnsi="仿宋_GB2312" w:eastAsia="仿宋_GB2312" w:cs="仿宋_GB2312"/>
                <w:b w:val="0"/>
                <w:bCs w:val="0"/>
                <w:color w:val="auto"/>
                <w:sz w:val="24"/>
                <w:szCs w:val="24"/>
                <w:vertAlign w:val="baseline"/>
              </w:rPr>
              <w:t>月底前</w:t>
            </w:r>
          </w:p>
        </w:tc>
        <w:tc>
          <w:tcPr>
            <w:tcW w:w="4504" w:type="dxa"/>
            <w:vAlign w:val="center"/>
          </w:tcPr>
          <w:p w14:paraId="2ADF3A35">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rPr>
              <w:t>召开全</w:t>
            </w: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“十五五”规划编制工作会议，成立领导机构和工作专班，印发工作方案。</w:t>
            </w:r>
          </w:p>
        </w:tc>
        <w:tc>
          <w:tcPr>
            <w:tcW w:w="2258" w:type="dxa"/>
            <w:vAlign w:val="center"/>
          </w:tcPr>
          <w:p w14:paraId="4071E6D2">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lang w:eastAsia="zh-CN"/>
              </w:rPr>
              <w:t>县发改局</w:t>
            </w:r>
            <w:r>
              <w:rPr>
                <w:rFonts w:hint="eastAsia" w:ascii="仿宋_GB2312" w:hAnsi="仿宋_GB2312" w:eastAsia="仿宋_GB2312" w:cs="仿宋_GB2312"/>
                <w:b w:val="0"/>
                <w:bCs w:val="0"/>
                <w:color w:val="auto"/>
                <w:sz w:val="24"/>
                <w:szCs w:val="24"/>
                <w:vertAlign w:val="baseline"/>
              </w:rPr>
              <w:t>牵头，</w:t>
            </w: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有关部门参与</w:t>
            </w:r>
          </w:p>
        </w:tc>
      </w:tr>
      <w:tr w14:paraId="6049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007" w:type="dxa"/>
            <w:vAlign w:val="center"/>
          </w:tcPr>
          <w:p w14:paraId="7CD5EBD2">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rPr>
              <w:t>2024年</w:t>
            </w:r>
            <w:r>
              <w:rPr>
                <w:rFonts w:hint="eastAsia" w:ascii="仿宋_GB2312" w:hAnsi="仿宋_GB2312" w:eastAsia="仿宋_GB2312" w:cs="仿宋_GB2312"/>
                <w:b w:val="0"/>
                <w:bCs w:val="0"/>
                <w:color w:val="auto"/>
                <w:sz w:val="24"/>
                <w:szCs w:val="24"/>
                <w:vertAlign w:val="baseline"/>
                <w:lang w:val="en-US" w:eastAsia="zh-CN"/>
              </w:rPr>
              <w:t>7</w:t>
            </w:r>
            <w:r>
              <w:rPr>
                <w:rFonts w:hint="eastAsia" w:ascii="仿宋_GB2312" w:hAnsi="仿宋_GB2312" w:eastAsia="仿宋_GB2312" w:cs="仿宋_GB2312"/>
                <w:b w:val="0"/>
                <w:bCs w:val="0"/>
                <w:color w:val="auto"/>
                <w:sz w:val="24"/>
                <w:szCs w:val="24"/>
                <w:vertAlign w:val="baseline"/>
              </w:rPr>
              <w:t>月底前</w:t>
            </w:r>
          </w:p>
        </w:tc>
        <w:tc>
          <w:tcPr>
            <w:tcW w:w="4504" w:type="dxa"/>
            <w:vAlign w:val="center"/>
          </w:tcPr>
          <w:p w14:paraId="19AD5565">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rPr>
              <w:t>启动</w:t>
            </w: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“十五五”规划前期课题研究。</w:t>
            </w:r>
          </w:p>
        </w:tc>
        <w:tc>
          <w:tcPr>
            <w:tcW w:w="2258" w:type="dxa"/>
            <w:vAlign w:val="center"/>
          </w:tcPr>
          <w:p w14:paraId="1A1AEE2F">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发改</w:t>
            </w:r>
            <w:r>
              <w:rPr>
                <w:rFonts w:hint="eastAsia" w:ascii="仿宋_GB2312" w:hAnsi="仿宋_GB2312" w:eastAsia="仿宋_GB2312" w:cs="仿宋_GB2312"/>
                <w:b w:val="0"/>
                <w:bCs w:val="0"/>
                <w:color w:val="auto"/>
                <w:sz w:val="24"/>
                <w:szCs w:val="24"/>
                <w:vertAlign w:val="baseline"/>
                <w:lang w:eastAsia="zh-CN"/>
              </w:rPr>
              <w:t>局</w:t>
            </w:r>
            <w:r>
              <w:rPr>
                <w:rFonts w:hint="eastAsia" w:ascii="仿宋_GB2312" w:hAnsi="仿宋_GB2312" w:eastAsia="仿宋_GB2312" w:cs="仿宋_GB2312"/>
                <w:b w:val="0"/>
                <w:bCs w:val="0"/>
                <w:color w:val="auto"/>
                <w:sz w:val="24"/>
                <w:szCs w:val="24"/>
                <w:vertAlign w:val="baseline"/>
              </w:rPr>
              <w:t>统筹，</w:t>
            </w: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有关部门分别牵头</w:t>
            </w:r>
          </w:p>
        </w:tc>
      </w:tr>
      <w:tr w14:paraId="1788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vAlign w:val="center"/>
          </w:tcPr>
          <w:p w14:paraId="2952F744">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rPr>
              <w:t>2024年</w:t>
            </w:r>
            <w:r>
              <w:rPr>
                <w:rFonts w:hint="eastAsia" w:ascii="仿宋_GB2312" w:hAnsi="仿宋_GB2312" w:eastAsia="仿宋_GB2312" w:cs="仿宋_GB2312"/>
                <w:b w:val="0"/>
                <w:bCs w:val="0"/>
                <w:color w:val="auto"/>
                <w:sz w:val="24"/>
                <w:szCs w:val="24"/>
                <w:vertAlign w:val="baseline"/>
                <w:lang w:val="en-US" w:eastAsia="zh-CN"/>
              </w:rPr>
              <w:t>7</w:t>
            </w:r>
            <w:r>
              <w:rPr>
                <w:rFonts w:hint="eastAsia" w:ascii="仿宋_GB2312" w:hAnsi="仿宋_GB2312" w:eastAsia="仿宋_GB2312" w:cs="仿宋_GB2312"/>
                <w:b w:val="0"/>
                <w:bCs w:val="0"/>
                <w:color w:val="auto"/>
                <w:sz w:val="24"/>
                <w:szCs w:val="24"/>
                <w:vertAlign w:val="baseline"/>
              </w:rPr>
              <w:t>月底前</w:t>
            </w:r>
          </w:p>
        </w:tc>
        <w:tc>
          <w:tcPr>
            <w:tcW w:w="4504" w:type="dxa"/>
            <w:vAlign w:val="center"/>
          </w:tcPr>
          <w:p w14:paraId="6E74CB08">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rPr>
              <w:t>制定</w:t>
            </w: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“十五五”重点专项规划编制目录清单，报</w:t>
            </w: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人民政府批</w:t>
            </w:r>
            <w:r>
              <w:rPr>
                <w:rFonts w:hint="eastAsia" w:ascii="仿宋_GB2312" w:hAnsi="仿宋_GB2312" w:eastAsia="仿宋_GB2312" w:cs="仿宋_GB2312"/>
                <w:b w:val="0"/>
                <w:bCs w:val="0"/>
                <w:color w:val="auto"/>
                <w:sz w:val="24"/>
                <w:szCs w:val="24"/>
                <w:vertAlign w:val="baseline"/>
                <w:lang w:eastAsia="zh-CN"/>
              </w:rPr>
              <w:t>准。</w:t>
            </w:r>
          </w:p>
        </w:tc>
        <w:tc>
          <w:tcPr>
            <w:tcW w:w="2258" w:type="dxa"/>
            <w:vAlign w:val="center"/>
          </w:tcPr>
          <w:p w14:paraId="1CE4798C">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发改</w:t>
            </w:r>
            <w:r>
              <w:rPr>
                <w:rFonts w:hint="eastAsia" w:ascii="仿宋_GB2312" w:hAnsi="仿宋_GB2312" w:eastAsia="仿宋_GB2312" w:cs="仿宋_GB2312"/>
                <w:b w:val="0"/>
                <w:bCs w:val="0"/>
                <w:color w:val="auto"/>
                <w:sz w:val="24"/>
                <w:szCs w:val="24"/>
                <w:vertAlign w:val="baseline"/>
                <w:lang w:eastAsia="zh-CN"/>
              </w:rPr>
              <w:t>局</w:t>
            </w:r>
            <w:r>
              <w:rPr>
                <w:rFonts w:hint="eastAsia" w:ascii="仿宋_GB2312" w:hAnsi="仿宋_GB2312" w:eastAsia="仿宋_GB2312" w:cs="仿宋_GB2312"/>
                <w:b w:val="0"/>
                <w:bCs w:val="0"/>
                <w:color w:val="auto"/>
                <w:sz w:val="24"/>
                <w:szCs w:val="24"/>
                <w:vertAlign w:val="baseline"/>
              </w:rPr>
              <w:t>牵</w:t>
            </w:r>
            <w:r>
              <w:rPr>
                <w:rFonts w:hint="eastAsia" w:ascii="仿宋_GB2312" w:hAnsi="仿宋_GB2312" w:eastAsia="仿宋_GB2312" w:cs="仿宋_GB2312"/>
                <w:b w:val="0"/>
                <w:bCs w:val="0"/>
                <w:color w:val="auto"/>
                <w:sz w:val="24"/>
                <w:szCs w:val="24"/>
                <w:vertAlign w:val="baseline"/>
                <w:lang w:eastAsia="zh-CN"/>
              </w:rPr>
              <w:t>头县</w:t>
            </w:r>
            <w:r>
              <w:rPr>
                <w:rFonts w:hint="eastAsia" w:ascii="仿宋_GB2312" w:hAnsi="仿宋_GB2312" w:eastAsia="仿宋_GB2312" w:cs="仿宋_GB2312"/>
                <w:b w:val="0"/>
                <w:bCs w:val="0"/>
                <w:color w:val="auto"/>
                <w:sz w:val="24"/>
                <w:szCs w:val="24"/>
                <w:vertAlign w:val="baseline"/>
              </w:rPr>
              <w:t>有关部门参与</w:t>
            </w:r>
          </w:p>
        </w:tc>
      </w:tr>
      <w:tr w14:paraId="6CF5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vAlign w:val="center"/>
          </w:tcPr>
          <w:p w14:paraId="22674388">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b w:val="0"/>
                <w:bCs w:val="0"/>
                <w:color w:val="auto"/>
                <w:sz w:val="24"/>
                <w:szCs w:val="24"/>
                <w:vertAlign w:val="baseline"/>
              </w:rPr>
            </w:pPr>
          </w:p>
          <w:p w14:paraId="33BC8230">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rPr>
              <w:t>2024年</w:t>
            </w:r>
            <w:r>
              <w:rPr>
                <w:rFonts w:hint="eastAsia" w:ascii="仿宋_GB2312" w:hAnsi="仿宋_GB2312" w:eastAsia="仿宋_GB2312" w:cs="仿宋_GB2312"/>
                <w:b w:val="0"/>
                <w:bCs w:val="0"/>
                <w:color w:val="auto"/>
                <w:sz w:val="24"/>
                <w:szCs w:val="24"/>
                <w:vertAlign w:val="baseline"/>
                <w:lang w:val="en-US" w:eastAsia="zh-CN"/>
              </w:rPr>
              <w:t>7</w:t>
            </w:r>
            <w:r>
              <w:rPr>
                <w:rFonts w:hint="eastAsia" w:ascii="仿宋_GB2312" w:hAnsi="仿宋_GB2312" w:eastAsia="仿宋_GB2312" w:cs="仿宋_GB2312"/>
                <w:b w:val="0"/>
                <w:bCs w:val="0"/>
                <w:color w:val="auto"/>
                <w:sz w:val="24"/>
                <w:szCs w:val="24"/>
                <w:vertAlign w:val="baseline"/>
              </w:rPr>
              <w:t>月底前</w:t>
            </w:r>
          </w:p>
        </w:tc>
        <w:tc>
          <w:tcPr>
            <w:tcW w:w="4504" w:type="dxa"/>
            <w:vAlign w:val="center"/>
          </w:tcPr>
          <w:p w14:paraId="5FC0AB39">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rPr>
              <w:t>研究提出</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rPr>
              <w:t>三个重大</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rPr>
              <w:t>建议及</w:t>
            </w:r>
            <w:r>
              <w:rPr>
                <w:rFonts w:hint="eastAsia" w:ascii="仿宋_GB2312" w:hAnsi="仿宋_GB2312" w:eastAsia="仿宋_GB2312" w:cs="仿宋_GB2312"/>
                <w:b w:val="0"/>
                <w:bCs w:val="0"/>
                <w:color w:val="auto"/>
                <w:sz w:val="24"/>
                <w:szCs w:val="24"/>
                <w:vertAlign w:val="baseline"/>
                <w:lang w:val="en-US" w:eastAsia="zh-CN"/>
              </w:rPr>
              <w:t>县</w:t>
            </w:r>
            <w:r>
              <w:rPr>
                <w:rFonts w:hint="eastAsia" w:ascii="仿宋_GB2312" w:hAnsi="仿宋_GB2312" w:eastAsia="仿宋_GB2312" w:cs="仿宋_GB2312"/>
                <w:b w:val="0"/>
                <w:bCs w:val="0"/>
                <w:color w:val="auto"/>
                <w:sz w:val="24"/>
                <w:szCs w:val="24"/>
                <w:vertAlign w:val="baseline"/>
              </w:rPr>
              <w:t>规划《基本思路》重点内容初步考虑</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rPr>
              <w:t>报请</w:t>
            </w: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委、</w:t>
            </w: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政府研究后，报</w:t>
            </w:r>
            <w:r>
              <w:rPr>
                <w:rFonts w:hint="eastAsia" w:ascii="仿宋_GB2312" w:hAnsi="仿宋_GB2312" w:eastAsia="仿宋_GB2312" w:cs="仿宋_GB2312"/>
                <w:b w:val="0"/>
                <w:bCs w:val="0"/>
                <w:color w:val="auto"/>
                <w:sz w:val="24"/>
                <w:szCs w:val="24"/>
                <w:vertAlign w:val="baseline"/>
                <w:lang w:eastAsia="zh-CN"/>
              </w:rPr>
              <w:t>市</w:t>
            </w:r>
            <w:r>
              <w:rPr>
                <w:rFonts w:hint="eastAsia" w:ascii="仿宋_GB2312" w:hAnsi="仿宋_GB2312" w:eastAsia="仿宋_GB2312" w:cs="仿宋_GB2312"/>
                <w:b w:val="0"/>
                <w:bCs w:val="0"/>
                <w:color w:val="auto"/>
                <w:sz w:val="24"/>
                <w:szCs w:val="24"/>
                <w:vertAlign w:val="baseline"/>
              </w:rPr>
              <w:t>发改委；启动建立“十五五”重大项目库。</w:t>
            </w:r>
          </w:p>
        </w:tc>
        <w:tc>
          <w:tcPr>
            <w:tcW w:w="2258" w:type="dxa"/>
            <w:vAlign w:val="center"/>
          </w:tcPr>
          <w:p w14:paraId="13D1A86D">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发改</w:t>
            </w:r>
            <w:r>
              <w:rPr>
                <w:rFonts w:hint="eastAsia" w:ascii="仿宋_GB2312" w:hAnsi="仿宋_GB2312" w:eastAsia="仿宋_GB2312" w:cs="仿宋_GB2312"/>
                <w:b w:val="0"/>
                <w:bCs w:val="0"/>
                <w:color w:val="auto"/>
                <w:sz w:val="24"/>
                <w:szCs w:val="24"/>
                <w:vertAlign w:val="baseline"/>
                <w:lang w:eastAsia="zh-CN"/>
              </w:rPr>
              <w:t>局</w:t>
            </w:r>
            <w:r>
              <w:rPr>
                <w:rFonts w:hint="eastAsia" w:ascii="仿宋_GB2312" w:hAnsi="仿宋_GB2312" w:eastAsia="仿宋_GB2312" w:cs="仿宋_GB2312"/>
                <w:b w:val="0"/>
                <w:bCs w:val="0"/>
                <w:color w:val="auto"/>
                <w:sz w:val="24"/>
                <w:szCs w:val="24"/>
                <w:vertAlign w:val="baseline"/>
              </w:rPr>
              <w:t>牵头，</w:t>
            </w: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有关部门参与</w:t>
            </w:r>
          </w:p>
        </w:tc>
      </w:tr>
      <w:tr w14:paraId="71A1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vAlign w:val="center"/>
          </w:tcPr>
          <w:p w14:paraId="52E3166A">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rPr>
              <w:t>2024年8月底前</w:t>
            </w:r>
          </w:p>
        </w:tc>
        <w:tc>
          <w:tcPr>
            <w:tcW w:w="4504" w:type="dxa"/>
            <w:vAlign w:val="center"/>
          </w:tcPr>
          <w:p w14:paraId="53601A7B">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rPr>
              <w:t>提交所有前期研究课题中期成果。</w:t>
            </w:r>
          </w:p>
        </w:tc>
        <w:tc>
          <w:tcPr>
            <w:tcW w:w="2258" w:type="dxa"/>
            <w:vAlign w:val="center"/>
          </w:tcPr>
          <w:p w14:paraId="4D88C85E">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发改</w:t>
            </w:r>
            <w:r>
              <w:rPr>
                <w:rFonts w:hint="eastAsia" w:ascii="仿宋_GB2312" w:hAnsi="仿宋_GB2312" w:eastAsia="仿宋_GB2312" w:cs="仿宋_GB2312"/>
                <w:b w:val="0"/>
                <w:bCs w:val="0"/>
                <w:color w:val="auto"/>
                <w:sz w:val="24"/>
                <w:szCs w:val="24"/>
                <w:vertAlign w:val="baseline"/>
                <w:lang w:eastAsia="zh-CN"/>
              </w:rPr>
              <w:t>局</w:t>
            </w:r>
            <w:r>
              <w:rPr>
                <w:rFonts w:hint="eastAsia" w:ascii="仿宋_GB2312" w:hAnsi="仿宋_GB2312" w:eastAsia="仿宋_GB2312" w:cs="仿宋_GB2312"/>
                <w:b w:val="0"/>
                <w:bCs w:val="0"/>
                <w:color w:val="auto"/>
                <w:sz w:val="24"/>
                <w:szCs w:val="24"/>
                <w:vertAlign w:val="baseline"/>
              </w:rPr>
              <w:t>统筹，</w:t>
            </w: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有关部门分别牵头</w:t>
            </w:r>
          </w:p>
        </w:tc>
      </w:tr>
      <w:tr w14:paraId="47F0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vAlign w:val="center"/>
          </w:tcPr>
          <w:p w14:paraId="0BF26A1B">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rPr>
              <w:t>2024年9月底前</w:t>
            </w:r>
          </w:p>
        </w:tc>
        <w:tc>
          <w:tcPr>
            <w:tcW w:w="4504" w:type="dxa"/>
            <w:vAlign w:val="center"/>
          </w:tcPr>
          <w:p w14:paraId="08D17B5D">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规划《基本思路》重点内容报请</w:t>
            </w: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委、</w:t>
            </w: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政府研究后，报</w:t>
            </w:r>
            <w:r>
              <w:rPr>
                <w:rFonts w:hint="eastAsia" w:ascii="仿宋_GB2312" w:hAnsi="仿宋_GB2312" w:eastAsia="仿宋_GB2312" w:cs="仿宋_GB2312"/>
                <w:b w:val="0"/>
                <w:bCs w:val="0"/>
                <w:color w:val="auto"/>
                <w:sz w:val="24"/>
                <w:szCs w:val="24"/>
                <w:vertAlign w:val="baseline"/>
                <w:lang w:eastAsia="zh-CN"/>
              </w:rPr>
              <w:t>市</w:t>
            </w:r>
            <w:r>
              <w:rPr>
                <w:rFonts w:hint="eastAsia" w:ascii="仿宋_GB2312" w:hAnsi="仿宋_GB2312" w:eastAsia="仿宋_GB2312" w:cs="仿宋_GB2312"/>
                <w:b w:val="0"/>
                <w:bCs w:val="0"/>
                <w:color w:val="auto"/>
                <w:sz w:val="24"/>
                <w:szCs w:val="24"/>
                <w:vertAlign w:val="baseline"/>
              </w:rPr>
              <w:t>发改委</w:t>
            </w:r>
            <w:r>
              <w:rPr>
                <w:rFonts w:hint="eastAsia" w:ascii="仿宋_GB2312" w:hAnsi="仿宋_GB2312" w:eastAsia="仿宋_GB2312" w:cs="仿宋_GB2312"/>
                <w:b w:val="0"/>
                <w:bCs w:val="0"/>
                <w:color w:val="auto"/>
                <w:sz w:val="24"/>
                <w:szCs w:val="24"/>
                <w:vertAlign w:val="baseline"/>
                <w:lang w:eastAsia="zh-CN"/>
              </w:rPr>
              <w:t>。</w:t>
            </w:r>
          </w:p>
        </w:tc>
        <w:tc>
          <w:tcPr>
            <w:tcW w:w="2258" w:type="dxa"/>
            <w:vAlign w:val="center"/>
          </w:tcPr>
          <w:p w14:paraId="5366FDBF">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发改</w:t>
            </w:r>
            <w:r>
              <w:rPr>
                <w:rFonts w:hint="eastAsia" w:ascii="仿宋_GB2312" w:hAnsi="仿宋_GB2312" w:eastAsia="仿宋_GB2312" w:cs="仿宋_GB2312"/>
                <w:b w:val="0"/>
                <w:bCs w:val="0"/>
                <w:color w:val="auto"/>
                <w:sz w:val="24"/>
                <w:szCs w:val="24"/>
                <w:vertAlign w:val="baseline"/>
                <w:lang w:eastAsia="zh-CN"/>
              </w:rPr>
              <w:t>局</w:t>
            </w:r>
            <w:r>
              <w:rPr>
                <w:rFonts w:hint="eastAsia" w:ascii="仿宋_GB2312" w:hAnsi="仿宋_GB2312" w:eastAsia="仿宋_GB2312" w:cs="仿宋_GB2312"/>
                <w:b w:val="0"/>
                <w:bCs w:val="0"/>
                <w:color w:val="auto"/>
                <w:sz w:val="24"/>
                <w:szCs w:val="24"/>
                <w:vertAlign w:val="baseline"/>
              </w:rPr>
              <w:t>牵头，</w:t>
            </w: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有关部门参与</w:t>
            </w:r>
          </w:p>
        </w:tc>
      </w:tr>
      <w:tr w14:paraId="1880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vAlign w:val="center"/>
          </w:tcPr>
          <w:p w14:paraId="1C42A58B">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rPr>
              <w:t>2024年10月底前</w:t>
            </w:r>
          </w:p>
        </w:tc>
        <w:tc>
          <w:tcPr>
            <w:tcW w:w="4504" w:type="dxa"/>
            <w:vAlign w:val="center"/>
          </w:tcPr>
          <w:p w14:paraId="537E4DF6">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rPr>
              <w:t>前期研究课题全部结题。</w:t>
            </w:r>
          </w:p>
        </w:tc>
        <w:tc>
          <w:tcPr>
            <w:tcW w:w="2258" w:type="dxa"/>
            <w:vAlign w:val="center"/>
          </w:tcPr>
          <w:p w14:paraId="375A1961">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发改</w:t>
            </w:r>
            <w:r>
              <w:rPr>
                <w:rFonts w:hint="eastAsia" w:ascii="仿宋_GB2312" w:hAnsi="仿宋_GB2312" w:eastAsia="仿宋_GB2312" w:cs="仿宋_GB2312"/>
                <w:b w:val="0"/>
                <w:bCs w:val="0"/>
                <w:color w:val="auto"/>
                <w:sz w:val="24"/>
                <w:szCs w:val="24"/>
                <w:vertAlign w:val="baseline"/>
                <w:lang w:eastAsia="zh-CN"/>
              </w:rPr>
              <w:t>局</w:t>
            </w:r>
            <w:r>
              <w:rPr>
                <w:rFonts w:hint="eastAsia" w:ascii="仿宋_GB2312" w:hAnsi="仿宋_GB2312" w:eastAsia="仿宋_GB2312" w:cs="仿宋_GB2312"/>
                <w:b w:val="0"/>
                <w:bCs w:val="0"/>
                <w:color w:val="auto"/>
                <w:sz w:val="24"/>
                <w:szCs w:val="24"/>
                <w:vertAlign w:val="baseline"/>
              </w:rPr>
              <w:t>统筹，</w:t>
            </w: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有关部门分别牵头</w:t>
            </w:r>
          </w:p>
        </w:tc>
      </w:tr>
      <w:tr w14:paraId="79BF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vAlign w:val="center"/>
          </w:tcPr>
          <w:p w14:paraId="0D9E8BDD">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rPr>
              <w:t>2024年12月底前</w:t>
            </w:r>
          </w:p>
        </w:tc>
        <w:tc>
          <w:tcPr>
            <w:tcW w:w="4504" w:type="dxa"/>
            <w:vAlign w:val="center"/>
          </w:tcPr>
          <w:p w14:paraId="5EC08B05">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规划《基本思路》报请</w:t>
            </w: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委、</w:t>
            </w: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政府审议。</w:t>
            </w:r>
          </w:p>
        </w:tc>
        <w:tc>
          <w:tcPr>
            <w:tcW w:w="2258" w:type="dxa"/>
            <w:vAlign w:val="center"/>
          </w:tcPr>
          <w:p w14:paraId="5B534183">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b w:val="0"/>
                <w:bCs w:val="0"/>
                <w:color w:val="auto"/>
                <w:sz w:val="24"/>
                <w:szCs w:val="24"/>
                <w:vertAlign w:val="baseline"/>
                <w:lang w:val="en-US" w:eastAsia="en-US"/>
              </w:rPr>
            </w:pPr>
            <w:r>
              <w:rPr>
                <w:rFonts w:hint="eastAsia" w:ascii="仿宋_GB2312" w:hAnsi="仿宋_GB2312" w:eastAsia="仿宋_GB2312" w:cs="仿宋_GB2312"/>
                <w:b w:val="0"/>
                <w:bCs w:val="0"/>
                <w:color w:val="auto"/>
                <w:sz w:val="24"/>
                <w:szCs w:val="24"/>
                <w:vertAlign w:val="baseline"/>
                <w:lang w:eastAsia="zh-CN"/>
              </w:rPr>
              <w:t>县</w:t>
            </w:r>
            <w:r>
              <w:rPr>
                <w:rFonts w:hint="eastAsia" w:ascii="仿宋_GB2312" w:hAnsi="仿宋_GB2312" w:eastAsia="仿宋_GB2312" w:cs="仿宋_GB2312"/>
                <w:b w:val="0"/>
                <w:bCs w:val="0"/>
                <w:color w:val="auto"/>
                <w:sz w:val="24"/>
                <w:szCs w:val="24"/>
                <w:vertAlign w:val="baseline"/>
              </w:rPr>
              <w:t>发改</w:t>
            </w:r>
            <w:r>
              <w:rPr>
                <w:rFonts w:hint="eastAsia" w:ascii="仿宋_GB2312" w:hAnsi="仿宋_GB2312" w:eastAsia="仿宋_GB2312" w:cs="仿宋_GB2312"/>
                <w:b w:val="0"/>
                <w:bCs w:val="0"/>
                <w:color w:val="auto"/>
                <w:sz w:val="24"/>
                <w:szCs w:val="24"/>
                <w:vertAlign w:val="baseline"/>
                <w:lang w:eastAsia="zh-CN"/>
              </w:rPr>
              <w:t>局</w:t>
            </w:r>
            <w:r>
              <w:rPr>
                <w:rFonts w:hint="eastAsia" w:ascii="仿宋_GB2312" w:hAnsi="仿宋_GB2312" w:eastAsia="仿宋_GB2312" w:cs="仿宋_GB2312"/>
                <w:b w:val="0"/>
                <w:bCs w:val="0"/>
                <w:color w:val="auto"/>
                <w:sz w:val="24"/>
                <w:szCs w:val="24"/>
                <w:vertAlign w:val="baseline"/>
              </w:rPr>
              <w:t>牵头</w:t>
            </w:r>
          </w:p>
        </w:tc>
      </w:tr>
      <w:tr w14:paraId="42C9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9" w:type="dxa"/>
            <w:gridSpan w:val="3"/>
          </w:tcPr>
          <w:p w14:paraId="39B96345">
            <w:pPr>
              <w:keepNext w:val="0"/>
              <w:keepLines w:val="0"/>
              <w:pageBreakBefore w:val="0"/>
              <w:widowControl w:val="0"/>
              <w:kinsoku w:val="0"/>
              <w:wordWrap/>
              <w:overflowPunct/>
              <w:topLinePunct w:val="0"/>
              <w:autoSpaceDE w:val="0"/>
              <w:autoSpaceDN w:val="0"/>
              <w:bidi w:val="0"/>
              <w:adjustRightInd w:val="0"/>
              <w:snapToGrid w:val="0"/>
              <w:spacing w:line="580" w:lineRule="exact"/>
              <w:jc w:val="left"/>
              <w:textAlignment w:val="baseline"/>
              <w:rPr>
                <w:rFonts w:hint="eastAsia" w:ascii="仿宋_GB2312" w:hAnsi="仿宋_GB2312" w:eastAsia="仿宋_GB2312" w:cs="仿宋_GB2312"/>
                <w:color w:val="auto"/>
                <w:sz w:val="32"/>
                <w:szCs w:val="32"/>
                <w:vertAlign w:val="baseline"/>
              </w:rPr>
            </w:pPr>
            <w:r>
              <w:rPr>
                <w:rFonts w:hint="eastAsia" w:ascii="黑体" w:hAnsi="黑体" w:eastAsia="黑体" w:cs="黑体"/>
                <w:color w:val="000000"/>
                <w:sz w:val="28"/>
                <w:szCs w:val="28"/>
                <w:vertAlign w:val="baseline"/>
              </w:rPr>
              <w:t>第二阶段：形成《纲要》框架（ 2025 年 1 月-</w:t>
            </w:r>
            <w:r>
              <w:rPr>
                <w:rFonts w:hint="eastAsia" w:ascii="黑体" w:hAnsi="黑体" w:eastAsia="黑体" w:cs="黑体"/>
                <w:color w:val="000000"/>
                <w:sz w:val="28"/>
                <w:szCs w:val="28"/>
                <w:vertAlign w:val="baseline"/>
                <w:lang w:eastAsia="zh-CN"/>
              </w:rPr>
              <w:t>县</w:t>
            </w:r>
            <w:r>
              <w:rPr>
                <w:rFonts w:hint="eastAsia" w:ascii="黑体" w:hAnsi="黑体" w:eastAsia="黑体" w:cs="黑体"/>
                <w:color w:val="000000"/>
                <w:sz w:val="28"/>
                <w:szCs w:val="28"/>
                <w:vertAlign w:val="baseline"/>
              </w:rPr>
              <w:t>委“十五五”规划《建议》出台前</w:t>
            </w:r>
          </w:p>
        </w:tc>
      </w:tr>
      <w:tr w14:paraId="30AE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07" w:type="dxa"/>
            <w:vAlign w:val="center"/>
          </w:tcPr>
          <w:p w14:paraId="3D43BBB7">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2025年1月</w:t>
            </w:r>
          </w:p>
        </w:tc>
        <w:tc>
          <w:tcPr>
            <w:tcW w:w="4504" w:type="dxa"/>
            <w:vAlign w:val="center"/>
          </w:tcPr>
          <w:p w14:paraId="4E9DF2D5">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开展建言献策活动。</w:t>
            </w:r>
          </w:p>
        </w:tc>
        <w:tc>
          <w:tcPr>
            <w:tcW w:w="2258" w:type="dxa"/>
            <w:vAlign w:val="center"/>
          </w:tcPr>
          <w:p w14:paraId="068CD91E">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发改</w:t>
            </w:r>
            <w:r>
              <w:rPr>
                <w:rFonts w:hint="eastAsia" w:ascii="仿宋_GB2312" w:hAnsi="仿宋_GB2312" w:eastAsia="仿宋_GB2312" w:cs="仿宋_GB2312"/>
                <w:color w:val="auto"/>
                <w:sz w:val="24"/>
                <w:szCs w:val="24"/>
                <w:vertAlign w:val="baseline"/>
                <w:lang w:eastAsia="zh-CN"/>
              </w:rPr>
              <w:t>局</w:t>
            </w:r>
            <w:r>
              <w:rPr>
                <w:rFonts w:hint="eastAsia" w:ascii="仿宋_GB2312" w:hAnsi="仿宋_GB2312" w:eastAsia="仿宋_GB2312" w:cs="仿宋_GB2312"/>
                <w:color w:val="auto"/>
                <w:sz w:val="24"/>
                <w:szCs w:val="24"/>
                <w:vertAlign w:val="baseline"/>
              </w:rPr>
              <w:t>牵头</w:t>
            </w:r>
          </w:p>
        </w:tc>
      </w:tr>
      <w:tr w14:paraId="5FC5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vAlign w:val="center"/>
          </w:tcPr>
          <w:p w14:paraId="27E683CB">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2025年2月底前</w:t>
            </w:r>
          </w:p>
        </w:tc>
        <w:tc>
          <w:tcPr>
            <w:tcW w:w="4504" w:type="dxa"/>
            <w:vAlign w:val="center"/>
          </w:tcPr>
          <w:p w14:paraId="6A5CBA38">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开展规划调研并形成调研报告。</w:t>
            </w:r>
          </w:p>
        </w:tc>
        <w:tc>
          <w:tcPr>
            <w:tcW w:w="2258" w:type="dxa"/>
            <w:vAlign w:val="center"/>
          </w:tcPr>
          <w:p w14:paraId="1802C263">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lang w:eastAsia="zh-CN"/>
              </w:rPr>
              <w:t>县发改局统筹，县有关部门分别牵头</w:t>
            </w:r>
          </w:p>
        </w:tc>
      </w:tr>
      <w:tr w14:paraId="3D34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vAlign w:val="center"/>
          </w:tcPr>
          <w:p w14:paraId="59558AE1">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color w:val="auto"/>
                <w:sz w:val="24"/>
                <w:szCs w:val="24"/>
                <w:vertAlign w:val="baseline"/>
              </w:rPr>
            </w:pPr>
          </w:p>
          <w:p w14:paraId="159ADB7A">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2025年6月底前</w:t>
            </w:r>
          </w:p>
        </w:tc>
        <w:tc>
          <w:tcPr>
            <w:tcW w:w="4504" w:type="dxa"/>
            <w:vAlign w:val="center"/>
          </w:tcPr>
          <w:p w14:paraId="4A41A86B">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起草形成</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rPr>
              <w:t>十五五”规划《纲要》框架；完成市“十五五”重大项目储备；结束建言献策活动。</w:t>
            </w:r>
          </w:p>
        </w:tc>
        <w:tc>
          <w:tcPr>
            <w:tcW w:w="2258" w:type="dxa"/>
            <w:vAlign w:val="center"/>
          </w:tcPr>
          <w:p w14:paraId="4E49FFF7">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发改</w:t>
            </w:r>
            <w:r>
              <w:rPr>
                <w:rFonts w:hint="eastAsia" w:ascii="仿宋_GB2312" w:hAnsi="仿宋_GB2312" w:eastAsia="仿宋_GB2312" w:cs="仿宋_GB2312"/>
                <w:color w:val="auto"/>
                <w:sz w:val="24"/>
                <w:szCs w:val="24"/>
                <w:vertAlign w:val="baseline"/>
                <w:lang w:eastAsia="zh-CN"/>
              </w:rPr>
              <w:t>局</w:t>
            </w:r>
            <w:r>
              <w:rPr>
                <w:rFonts w:hint="eastAsia" w:ascii="仿宋_GB2312" w:hAnsi="仿宋_GB2312" w:eastAsia="仿宋_GB2312" w:cs="仿宋_GB2312"/>
                <w:color w:val="auto"/>
                <w:sz w:val="24"/>
                <w:szCs w:val="24"/>
                <w:vertAlign w:val="baseline"/>
              </w:rPr>
              <w:t>牵头，</w:t>
            </w: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有关部门参与</w:t>
            </w:r>
          </w:p>
        </w:tc>
      </w:tr>
      <w:tr w14:paraId="4D9A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vAlign w:val="center"/>
          </w:tcPr>
          <w:p w14:paraId="301C92F7">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2025年7月底前</w:t>
            </w:r>
          </w:p>
        </w:tc>
        <w:tc>
          <w:tcPr>
            <w:tcW w:w="4504" w:type="dxa"/>
            <w:vAlign w:val="center"/>
          </w:tcPr>
          <w:p w14:paraId="1255A2C5">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报请</w:t>
            </w: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委、</w:t>
            </w: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政府召开“十五五”规划专家咨询委员会第一次会议。</w:t>
            </w:r>
          </w:p>
        </w:tc>
        <w:tc>
          <w:tcPr>
            <w:tcW w:w="2258" w:type="dxa"/>
            <w:vAlign w:val="center"/>
          </w:tcPr>
          <w:p w14:paraId="6F49B53E">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发改</w:t>
            </w:r>
            <w:r>
              <w:rPr>
                <w:rFonts w:hint="eastAsia" w:ascii="仿宋_GB2312" w:hAnsi="仿宋_GB2312" w:eastAsia="仿宋_GB2312" w:cs="仿宋_GB2312"/>
                <w:color w:val="auto"/>
                <w:sz w:val="24"/>
                <w:szCs w:val="24"/>
                <w:vertAlign w:val="baseline"/>
                <w:lang w:eastAsia="zh-CN"/>
              </w:rPr>
              <w:t>局</w:t>
            </w:r>
            <w:r>
              <w:rPr>
                <w:rFonts w:hint="eastAsia" w:ascii="仿宋_GB2312" w:hAnsi="仿宋_GB2312" w:eastAsia="仿宋_GB2312" w:cs="仿宋_GB2312"/>
                <w:color w:val="auto"/>
                <w:sz w:val="24"/>
                <w:szCs w:val="24"/>
                <w:vertAlign w:val="baseline"/>
              </w:rPr>
              <w:t>牵头，</w:t>
            </w: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有关部门参与</w:t>
            </w:r>
            <w:r>
              <w:rPr>
                <w:rFonts w:hint="eastAsia" w:ascii="仿宋_GB2312" w:hAnsi="仿宋_GB2312" w:eastAsia="仿宋_GB2312" w:cs="仿宋_GB2312"/>
                <w:color w:val="auto"/>
                <w:sz w:val="24"/>
                <w:szCs w:val="24"/>
                <w:vertAlign w:val="baseline"/>
                <w:lang w:eastAsia="zh-CN"/>
              </w:rPr>
              <w:t>。</w:t>
            </w:r>
          </w:p>
        </w:tc>
      </w:tr>
      <w:tr w14:paraId="1995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9" w:type="dxa"/>
            <w:gridSpan w:val="3"/>
          </w:tcPr>
          <w:p w14:paraId="2D962EEA">
            <w:pPr>
              <w:keepNext w:val="0"/>
              <w:keepLines w:val="0"/>
              <w:pageBreakBefore w:val="0"/>
              <w:widowControl w:val="0"/>
              <w:kinsoku w:val="0"/>
              <w:wordWrap/>
              <w:overflowPunct/>
              <w:topLinePunct w:val="0"/>
              <w:autoSpaceDE w:val="0"/>
              <w:autoSpaceDN w:val="0"/>
              <w:bidi w:val="0"/>
              <w:adjustRightInd w:val="0"/>
              <w:snapToGrid w:val="0"/>
              <w:spacing w:line="580" w:lineRule="exact"/>
              <w:jc w:val="left"/>
              <w:textAlignment w:val="baseline"/>
              <w:rPr>
                <w:rFonts w:hint="eastAsia" w:ascii="仿宋_GB2312" w:hAnsi="仿宋_GB2312" w:eastAsia="仿宋_GB2312" w:cs="仿宋_GB2312"/>
                <w:color w:val="auto"/>
                <w:sz w:val="32"/>
                <w:szCs w:val="32"/>
                <w:vertAlign w:val="baseline"/>
              </w:rPr>
            </w:pPr>
            <w:r>
              <w:rPr>
                <w:rFonts w:hint="eastAsia" w:ascii="黑体" w:hAnsi="黑体" w:eastAsia="黑体" w:cs="黑体"/>
                <w:color w:val="000000"/>
                <w:sz w:val="28"/>
                <w:szCs w:val="28"/>
                <w:vertAlign w:val="baseline"/>
              </w:rPr>
              <w:t>第三阶段：起草和征求意见（</w:t>
            </w:r>
            <w:r>
              <w:rPr>
                <w:rFonts w:hint="eastAsia" w:ascii="黑体" w:hAnsi="黑体" w:eastAsia="黑体" w:cs="黑体"/>
                <w:color w:val="000000"/>
                <w:sz w:val="28"/>
                <w:szCs w:val="28"/>
                <w:vertAlign w:val="baseline"/>
                <w:lang w:eastAsia="zh-CN"/>
              </w:rPr>
              <w:t>县</w:t>
            </w:r>
            <w:r>
              <w:rPr>
                <w:rFonts w:hint="eastAsia" w:ascii="黑体" w:hAnsi="黑体" w:eastAsia="黑体" w:cs="黑体"/>
                <w:color w:val="000000"/>
                <w:sz w:val="28"/>
                <w:szCs w:val="28"/>
                <w:vertAlign w:val="baseline"/>
              </w:rPr>
              <w:t>委“十五五”规划《建议》出台后-2025 年12月底前）</w:t>
            </w:r>
          </w:p>
        </w:tc>
      </w:tr>
      <w:tr w14:paraId="09DE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2007" w:type="dxa"/>
            <w:vAlign w:val="center"/>
          </w:tcPr>
          <w:p w14:paraId="54AB24DD">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2025年10月底前</w:t>
            </w:r>
          </w:p>
        </w:tc>
        <w:tc>
          <w:tcPr>
            <w:tcW w:w="4504" w:type="dxa"/>
            <w:vAlign w:val="center"/>
          </w:tcPr>
          <w:p w14:paraId="01A06AEA">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根据</w:t>
            </w: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委“十五五”规划《建议》形成规划《纲要》草案；完成</w:t>
            </w: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各专项规划初稿。</w:t>
            </w:r>
          </w:p>
        </w:tc>
        <w:tc>
          <w:tcPr>
            <w:tcW w:w="2258" w:type="dxa"/>
            <w:vAlign w:val="center"/>
          </w:tcPr>
          <w:p w14:paraId="762A49F7">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发改</w:t>
            </w:r>
            <w:r>
              <w:rPr>
                <w:rFonts w:hint="eastAsia" w:ascii="仿宋_GB2312" w:hAnsi="仿宋_GB2312" w:eastAsia="仿宋_GB2312" w:cs="仿宋_GB2312"/>
                <w:color w:val="auto"/>
                <w:sz w:val="24"/>
                <w:szCs w:val="24"/>
                <w:vertAlign w:val="baseline"/>
                <w:lang w:eastAsia="zh-CN"/>
              </w:rPr>
              <w:t>局</w:t>
            </w:r>
            <w:r>
              <w:rPr>
                <w:rFonts w:hint="eastAsia" w:ascii="仿宋_GB2312" w:hAnsi="仿宋_GB2312" w:eastAsia="仿宋_GB2312" w:cs="仿宋_GB2312"/>
                <w:color w:val="auto"/>
                <w:sz w:val="24"/>
                <w:szCs w:val="24"/>
                <w:vertAlign w:val="baseline"/>
              </w:rPr>
              <w:t>统筹，</w:t>
            </w: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有关部门分别牵头</w:t>
            </w:r>
          </w:p>
        </w:tc>
      </w:tr>
      <w:tr w14:paraId="5BEE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vAlign w:val="center"/>
          </w:tcPr>
          <w:p w14:paraId="3FBE9EEC">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2025年11月底前</w:t>
            </w:r>
          </w:p>
        </w:tc>
        <w:tc>
          <w:tcPr>
            <w:tcW w:w="4504" w:type="dxa"/>
            <w:vAlign w:val="center"/>
          </w:tcPr>
          <w:p w14:paraId="2C6B1FFC">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广泛征求各县各部门和代表委员</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rPr>
              <w:t>民主党派、企业家、群众团体的意见建议。</w:t>
            </w:r>
          </w:p>
        </w:tc>
        <w:tc>
          <w:tcPr>
            <w:tcW w:w="2258" w:type="dxa"/>
            <w:vAlign w:val="center"/>
          </w:tcPr>
          <w:p w14:paraId="0E045E24">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发改</w:t>
            </w:r>
            <w:r>
              <w:rPr>
                <w:rFonts w:hint="eastAsia" w:ascii="仿宋_GB2312" w:hAnsi="仿宋_GB2312" w:eastAsia="仿宋_GB2312" w:cs="仿宋_GB2312"/>
                <w:color w:val="auto"/>
                <w:sz w:val="24"/>
                <w:szCs w:val="24"/>
                <w:vertAlign w:val="baseline"/>
                <w:lang w:eastAsia="zh-CN"/>
              </w:rPr>
              <w:t>局</w:t>
            </w:r>
            <w:r>
              <w:rPr>
                <w:rFonts w:hint="eastAsia" w:ascii="仿宋_GB2312" w:hAnsi="仿宋_GB2312" w:eastAsia="仿宋_GB2312" w:cs="仿宋_GB2312"/>
                <w:color w:val="auto"/>
                <w:sz w:val="24"/>
                <w:szCs w:val="24"/>
                <w:vertAlign w:val="baseline"/>
              </w:rPr>
              <w:t>牵头</w:t>
            </w:r>
          </w:p>
        </w:tc>
      </w:tr>
      <w:tr w14:paraId="1583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vAlign w:val="center"/>
          </w:tcPr>
          <w:p w14:paraId="614CBA5A">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2025年12月底前</w:t>
            </w:r>
          </w:p>
        </w:tc>
        <w:tc>
          <w:tcPr>
            <w:tcW w:w="4504" w:type="dxa"/>
            <w:vAlign w:val="center"/>
          </w:tcPr>
          <w:p w14:paraId="36EE89F0">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对</w:t>
            </w: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规划《纲要》草案进行修改完善；</w:t>
            </w: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各专项规划形成成熟文本。</w:t>
            </w:r>
          </w:p>
        </w:tc>
        <w:tc>
          <w:tcPr>
            <w:tcW w:w="2258" w:type="dxa"/>
            <w:vAlign w:val="center"/>
          </w:tcPr>
          <w:p w14:paraId="249650E0">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发改</w:t>
            </w:r>
            <w:r>
              <w:rPr>
                <w:rFonts w:hint="eastAsia" w:ascii="仿宋_GB2312" w:hAnsi="仿宋_GB2312" w:eastAsia="仿宋_GB2312" w:cs="仿宋_GB2312"/>
                <w:color w:val="auto"/>
                <w:sz w:val="24"/>
                <w:szCs w:val="24"/>
                <w:vertAlign w:val="baseline"/>
                <w:lang w:eastAsia="zh-CN"/>
              </w:rPr>
              <w:t>局</w:t>
            </w:r>
            <w:r>
              <w:rPr>
                <w:rFonts w:hint="eastAsia" w:ascii="仿宋_GB2312" w:hAnsi="仿宋_GB2312" w:eastAsia="仿宋_GB2312" w:cs="仿宋_GB2312"/>
                <w:color w:val="auto"/>
                <w:sz w:val="24"/>
                <w:szCs w:val="24"/>
                <w:vertAlign w:val="baseline"/>
              </w:rPr>
              <w:t>统筹，</w:t>
            </w:r>
            <w:r>
              <w:rPr>
                <w:rFonts w:hint="eastAsia" w:ascii="仿宋_GB2312" w:hAnsi="仿宋_GB2312" w:eastAsia="仿宋_GB2312" w:cs="仿宋_GB2312"/>
                <w:color w:val="auto"/>
                <w:sz w:val="24"/>
                <w:szCs w:val="24"/>
                <w:vertAlign w:val="baseline"/>
                <w:lang w:eastAsia="zh-CN"/>
              </w:rPr>
              <w:t>县有</w:t>
            </w:r>
            <w:r>
              <w:rPr>
                <w:rFonts w:hint="eastAsia" w:ascii="仿宋_GB2312" w:hAnsi="仿宋_GB2312" w:eastAsia="仿宋_GB2312" w:cs="仿宋_GB2312"/>
                <w:color w:val="auto"/>
                <w:sz w:val="24"/>
                <w:szCs w:val="24"/>
                <w:vertAlign w:val="baseline"/>
              </w:rPr>
              <w:t>关部门分别牵头</w:t>
            </w:r>
          </w:p>
        </w:tc>
      </w:tr>
      <w:tr w14:paraId="2636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769" w:type="dxa"/>
            <w:gridSpan w:val="3"/>
            <w:vAlign w:val="center"/>
          </w:tcPr>
          <w:p w14:paraId="1BC1BD0E">
            <w:pPr>
              <w:keepNext w:val="0"/>
              <w:keepLines w:val="0"/>
              <w:pageBreakBefore w:val="0"/>
              <w:widowControl w:val="0"/>
              <w:tabs>
                <w:tab w:val="left" w:pos="3201"/>
              </w:tabs>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color w:val="000000"/>
                <w:sz w:val="32"/>
                <w:szCs w:val="32"/>
                <w:vertAlign w:val="baseline"/>
                <w:lang w:eastAsia="zh-CN"/>
              </w:rPr>
            </w:pPr>
            <w:r>
              <w:rPr>
                <w:rFonts w:hint="eastAsia" w:ascii="黑体" w:hAnsi="黑体" w:eastAsia="黑体" w:cs="黑体"/>
                <w:color w:val="000000"/>
                <w:sz w:val="28"/>
                <w:szCs w:val="28"/>
                <w:vertAlign w:val="baseline"/>
                <w:lang w:eastAsia="zh-CN"/>
              </w:rPr>
              <w:t>第四阶段：论证报批（ 2025 年 12 月-2026 年全县“两会”召开前）</w:t>
            </w:r>
          </w:p>
        </w:tc>
      </w:tr>
      <w:tr w14:paraId="7B0E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vAlign w:val="center"/>
          </w:tcPr>
          <w:p w14:paraId="20564B36">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2025年12月上旬前</w:t>
            </w:r>
          </w:p>
        </w:tc>
        <w:tc>
          <w:tcPr>
            <w:tcW w:w="4504" w:type="dxa"/>
            <w:vAlign w:val="center"/>
          </w:tcPr>
          <w:p w14:paraId="1968A43D">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召开</w:t>
            </w: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“十五五”规划专家咨询委员会第二次会议。</w:t>
            </w:r>
          </w:p>
        </w:tc>
        <w:tc>
          <w:tcPr>
            <w:tcW w:w="2258" w:type="dxa"/>
            <w:vAlign w:val="center"/>
          </w:tcPr>
          <w:p w14:paraId="66DD4E85">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发改</w:t>
            </w:r>
            <w:r>
              <w:rPr>
                <w:rFonts w:hint="eastAsia" w:ascii="仿宋_GB2312" w:hAnsi="仿宋_GB2312" w:eastAsia="仿宋_GB2312" w:cs="仿宋_GB2312"/>
                <w:color w:val="auto"/>
                <w:sz w:val="24"/>
                <w:szCs w:val="24"/>
                <w:vertAlign w:val="baseline"/>
                <w:lang w:eastAsia="zh-CN"/>
              </w:rPr>
              <w:t>局</w:t>
            </w:r>
            <w:r>
              <w:rPr>
                <w:rFonts w:hint="eastAsia" w:ascii="仿宋_GB2312" w:hAnsi="仿宋_GB2312" w:eastAsia="仿宋_GB2312" w:cs="仿宋_GB2312"/>
                <w:color w:val="auto"/>
                <w:sz w:val="24"/>
                <w:szCs w:val="24"/>
                <w:vertAlign w:val="baseline"/>
              </w:rPr>
              <w:t>牵头</w:t>
            </w:r>
          </w:p>
        </w:tc>
      </w:tr>
      <w:tr w14:paraId="5A2D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vAlign w:val="center"/>
          </w:tcPr>
          <w:p w14:paraId="72054233">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2025年12月底前</w:t>
            </w:r>
          </w:p>
        </w:tc>
        <w:tc>
          <w:tcPr>
            <w:tcW w:w="4504" w:type="dxa"/>
            <w:vAlign w:val="center"/>
          </w:tcPr>
          <w:p w14:paraId="4E4F90E3">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报请</w:t>
            </w: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委、</w:t>
            </w: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政府研究审议</w:t>
            </w: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“十五五”规划《纲要》草案。</w:t>
            </w:r>
          </w:p>
        </w:tc>
        <w:tc>
          <w:tcPr>
            <w:tcW w:w="2258" w:type="dxa"/>
            <w:vAlign w:val="center"/>
          </w:tcPr>
          <w:p w14:paraId="5A3758B7">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发改</w:t>
            </w:r>
            <w:r>
              <w:rPr>
                <w:rFonts w:hint="eastAsia" w:ascii="仿宋_GB2312" w:hAnsi="仿宋_GB2312" w:eastAsia="仿宋_GB2312" w:cs="仿宋_GB2312"/>
                <w:color w:val="auto"/>
                <w:sz w:val="24"/>
                <w:szCs w:val="24"/>
                <w:vertAlign w:val="baseline"/>
                <w:lang w:eastAsia="zh-CN"/>
              </w:rPr>
              <w:t>局</w:t>
            </w:r>
            <w:r>
              <w:rPr>
                <w:rFonts w:hint="eastAsia" w:ascii="仿宋_GB2312" w:hAnsi="仿宋_GB2312" w:eastAsia="仿宋_GB2312" w:cs="仿宋_GB2312"/>
                <w:color w:val="auto"/>
                <w:sz w:val="24"/>
                <w:szCs w:val="24"/>
                <w:vertAlign w:val="baseline"/>
              </w:rPr>
              <w:t>牵头</w:t>
            </w:r>
          </w:p>
        </w:tc>
      </w:tr>
      <w:tr w14:paraId="4EA8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vAlign w:val="center"/>
          </w:tcPr>
          <w:p w14:paraId="6F0B59E1">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2026年全</w:t>
            </w: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两会</w:t>
            </w:r>
            <w:r>
              <w:rPr>
                <w:rFonts w:hint="eastAsia" w:ascii="仿宋_GB2312" w:hAnsi="仿宋_GB2312" w:eastAsia="仿宋_GB2312" w:cs="仿宋_GB2312"/>
                <w:color w:val="auto"/>
                <w:sz w:val="24"/>
                <w:szCs w:val="24"/>
                <w:vertAlign w:val="baseline"/>
                <w:lang w:eastAsia="zh-CN"/>
              </w:rPr>
              <w:t>”</w:t>
            </w:r>
            <w:r>
              <w:rPr>
                <w:rFonts w:hint="eastAsia" w:ascii="仿宋_GB2312" w:hAnsi="仿宋_GB2312" w:eastAsia="仿宋_GB2312" w:cs="仿宋_GB2312"/>
                <w:color w:val="auto"/>
                <w:sz w:val="24"/>
                <w:szCs w:val="24"/>
                <w:vertAlign w:val="baseline"/>
              </w:rPr>
              <w:t>召开前</w:t>
            </w:r>
          </w:p>
        </w:tc>
        <w:tc>
          <w:tcPr>
            <w:tcW w:w="4504" w:type="dxa"/>
            <w:vAlign w:val="center"/>
          </w:tcPr>
          <w:p w14:paraId="280D10B4">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提请</w:t>
            </w: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人大审议</w:t>
            </w:r>
            <w:r>
              <w:rPr>
                <w:rFonts w:hint="eastAsia" w:ascii="仿宋_GB2312" w:hAnsi="仿宋_GB2312" w:eastAsia="仿宋_GB2312" w:cs="仿宋_GB2312"/>
                <w:color w:val="auto"/>
                <w:sz w:val="24"/>
                <w:szCs w:val="24"/>
                <w:vertAlign w:val="baseline"/>
                <w:lang w:val="en-US" w:eastAsia="zh-CN"/>
              </w:rPr>
              <w:t>县</w:t>
            </w:r>
            <w:r>
              <w:rPr>
                <w:rFonts w:hint="eastAsia" w:ascii="仿宋_GB2312" w:hAnsi="仿宋_GB2312" w:eastAsia="仿宋_GB2312" w:cs="仿宋_GB2312"/>
                <w:color w:val="auto"/>
                <w:sz w:val="24"/>
                <w:szCs w:val="24"/>
                <w:vertAlign w:val="baseline"/>
              </w:rPr>
              <w:t>规划《纲要》草</w:t>
            </w:r>
            <w:r>
              <w:rPr>
                <w:rFonts w:hint="eastAsia" w:ascii="仿宋_GB2312" w:hAnsi="仿宋_GB2312" w:eastAsia="仿宋_GB2312" w:cs="仿宋_GB2312"/>
                <w:color w:val="auto"/>
                <w:sz w:val="24"/>
                <w:szCs w:val="24"/>
                <w:vertAlign w:val="baseline"/>
                <w:lang w:eastAsia="zh-CN"/>
              </w:rPr>
              <w:t>案，</w:t>
            </w:r>
            <w:r>
              <w:rPr>
                <w:rFonts w:hint="eastAsia" w:ascii="仿宋_GB2312" w:hAnsi="仿宋_GB2312" w:eastAsia="仿宋_GB2312" w:cs="仿宋_GB2312"/>
                <w:color w:val="auto"/>
                <w:sz w:val="24"/>
                <w:szCs w:val="24"/>
                <w:vertAlign w:val="baseline"/>
              </w:rPr>
              <w:t>审议后发布。</w:t>
            </w:r>
          </w:p>
        </w:tc>
        <w:tc>
          <w:tcPr>
            <w:tcW w:w="2258" w:type="dxa"/>
            <w:vAlign w:val="center"/>
          </w:tcPr>
          <w:p w14:paraId="603DAEE8">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发改</w:t>
            </w:r>
            <w:r>
              <w:rPr>
                <w:rFonts w:hint="eastAsia" w:ascii="仿宋_GB2312" w:hAnsi="仿宋_GB2312" w:eastAsia="仿宋_GB2312" w:cs="仿宋_GB2312"/>
                <w:color w:val="auto"/>
                <w:sz w:val="24"/>
                <w:szCs w:val="24"/>
                <w:vertAlign w:val="baseline"/>
                <w:lang w:eastAsia="zh-CN"/>
              </w:rPr>
              <w:t>局</w:t>
            </w:r>
            <w:r>
              <w:rPr>
                <w:rFonts w:hint="eastAsia" w:ascii="仿宋_GB2312" w:hAnsi="仿宋_GB2312" w:eastAsia="仿宋_GB2312" w:cs="仿宋_GB2312"/>
                <w:color w:val="auto"/>
                <w:sz w:val="24"/>
                <w:szCs w:val="24"/>
                <w:vertAlign w:val="baseline"/>
              </w:rPr>
              <w:t>牵头</w:t>
            </w:r>
          </w:p>
        </w:tc>
      </w:tr>
      <w:tr w14:paraId="4209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vAlign w:val="center"/>
          </w:tcPr>
          <w:p w14:paraId="50DD5F13">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rPr>
              <w:t>2026年6月底前</w:t>
            </w:r>
          </w:p>
        </w:tc>
        <w:tc>
          <w:tcPr>
            <w:tcW w:w="4504" w:type="dxa"/>
            <w:vAlign w:val="center"/>
          </w:tcPr>
          <w:p w14:paraId="39BFA2E4">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各专项规划报请人大审议批准后发布。</w:t>
            </w:r>
          </w:p>
        </w:tc>
        <w:tc>
          <w:tcPr>
            <w:tcW w:w="2258" w:type="dxa"/>
            <w:vAlign w:val="center"/>
          </w:tcPr>
          <w:p w14:paraId="59F78073">
            <w:pPr>
              <w:keepNext w:val="0"/>
              <w:keepLines w:val="0"/>
              <w:pageBreakBefore w:val="0"/>
              <w:widowControl w:val="0"/>
              <w:kinsoku w:val="0"/>
              <w:wordWrap/>
              <w:overflowPunct/>
              <w:topLinePunct w:val="0"/>
              <w:autoSpaceDE w:val="0"/>
              <w:autoSpaceDN w:val="0"/>
              <w:bidi w:val="0"/>
              <w:adjustRightInd w:val="0"/>
              <w:snapToGrid w:val="0"/>
              <w:spacing w:line="460" w:lineRule="exact"/>
              <w:jc w:val="both"/>
              <w:textAlignment w:val="baseline"/>
              <w:rPr>
                <w:rFonts w:hint="eastAsia" w:ascii="仿宋_GB2312" w:hAnsi="仿宋_GB2312" w:eastAsia="仿宋_GB2312" w:cs="仿宋_GB2312"/>
                <w:color w:val="auto"/>
                <w:sz w:val="24"/>
                <w:szCs w:val="24"/>
                <w:vertAlign w:val="baseline"/>
                <w:lang w:val="en-US" w:eastAsia="en-US"/>
              </w:rPr>
            </w:pP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发改</w:t>
            </w:r>
            <w:r>
              <w:rPr>
                <w:rFonts w:hint="eastAsia" w:ascii="仿宋_GB2312" w:hAnsi="仿宋_GB2312" w:eastAsia="仿宋_GB2312" w:cs="仿宋_GB2312"/>
                <w:color w:val="auto"/>
                <w:sz w:val="24"/>
                <w:szCs w:val="24"/>
                <w:vertAlign w:val="baseline"/>
                <w:lang w:eastAsia="zh-CN"/>
              </w:rPr>
              <w:t>局</w:t>
            </w:r>
            <w:r>
              <w:rPr>
                <w:rFonts w:hint="eastAsia" w:ascii="仿宋_GB2312" w:hAnsi="仿宋_GB2312" w:eastAsia="仿宋_GB2312" w:cs="仿宋_GB2312"/>
                <w:color w:val="auto"/>
                <w:sz w:val="24"/>
                <w:szCs w:val="24"/>
                <w:vertAlign w:val="baseline"/>
              </w:rPr>
              <w:t>统筹，</w:t>
            </w:r>
            <w:r>
              <w:rPr>
                <w:rFonts w:hint="eastAsia" w:ascii="仿宋_GB2312" w:hAnsi="仿宋_GB2312" w:eastAsia="仿宋_GB2312" w:cs="仿宋_GB2312"/>
                <w:color w:val="auto"/>
                <w:sz w:val="24"/>
                <w:szCs w:val="24"/>
                <w:vertAlign w:val="baseline"/>
                <w:lang w:eastAsia="zh-CN"/>
              </w:rPr>
              <w:t>县</w:t>
            </w:r>
            <w:r>
              <w:rPr>
                <w:rFonts w:hint="eastAsia" w:ascii="仿宋_GB2312" w:hAnsi="仿宋_GB2312" w:eastAsia="仿宋_GB2312" w:cs="仿宋_GB2312"/>
                <w:color w:val="auto"/>
                <w:sz w:val="24"/>
                <w:szCs w:val="24"/>
                <w:vertAlign w:val="baseline"/>
              </w:rPr>
              <w:t>有关部门分别牵头</w:t>
            </w:r>
          </w:p>
        </w:tc>
      </w:tr>
    </w:tbl>
    <w:p w14:paraId="33A6888A">
      <w:pPr>
        <w:keepNext w:val="0"/>
        <w:keepLines w:val="0"/>
        <w:pageBreakBefore w:val="0"/>
        <w:widowControl w:val="0"/>
        <w:kinsoku w:val="0"/>
        <w:wordWrap/>
        <w:overflowPunct/>
        <w:topLinePunct w:val="0"/>
        <w:autoSpaceDE w:val="0"/>
        <w:autoSpaceDN w:val="0"/>
        <w:bidi w:val="0"/>
        <w:adjustRightInd w:val="0"/>
        <w:snapToGrid w:val="0"/>
        <w:spacing w:line="580" w:lineRule="exact"/>
        <w:jc w:val="left"/>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 1-2</w:t>
      </w:r>
    </w:p>
    <w:p w14:paraId="1B971492">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b/>
          <w:bCs/>
          <w:color w:val="auto"/>
          <w:sz w:val="44"/>
          <w:szCs w:val="44"/>
          <w:lang w:eastAsia="zh-CN"/>
        </w:rPr>
      </w:pPr>
    </w:p>
    <w:p w14:paraId="6B7E2CAE">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华文中宋" w:hAnsi="华文中宋" w:eastAsia="华文中宋" w:cs="华文中宋"/>
          <w:b/>
          <w:bCs/>
          <w:color w:val="auto"/>
          <w:sz w:val="44"/>
          <w:szCs w:val="44"/>
        </w:rPr>
      </w:pPr>
      <w:r>
        <w:rPr>
          <w:rFonts w:hint="eastAsia" w:ascii="宋体" w:hAnsi="宋体" w:eastAsia="宋体" w:cs="宋体"/>
          <w:b/>
          <w:bCs/>
          <w:color w:val="auto"/>
          <w:sz w:val="44"/>
          <w:szCs w:val="44"/>
          <w:lang w:eastAsia="zh-CN"/>
        </w:rPr>
        <w:t>会同县</w:t>
      </w:r>
      <w:r>
        <w:rPr>
          <w:rFonts w:hint="eastAsia" w:ascii="宋体" w:hAnsi="宋体" w:eastAsia="宋体" w:cs="宋体"/>
          <w:b/>
          <w:bCs/>
          <w:color w:val="auto"/>
          <w:sz w:val="44"/>
          <w:szCs w:val="44"/>
        </w:rPr>
        <w:t>“十五五”规划前期研究重大课题及责任分</w:t>
      </w:r>
      <w:r>
        <w:rPr>
          <w:rFonts w:hint="eastAsia" w:ascii="宋体" w:hAnsi="宋体" w:cs="宋体"/>
          <w:b/>
          <w:bCs/>
          <w:color w:val="auto"/>
          <w:sz w:val="44"/>
          <w:szCs w:val="44"/>
          <w:lang w:val="en-US" w:eastAsia="zh-CN"/>
        </w:rPr>
        <w:t xml:space="preserve"> </w:t>
      </w:r>
      <w:r>
        <w:rPr>
          <w:rFonts w:hint="eastAsia" w:ascii="宋体" w:hAnsi="宋体" w:eastAsia="宋体" w:cs="宋体"/>
          <w:b/>
          <w:bCs/>
          <w:color w:val="auto"/>
          <w:sz w:val="44"/>
          <w:szCs w:val="44"/>
        </w:rPr>
        <w:t>工</w:t>
      </w:r>
    </w:p>
    <w:p w14:paraId="617EFD32">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3" w:firstLineChars="200"/>
        <w:jc w:val="left"/>
        <w:textAlignment w:val="baseline"/>
        <w:rPr>
          <w:rFonts w:hint="eastAsia" w:ascii="方正楷体_GB2312" w:hAnsi="方正楷体_GB2312" w:eastAsia="方正楷体_GB2312" w:cs="方正楷体_GB2312"/>
          <w:b/>
          <w:bCs/>
          <w:color w:val="auto"/>
          <w:sz w:val="32"/>
          <w:szCs w:val="32"/>
        </w:rPr>
      </w:pPr>
      <w:r>
        <w:rPr>
          <w:rFonts w:hint="eastAsia" w:ascii="方正楷体_GB2312" w:hAnsi="方正楷体_GB2312" w:eastAsia="方正楷体_GB2312" w:cs="方正楷体_GB2312"/>
          <w:b/>
          <w:bCs/>
          <w:color w:val="auto"/>
          <w:sz w:val="32"/>
          <w:szCs w:val="32"/>
        </w:rPr>
        <w:t>1.</w:t>
      </w:r>
      <w:r>
        <w:rPr>
          <w:rFonts w:hint="eastAsia" w:ascii="方正楷体_GB2312" w:hAnsi="方正楷体_GB2312" w:eastAsia="方正楷体_GB2312" w:cs="方正楷体_GB2312"/>
          <w:b/>
          <w:bCs/>
          <w:color w:val="auto"/>
          <w:sz w:val="32"/>
          <w:szCs w:val="32"/>
          <w:lang w:eastAsia="zh-CN"/>
        </w:rPr>
        <w:t>会同县</w:t>
      </w:r>
      <w:r>
        <w:rPr>
          <w:rFonts w:hint="eastAsia" w:ascii="方正楷体_GB2312" w:hAnsi="方正楷体_GB2312" w:eastAsia="方正楷体_GB2312" w:cs="方正楷体_GB2312"/>
          <w:b/>
          <w:bCs/>
          <w:color w:val="auto"/>
          <w:sz w:val="32"/>
          <w:szCs w:val="32"/>
        </w:rPr>
        <w:t>“十五五”经济社会高质量发展主要战略、总体思路和规划框架研究（牵头单位：</w:t>
      </w:r>
      <w:r>
        <w:rPr>
          <w:rFonts w:hint="eastAsia" w:ascii="方正楷体_GB2312" w:hAnsi="方正楷体_GB2312" w:eastAsia="方正楷体_GB2312" w:cs="方正楷体_GB2312"/>
          <w:b/>
          <w:bCs/>
          <w:color w:val="auto"/>
          <w:sz w:val="32"/>
          <w:szCs w:val="32"/>
          <w:lang w:eastAsia="zh-CN"/>
        </w:rPr>
        <w:t>县</w:t>
      </w:r>
      <w:r>
        <w:rPr>
          <w:rFonts w:hint="eastAsia" w:ascii="方正楷体_GB2312" w:hAnsi="方正楷体_GB2312" w:eastAsia="方正楷体_GB2312" w:cs="方正楷体_GB2312"/>
          <w:b/>
          <w:bCs/>
          <w:color w:val="auto"/>
          <w:sz w:val="32"/>
          <w:szCs w:val="32"/>
        </w:rPr>
        <w:t>发改</w:t>
      </w:r>
      <w:r>
        <w:rPr>
          <w:rFonts w:hint="eastAsia" w:ascii="方正楷体_GB2312" w:hAnsi="方正楷体_GB2312" w:eastAsia="方正楷体_GB2312" w:cs="方正楷体_GB2312"/>
          <w:b/>
          <w:bCs/>
          <w:color w:val="auto"/>
          <w:sz w:val="32"/>
          <w:szCs w:val="32"/>
          <w:lang w:eastAsia="zh-CN"/>
        </w:rPr>
        <w:t>局</w:t>
      </w:r>
      <w:r>
        <w:rPr>
          <w:rFonts w:hint="eastAsia" w:ascii="方正楷体_GB2312" w:hAnsi="方正楷体_GB2312" w:eastAsia="方正楷体_GB2312" w:cs="方正楷体_GB2312"/>
          <w:b/>
          <w:bCs/>
          <w:color w:val="auto"/>
          <w:sz w:val="32"/>
          <w:szCs w:val="32"/>
        </w:rPr>
        <w:t>）</w:t>
      </w:r>
    </w:p>
    <w:p w14:paraId="31FB01B6">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研究要点：分析“十五五”期间怀化面临的新形势，研判怀化在全国、全省区域经济格局中的地位、作用和功能，分析</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经济社会发展所处阶段、主要特征及其突出表现，系统梳理比较优势和劣势、有利和不利因素、潜在机遇和风险挑战以及需要解决的重大问题，提出“十五五”期间</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经济社会高质量发展的主要发展战略、主要定位、总体目标、思路举措和工作建议，研究提出</w:t>
      </w:r>
      <w:r>
        <w:rPr>
          <w:rFonts w:hint="eastAsia" w:ascii="仿宋_GB2312" w:hAnsi="仿宋_GB2312" w:eastAsia="仿宋_GB2312" w:cs="仿宋_GB2312"/>
          <w:color w:val="auto"/>
          <w:sz w:val="32"/>
          <w:szCs w:val="32"/>
          <w:lang w:eastAsia="zh-CN"/>
        </w:rPr>
        <w:t>会同县</w:t>
      </w:r>
      <w:r>
        <w:rPr>
          <w:rFonts w:hint="eastAsia" w:ascii="仿宋_GB2312" w:hAnsi="仿宋_GB2312" w:eastAsia="仿宋_GB2312" w:cs="仿宋_GB2312"/>
          <w:color w:val="auto"/>
          <w:sz w:val="32"/>
          <w:szCs w:val="32"/>
        </w:rPr>
        <w:t>“十五五”规划《纲要》总体框架以及指标体系，科学测算2030年目标值。</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“十五五”培育“5+</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”现代化产业体系新增长点</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培育新质生产力研究。</w:t>
      </w:r>
    </w:p>
    <w:p w14:paraId="6AE7207D">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3" w:firstLineChars="200"/>
        <w:jc w:val="left"/>
        <w:textAlignment w:val="baseline"/>
        <w:rPr>
          <w:rFonts w:hint="eastAsia" w:ascii="方正楷体_GB2312" w:hAnsi="方正楷体_GB2312" w:eastAsia="方正楷体_GB2312" w:cs="方正楷体_GB2312"/>
          <w:b/>
          <w:bCs/>
          <w:color w:val="auto"/>
          <w:sz w:val="32"/>
          <w:szCs w:val="32"/>
        </w:rPr>
      </w:pPr>
      <w:r>
        <w:rPr>
          <w:rFonts w:hint="eastAsia" w:ascii="方正楷体_GB2312" w:hAnsi="方正楷体_GB2312" w:eastAsia="方正楷体_GB2312" w:cs="方正楷体_GB2312"/>
          <w:b/>
          <w:bCs/>
          <w:color w:val="auto"/>
          <w:sz w:val="32"/>
          <w:szCs w:val="32"/>
          <w:lang w:val="en-US" w:eastAsia="zh-CN"/>
        </w:rPr>
        <w:t>2</w:t>
      </w:r>
      <w:r>
        <w:rPr>
          <w:rFonts w:hint="eastAsia" w:ascii="方正楷体_GB2312" w:hAnsi="方正楷体_GB2312" w:eastAsia="方正楷体_GB2312" w:cs="方正楷体_GB2312"/>
          <w:b/>
          <w:bCs/>
          <w:color w:val="auto"/>
          <w:sz w:val="32"/>
          <w:szCs w:val="32"/>
        </w:rPr>
        <w:t>.</w:t>
      </w:r>
      <w:r>
        <w:rPr>
          <w:rFonts w:hint="eastAsia" w:ascii="方正楷体_GB2312" w:hAnsi="方正楷体_GB2312" w:eastAsia="方正楷体_GB2312" w:cs="方正楷体_GB2312"/>
          <w:b/>
          <w:bCs/>
          <w:color w:val="auto"/>
          <w:sz w:val="32"/>
          <w:szCs w:val="32"/>
          <w:lang w:eastAsia="zh-CN"/>
        </w:rPr>
        <w:t>会同县</w:t>
      </w:r>
      <w:r>
        <w:rPr>
          <w:rFonts w:hint="eastAsia" w:ascii="方正楷体_GB2312" w:hAnsi="方正楷体_GB2312" w:eastAsia="方正楷体_GB2312" w:cs="方正楷体_GB2312"/>
          <w:b/>
          <w:bCs/>
          <w:color w:val="auto"/>
          <w:sz w:val="32"/>
          <w:szCs w:val="32"/>
        </w:rPr>
        <w:t>“十五五”加快制造业高质量发展研究（牵头单位</w:t>
      </w:r>
      <w:r>
        <w:rPr>
          <w:rFonts w:hint="eastAsia" w:ascii="方正楷体_GB2312" w:hAnsi="方正楷体_GB2312" w:eastAsia="方正楷体_GB2312" w:cs="方正楷体_GB2312"/>
          <w:b/>
          <w:bCs/>
          <w:color w:val="auto"/>
          <w:sz w:val="32"/>
          <w:szCs w:val="32"/>
          <w:lang w:eastAsia="zh-CN"/>
        </w:rPr>
        <w:t>：县商科工信局</w:t>
      </w:r>
      <w:r>
        <w:rPr>
          <w:rFonts w:hint="eastAsia" w:ascii="方正楷体_GB2312" w:hAnsi="方正楷体_GB2312" w:eastAsia="方正楷体_GB2312" w:cs="方正楷体_GB2312"/>
          <w:b/>
          <w:bCs/>
          <w:color w:val="auto"/>
          <w:sz w:val="32"/>
          <w:szCs w:val="32"/>
        </w:rPr>
        <w:t>）</w:t>
      </w:r>
    </w:p>
    <w:p w14:paraId="1780E2E5">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研究要点：梳理新时期制造业高质量发展面临的新</w:t>
      </w:r>
      <w:r>
        <w:rPr>
          <w:rFonts w:hint="eastAsia" w:ascii="仿宋_GB2312" w:hAnsi="仿宋_GB2312" w:eastAsia="仿宋_GB2312" w:cs="仿宋_GB2312"/>
          <w:color w:val="auto"/>
          <w:sz w:val="32"/>
          <w:szCs w:val="32"/>
          <w:lang w:eastAsia="zh-CN"/>
        </w:rPr>
        <w:t>形势、</w:t>
      </w:r>
      <w:r>
        <w:rPr>
          <w:rFonts w:hint="eastAsia" w:ascii="仿宋_GB2312" w:hAnsi="仿宋_GB2312" w:eastAsia="仿宋_GB2312" w:cs="仿宋_GB2312"/>
          <w:color w:val="auto"/>
          <w:sz w:val="32"/>
          <w:szCs w:val="32"/>
        </w:rPr>
        <w:t>新机遇，分析</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制造业总体水平、突出问题、发展短板和体制障  碍等，与省内兄弟市州和周边地区发展差距，提出</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制造业高  质量发展的总体思路、重点突破领域、目标任务以及重大举措、重点项目和政策保障措施等。</w:t>
      </w:r>
    </w:p>
    <w:p w14:paraId="2A8366B3">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3" w:firstLineChars="200"/>
        <w:jc w:val="left"/>
        <w:textAlignment w:val="baseline"/>
        <w:rPr>
          <w:rFonts w:hint="eastAsia" w:ascii="方正楷体_GB2312" w:hAnsi="方正楷体_GB2312" w:eastAsia="方正楷体_GB2312" w:cs="方正楷体_GB2312"/>
          <w:b/>
          <w:bCs/>
          <w:color w:val="auto"/>
          <w:sz w:val="32"/>
          <w:szCs w:val="32"/>
        </w:rPr>
      </w:pPr>
      <w:r>
        <w:rPr>
          <w:rFonts w:hint="eastAsia" w:ascii="方正楷体_GB2312" w:hAnsi="方正楷体_GB2312" w:eastAsia="方正楷体_GB2312" w:cs="方正楷体_GB2312"/>
          <w:b/>
          <w:bCs/>
          <w:color w:val="auto"/>
          <w:sz w:val="32"/>
          <w:szCs w:val="32"/>
          <w:lang w:val="en-US" w:eastAsia="zh-CN"/>
        </w:rPr>
        <w:t>3</w:t>
      </w:r>
      <w:r>
        <w:rPr>
          <w:rFonts w:hint="eastAsia" w:ascii="方正楷体_GB2312" w:hAnsi="方正楷体_GB2312" w:eastAsia="方正楷体_GB2312" w:cs="方正楷体_GB2312"/>
          <w:b/>
          <w:bCs/>
          <w:color w:val="auto"/>
          <w:sz w:val="32"/>
          <w:szCs w:val="32"/>
        </w:rPr>
        <w:t>.</w:t>
      </w:r>
      <w:r>
        <w:rPr>
          <w:rFonts w:hint="eastAsia" w:ascii="方正楷体_GB2312" w:hAnsi="方正楷体_GB2312" w:eastAsia="方正楷体_GB2312" w:cs="方正楷体_GB2312"/>
          <w:b/>
          <w:bCs/>
          <w:color w:val="auto"/>
          <w:sz w:val="32"/>
          <w:szCs w:val="32"/>
          <w:lang w:eastAsia="zh-CN"/>
        </w:rPr>
        <w:t>会同县</w:t>
      </w:r>
      <w:r>
        <w:rPr>
          <w:rFonts w:hint="eastAsia" w:ascii="方正楷体_GB2312" w:hAnsi="方正楷体_GB2312" w:eastAsia="方正楷体_GB2312" w:cs="方正楷体_GB2312"/>
          <w:b/>
          <w:bCs/>
          <w:color w:val="auto"/>
          <w:sz w:val="32"/>
          <w:szCs w:val="32"/>
        </w:rPr>
        <w:t>“十五五”依托国家战略“双通道”构筑内陆开放新高地研究（牵头单位：</w:t>
      </w:r>
      <w:r>
        <w:rPr>
          <w:rFonts w:hint="eastAsia" w:ascii="方正楷体_GB2312" w:hAnsi="方正楷体_GB2312" w:eastAsia="方正楷体_GB2312" w:cs="方正楷体_GB2312"/>
          <w:b/>
          <w:bCs/>
          <w:color w:val="auto"/>
          <w:sz w:val="32"/>
          <w:szCs w:val="32"/>
          <w:lang w:eastAsia="zh-CN"/>
        </w:rPr>
        <w:t>县</w:t>
      </w:r>
      <w:r>
        <w:rPr>
          <w:rFonts w:hint="eastAsia" w:ascii="方正楷体_GB2312" w:hAnsi="方正楷体_GB2312" w:eastAsia="方正楷体_GB2312" w:cs="方正楷体_GB2312"/>
          <w:b/>
          <w:bCs/>
          <w:color w:val="auto"/>
          <w:sz w:val="32"/>
          <w:szCs w:val="32"/>
        </w:rPr>
        <w:t>商</w:t>
      </w:r>
      <w:r>
        <w:rPr>
          <w:rFonts w:hint="eastAsia" w:ascii="方正楷体_GB2312" w:hAnsi="方正楷体_GB2312" w:eastAsia="方正楷体_GB2312" w:cs="方正楷体_GB2312"/>
          <w:b/>
          <w:bCs/>
          <w:color w:val="auto"/>
          <w:sz w:val="32"/>
          <w:szCs w:val="32"/>
          <w:lang w:eastAsia="zh-CN"/>
        </w:rPr>
        <w:t>科工信</w:t>
      </w:r>
      <w:r>
        <w:rPr>
          <w:rFonts w:hint="eastAsia" w:ascii="方正楷体_GB2312" w:hAnsi="方正楷体_GB2312" w:eastAsia="方正楷体_GB2312" w:cs="方正楷体_GB2312"/>
          <w:b/>
          <w:bCs/>
          <w:color w:val="auto"/>
          <w:sz w:val="32"/>
          <w:szCs w:val="32"/>
        </w:rPr>
        <w:t>局）</w:t>
      </w:r>
    </w:p>
    <w:p w14:paraId="52C98293">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研究要点：深入分析“十五五”时期</w:t>
      </w:r>
      <w:r>
        <w:rPr>
          <w:rFonts w:hint="eastAsia" w:ascii="仿宋_GB2312" w:hAnsi="仿宋_GB2312" w:eastAsia="仿宋_GB2312" w:cs="仿宋_GB2312"/>
          <w:color w:val="auto"/>
          <w:sz w:val="32"/>
          <w:szCs w:val="32"/>
          <w:lang w:eastAsia="zh-CN"/>
        </w:rPr>
        <w:t>会同县</w:t>
      </w:r>
      <w:r>
        <w:rPr>
          <w:rFonts w:hint="eastAsia" w:ascii="仿宋_GB2312" w:hAnsi="仿宋_GB2312" w:eastAsia="仿宋_GB2312" w:cs="仿宋_GB2312"/>
          <w:color w:val="auto"/>
          <w:sz w:val="32"/>
          <w:szCs w:val="32"/>
        </w:rPr>
        <w:t>对外开放面临的国际国内形势，分析国家“双通道”战略对</w:t>
      </w:r>
      <w:r>
        <w:rPr>
          <w:rFonts w:hint="eastAsia" w:ascii="仿宋_GB2312" w:hAnsi="仿宋_GB2312" w:eastAsia="仿宋_GB2312" w:cs="仿宋_GB2312"/>
          <w:color w:val="auto"/>
          <w:sz w:val="32"/>
          <w:szCs w:val="32"/>
          <w:lang w:eastAsia="zh-CN"/>
        </w:rPr>
        <w:t>会同县</w:t>
      </w:r>
      <w:r>
        <w:rPr>
          <w:rFonts w:hint="eastAsia" w:ascii="仿宋_GB2312" w:hAnsi="仿宋_GB2312" w:eastAsia="仿宋_GB2312" w:cs="仿宋_GB2312"/>
          <w:color w:val="auto"/>
          <w:sz w:val="32"/>
          <w:szCs w:val="32"/>
        </w:rPr>
        <w:t>发展的影响和机遇，全面总结</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对外开放的现状，包括发展水平、特色优势、形势趋势、短板弱项、改进空间，研究提出构筑内陆开放新高地的总体思路、战略重点和主要任务，包括加快怀化国际陆港建设</w:t>
      </w:r>
      <w:r>
        <w:rPr>
          <w:rFonts w:hint="eastAsia" w:ascii="仿宋_GB2312" w:hAnsi="仿宋_GB2312" w:eastAsia="仿宋_GB2312" w:cs="仿宋_GB2312"/>
          <w:color w:val="auto"/>
          <w:sz w:val="32"/>
          <w:szCs w:val="32"/>
          <w:lang w:eastAsia="zh-CN"/>
        </w:rPr>
        <w:t>会同港</w:t>
      </w:r>
      <w:r>
        <w:rPr>
          <w:rFonts w:hint="eastAsia" w:ascii="仿宋_GB2312" w:hAnsi="仿宋_GB2312" w:eastAsia="仿宋_GB2312" w:cs="仿宋_GB2312"/>
          <w:color w:val="auto"/>
          <w:sz w:val="32"/>
          <w:szCs w:val="32"/>
        </w:rPr>
        <w:t>、对接 RCEP 与东盟、融入成渝双城经济圈、创建自贸试验区等。</w:t>
      </w:r>
    </w:p>
    <w:p w14:paraId="1CE8E541">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3" w:firstLineChars="200"/>
        <w:jc w:val="left"/>
        <w:textAlignment w:val="baseline"/>
        <w:rPr>
          <w:rFonts w:hint="eastAsia" w:ascii="方正楷体_GB2312" w:hAnsi="方正楷体_GB2312" w:eastAsia="方正楷体_GB2312" w:cs="方正楷体_GB2312"/>
          <w:b/>
          <w:bCs/>
          <w:color w:val="auto"/>
          <w:sz w:val="32"/>
          <w:szCs w:val="32"/>
        </w:rPr>
      </w:pPr>
      <w:r>
        <w:rPr>
          <w:rFonts w:hint="eastAsia" w:ascii="方正楷体_GB2312" w:hAnsi="方正楷体_GB2312" w:eastAsia="方正楷体_GB2312" w:cs="方正楷体_GB2312"/>
          <w:b/>
          <w:bCs/>
          <w:color w:val="auto"/>
          <w:sz w:val="32"/>
          <w:szCs w:val="32"/>
          <w:lang w:val="en-US" w:eastAsia="zh-CN"/>
        </w:rPr>
        <w:t>4</w:t>
      </w:r>
      <w:r>
        <w:rPr>
          <w:rFonts w:hint="eastAsia" w:ascii="方正楷体_GB2312" w:hAnsi="方正楷体_GB2312" w:eastAsia="方正楷体_GB2312" w:cs="方正楷体_GB2312"/>
          <w:b/>
          <w:bCs/>
          <w:color w:val="auto"/>
          <w:sz w:val="32"/>
          <w:szCs w:val="32"/>
        </w:rPr>
        <w:t>.</w:t>
      </w:r>
      <w:r>
        <w:rPr>
          <w:rFonts w:hint="eastAsia" w:ascii="方正楷体_GB2312" w:hAnsi="方正楷体_GB2312" w:eastAsia="方正楷体_GB2312" w:cs="方正楷体_GB2312"/>
          <w:b/>
          <w:bCs/>
          <w:color w:val="auto"/>
          <w:sz w:val="32"/>
          <w:szCs w:val="32"/>
          <w:lang w:eastAsia="zh-CN"/>
        </w:rPr>
        <w:t>会同县</w:t>
      </w:r>
      <w:r>
        <w:rPr>
          <w:rFonts w:hint="eastAsia" w:ascii="方正楷体_GB2312" w:hAnsi="方正楷体_GB2312" w:eastAsia="方正楷体_GB2312" w:cs="方正楷体_GB2312"/>
          <w:b/>
          <w:bCs/>
          <w:color w:val="auto"/>
          <w:sz w:val="32"/>
          <w:szCs w:val="32"/>
        </w:rPr>
        <w:t>“十五五”构建现代化综合交通体系研究（牵头单位：</w:t>
      </w:r>
      <w:r>
        <w:rPr>
          <w:rFonts w:hint="eastAsia" w:ascii="方正楷体_GB2312" w:hAnsi="方正楷体_GB2312" w:eastAsia="方正楷体_GB2312" w:cs="方正楷体_GB2312"/>
          <w:b/>
          <w:bCs/>
          <w:color w:val="auto"/>
          <w:sz w:val="32"/>
          <w:szCs w:val="32"/>
          <w:lang w:eastAsia="zh-CN"/>
        </w:rPr>
        <w:t>县</w:t>
      </w:r>
      <w:r>
        <w:rPr>
          <w:rFonts w:hint="eastAsia" w:ascii="方正楷体_GB2312" w:hAnsi="方正楷体_GB2312" w:eastAsia="方正楷体_GB2312" w:cs="方正楷体_GB2312"/>
          <w:b/>
          <w:bCs/>
          <w:color w:val="auto"/>
          <w:sz w:val="32"/>
          <w:szCs w:val="32"/>
        </w:rPr>
        <w:t>交通运输局）</w:t>
      </w:r>
    </w:p>
    <w:p w14:paraId="7F778762">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研究要点：梳理</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公路、铁路、水运等交通基础设施的运行现状、短板弱项，预测“ 十五五”期间</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交通运输需求的总量和结构变化趋势，研究提出“十五五”交通基础设施建设布局的优先方向、重点工程和推进举措</w:t>
      </w:r>
      <w:r>
        <w:rPr>
          <w:rFonts w:hint="eastAsia" w:ascii="仿宋_GB2312" w:hAnsi="仿宋_GB2312" w:eastAsia="仿宋_GB2312" w:cs="仿宋_GB2312"/>
          <w:color w:val="auto"/>
          <w:sz w:val="32"/>
          <w:szCs w:val="32"/>
          <w:lang w:eastAsia="zh-CN"/>
        </w:rPr>
        <w:t>。</w:t>
      </w:r>
    </w:p>
    <w:p w14:paraId="45519A38">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3" w:firstLineChars="200"/>
        <w:jc w:val="left"/>
        <w:textAlignment w:val="baseline"/>
        <w:rPr>
          <w:rFonts w:hint="eastAsia" w:ascii="方正楷体_GB2312" w:hAnsi="方正楷体_GB2312" w:eastAsia="方正楷体_GB2312" w:cs="方正楷体_GB2312"/>
          <w:b/>
          <w:bCs/>
          <w:color w:val="auto"/>
          <w:sz w:val="32"/>
          <w:szCs w:val="32"/>
        </w:rPr>
      </w:pPr>
      <w:r>
        <w:rPr>
          <w:rFonts w:hint="eastAsia" w:ascii="方正楷体_GB2312" w:hAnsi="方正楷体_GB2312" w:eastAsia="方正楷体_GB2312" w:cs="方正楷体_GB2312"/>
          <w:b/>
          <w:bCs/>
          <w:color w:val="auto"/>
          <w:sz w:val="32"/>
          <w:szCs w:val="32"/>
          <w:lang w:val="en-US" w:eastAsia="zh-CN"/>
        </w:rPr>
        <w:t>5</w:t>
      </w:r>
      <w:r>
        <w:rPr>
          <w:rFonts w:hint="eastAsia" w:ascii="方正楷体_GB2312" w:hAnsi="方正楷体_GB2312" w:eastAsia="方正楷体_GB2312" w:cs="方正楷体_GB2312"/>
          <w:b/>
          <w:bCs/>
          <w:color w:val="auto"/>
          <w:sz w:val="32"/>
          <w:szCs w:val="32"/>
        </w:rPr>
        <w:t>.</w:t>
      </w:r>
      <w:r>
        <w:rPr>
          <w:rFonts w:hint="eastAsia" w:ascii="方正楷体_GB2312" w:hAnsi="方正楷体_GB2312" w:eastAsia="方正楷体_GB2312" w:cs="方正楷体_GB2312"/>
          <w:b/>
          <w:bCs/>
          <w:color w:val="auto"/>
          <w:sz w:val="32"/>
          <w:szCs w:val="32"/>
          <w:lang w:eastAsia="zh-CN"/>
        </w:rPr>
        <w:t>会同县</w:t>
      </w:r>
      <w:r>
        <w:rPr>
          <w:rFonts w:hint="eastAsia" w:ascii="方正楷体_GB2312" w:hAnsi="方正楷体_GB2312" w:eastAsia="方正楷体_GB2312" w:cs="方正楷体_GB2312"/>
          <w:b/>
          <w:bCs/>
          <w:color w:val="auto"/>
          <w:sz w:val="32"/>
          <w:szCs w:val="32"/>
        </w:rPr>
        <w:t>“十五五”打造区域教育中心研究（牵头单位：</w:t>
      </w:r>
      <w:r>
        <w:rPr>
          <w:rFonts w:hint="eastAsia" w:ascii="方正楷体_GB2312" w:hAnsi="方正楷体_GB2312" w:eastAsia="方正楷体_GB2312" w:cs="方正楷体_GB2312"/>
          <w:b/>
          <w:bCs/>
          <w:color w:val="auto"/>
          <w:sz w:val="32"/>
          <w:szCs w:val="32"/>
          <w:lang w:eastAsia="zh-CN"/>
        </w:rPr>
        <w:t>县</w:t>
      </w:r>
      <w:r>
        <w:rPr>
          <w:rFonts w:hint="eastAsia" w:ascii="方正楷体_GB2312" w:hAnsi="方正楷体_GB2312" w:eastAsia="方正楷体_GB2312" w:cs="方正楷体_GB2312"/>
          <w:b/>
          <w:bCs/>
          <w:color w:val="auto"/>
          <w:sz w:val="32"/>
          <w:szCs w:val="32"/>
        </w:rPr>
        <w:t>教育局）</w:t>
      </w:r>
    </w:p>
    <w:p w14:paraId="2DAED4B9">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研究要点：全面分析现阶段</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教育发展面临的新形势、新 任务，系统梳理</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教育发展现状、在周边区域的地位，对比分析</w:t>
      </w:r>
      <w:r>
        <w:rPr>
          <w:rFonts w:hint="eastAsia" w:ascii="仿宋_GB2312" w:hAnsi="仿宋_GB2312" w:eastAsia="仿宋_GB2312" w:cs="仿宋_GB2312"/>
          <w:color w:val="auto"/>
          <w:sz w:val="32"/>
          <w:szCs w:val="32"/>
          <w:lang w:eastAsia="zh-CN"/>
        </w:rPr>
        <w:t>会同</w:t>
      </w:r>
      <w:r>
        <w:rPr>
          <w:rFonts w:hint="eastAsia" w:ascii="仿宋_GB2312" w:hAnsi="仿宋_GB2312" w:eastAsia="仿宋_GB2312" w:cs="仿宋_GB2312"/>
          <w:color w:val="auto"/>
          <w:sz w:val="32"/>
          <w:szCs w:val="32"/>
        </w:rPr>
        <w:t>与周边</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市州存在的优势与差距，构建打造区域性教育中心的指标体系和评价体系，研究提出</w:t>
      </w:r>
      <w:r>
        <w:rPr>
          <w:rFonts w:hint="eastAsia" w:ascii="仿宋_GB2312" w:hAnsi="仿宋_GB2312" w:eastAsia="仿宋_GB2312" w:cs="仿宋_GB2312"/>
          <w:color w:val="auto"/>
          <w:sz w:val="32"/>
          <w:szCs w:val="32"/>
          <w:lang w:eastAsia="zh-CN"/>
        </w:rPr>
        <w:t>会同县</w:t>
      </w:r>
      <w:r>
        <w:rPr>
          <w:rFonts w:hint="eastAsia" w:ascii="仿宋_GB2312" w:hAnsi="仿宋_GB2312" w:eastAsia="仿宋_GB2312" w:cs="仿宋_GB2312"/>
          <w:color w:val="auto"/>
          <w:sz w:val="32"/>
          <w:szCs w:val="32"/>
        </w:rPr>
        <w:t>打造区域教育中心的总体思路、主要任务、实施路径、对策建议、重大项目和政策保障措施等。</w:t>
      </w:r>
    </w:p>
    <w:p w14:paraId="11EC559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3" w:firstLineChars="200"/>
        <w:jc w:val="left"/>
        <w:textAlignment w:val="baseline"/>
        <w:rPr>
          <w:rFonts w:hint="eastAsia" w:ascii="方正楷体_GB2312" w:hAnsi="方正楷体_GB2312" w:eastAsia="方正楷体_GB2312" w:cs="方正楷体_GB2312"/>
          <w:b/>
          <w:bCs/>
          <w:color w:val="auto"/>
          <w:sz w:val="32"/>
          <w:szCs w:val="32"/>
        </w:rPr>
      </w:pPr>
      <w:r>
        <w:rPr>
          <w:rFonts w:hint="eastAsia" w:ascii="方正楷体_GB2312" w:hAnsi="方正楷体_GB2312" w:eastAsia="方正楷体_GB2312" w:cs="方正楷体_GB2312"/>
          <w:b/>
          <w:bCs/>
          <w:color w:val="auto"/>
          <w:sz w:val="32"/>
          <w:szCs w:val="32"/>
          <w:lang w:val="en-US" w:eastAsia="zh-CN"/>
        </w:rPr>
        <w:t>6.</w:t>
      </w:r>
      <w:r>
        <w:rPr>
          <w:rFonts w:hint="eastAsia" w:ascii="方正楷体_GB2312" w:hAnsi="方正楷体_GB2312" w:eastAsia="方正楷体_GB2312" w:cs="方正楷体_GB2312"/>
          <w:b/>
          <w:bCs/>
          <w:color w:val="auto"/>
          <w:sz w:val="32"/>
          <w:szCs w:val="32"/>
          <w:lang w:eastAsia="zh-CN"/>
        </w:rPr>
        <w:t>会同县</w:t>
      </w:r>
      <w:r>
        <w:rPr>
          <w:rFonts w:hint="eastAsia" w:ascii="方正楷体_GB2312" w:hAnsi="方正楷体_GB2312" w:eastAsia="方正楷体_GB2312" w:cs="方正楷体_GB2312"/>
          <w:b/>
          <w:bCs/>
          <w:color w:val="auto"/>
          <w:sz w:val="32"/>
          <w:szCs w:val="32"/>
        </w:rPr>
        <w:t>“十五五”创新发展文旅产业，建设全国一流旅游度假目的地研究（牵头单位：</w:t>
      </w:r>
      <w:r>
        <w:rPr>
          <w:rFonts w:hint="eastAsia" w:ascii="方正楷体_GB2312" w:hAnsi="方正楷体_GB2312" w:eastAsia="方正楷体_GB2312" w:cs="方正楷体_GB2312"/>
          <w:b/>
          <w:bCs/>
          <w:color w:val="auto"/>
          <w:sz w:val="32"/>
          <w:szCs w:val="32"/>
          <w:lang w:eastAsia="zh-CN"/>
        </w:rPr>
        <w:t>县</w:t>
      </w:r>
      <w:r>
        <w:rPr>
          <w:rFonts w:hint="eastAsia" w:ascii="方正楷体_GB2312" w:hAnsi="方正楷体_GB2312" w:eastAsia="方正楷体_GB2312" w:cs="方正楷体_GB2312"/>
          <w:b/>
          <w:bCs/>
          <w:color w:val="auto"/>
          <w:sz w:val="32"/>
          <w:szCs w:val="32"/>
        </w:rPr>
        <w:t>文旅广体局）</w:t>
      </w:r>
    </w:p>
    <w:p w14:paraId="464CE29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研究要点：系统分析</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文旅产业发展现状和存在的主要短板，研究提出如何发挥旅游品牌优势，打 造全国一流旅游度假目的地的总体思路、主要任务、实施路径、对策建议、重大项目和政策保障措施等。</w:t>
      </w:r>
    </w:p>
    <w:p w14:paraId="23C94C2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3" w:firstLineChars="200"/>
        <w:jc w:val="left"/>
        <w:textAlignment w:val="baseline"/>
        <w:rPr>
          <w:rFonts w:hint="eastAsia" w:ascii="仿宋_GB2312" w:hAnsi="仿宋_GB2312" w:eastAsia="仿宋_GB2312" w:cs="仿宋_GB2312"/>
          <w:color w:val="auto"/>
          <w:sz w:val="32"/>
          <w:szCs w:val="32"/>
        </w:rPr>
      </w:pPr>
      <w:r>
        <w:rPr>
          <w:rFonts w:hint="eastAsia" w:ascii="方正楷体_GB2312" w:hAnsi="方正楷体_GB2312" w:eastAsia="方正楷体_GB2312" w:cs="方正楷体_GB2312"/>
          <w:b/>
          <w:bCs/>
          <w:color w:val="auto"/>
          <w:sz w:val="32"/>
          <w:szCs w:val="32"/>
          <w:lang w:val="en-US" w:eastAsia="zh-CN"/>
        </w:rPr>
        <w:t>7.</w:t>
      </w:r>
      <w:r>
        <w:rPr>
          <w:rFonts w:hint="eastAsia" w:ascii="方正楷体_GB2312" w:hAnsi="方正楷体_GB2312" w:eastAsia="方正楷体_GB2312" w:cs="方正楷体_GB2312"/>
          <w:b/>
          <w:bCs/>
          <w:color w:val="auto"/>
          <w:sz w:val="32"/>
          <w:szCs w:val="32"/>
          <w:lang w:eastAsia="zh-CN"/>
        </w:rPr>
        <w:t>会同县</w:t>
      </w:r>
      <w:r>
        <w:rPr>
          <w:rFonts w:hint="eastAsia" w:ascii="方正楷体_GB2312" w:hAnsi="方正楷体_GB2312" w:eastAsia="方正楷体_GB2312" w:cs="方正楷体_GB2312"/>
          <w:b/>
          <w:bCs/>
          <w:color w:val="auto"/>
          <w:sz w:val="32"/>
          <w:szCs w:val="32"/>
        </w:rPr>
        <w:t>“十五五”打造区域性医疗中心研究（牵头单位：</w:t>
      </w:r>
      <w:r>
        <w:rPr>
          <w:rFonts w:hint="eastAsia" w:ascii="方正楷体_GB2312" w:hAnsi="方正楷体_GB2312" w:eastAsia="方正楷体_GB2312" w:cs="方正楷体_GB2312"/>
          <w:b/>
          <w:bCs/>
          <w:color w:val="auto"/>
          <w:sz w:val="32"/>
          <w:szCs w:val="32"/>
          <w:lang w:eastAsia="zh-CN"/>
        </w:rPr>
        <w:t>县</w:t>
      </w:r>
      <w:r>
        <w:rPr>
          <w:rFonts w:hint="eastAsia" w:ascii="方正楷体_GB2312" w:hAnsi="方正楷体_GB2312" w:eastAsia="方正楷体_GB2312" w:cs="方正楷体_GB2312"/>
          <w:b/>
          <w:bCs/>
          <w:color w:val="auto"/>
          <w:sz w:val="32"/>
          <w:szCs w:val="32"/>
        </w:rPr>
        <w:t>卫健</w:t>
      </w:r>
      <w:r>
        <w:rPr>
          <w:rFonts w:hint="eastAsia" w:ascii="方正楷体_GB2312" w:hAnsi="方正楷体_GB2312" w:eastAsia="方正楷体_GB2312" w:cs="方正楷体_GB2312"/>
          <w:b/>
          <w:bCs/>
          <w:color w:val="auto"/>
          <w:sz w:val="32"/>
          <w:szCs w:val="32"/>
          <w:lang w:eastAsia="zh-CN"/>
        </w:rPr>
        <w:t>局</w:t>
      </w:r>
      <w:r>
        <w:rPr>
          <w:rFonts w:hint="eastAsia" w:ascii="方正楷体_GB2312" w:hAnsi="方正楷体_GB2312" w:eastAsia="方正楷体_GB2312" w:cs="方正楷体_GB2312"/>
          <w:b/>
          <w:bCs/>
          <w:color w:val="auto"/>
          <w:sz w:val="32"/>
          <w:szCs w:val="32"/>
        </w:rPr>
        <w:t>）</w:t>
      </w:r>
    </w:p>
    <w:p w14:paraId="5D98E93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研究要点：围绕更好满足人民多层次、多样化、个性化健康    需求，系统梳理</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医疗服务发展水平、特色专科建设情况、专业人才培育情况以及在周边区域的地位，对比分析</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与周边市</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州存在的优势与差距，提出打造区域性医疗中心的总体思路、主要任务、实施路径、对策建议、重大项目和政策保障措施等。</w:t>
      </w:r>
    </w:p>
    <w:p w14:paraId="0BB523C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3" w:firstLineChars="200"/>
        <w:jc w:val="left"/>
        <w:textAlignment w:val="baseline"/>
        <w:rPr>
          <w:rFonts w:hint="eastAsia" w:ascii="方正楷体_GB2312" w:hAnsi="方正楷体_GB2312" w:eastAsia="方正楷体_GB2312" w:cs="方正楷体_GB2312"/>
          <w:b/>
          <w:bCs/>
          <w:color w:val="auto"/>
          <w:sz w:val="32"/>
          <w:szCs w:val="32"/>
        </w:rPr>
      </w:pPr>
      <w:r>
        <w:rPr>
          <w:rFonts w:hint="eastAsia" w:ascii="方正楷体_GB2312" w:hAnsi="方正楷体_GB2312" w:eastAsia="方正楷体_GB2312" w:cs="方正楷体_GB2312"/>
          <w:b/>
          <w:bCs/>
          <w:color w:val="auto"/>
          <w:sz w:val="32"/>
          <w:szCs w:val="32"/>
          <w:lang w:val="en-US" w:eastAsia="zh-CN"/>
        </w:rPr>
        <w:t>8.</w:t>
      </w:r>
      <w:r>
        <w:rPr>
          <w:rFonts w:hint="eastAsia" w:ascii="方正楷体_GB2312" w:hAnsi="方正楷体_GB2312" w:eastAsia="方正楷体_GB2312" w:cs="方正楷体_GB2312"/>
          <w:b/>
          <w:bCs/>
          <w:color w:val="auto"/>
          <w:sz w:val="32"/>
          <w:szCs w:val="32"/>
          <w:lang w:eastAsia="zh-CN"/>
        </w:rPr>
        <w:t>会同县</w:t>
      </w:r>
      <w:r>
        <w:rPr>
          <w:rFonts w:hint="eastAsia" w:ascii="方正楷体_GB2312" w:hAnsi="方正楷体_GB2312" w:eastAsia="方正楷体_GB2312" w:cs="方正楷体_GB2312"/>
          <w:b/>
          <w:bCs/>
          <w:color w:val="auto"/>
          <w:sz w:val="32"/>
          <w:szCs w:val="32"/>
        </w:rPr>
        <w:t xml:space="preserve">“十五五”科技创新引领产业高质量发展研究（牵头单位： </w:t>
      </w:r>
      <w:r>
        <w:rPr>
          <w:rFonts w:hint="eastAsia" w:ascii="方正楷体_GB2312" w:hAnsi="方正楷体_GB2312" w:eastAsia="方正楷体_GB2312" w:cs="方正楷体_GB2312"/>
          <w:b/>
          <w:bCs/>
          <w:color w:val="auto"/>
          <w:sz w:val="32"/>
          <w:szCs w:val="32"/>
          <w:lang w:eastAsia="zh-CN"/>
        </w:rPr>
        <w:t>县商科工信</w:t>
      </w:r>
      <w:r>
        <w:rPr>
          <w:rFonts w:hint="eastAsia" w:ascii="方正楷体_GB2312" w:hAnsi="方正楷体_GB2312" w:eastAsia="方正楷体_GB2312" w:cs="方正楷体_GB2312"/>
          <w:b/>
          <w:bCs/>
          <w:color w:val="auto"/>
          <w:sz w:val="32"/>
          <w:szCs w:val="32"/>
        </w:rPr>
        <w:t>局）</w:t>
      </w:r>
    </w:p>
    <w:p w14:paraId="48B7572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研究要点：全面梳理科技创新引领</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产业高质量发展的内 在逻辑和重要意义，总结“十四五”以来</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科技创新引领产业高质量发展成效、存在问题，分析“十五五”科技创新引领发展的形势、机遇挑战，明晰“ 十五五”</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科技创新引领产业高质量发展的总体要求、发展目标、重点产业领域和重大任务，提出战略举措和对策建议。</w:t>
      </w:r>
    </w:p>
    <w:p w14:paraId="2D29E2D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3" w:firstLineChars="200"/>
        <w:jc w:val="left"/>
        <w:textAlignment w:val="baseline"/>
        <w:rPr>
          <w:rFonts w:hint="eastAsia" w:ascii="仿宋_GB2312" w:hAnsi="仿宋_GB2312" w:eastAsia="仿宋_GB2312" w:cs="仿宋_GB2312"/>
          <w:color w:val="auto"/>
          <w:sz w:val="32"/>
          <w:szCs w:val="32"/>
        </w:rPr>
      </w:pPr>
      <w:r>
        <w:rPr>
          <w:rFonts w:hint="eastAsia" w:ascii="方正楷体_GB2312" w:hAnsi="方正楷体_GB2312" w:eastAsia="方正楷体_GB2312" w:cs="方正楷体_GB2312"/>
          <w:b/>
          <w:bCs/>
          <w:color w:val="auto"/>
          <w:sz w:val="32"/>
          <w:szCs w:val="32"/>
          <w:lang w:val="en-US" w:eastAsia="zh-CN"/>
        </w:rPr>
        <w:t>9.</w:t>
      </w:r>
      <w:r>
        <w:rPr>
          <w:rFonts w:hint="eastAsia" w:ascii="方正楷体_GB2312" w:hAnsi="方正楷体_GB2312" w:eastAsia="方正楷体_GB2312" w:cs="方正楷体_GB2312"/>
          <w:b/>
          <w:bCs/>
          <w:color w:val="auto"/>
          <w:sz w:val="32"/>
          <w:szCs w:val="32"/>
          <w:lang w:eastAsia="zh-CN"/>
        </w:rPr>
        <w:t>会同县</w:t>
      </w:r>
      <w:r>
        <w:rPr>
          <w:rFonts w:hint="eastAsia" w:ascii="方正楷体_GB2312" w:hAnsi="方正楷体_GB2312" w:eastAsia="方正楷体_GB2312" w:cs="方正楷体_GB2312"/>
          <w:b/>
          <w:bCs/>
          <w:color w:val="auto"/>
          <w:sz w:val="32"/>
          <w:szCs w:val="32"/>
        </w:rPr>
        <w:t>“十五五”打造全省清洁能源高地路径与对策研究（牵头单位：</w:t>
      </w:r>
      <w:r>
        <w:rPr>
          <w:rFonts w:hint="eastAsia" w:ascii="方正楷体_GB2312" w:hAnsi="方正楷体_GB2312" w:eastAsia="方正楷体_GB2312" w:cs="方正楷体_GB2312"/>
          <w:b/>
          <w:bCs/>
          <w:color w:val="auto"/>
          <w:sz w:val="32"/>
          <w:szCs w:val="32"/>
          <w:lang w:eastAsia="zh-CN"/>
        </w:rPr>
        <w:t>县</w:t>
      </w:r>
      <w:r>
        <w:rPr>
          <w:rFonts w:hint="eastAsia" w:ascii="方正楷体_GB2312" w:hAnsi="方正楷体_GB2312" w:eastAsia="方正楷体_GB2312" w:cs="方正楷体_GB2312"/>
          <w:b/>
          <w:bCs/>
          <w:color w:val="auto"/>
          <w:sz w:val="32"/>
          <w:szCs w:val="32"/>
        </w:rPr>
        <w:t>发改</w:t>
      </w:r>
      <w:r>
        <w:rPr>
          <w:rFonts w:hint="eastAsia" w:ascii="方正楷体_GB2312" w:hAnsi="方正楷体_GB2312" w:eastAsia="方正楷体_GB2312" w:cs="方正楷体_GB2312"/>
          <w:b/>
          <w:bCs/>
          <w:color w:val="auto"/>
          <w:sz w:val="32"/>
          <w:szCs w:val="32"/>
          <w:lang w:eastAsia="zh-CN"/>
        </w:rPr>
        <w:t>局</w:t>
      </w:r>
      <w:r>
        <w:rPr>
          <w:rFonts w:hint="eastAsia" w:ascii="方正楷体_GB2312" w:hAnsi="方正楷体_GB2312" w:eastAsia="方正楷体_GB2312" w:cs="方正楷体_GB2312"/>
          <w:b/>
          <w:bCs/>
          <w:color w:val="auto"/>
          <w:sz w:val="32"/>
          <w:szCs w:val="32"/>
        </w:rPr>
        <w:t>）</w:t>
      </w:r>
    </w:p>
    <w:p w14:paraId="0DDC355B">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研究要点：全面梳理</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能源资源禀赋、供需现状、储能技 术、能源网建设、电力市场发展等基本情况，多元分析能源供给 消费、多元储能、能源网优化布局、能源和电力市场协同发展等领域发展趋势，以及其对怀化能源转型的影响，研究提出</w:t>
      </w:r>
      <w:r>
        <w:rPr>
          <w:rFonts w:hint="eastAsia" w:ascii="仿宋_GB2312" w:hAnsi="仿宋_GB2312" w:eastAsia="仿宋_GB2312" w:cs="仿宋_GB2312"/>
          <w:color w:val="auto"/>
          <w:sz w:val="32"/>
          <w:szCs w:val="32"/>
          <w:lang w:eastAsia="zh-CN"/>
        </w:rPr>
        <w:t>会同县</w:t>
      </w:r>
      <w:r>
        <w:rPr>
          <w:rFonts w:hint="eastAsia" w:ascii="仿宋_GB2312" w:hAnsi="仿宋_GB2312" w:eastAsia="仿宋_GB2312" w:cs="仿宋_GB2312"/>
          <w:color w:val="auto"/>
          <w:sz w:val="32"/>
          <w:szCs w:val="32"/>
        </w:rPr>
        <w:t>打造全省清洁能源高地的重点任务、对策建议及相关政策举措。</w:t>
      </w:r>
    </w:p>
    <w:p w14:paraId="6079031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3" w:firstLineChars="200"/>
        <w:jc w:val="left"/>
        <w:textAlignment w:val="baseline"/>
        <w:rPr>
          <w:rFonts w:hint="eastAsia" w:ascii="方正楷体_GB2312" w:hAnsi="方正楷体_GB2312" w:eastAsia="方正楷体_GB2312" w:cs="方正楷体_GB2312"/>
          <w:b/>
          <w:bCs/>
          <w:color w:val="auto"/>
          <w:sz w:val="32"/>
          <w:szCs w:val="32"/>
        </w:rPr>
      </w:pPr>
      <w:r>
        <w:rPr>
          <w:rFonts w:hint="eastAsia" w:ascii="方正楷体_GB2312" w:hAnsi="方正楷体_GB2312" w:eastAsia="方正楷体_GB2312" w:cs="方正楷体_GB2312"/>
          <w:b/>
          <w:bCs/>
          <w:color w:val="auto"/>
          <w:sz w:val="32"/>
          <w:szCs w:val="32"/>
          <w:lang w:val="en-US" w:eastAsia="zh-CN"/>
        </w:rPr>
        <w:t>10</w:t>
      </w:r>
      <w:r>
        <w:rPr>
          <w:rFonts w:hint="eastAsia" w:ascii="方正楷体_GB2312" w:hAnsi="方正楷体_GB2312" w:eastAsia="方正楷体_GB2312" w:cs="方正楷体_GB2312"/>
          <w:b/>
          <w:bCs/>
          <w:color w:val="auto"/>
          <w:sz w:val="32"/>
          <w:szCs w:val="32"/>
        </w:rPr>
        <w:t>.“十五五”时期打造“低成本</w:t>
      </w:r>
      <w:r>
        <w:rPr>
          <w:rFonts w:hint="eastAsia" w:ascii="方正楷体_GB2312" w:hAnsi="方正楷体_GB2312" w:eastAsia="方正楷体_GB2312" w:cs="方正楷体_GB2312"/>
          <w:b/>
          <w:bCs/>
          <w:color w:val="auto"/>
          <w:sz w:val="32"/>
          <w:szCs w:val="32"/>
          <w:lang w:eastAsia="zh-CN"/>
        </w:rPr>
        <w:t>会同</w:t>
      </w:r>
      <w:r>
        <w:rPr>
          <w:rFonts w:hint="eastAsia" w:ascii="方正楷体_GB2312" w:hAnsi="方正楷体_GB2312" w:eastAsia="方正楷体_GB2312" w:cs="方正楷体_GB2312"/>
          <w:b/>
          <w:bCs/>
          <w:color w:val="auto"/>
          <w:sz w:val="32"/>
          <w:szCs w:val="32"/>
        </w:rPr>
        <w:t>”的制度和政策研究（牵头单位：</w:t>
      </w:r>
      <w:r>
        <w:rPr>
          <w:rFonts w:hint="eastAsia" w:ascii="方正楷体_GB2312" w:hAnsi="方正楷体_GB2312" w:eastAsia="方正楷体_GB2312" w:cs="方正楷体_GB2312"/>
          <w:b/>
          <w:bCs/>
          <w:color w:val="auto"/>
          <w:sz w:val="32"/>
          <w:szCs w:val="32"/>
          <w:lang w:eastAsia="zh-CN"/>
        </w:rPr>
        <w:t>县</w:t>
      </w:r>
      <w:r>
        <w:rPr>
          <w:rFonts w:hint="eastAsia" w:ascii="方正楷体_GB2312" w:hAnsi="方正楷体_GB2312" w:eastAsia="方正楷体_GB2312" w:cs="方正楷体_GB2312"/>
          <w:b/>
          <w:bCs/>
          <w:color w:val="auto"/>
          <w:sz w:val="32"/>
          <w:szCs w:val="32"/>
        </w:rPr>
        <w:t>优化办）</w:t>
      </w:r>
    </w:p>
    <w:p w14:paraId="6F326AA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研究要点：梳理全国营商环境排名靠前的省市在政务服务、 项目审批、监管执法、中介服务、政府诚信、法治建设等方面的  先进做法，分析我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在优化营商环境方面的短板弱项，围绕打造  “低成本</w:t>
      </w:r>
      <w:r>
        <w:rPr>
          <w:rFonts w:hint="eastAsia" w:ascii="仿宋_GB2312" w:hAnsi="仿宋_GB2312" w:eastAsia="仿宋_GB2312" w:cs="仿宋_GB2312"/>
          <w:color w:val="auto"/>
          <w:sz w:val="32"/>
          <w:szCs w:val="32"/>
          <w:lang w:eastAsia="zh-CN"/>
        </w:rPr>
        <w:t>会同</w:t>
      </w:r>
      <w:r>
        <w:rPr>
          <w:rFonts w:hint="eastAsia" w:ascii="仿宋_GB2312" w:hAnsi="仿宋_GB2312" w:eastAsia="仿宋_GB2312" w:cs="仿宋_GB2312"/>
          <w:color w:val="auto"/>
          <w:sz w:val="32"/>
          <w:szCs w:val="32"/>
        </w:rPr>
        <w:t>” 的目标，研究提出抓改革、降成本、提效率、优环境的制度、路径和政策建议等</w:t>
      </w:r>
      <w:r>
        <w:rPr>
          <w:rFonts w:hint="eastAsia" w:ascii="仿宋_GB2312" w:hAnsi="仿宋_GB2312" w:eastAsia="仿宋_GB2312" w:cs="仿宋_GB2312"/>
          <w:color w:val="auto"/>
          <w:sz w:val="32"/>
          <w:szCs w:val="32"/>
          <w:lang w:eastAsia="zh-CN"/>
        </w:rPr>
        <w:t>。</w:t>
      </w:r>
    </w:p>
    <w:p w14:paraId="016808AE">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240" w:lineRule="auto"/>
        <w:ind w:firstLine="643" w:firstLineChars="200"/>
        <w:jc w:val="left"/>
        <w:textAlignment w:val="baseline"/>
        <w:rPr>
          <w:rFonts w:hint="eastAsia" w:ascii="方正楷体_GB2312" w:hAnsi="方正楷体_GB2312" w:eastAsia="方正楷体_GB2312" w:cs="方正楷体_GB2312"/>
          <w:b/>
          <w:bCs/>
          <w:color w:val="auto"/>
          <w:sz w:val="32"/>
          <w:szCs w:val="32"/>
        </w:rPr>
      </w:pPr>
      <w:r>
        <w:rPr>
          <w:rFonts w:hint="eastAsia" w:ascii="方正楷体_GB2312" w:hAnsi="方正楷体_GB2312" w:eastAsia="方正楷体_GB2312" w:cs="方正楷体_GB2312"/>
          <w:b/>
          <w:bCs/>
          <w:color w:val="auto"/>
          <w:sz w:val="32"/>
          <w:szCs w:val="32"/>
          <w:lang w:eastAsia="zh-CN"/>
        </w:rPr>
        <w:t>会同县</w:t>
      </w:r>
      <w:r>
        <w:rPr>
          <w:rFonts w:hint="eastAsia" w:ascii="方正楷体_GB2312" w:hAnsi="方正楷体_GB2312" w:eastAsia="方正楷体_GB2312" w:cs="方正楷体_GB2312"/>
          <w:b/>
          <w:bCs/>
          <w:color w:val="auto"/>
          <w:sz w:val="32"/>
          <w:szCs w:val="32"/>
        </w:rPr>
        <w:t>“十五五”时期推进农业农村现代化发展研究（牵头单位：</w:t>
      </w:r>
      <w:r>
        <w:rPr>
          <w:rFonts w:hint="eastAsia" w:ascii="方正楷体_GB2312" w:hAnsi="方正楷体_GB2312" w:eastAsia="方正楷体_GB2312" w:cs="方正楷体_GB2312"/>
          <w:b/>
          <w:bCs/>
          <w:color w:val="auto"/>
          <w:sz w:val="32"/>
          <w:szCs w:val="32"/>
          <w:lang w:eastAsia="zh-CN"/>
        </w:rPr>
        <w:t>县</w:t>
      </w:r>
      <w:r>
        <w:rPr>
          <w:rFonts w:hint="eastAsia" w:ascii="方正楷体_GB2312" w:hAnsi="方正楷体_GB2312" w:eastAsia="方正楷体_GB2312" w:cs="方正楷体_GB2312"/>
          <w:b/>
          <w:bCs/>
          <w:color w:val="auto"/>
          <w:sz w:val="32"/>
          <w:szCs w:val="32"/>
        </w:rPr>
        <w:t>农业农村局）</w:t>
      </w:r>
    </w:p>
    <w:p w14:paraId="4233EAE6">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研究要点：总结</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“十四五”时期农业农村发展的主要成效和经验，分析新阶段农业农村发展面临的新形势新任务新要求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存在的主要问题、发展短板等，提出</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 十五五” 时期农业农村现代化发展总体思路、目标任务、重大举措和重大工程项</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目。</w:t>
      </w:r>
    </w:p>
    <w:p w14:paraId="4876D62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3" w:firstLineChars="200"/>
        <w:jc w:val="left"/>
        <w:textAlignment w:val="baseline"/>
        <w:rPr>
          <w:rFonts w:hint="eastAsia" w:ascii="仿宋_GB2312" w:hAnsi="仿宋_GB2312" w:eastAsia="仿宋_GB2312" w:cs="仿宋_GB2312"/>
          <w:color w:val="auto"/>
          <w:sz w:val="32"/>
          <w:szCs w:val="32"/>
        </w:rPr>
      </w:pPr>
      <w:r>
        <w:rPr>
          <w:rFonts w:hint="eastAsia" w:ascii="方正楷体_GB2312" w:hAnsi="方正楷体_GB2312" w:eastAsia="方正楷体_GB2312" w:cs="方正楷体_GB2312"/>
          <w:b/>
          <w:bCs/>
          <w:color w:val="auto"/>
          <w:sz w:val="32"/>
          <w:szCs w:val="32"/>
          <w:lang w:val="en-US" w:eastAsia="zh-CN"/>
        </w:rPr>
        <w:t>12.</w:t>
      </w:r>
      <w:r>
        <w:rPr>
          <w:rFonts w:hint="eastAsia" w:ascii="方正楷体_GB2312" w:hAnsi="方正楷体_GB2312" w:eastAsia="方正楷体_GB2312" w:cs="方正楷体_GB2312"/>
          <w:b/>
          <w:bCs/>
          <w:color w:val="auto"/>
          <w:sz w:val="32"/>
          <w:szCs w:val="32"/>
        </w:rPr>
        <w:t xml:space="preserve"> </w:t>
      </w:r>
      <w:r>
        <w:rPr>
          <w:rFonts w:hint="eastAsia" w:ascii="方正楷体_GB2312" w:hAnsi="方正楷体_GB2312" w:eastAsia="方正楷体_GB2312" w:cs="方正楷体_GB2312"/>
          <w:b/>
          <w:bCs/>
          <w:color w:val="auto"/>
          <w:sz w:val="32"/>
          <w:szCs w:val="32"/>
          <w:lang w:eastAsia="zh-CN"/>
        </w:rPr>
        <w:t>会同县</w:t>
      </w:r>
      <w:r>
        <w:rPr>
          <w:rFonts w:hint="eastAsia" w:ascii="方正楷体_GB2312" w:hAnsi="方正楷体_GB2312" w:eastAsia="方正楷体_GB2312" w:cs="方正楷体_GB2312"/>
          <w:b/>
          <w:bCs/>
          <w:color w:val="auto"/>
          <w:sz w:val="32"/>
          <w:szCs w:val="32"/>
        </w:rPr>
        <w:t>“十五五”金融服务实体经济发展研究（牵头单位：国家金融监督管理总局会同监管支局）</w:t>
      </w:r>
    </w:p>
    <w:p w14:paraId="1A7CF43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研究要点：梳理总结</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金融服务实体经济发展的现状、 存在问题和主要原因，分析国家金融服务实体经济政策变化趋势带来的新机遇，研究提出“十五五”时期</w:t>
      </w:r>
      <w:r>
        <w:rPr>
          <w:rFonts w:hint="eastAsia" w:ascii="仿宋_GB2312" w:hAnsi="仿宋_GB2312" w:eastAsia="仿宋_GB2312" w:cs="仿宋_GB2312"/>
          <w:color w:val="auto"/>
          <w:sz w:val="32"/>
          <w:szCs w:val="32"/>
          <w:lang w:eastAsia="zh-CN"/>
        </w:rPr>
        <w:t>会同县</w:t>
      </w:r>
      <w:r>
        <w:rPr>
          <w:rFonts w:hint="eastAsia" w:ascii="仿宋_GB2312" w:hAnsi="仿宋_GB2312" w:eastAsia="仿宋_GB2312" w:cs="仿宋_GB2312"/>
          <w:color w:val="auto"/>
          <w:sz w:val="32"/>
          <w:szCs w:val="32"/>
        </w:rPr>
        <w:t>金融服务促进实体经济发展的目标、重点任务、实施路径</w:t>
      </w:r>
      <w:r>
        <w:rPr>
          <w:rFonts w:hint="eastAsia" w:ascii="仿宋_GB2312" w:hAnsi="仿宋_GB2312" w:eastAsia="仿宋_GB2312" w:cs="仿宋_GB2312"/>
          <w:color w:val="auto"/>
          <w:sz w:val="32"/>
          <w:szCs w:val="32"/>
          <w:lang w:eastAsia="zh-CN"/>
        </w:rPr>
        <w:t>。</w:t>
      </w:r>
    </w:p>
    <w:p w14:paraId="2245DA5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3" w:firstLineChars="200"/>
        <w:jc w:val="left"/>
        <w:textAlignment w:val="baseline"/>
        <w:rPr>
          <w:rFonts w:hint="eastAsia" w:ascii="方正楷体_GB2312" w:hAnsi="方正楷体_GB2312" w:eastAsia="方正楷体_GB2312" w:cs="方正楷体_GB2312"/>
          <w:b/>
          <w:bCs/>
          <w:color w:val="auto"/>
          <w:sz w:val="32"/>
          <w:szCs w:val="32"/>
        </w:rPr>
      </w:pPr>
      <w:r>
        <w:rPr>
          <w:rFonts w:hint="eastAsia" w:ascii="方正楷体_GB2312" w:hAnsi="方正楷体_GB2312" w:eastAsia="方正楷体_GB2312" w:cs="方正楷体_GB2312"/>
          <w:b/>
          <w:bCs/>
          <w:color w:val="auto"/>
          <w:sz w:val="32"/>
          <w:szCs w:val="32"/>
          <w:lang w:val="en-US" w:eastAsia="zh-CN"/>
        </w:rPr>
        <w:t>13.会同县</w:t>
      </w:r>
      <w:r>
        <w:rPr>
          <w:rFonts w:hint="eastAsia" w:ascii="方正楷体_GB2312" w:hAnsi="方正楷体_GB2312" w:eastAsia="方正楷体_GB2312" w:cs="方正楷体_GB2312"/>
          <w:b/>
          <w:bCs/>
          <w:color w:val="auto"/>
          <w:sz w:val="32"/>
          <w:szCs w:val="32"/>
        </w:rPr>
        <w:t>“十五五”提升物流降本增效能力研究（牵头单位：</w:t>
      </w:r>
      <w:r>
        <w:rPr>
          <w:rFonts w:hint="eastAsia" w:ascii="方正楷体_GB2312" w:hAnsi="方正楷体_GB2312" w:eastAsia="方正楷体_GB2312" w:cs="方正楷体_GB2312"/>
          <w:b/>
          <w:bCs/>
          <w:color w:val="auto"/>
          <w:sz w:val="32"/>
          <w:szCs w:val="32"/>
          <w:lang w:eastAsia="zh-CN"/>
        </w:rPr>
        <w:t>县发改局</w:t>
      </w:r>
      <w:r>
        <w:rPr>
          <w:rFonts w:hint="eastAsia" w:ascii="方正楷体_GB2312" w:hAnsi="方正楷体_GB2312" w:eastAsia="方正楷体_GB2312" w:cs="方正楷体_GB2312"/>
          <w:b/>
          <w:bCs/>
          <w:color w:val="auto"/>
          <w:sz w:val="32"/>
          <w:szCs w:val="32"/>
        </w:rPr>
        <w:t>）</w:t>
      </w:r>
    </w:p>
    <w:p w14:paraId="1751FED6">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研究要点：全面分析</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现代物流体系建设现状、存在的主 要问题和短板；预测“十五五”期间</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交通运输需求总量和结构变化趋势；借鉴省内及其他</w:t>
      </w:r>
      <w:r>
        <w:rPr>
          <w:rFonts w:hint="eastAsia" w:ascii="仿宋_GB2312" w:hAnsi="仿宋_GB2312" w:eastAsia="仿宋_GB2312" w:cs="仿宋_GB2312"/>
          <w:color w:val="auto"/>
          <w:sz w:val="32"/>
          <w:szCs w:val="32"/>
          <w:lang w:eastAsia="zh-CN"/>
        </w:rPr>
        <w:t>县市</w:t>
      </w:r>
      <w:r>
        <w:rPr>
          <w:rFonts w:hint="eastAsia" w:ascii="仿宋_GB2312" w:hAnsi="仿宋_GB2312" w:eastAsia="仿宋_GB2312" w:cs="仿宋_GB2312"/>
          <w:color w:val="auto"/>
          <w:sz w:val="32"/>
          <w:szCs w:val="32"/>
        </w:rPr>
        <w:t>物流降本增效的经验做法，研究提出</w:t>
      </w:r>
      <w:r>
        <w:rPr>
          <w:rFonts w:hint="eastAsia" w:ascii="仿宋_GB2312" w:hAnsi="仿宋_GB2312" w:eastAsia="仿宋_GB2312" w:cs="仿宋_GB2312"/>
          <w:color w:val="auto"/>
          <w:sz w:val="32"/>
          <w:szCs w:val="32"/>
          <w:lang w:eastAsia="zh-CN"/>
        </w:rPr>
        <w:t>会同县</w:t>
      </w:r>
      <w:r>
        <w:rPr>
          <w:rFonts w:hint="eastAsia" w:ascii="仿宋_GB2312" w:hAnsi="仿宋_GB2312" w:eastAsia="仿宋_GB2312" w:cs="仿宋_GB2312"/>
          <w:color w:val="auto"/>
          <w:sz w:val="32"/>
          <w:szCs w:val="32"/>
        </w:rPr>
        <w:t>“十五五”期间提升物流降本增效能力的对策与政策建议。</w:t>
      </w:r>
    </w:p>
    <w:p w14:paraId="43CCCAA5">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3" w:firstLineChars="200"/>
        <w:jc w:val="left"/>
        <w:textAlignment w:val="baseline"/>
        <w:rPr>
          <w:rFonts w:hint="eastAsia" w:ascii="方正楷体_GB2312" w:hAnsi="方正楷体_GB2312" w:eastAsia="方正楷体_GB2312" w:cs="方正楷体_GB2312"/>
          <w:b/>
          <w:bCs/>
          <w:color w:val="auto"/>
          <w:sz w:val="32"/>
          <w:szCs w:val="32"/>
        </w:rPr>
      </w:pPr>
      <w:r>
        <w:rPr>
          <w:rFonts w:hint="eastAsia" w:ascii="方正楷体_GB2312" w:hAnsi="方正楷体_GB2312" w:eastAsia="方正楷体_GB2312" w:cs="方正楷体_GB2312"/>
          <w:b/>
          <w:bCs/>
          <w:color w:val="auto"/>
          <w:sz w:val="32"/>
          <w:szCs w:val="32"/>
          <w:lang w:val="en-US" w:eastAsia="zh-CN"/>
        </w:rPr>
        <w:t>14.会同县</w:t>
      </w:r>
      <w:r>
        <w:rPr>
          <w:rFonts w:hint="eastAsia" w:ascii="方正楷体_GB2312" w:hAnsi="方正楷体_GB2312" w:eastAsia="方正楷体_GB2312" w:cs="方正楷体_GB2312"/>
          <w:b/>
          <w:bCs/>
          <w:color w:val="auto"/>
          <w:sz w:val="32"/>
          <w:szCs w:val="32"/>
        </w:rPr>
        <w:t>“十五五”重大项目策划及包装研究（牵头单位</w:t>
      </w:r>
      <w:r>
        <w:rPr>
          <w:rFonts w:hint="eastAsia" w:ascii="方正楷体_GB2312" w:hAnsi="方正楷体_GB2312" w:eastAsia="方正楷体_GB2312" w:cs="方正楷体_GB2312"/>
          <w:b/>
          <w:bCs/>
          <w:color w:val="auto"/>
          <w:sz w:val="32"/>
          <w:szCs w:val="32"/>
          <w:lang w:eastAsia="zh-CN"/>
        </w:rPr>
        <w:t>：县</w:t>
      </w:r>
      <w:r>
        <w:rPr>
          <w:rFonts w:hint="eastAsia" w:ascii="方正楷体_GB2312" w:hAnsi="方正楷体_GB2312" w:eastAsia="方正楷体_GB2312" w:cs="方正楷体_GB2312"/>
          <w:b/>
          <w:bCs/>
          <w:color w:val="auto"/>
          <w:sz w:val="32"/>
          <w:szCs w:val="32"/>
        </w:rPr>
        <w:t>发改</w:t>
      </w:r>
      <w:r>
        <w:rPr>
          <w:rFonts w:hint="eastAsia" w:ascii="方正楷体_GB2312" w:hAnsi="方正楷体_GB2312" w:eastAsia="方正楷体_GB2312" w:cs="方正楷体_GB2312"/>
          <w:b/>
          <w:bCs/>
          <w:color w:val="auto"/>
          <w:sz w:val="32"/>
          <w:szCs w:val="32"/>
          <w:lang w:eastAsia="zh-CN"/>
        </w:rPr>
        <w:t>局</w:t>
      </w:r>
      <w:r>
        <w:rPr>
          <w:rFonts w:hint="eastAsia" w:ascii="方正楷体_GB2312" w:hAnsi="方正楷体_GB2312" w:eastAsia="方正楷体_GB2312" w:cs="方正楷体_GB2312"/>
          <w:b/>
          <w:bCs/>
          <w:color w:val="auto"/>
          <w:sz w:val="32"/>
          <w:szCs w:val="32"/>
        </w:rPr>
        <w:t>）</w:t>
      </w:r>
    </w:p>
    <w:p w14:paraId="60CEF70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研究要点：分析</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重大项目策划包装的现状及存在的不</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足， 围绕“十五五”国省重大战略布局，结合</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经济社会发展的定位、目标，加强重大项目全局性战略性研究，提出“十五五” 系统化谋划重大项目的思路方向和管理机制建议。</w:t>
      </w:r>
    </w:p>
    <w:p w14:paraId="6BAEA61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3" w:firstLineChars="200"/>
        <w:jc w:val="left"/>
        <w:textAlignment w:val="baseline"/>
        <w:rPr>
          <w:rFonts w:hint="eastAsia" w:ascii="仿宋_GB2312" w:hAnsi="仿宋_GB2312" w:eastAsia="仿宋_GB2312" w:cs="仿宋_GB2312"/>
          <w:color w:val="auto"/>
          <w:sz w:val="32"/>
          <w:szCs w:val="32"/>
        </w:rPr>
      </w:pPr>
      <w:r>
        <w:rPr>
          <w:rFonts w:hint="eastAsia" w:ascii="方正楷体_GB2312" w:hAnsi="方正楷体_GB2312" w:eastAsia="方正楷体_GB2312" w:cs="方正楷体_GB2312"/>
          <w:b/>
          <w:bCs/>
          <w:color w:val="auto"/>
          <w:sz w:val="32"/>
          <w:szCs w:val="32"/>
          <w:lang w:val="en-US" w:eastAsia="zh-CN"/>
        </w:rPr>
        <w:t>15.</w:t>
      </w:r>
      <w:r>
        <w:rPr>
          <w:rFonts w:hint="eastAsia" w:ascii="方正楷体_GB2312" w:hAnsi="方正楷体_GB2312" w:eastAsia="方正楷体_GB2312" w:cs="方正楷体_GB2312"/>
          <w:b/>
          <w:bCs/>
          <w:color w:val="auto"/>
          <w:sz w:val="32"/>
          <w:szCs w:val="32"/>
          <w:lang w:eastAsia="zh-CN"/>
        </w:rPr>
        <w:t>会同县</w:t>
      </w:r>
      <w:r>
        <w:rPr>
          <w:rFonts w:hint="eastAsia" w:ascii="方正楷体_GB2312" w:hAnsi="方正楷体_GB2312" w:eastAsia="方正楷体_GB2312" w:cs="方正楷体_GB2312"/>
          <w:b/>
          <w:bCs/>
          <w:color w:val="auto"/>
          <w:sz w:val="32"/>
          <w:szCs w:val="32"/>
        </w:rPr>
        <w:t>“十五五”人口发展趋势及基本公共服务建设研究（牵头单位：</w:t>
      </w:r>
      <w:r>
        <w:rPr>
          <w:rFonts w:hint="eastAsia" w:ascii="方正楷体_GB2312" w:hAnsi="方正楷体_GB2312" w:eastAsia="方正楷体_GB2312" w:cs="方正楷体_GB2312"/>
          <w:b/>
          <w:bCs/>
          <w:color w:val="auto"/>
          <w:sz w:val="32"/>
          <w:szCs w:val="32"/>
          <w:lang w:eastAsia="zh-CN"/>
        </w:rPr>
        <w:t>县</w:t>
      </w:r>
      <w:r>
        <w:rPr>
          <w:rFonts w:hint="eastAsia" w:ascii="方正楷体_GB2312" w:hAnsi="方正楷体_GB2312" w:eastAsia="方正楷体_GB2312" w:cs="方正楷体_GB2312"/>
          <w:b/>
          <w:bCs/>
          <w:color w:val="auto"/>
          <w:sz w:val="32"/>
          <w:szCs w:val="32"/>
        </w:rPr>
        <w:t>卫健</w:t>
      </w:r>
      <w:r>
        <w:rPr>
          <w:rFonts w:hint="eastAsia" w:ascii="方正楷体_GB2312" w:hAnsi="方正楷体_GB2312" w:eastAsia="方正楷体_GB2312" w:cs="方正楷体_GB2312"/>
          <w:b/>
          <w:bCs/>
          <w:color w:val="auto"/>
          <w:sz w:val="32"/>
          <w:szCs w:val="32"/>
          <w:lang w:eastAsia="zh-CN"/>
        </w:rPr>
        <w:t>局</w:t>
      </w:r>
      <w:r>
        <w:rPr>
          <w:rFonts w:hint="eastAsia" w:ascii="方正楷体_GB2312" w:hAnsi="方正楷体_GB2312" w:eastAsia="方正楷体_GB2312" w:cs="方正楷体_GB2312"/>
          <w:b/>
          <w:bCs/>
          <w:color w:val="auto"/>
          <w:sz w:val="32"/>
          <w:szCs w:val="32"/>
        </w:rPr>
        <w:t>）</w:t>
      </w:r>
    </w:p>
    <w:p w14:paraId="6385276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研究要点：深入分析</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人口发展的现状、问题及特点， 科学预测</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人口总量和结构演变趋势；综合运用多种分析方法，全面评估人口数量、质量、年龄结构、分布特点等条件变化  对教育、医疗、养老、社保等方面可能产生的影响；研究提出“十五五”时期适应人口变化，优化公共资源配置的基本思路，提出</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加强人口服务管理、促进基本公共服务均等化的具体路径、重点任务和保障措施。</w:t>
      </w:r>
    </w:p>
    <w:p w14:paraId="77457A5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3" w:firstLineChars="200"/>
        <w:jc w:val="left"/>
        <w:textAlignment w:val="baseline"/>
        <w:rPr>
          <w:rFonts w:hint="eastAsia" w:ascii="方正楷体_GB2312" w:hAnsi="方正楷体_GB2312" w:eastAsia="方正楷体_GB2312" w:cs="方正楷体_GB2312"/>
          <w:b/>
          <w:bCs/>
          <w:color w:val="auto"/>
          <w:sz w:val="32"/>
          <w:szCs w:val="32"/>
          <w:lang w:val="en-US" w:eastAsia="zh-CN"/>
        </w:rPr>
      </w:pPr>
      <w:r>
        <w:rPr>
          <w:rFonts w:hint="eastAsia" w:ascii="方正楷体_GB2312" w:hAnsi="方正楷体_GB2312" w:eastAsia="方正楷体_GB2312" w:cs="方正楷体_GB2312"/>
          <w:b/>
          <w:bCs/>
          <w:color w:val="auto"/>
          <w:sz w:val="32"/>
          <w:szCs w:val="32"/>
          <w:lang w:val="en-US" w:eastAsia="zh-CN"/>
        </w:rPr>
        <w:t>16.会同县“十五五”财税高质量增长研究。（牵头单位：县财政局）</w:t>
      </w:r>
    </w:p>
    <w:p w14:paraId="0EE2A5A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研究要点：总结</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“十四五”时期</w:t>
      </w:r>
      <w:r>
        <w:rPr>
          <w:rFonts w:hint="eastAsia" w:ascii="仿宋_GB2312" w:hAnsi="仿宋_GB2312" w:eastAsia="仿宋_GB2312" w:cs="仿宋_GB2312"/>
          <w:color w:val="auto"/>
          <w:sz w:val="32"/>
          <w:szCs w:val="32"/>
          <w:lang w:eastAsia="zh-CN"/>
        </w:rPr>
        <w:t>财政税收</w:t>
      </w:r>
      <w:r>
        <w:rPr>
          <w:rFonts w:hint="eastAsia" w:ascii="仿宋_GB2312" w:hAnsi="仿宋_GB2312" w:eastAsia="仿宋_GB2312" w:cs="仿宋_GB2312"/>
          <w:color w:val="auto"/>
          <w:sz w:val="32"/>
          <w:szCs w:val="32"/>
        </w:rPr>
        <w:t>发展的主要成效和经验，</w:t>
      </w:r>
      <w:r>
        <w:rPr>
          <w:rFonts w:hint="eastAsia" w:ascii="仿宋_GB2312" w:hAnsi="仿宋_GB2312" w:eastAsia="仿宋_GB2312" w:cs="仿宋_GB2312"/>
          <w:color w:val="auto"/>
          <w:sz w:val="32"/>
          <w:szCs w:val="32"/>
          <w:lang w:eastAsia="zh-CN"/>
        </w:rPr>
        <w:t>认真分析我县</w:t>
      </w:r>
      <w:r>
        <w:rPr>
          <w:rFonts w:hint="eastAsia" w:ascii="仿宋_GB2312" w:hAnsi="仿宋_GB2312" w:eastAsia="仿宋_GB2312" w:cs="仿宋_GB2312"/>
          <w:color w:val="auto"/>
          <w:sz w:val="32"/>
          <w:szCs w:val="32"/>
        </w:rPr>
        <w:t>财政收入与高质量发展要求存在的差距</w:t>
      </w:r>
      <w:r>
        <w:rPr>
          <w:rFonts w:hint="eastAsia" w:ascii="仿宋_GB2312" w:hAnsi="仿宋_GB2312" w:eastAsia="仿宋_GB2312" w:cs="仿宋_GB2312"/>
          <w:color w:val="auto"/>
          <w:sz w:val="32"/>
          <w:szCs w:val="32"/>
          <w:lang w:eastAsia="zh-CN"/>
        </w:rPr>
        <w:t>和问题，科学研判经济发展形势，提出“十五五”时期财政工作要点和目标，运用财政改革思维和创新的办法研究问题、破解难题，探索推动我县财政税收高质量发展的政策、方法和路径。</w:t>
      </w:r>
    </w:p>
    <w:p w14:paraId="4C90305B">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ind w:firstLine="643" w:firstLineChars="200"/>
        <w:jc w:val="left"/>
        <w:textAlignment w:val="baseline"/>
        <w:rPr>
          <w:rFonts w:hint="eastAsia" w:ascii="方正楷体_GB2312" w:hAnsi="方正楷体_GB2312" w:eastAsia="方正楷体_GB2312" w:cs="方正楷体_GB2312"/>
          <w:b/>
          <w:bCs/>
          <w:color w:val="auto"/>
          <w:sz w:val="32"/>
          <w:szCs w:val="32"/>
          <w:lang w:val="en-US" w:eastAsia="zh-CN"/>
        </w:rPr>
      </w:pPr>
      <w:r>
        <w:rPr>
          <w:rFonts w:hint="eastAsia" w:ascii="方正楷体_GB2312" w:hAnsi="方正楷体_GB2312" w:eastAsia="方正楷体_GB2312" w:cs="方正楷体_GB2312"/>
          <w:b/>
          <w:bCs/>
          <w:color w:val="auto"/>
          <w:sz w:val="32"/>
          <w:szCs w:val="32"/>
          <w:lang w:val="en-US" w:eastAsia="zh-CN"/>
        </w:rPr>
        <w:t>17.会同县“十五五”提升人力资源和社会保障能力研究。（牵头单位：县人社局）</w:t>
      </w:r>
    </w:p>
    <w:p w14:paraId="21705C5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宋体" w:eastAsia="仿宋_GB2312" w:cs="仿宋_GB2312"/>
          <w:i w:val="0"/>
          <w:iCs w:val="0"/>
          <w:caps w:val="0"/>
          <w:color w:val="auto"/>
          <w:spacing w:val="0"/>
          <w:sz w:val="31"/>
          <w:szCs w:val="31"/>
          <w:shd w:val="clear" w:fill="FFFFFF"/>
        </w:rPr>
      </w:pPr>
      <w:r>
        <w:rPr>
          <w:rFonts w:hint="eastAsia" w:ascii="仿宋_GB2312" w:hAnsi="仿宋_GB2312" w:eastAsia="仿宋_GB2312" w:cs="仿宋_GB2312"/>
          <w:color w:val="auto"/>
          <w:sz w:val="32"/>
          <w:szCs w:val="32"/>
          <w:lang w:val="en-US" w:eastAsia="zh-CN"/>
        </w:rPr>
        <w:t>研究要点：</w:t>
      </w:r>
      <w:r>
        <w:rPr>
          <w:rFonts w:ascii="仿宋_GB2312" w:hAnsi="宋体" w:eastAsia="仿宋_GB2312" w:cs="仿宋_GB2312"/>
          <w:i w:val="0"/>
          <w:iCs w:val="0"/>
          <w:caps w:val="0"/>
          <w:color w:val="auto"/>
          <w:spacing w:val="0"/>
          <w:sz w:val="31"/>
          <w:szCs w:val="31"/>
          <w:shd w:val="clear" w:fill="FFFFFF"/>
        </w:rPr>
        <w:t>分析</w:t>
      </w:r>
      <w:r>
        <w:rPr>
          <w:rFonts w:hint="eastAsia" w:ascii="仿宋_GB2312" w:hAnsi="宋体" w:eastAsia="仿宋_GB2312" w:cs="仿宋_GB2312"/>
          <w:i w:val="0"/>
          <w:iCs w:val="0"/>
          <w:caps w:val="0"/>
          <w:color w:val="auto"/>
          <w:spacing w:val="0"/>
          <w:sz w:val="31"/>
          <w:szCs w:val="31"/>
          <w:shd w:val="clear" w:fill="FFFFFF"/>
        </w:rPr>
        <w:t>“十五五”时期国内外经济社会发展变革对人力资源社会保障事业带来的深刻影响，研究就业创业、社会保</w:t>
      </w:r>
      <w:r>
        <w:rPr>
          <w:rFonts w:hint="eastAsia" w:ascii="仿宋_GB2312" w:hAnsi="宋体" w:eastAsia="仿宋_GB2312" w:cs="仿宋_GB2312"/>
          <w:i w:val="0"/>
          <w:iCs w:val="0"/>
          <w:caps w:val="0"/>
          <w:color w:val="auto"/>
          <w:spacing w:val="0"/>
          <w:sz w:val="31"/>
          <w:szCs w:val="31"/>
          <w:shd w:val="clear" w:fill="FFFFFF"/>
          <w:lang w:val="en-US" w:eastAsia="zh-CN"/>
        </w:rPr>
        <w:t xml:space="preserve">  </w:t>
      </w:r>
      <w:r>
        <w:rPr>
          <w:rFonts w:hint="eastAsia" w:ascii="仿宋_GB2312" w:hAnsi="宋体" w:eastAsia="仿宋_GB2312" w:cs="仿宋_GB2312"/>
          <w:i w:val="0"/>
          <w:iCs w:val="0"/>
          <w:caps w:val="0"/>
          <w:color w:val="auto"/>
          <w:spacing w:val="0"/>
          <w:sz w:val="31"/>
          <w:szCs w:val="31"/>
          <w:shd w:val="clear" w:fill="FFFFFF"/>
        </w:rPr>
        <w:t>障、人才人事、劳动关系和公共服务，以及贯彻落实国家区域协调发展战略等工作面临的机遇挑战，提出“十五五”时期人力资源社会保障工作的主要目标、重要指标和政策建议。</w:t>
      </w:r>
    </w:p>
    <w:p w14:paraId="40C4802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3" w:firstLineChars="200"/>
        <w:jc w:val="left"/>
        <w:textAlignment w:val="baseline"/>
        <w:rPr>
          <w:rFonts w:hint="eastAsia" w:ascii="方正楷体_GB2312" w:hAnsi="方正楷体_GB2312" w:eastAsia="方正楷体_GB2312" w:cs="方正楷体_GB2312"/>
          <w:b/>
          <w:bCs/>
          <w:i w:val="0"/>
          <w:iCs w:val="0"/>
          <w:caps w:val="0"/>
          <w:color w:val="auto"/>
          <w:spacing w:val="0"/>
          <w:sz w:val="32"/>
          <w:szCs w:val="32"/>
          <w:shd w:val="clear" w:fill="FFFFFF"/>
          <w:lang w:val="en-US" w:eastAsia="zh-CN"/>
        </w:rPr>
      </w:pPr>
      <w:r>
        <w:rPr>
          <w:rFonts w:hint="eastAsia" w:ascii="方正楷体_GB2312" w:hAnsi="方正楷体_GB2312" w:eastAsia="方正楷体_GB2312" w:cs="方正楷体_GB2312"/>
          <w:b/>
          <w:bCs/>
          <w:i w:val="0"/>
          <w:iCs w:val="0"/>
          <w:caps w:val="0"/>
          <w:color w:val="auto"/>
          <w:spacing w:val="0"/>
          <w:sz w:val="32"/>
          <w:szCs w:val="32"/>
          <w:shd w:val="clear" w:fill="FFFFFF"/>
          <w:lang w:val="en-US" w:eastAsia="zh-CN"/>
        </w:rPr>
        <w:t>18.会同县</w:t>
      </w:r>
      <w:r>
        <w:rPr>
          <w:rFonts w:hint="eastAsia" w:ascii="方正楷体_GB2312" w:hAnsi="方正楷体_GB2312" w:eastAsia="方正楷体_GB2312" w:cs="方正楷体_GB2312"/>
          <w:b/>
          <w:bCs/>
          <w:color w:val="auto"/>
          <w:sz w:val="32"/>
          <w:szCs w:val="32"/>
          <w:lang w:val="en-US" w:eastAsia="zh-CN"/>
        </w:rPr>
        <w:t>“十五五”推进新型城镇化高质量发展研究（牵头单位：县住建局）</w:t>
      </w:r>
    </w:p>
    <w:p w14:paraId="7B4875E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研究要点：</w:t>
      </w:r>
      <w:r>
        <w:rPr>
          <w:rFonts w:hint="eastAsia" w:ascii="仿宋_GB2312" w:hAnsi="仿宋_GB2312" w:eastAsia="仿宋_GB2312" w:cs="仿宋_GB2312"/>
          <w:color w:val="auto"/>
          <w:sz w:val="32"/>
          <w:szCs w:val="32"/>
        </w:rPr>
        <w:t>总结</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“十四五”时期</w:t>
      </w:r>
      <w:r>
        <w:rPr>
          <w:rFonts w:hint="eastAsia" w:ascii="仿宋_GB2312" w:hAnsi="仿宋_GB2312" w:eastAsia="仿宋_GB2312" w:cs="仿宋_GB2312"/>
          <w:color w:val="auto"/>
          <w:sz w:val="32"/>
          <w:szCs w:val="32"/>
          <w:lang w:eastAsia="zh-CN"/>
        </w:rPr>
        <w:t>我县新型城镇化</w:t>
      </w:r>
      <w:r>
        <w:rPr>
          <w:rFonts w:hint="eastAsia" w:ascii="仿宋_GB2312" w:hAnsi="仿宋_GB2312" w:eastAsia="仿宋_GB2312" w:cs="仿宋_GB2312"/>
          <w:color w:val="auto"/>
          <w:sz w:val="32"/>
          <w:szCs w:val="32"/>
        </w:rPr>
        <w:t>发展的主要成效和经验，</w:t>
      </w:r>
      <w:r>
        <w:rPr>
          <w:rFonts w:hint="eastAsia" w:ascii="仿宋_GB2312" w:hAnsi="仿宋_GB2312" w:eastAsia="仿宋_GB2312" w:cs="仿宋_GB2312"/>
          <w:color w:val="auto"/>
          <w:sz w:val="32"/>
          <w:szCs w:val="32"/>
          <w:lang w:eastAsia="zh-CN"/>
        </w:rPr>
        <w:t>认真分析当前存在问题，</w:t>
      </w:r>
      <w:r>
        <w:rPr>
          <w:rFonts w:hint="eastAsia" w:ascii="仿宋_GB2312" w:hAnsi="仿宋_GB2312" w:eastAsia="仿宋_GB2312" w:cs="仿宋_GB2312"/>
          <w:color w:val="auto"/>
          <w:sz w:val="32"/>
          <w:szCs w:val="32"/>
        </w:rPr>
        <w:t>研究提出“十五五”时期</w:t>
      </w:r>
      <w:r>
        <w:rPr>
          <w:rFonts w:hint="eastAsia" w:ascii="仿宋_GB2312" w:hAnsi="仿宋_GB2312" w:eastAsia="仿宋_GB2312" w:cs="仿宋_GB2312"/>
          <w:color w:val="auto"/>
          <w:sz w:val="32"/>
          <w:szCs w:val="32"/>
          <w:lang w:eastAsia="zh-CN"/>
        </w:rPr>
        <w:t>新型城镇化</w:t>
      </w:r>
      <w:r>
        <w:rPr>
          <w:rFonts w:hint="eastAsia" w:ascii="仿宋_GB2312" w:hAnsi="仿宋_GB2312" w:eastAsia="仿宋_GB2312" w:cs="仿宋_GB2312"/>
          <w:color w:val="auto"/>
          <w:sz w:val="32"/>
          <w:szCs w:val="32"/>
        </w:rPr>
        <w:t>的基本思路，以城市功能提升为核心，推动城市空间布局优化、发展载体再造、环境品质提升，强化城市更新行动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助力</w:t>
      </w:r>
      <w:r>
        <w:rPr>
          <w:rFonts w:hint="eastAsia" w:ascii="仿宋_GB2312" w:hAnsi="仿宋_GB2312" w:eastAsia="仿宋_GB2312" w:cs="仿宋_GB2312"/>
          <w:color w:val="auto"/>
          <w:sz w:val="32"/>
          <w:szCs w:val="32"/>
          <w:lang w:eastAsia="zh-CN"/>
        </w:rPr>
        <w:t>我县经济社会</w:t>
      </w:r>
      <w:r>
        <w:rPr>
          <w:rFonts w:hint="eastAsia" w:ascii="仿宋_GB2312" w:hAnsi="仿宋_GB2312" w:eastAsia="仿宋_GB2312" w:cs="仿宋_GB2312"/>
          <w:color w:val="auto"/>
          <w:sz w:val="32"/>
          <w:szCs w:val="32"/>
        </w:rPr>
        <w:t>长远发展目标实现</w:t>
      </w:r>
      <w:r>
        <w:rPr>
          <w:rFonts w:hint="eastAsia" w:ascii="仿宋_GB2312" w:hAnsi="仿宋_GB2312" w:eastAsia="仿宋_GB2312" w:cs="仿宋_GB2312"/>
          <w:color w:val="auto"/>
          <w:sz w:val="32"/>
          <w:szCs w:val="32"/>
          <w:lang w:eastAsia="zh-CN"/>
        </w:rPr>
        <w:t>。</w:t>
      </w:r>
    </w:p>
    <w:p w14:paraId="7BB79D1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3" w:firstLineChars="200"/>
        <w:jc w:val="left"/>
        <w:textAlignment w:val="baseline"/>
        <w:rPr>
          <w:rFonts w:hint="eastAsia" w:ascii="方正楷体_GB2312" w:hAnsi="方正楷体_GB2312" w:eastAsia="方正楷体_GB2312" w:cs="方正楷体_GB2312"/>
          <w:b/>
          <w:bCs/>
          <w:color w:val="auto"/>
          <w:sz w:val="32"/>
          <w:szCs w:val="32"/>
          <w:lang w:val="en-US" w:eastAsia="zh-CN"/>
        </w:rPr>
      </w:pPr>
      <w:r>
        <w:rPr>
          <w:rFonts w:hint="eastAsia" w:ascii="方正楷体_GB2312" w:hAnsi="方正楷体_GB2312" w:eastAsia="方正楷体_GB2312" w:cs="方正楷体_GB2312"/>
          <w:b/>
          <w:bCs/>
          <w:i w:val="0"/>
          <w:iCs w:val="0"/>
          <w:caps w:val="0"/>
          <w:color w:val="auto"/>
          <w:spacing w:val="0"/>
          <w:sz w:val="32"/>
          <w:szCs w:val="32"/>
          <w:shd w:val="clear" w:fill="FFFFFF"/>
          <w:lang w:val="en-US" w:eastAsia="zh-CN"/>
        </w:rPr>
        <w:t>19.会同县</w:t>
      </w:r>
      <w:r>
        <w:rPr>
          <w:rFonts w:hint="eastAsia" w:ascii="方正楷体_GB2312" w:hAnsi="方正楷体_GB2312" w:eastAsia="方正楷体_GB2312" w:cs="方正楷体_GB2312"/>
          <w:b/>
          <w:bCs/>
          <w:color w:val="auto"/>
          <w:sz w:val="32"/>
          <w:szCs w:val="32"/>
          <w:lang w:val="en-US" w:eastAsia="zh-CN"/>
        </w:rPr>
        <w:t>“十五五”水利发展研究（牵头单位：县水利局）</w:t>
      </w:r>
    </w:p>
    <w:p w14:paraId="4A248744">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研究要点：聚焦当前全县水利发展的实际问题，紧扣“水安全保证、水资源保障、水环境保护、水能力提升”总定位，突出“4+1”形式（即防洪安全、饮水安全、用水安全、河湖生态安全、水治理体系和治理能力现代化建设），重点围绕水旱灾害防御、水环境治理、水资源节约、水生态保护等方面，高标准提出“十五五”水利发展目标和重点任务，实现高效利用水资源的目的。</w:t>
      </w:r>
    </w:p>
    <w:p w14:paraId="759E46F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ind w:firstLine="643" w:firstLineChars="200"/>
        <w:jc w:val="left"/>
        <w:textAlignment w:val="baseline"/>
        <w:rPr>
          <w:rFonts w:hint="eastAsia" w:ascii="方正楷体_GB2312" w:hAnsi="方正楷体_GB2312" w:eastAsia="方正楷体_GB2312" w:cs="方正楷体_GB2312"/>
          <w:b/>
          <w:bCs/>
          <w:color w:val="auto"/>
          <w:sz w:val="32"/>
          <w:szCs w:val="32"/>
          <w:lang w:val="en-US" w:eastAsia="zh-CN"/>
        </w:rPr>
      </w:pPr>
      <w:r>
        <w:rPr>
          <w:rFonts w:hint="eastAsia" w:ascii="方正楷体_GB2312" w:hAnsi="方正楷体_GB2312" w:eastAsia="方正楷体_GB2312" w:cs="方正楷体_GB2312"/>
          <w:b/>
          <w:bCs/>
          <w:i w:val="0"/>
          <w:iCs w:val="0"/>
          <w:caps w:val="0"/>
          <w:color w:val="auto"/>
          <w:spacing w:val="0"/>
          <w:sz w:val="32"/>
          <w:szCs w:val="32"/>
          <w:shd w:val="clear" w:fill="FFFFFF"/>
          <w:lang w:val="en-US" w:eastAsia="zh-CN"/>
        </w:rPr>
        <w:t>20.会同县</w:t>
      </w:r>
      <w:r>
        <w:rPr>
          <w:rFonts w:hint="eastAsia" w:ascii="方正楷体_GB2312" w:hAnsi="方正楷体_GB2312" w:eastAsia="方正楷体_GB2312" w:cs="方正楷体_GB2312"/>
          <w:b/>
          <w:bCs/>
          <w:color w:val="auto"/>
          <w:sz w:val="32"/>
          <w:szCs w:val="32"/>
          <w:lang w:val="en-US" w:eastAsia="zh-CN"/>
        </w:rPr>
        <w:t>“十五五”库区移民发展研究(牵头单位：县库区移民事务中心）</w:t>
      </w:r>
    </w:p>
    <w:p w14:paraId="7B01A064">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研究要点：总结了水库移民后期扶持“十四五”时期完成情况、实施成效、工作经验，认真分析存在困难，科学研判形势，并对“十五五”水库移民后扶重点、资金分配和项目安排提出科学研究，进一步巩固库区移民后扶改革成果。</w:t>
      </w:r>
    </w:p>
    <w:p w14:paraId="59C9F28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599" w:firstLineChars="200"/>
        <w:jc w:val="left"/>
        <w:textAlignment w:val="baseline"/>
        <w:rPr>
          <w:rFonts w:hint="eastAsia" w:ascii="方正楷体_GB2312" w:hAnsi="方正楷体_GB2312" w:eastAsia="方正楷体_GB2312" w:cs="方正楷体_GB2312"/>
          <w:b/>
          <w:bCs/>
          <w:color w:val="auto"/>
          <w:sz w:val="32"/>
          <w:szCs w:val="32"/>
          <w:lang w:val="en-US" w:eastAsia="zh-CN"/>
        </w:rPr>
      </w:pPr>
      <w:r>
        <w:rPr>
          <w:rFonts w:hint="eastAsia" w:ascii="方正楷体_GB2312" w:hAnsi="方正楷体_GB2312" w:eastAsia="方正楷体_GB2312" w:cs="方正楷体_GB2312"/>
          <w:b/>
          <w:bCs/>
          <w:color w:val="auto"/>
          <w:spacing w:val="-11"/>
          <w:sz w:val="32"/>
          <w:szCs w:val="32"/>
          <w:lang w:val="en-US" w:eastAsia="zh-CN"/>
        </w:rPr>
        <w:t>21.会同县“十五五”民政事业发展研究(牵头单位：县民政局）</w:t>
      </w:r>
    </w:p>
    <w:p w14:paraId="0BF1288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研究要点：梳理《“十四五”民政事业发展规划》任务完成情况，总结规划落实效果，查找问题和短板不足，分析国内国际形势和经济社会发展条件，预判“十五五”时期民政事业发展环境，提出基本思路，明确相关发展指标、战略任务和改革举措。</w:t>
      </w:r>
    </w:p>
    <w:p w14:paraId="22DA1E6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p>
    <w:p w14:paraId="07239A0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p>
    <w:p w14:paraId="5B30FA2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p>
    <w:p w14:paraId="5A5150B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p>
    <w:p w14:paraId="621A63C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p>
    <w:p w14:paraId="01640D73">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华文中宋" w:hAnsi="华文中宋" w:eastAsia="华文中宋" w:cs="华文中宋"/>
          <w:b/>
          <w:bCs/>
          <w:color w:val="auto"/>
          <w:sz w:val="36"/>
          <w:szCs w:val="36"/>
          <w:lang w:eastAsia="zh-CN"/>
        </w:rPr>
      </w:pPr>
    </w:p>
    <w:p w14:paraId="38ADB76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华文中宋" w:hAnsi="华文中宋" w:eastAsia="华文中宋" w:cs="华文中宋"/>
          <w:b/>
          <w:bCs/>
          <w:color w:val="auto"/>
          <w:sz w:val="36"/>
          <w:szCs w:val="36"/>
          <w:lang w:eastAsia="zh-CN"/>
        </w:rPr>
      </w:pPr>
    </w:p>
    <w:p w14:paraId="066FB5E5">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华文中宋" w:hAnsi="华文中宋" w:eastAsia="华文中宋" w:cs="华文中宋"/>
          <w:b/>
          <w:bCs/>
          <w:color w:val="auto"/>
          <w:sz w:val="36"/>
          <w:szCs w:val="36"/>
          <w:lang w:eastAsia="zh-CN"/>
        </w:rPr>
      </w:pPr>
    </w:p>
    <w:p w14:paraId="21432B27">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华文中宋" w:hAnsi="华文中宋" w:eastAsia="华文中宋" w:cs="华文中宋"/>
          <w:b/>
          <w:bCs/>
          <w:color w:val="auto"/>
          <w:sz w:val="36"/>
          <w:szCs w:val="36"/>
          <w:lang w:eastAsia="zh-CN"/>
        </w:rPr>
      </w:pPr>
    </w:p>
    <w:p w14:paraId="3D8FC9BB">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华文中宋" w:hAnsi="华文中宋" w:eastAsia="华文中宋" w:cs="华文中宋"/>
          <w:b/>
          <w:bCs/>
          <w:color w:val="auto"/>
          <w:sz w:val="36"/>
          <w:szCs w:val="36"/>
          <w:lang w:eastAsia="zh-CN"/>
        </w:rPr>
      </w:pPr>
    </w:p>
    <w:p w14:paraId="1EA6FEAA">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华文中宋" w:hAnsi="华文中宋" w:eastAsia="华文中宋" w:cs="华文中宋"/>
          <w:b/>
          <w:bCs/>
          <w:color w:val="auto"/>
          <w:sz w:val="36"/>
          <w:szCs w:val="36"/>
          <w:lang w:eastAsia="zh-CN"/>
        </w:rPr>
      </w:pPr>
    </w:p>
    <w:p w14:paraId="6DC979DF">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华文中宋" w:hAnsi="华文中宋" w:eastAsia="华文中宋" w:cs="华文中宋"/>
          <w:b/>
          <w:bCs/>
          <w:color w:val="auto"/>
          <w:sz w:val="36"/>
          <w:szCs w:val="36"/>
          <w:lang w:eastAsia="zh-CN"/>
        </w:rPr>
      </w:pPr>
    </w:p>
    <w:p w14:paraId="750B148F">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华文中宋" w:hAnsi="华文中宋" w:eastAsia="华文中宋" w:cs="华文中宋"/>
          <w:b/>
          <w:bCs/>
          <w:color w:val="auto"/>
          <w:sz w:val="36"/>
          <w:szCs w:val="36"/>
          <w:lang w:eastAsia="zh-CN"/>
        </w:rPr>
      </w:pPr>
    </w:p>
    <w:p w14:paraId="6874AD7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华文中宋" w:hAnsi="华文中宋" w:eastAsia="华文中宋" w:cs="华文中宋"/>
          <w:b/>
          <w:bCs/>
          <w:color w:val="auto"/>
          <w:sz w:val="36"/>
          <w:szCs w:val="36"/>
          <w:lang w:eastAsia="zh-CN"/>
        </w:rPr>
      </w:pPr>
    </w:p>
    <w:p w14:paraId="744C358E">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华文中宋" w:hAnsi="华文中宋" w:eastAsia="华文中宋" w:cs="华文中宋"/>
          <w:b/>
          <w:bCs/>
          <w:color w:val="auto"/>
          <w:sz w:val="36"/>
          <w:szCs w:val="36"/>
          <w:lang w:eastAsia="zh-CN"/>
        </w:rPr>
      </w:pPr>
    </w:p>
    <w:p w14:paraId="3E62230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华文中宋" w:hAnsi="华文中宋" w:eastAsia="华文中宋" w:cs="华文中宋"/>
          <w:b/>
          <w:bCs/>
          <w:color w:val="auto"/>
          <w:sz w:val="36"/>
          <w:szCs w:val="36"/>
          <w:lang w:eastAsia="zh-CN"/>
        </w:rPr>
      </w:pPr>
    </w:p>
    <w:p w14:paraId="0AA47C7C">
      <w:pPr>
        <w:keepNext w:val="0"/>
        <w:keepLines w:val="0"/>
        <w:pageBreakBefore w:val="0"/>
        <w:widowControl w:val="0"/>
        <w:numPr>
          <w:ilvl w:val="0"/>
          <w:numId w:val="0"/>
        </w:numPr>
        <w:kinsoku/>
        <w:wordWrap/>
        <w:overflowPunct/>
        <w:topLinePunct w:val="0"/>
        <w:autoSpaceDE/>
        <w:autoSpaceDN/>
        <w:bidi w:val="0"/>
        <w:adjustRightInd/>
        <w:snapToGrid/>
        <w:ind w:firstLine="964" w:firstLineChars="300"/>
        <w:textAlignment w:val="auto"/>
        <w:rPr>
          <w:rFonts w:hint="eastAsia" w:ascii="楷体_GB2312" w:hAnsi="楷体_GB2312" w:eastAsia="楷体_GB2312" w:cs="楷体_GB2312"/>
          <w:b/>
          <w:bCs/>
          <w:color w:val="auto"/>
          <w:sz w:val="32"/>
          <w:szCs w:val="32"/>
          <w:lang w:val="en-US" w:eastAsia="zh-CN"/>
        </w:rPr>
      </w:pPr>
    </w:p>
    <w:p w14:paraId="09E3B4E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华文中宋" w:hAnsi="华文中宋" w:eastAsia="华文中宋" w:cs="华文中宋"/>
          <w:b/>
          <w:bCs/>
          <w:color w:val="auto"/>
          <w:sz w:val="36"/>
          <w:szCs w:val="36"/>
          <w:lang w:val="en-US" w:eastAsia="zh-CN"/>
        </w:rPr>
      </w:pPr>
      <w:r>
        <w:rPr>
          <w:rFonts w:hint="eastAsia" w:ascii="华文中宋" w:hAnsi="华文中宋" w:eastAsia="华文中宋" w:cs="华文中宋"/>
          <w:b/>
          <w:bCs/>
          <w:color w:val="auto"/>
          <w:sz w:val="36"/>
          <w:szCs w:val="36"/>
          <w:lang w:eastAsia="zh-CN"/>
        </w:rPr>
        <w:t>附件</w:t>
      </w:r>
      <w:r>
        <w:rPr>
          <w:rFonts w:hint="eastAsia" w:ascii="华文中宋" w:hAnsi="华文中宋" w:eastAsia="华文中宋" w:cs="华文中宋"/>
          <w:b/>
          <w:bCs/>
          <w:color w:val="auto"/>
          <w:sz w:val="36"/>
          <w:szCs w:val="36"/>
          <w:lang w:val="en-US" w:eastAsia="zh-CN"/>
        </w:rPr>
        <w:t>2</w:t>
      </w:r>
    </w:p>
    <w:p w14:paraId="579B2426">
      <w:pPr>
        <w:keepNext w:val="0"/>
        <w:keepLines w:val="0"/>
        <w:pageBreakBefore w:val="0"/>
        <w:widowControl w:val="0"/>
        <w:numPr>
          <w:ilvl w:val="0"/>
          <w:numId w:val="0"/>
        </w:numPr>
        <w:kinsoku/>
        <w:wordWrap/>
        <w:overflowPunct/>
        <w:topLinePunct w:val="0"/>
        <w:autoSpaceDE/>
        <w:autoSpaceDN/>
        <w:bidi w:val="0"/>
        <w:adjustRightInd/>
        <w:snapToGrid/>
        <w:ind w:firstLine="964" w:firstLineChars="3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会同县“十五五”规划纲要和专项规划建议清单</w:t>
      </w:r>
    </w:p>
    <w:tbl>
      <w:tblPr>
        <w:tblStyle w:val="22"/>
        <w:tblW w:w="8288" w:type="dxa"/>
        <w:jc w:val="center"/>
        <w:tblLayout w:type="fixed"/>
        <w:tblCellMar>
          <w:top w:w="0" w:type="dxa"/>
          <w:left w:w="0" w:type="dxa"/>
          <w:bottom w:w="0" w:type="dxa"/>
          <w:right w:w="0" w:type="dxa"/>
        </w:tblCellMar>
      </w:tblPr>
      <w:tblGrid>
        <w:gridCol w:w="765"/>
        <w:gridCol w:w="5873"/>
        <w:gridCol w:w="1650"/>
      </w:tblGrid>
      <w:tr w14:paraId="609AB8D2">
        <w:tblPrEx>
          <w:tblCellMar>
            <w:top w:w="0" w:type="dxa"/>
            <w:left w:w="0" w:type="dxa"/>
            <w:bottom w:w="0" w:type="dxa"/>
            <w:right w:w="0" w:type="dxa"/>
          </w:tblCellMar>
        </w:tblPrEx>
        <w:trPr>
          <w:trHeight w:val="800" w:hRule="atLeast"/>
          <w:jc w:val="center"/>
        </w:trPr>
        <w:tc>
          <w:tcPr>
            <w:tcW w:w="7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3332883">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58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D023C2">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名  称</w:t>
            </w:r>
          </w:p>
        </w:tc>
        <w:tc>
          <w:tcPr>
            <w:tcW w:w="16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4B195C">
            <w:pPr>
              <w:keepNext w:val="0"/>
              <w:keepLines w:val="0"/>
              <w:pageBreakBefore w:val="0"/>
              <w:widowControl w:val="0"/>
              <w:suppressLineNumbers w:val="0"/>
              <w:wordWrap/>
              <w:overflowPunct/>
              <w:topLinePunct w:val="0"/>
              <w:bidi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责任单位</w:t>
            </w:r>
          </w:p>
        </w:tc>
      </w:tr>
      <w:tr w14:paraId="7700932E">
        <w:tblPrEx>
          <w:tblCellMar>
            <w:top w:w="0" w:type="dxa"/>
            <w:left w:w="0" w:type="dxa"/>
            <w:bottom w:w="0" w:type="dxa"/>
            <w:right w:w="0" w:type="dxa"/>
          </w:tblCellMar>
        </w:tblPrEx>
        <w:trPr>
          <w:trHeight w:val="685" w:hRule="atLeast"/>
          <w:jc w:val="center"/>
        </w:trPr>
        <w:tc>
          <w:tcPr>
            <w:tcW w:w="7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6A9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5873"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AA29E0">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会同县国民经济和社会发展</w:t>
            </w:r>
            <w:bookmarkStart w:id="1" w:name="_Toc25887"/>
            <w:r>
              <w:rPr>
                <w:rFonts w:hint="eastAsia" w:ascii="仿宋_GB2312" w:hAnsi="仿宋_GB2312" w:eastAsia="仿宋_GB2312" w:cs="仿宋_GB2312"/>
                <w:i w:val="0"/>
                <w:color w:val="auto"/>
                <w:kern w:val="0"/>
                <w:sz w:val="24"/>
                <w:szCs w:val="24"/>
                <w:u w:val="none"/>
                <w:lang w:val="en-US" w:eastAsia="zh-CN" w:bidi="ar"/>
              </w:rPr>
              <w:t>第十五个五年规划</w:t>
            </w:r>
            <w:bookmarkEnd w:id="1"/>
            <w:r>
              <w:rPr>
                <w:rFonts w:hint="eastAsia" w:ascii="仿宋_GB2312" w:hAnsi="仿宋_GB2312" w:eastAsia="仿宋_GB2312" w:cs="仿宋_GB2312"/>
                <w:i w:val="0"/>
                <w:color w:val="auto"/>
                <w:kern w:val="0"/>
                <w:sz w:val="24"/>
                <w:szCs w:val="24"/>
                <w:u w:val="none"/>
                <w:lang w:val="en-US" w:eastAsia="zh-CN" w:bidi="ar"/>
              </w:rPr>
              <w:t>纲要（2026-2030年）</w:t>
            </w:r>
          </w:p>
        </w:tc>
        <w:tc>
          <w:tcPr>
            <w:tcW w:w="165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DAE24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县发改局</w:t>
            </w:r>
          </w:p>
        </w:tc>
      </w:tr>
      <w:tr w14:paraId="3ACCE754">
        <w:tblPrEx>
          <w:tblCellMar>
            <w:top w:w="0" w:type="dxa"/>
            <w:left w:w="0" w:type="dxa"/>
            <w:bottom w:w="0" w:type="dxa"/>
            <w:right w:w="0" w:type="dxa"/>
          </w:tblCellMar>
        </w:tblPrEx>
        <w:trPr>
          <w:trHeight w:val="600" w:hRule="atLeast"/>
          <w:jc w:val="center"/>
        </w:trPr>
        <w:tc>
          <w:tcPr>
            <w:tcW w:w="7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BE3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5873"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A0DCCC">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会同县“十五五”制造业、科技信息、服务业发展规划</w:t>
            </w:r>
          </w:p>
        </w:tc>
        <w:tc>
          <w:tcPr>
            <w:tcW w:w="165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8A4B8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县商科工信局</w:t>
            </w:r>
          </w:p>
        </w:tc>
      </w:tr>
      <w:tr w14:paraId="4C7E0195">
        <w:tblPrEx>
          <w:tblCellMar>
            <w:top w:w="0" w:type="dxa"/>
            <w:left w:w="0" w:type="dxa"/>
            <w:bottom w:w="0" w:type="dxa"/>
            <w:right w:w="0" w:type="dxa"/>
          </w:tblCellMar>
        </w:tblPrEx>
        <w:trPr>
          <w:trHeight w:val="415" w:hRule="atLeast"/>
          <w:jc w:val="center"/>
        </w:trPr>
        <w:tc>
          <w:tcPr>
            <w:tcW w:w="7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D60E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w:t>
            </w:r>
          </w:p>
        </w:tc>
        <w:tc>
          <w:tcPr>
            <w:tcW w:w="5873"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18DB24">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会同县“十五五”财政税收发展规划</w:t>
            </w:r>
          </w:p>
        </w:tc>
        <w:tc>
          <w:tcPr>
            <w:tcW w:w="165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3590B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县财政局</w:t>
            </w:r>
          </w:p>
        </w:tc>
      </w:tr>
      <w:tr w14:paraId="1152AC86">
        <w:tblPrEx>
          <w:tblCellMar>
            <w:top w:w="0" w:type="dxa"/>
            <w:left w:w="0" w:type="dxa"/>
            <w:bottom w:w="0" w:type="dxa"/>
            <w:right w:w="0" w:type="dxa"/>
          </w:tblCellMar>
        </w:tblPrEx>
        <w:trPr>
          <w:trHeight w:val="415" w:hRule="atLeast"/>
          <w:jc w:val="center"/>
        </w:trPr>
        <w:tc>
          <w:tcPr>
            <w:tcW w:w="7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D2D6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w:t>
            </w:r>
          </w:p>
        </w:tc>
        <w:tc>
          <w:tcPr>
            <w:tcW w:w="5873"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A4D71C">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会同县“十五五”综合交通发展规划</w:t>
            </w:r>
          </w:p>
        </w:tc>
        <w:tc>
          <w:tcPr>
            <w:tcW w:w="165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17492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县交通局</w:t>
            </w:r>
          </w:p>
        </w:tc>
      </w:tr>
      <w:tr w14:paraId="1256C553">
        <w:tblPrEx>
          <w:tblCellMar>
            <w:top w:w="0" w:type="dxa"/>
            <w:left w:w="0" w:type="dxa"/>
            <w:bottom w:w="0" w:type="dxa"/>
            <w:right w:w="0" w:type="dxa"/>
          </w:tblCellMar>
        </w:tblPrEx>
        <w:trPr>
          <w:trHeight w:val="435" w:hRule="atLeast"/>
          <w:jc w:val="center"/>
        </w:trPr>
        <w:tc>
          <w:tcPr>
            <w:tcW w:w="7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EF80C">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5873"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2FBC8A">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会同县“十五五”教育发展规划</w:t>
            </w:r>
          </w:p>
        </w:tc>
        <w:tc>
          <w:tcPr>
            <w:tcW w:w="165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1331B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县教育局</w:t>
            </w:r>
          </w:p>
        </w:tc>
      </w:tr>
      <w:tr w14:paraId="352488C8">
        <w:tblPrEx>
          <w:tblCellMar>
            <w:top w:w="0" w:type="dxa"/>
            <w:left w:w="0" w:type="dxa"/>
            <w:bottom w:w="0" w:type="dxa"/>
            <w:right w:w="0" w:type="dxa"/>
          </w:tblCellMar>
        </w:tblPrEx>
        <w:trPr>
          <w:trHeight w:val="420" w:hRule="atLeast"/>
          <w:jc w:val="center"/>
        </w:trPr>
        <w:tc>
          <w:tcPr>
            <w:tcW w:w="7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0866">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w:t>
            </w:r>
          </w:p>
        </w:tc>
        <w:tc>
          <w:tcPr>
            <w:tcW w:w="5873"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383D1F">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会同县“十五五”文化旅游和体育发展规划</w:t>
            </w:r>
          </w:p>
        </w:tc>
        <w:tc>
          <w:tcPr>
            <w:tcW w:w="165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5FF09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县文旅广体局</w:t>
            </w:r>
          </w:p>
        </w:tc>
      </w:tr>
      <w:tr w14:paraId="43AD4EAC">
        <w:tblPrEx>
          <w:tblCellMar>
            <w:top w:w="0" w:type="dxa"/>
            <w:left w:w="0" w:type="dxa"/>
            <w:bottom w:w="0" w:type="dxa"/>
            <w:right w:w="0" w:type="dxa"/>
          </w:tblCellMar>
        </w:tblPrEx>
        <w:trPr>
          <w:trHeight w:val="435" w:hRule="atLeast"/>
          <w:jc w:val="center"/>
        </w:trPr>
        <w:tc>
          <w:tcPr>
            <w:tcW w:w="7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DE9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5873"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46920E">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会同县“十五五”农业农村发展规划</w:t>
            </w:r>
          </w:p>
        </w:tc>
        <w:tc>
          <w:tcPr>
            <w:tcW w:w="165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61B31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县农业农村局</w:t>
            </w:r>
          </w:p>
        </w:tc>
      </w:tr>
      <w:tr w14:paraId="6C10F6A1">
        <w:tblPrEx>
          <w:tblCellMar>
            <w:top w:w="0" w:type="dxa"/>
            <w:left w:w="0" w:type="dxa"/>
            <w:bottom w:w="0" w:type="dxa"/>
            <w:right w:w="0" w:type="dxa"/>
          </w:tblCellMar>
        </w:tblPrEx>
        <w:trPr>
          <w:trHeight w:val="645" w:hRule="atLeast"/>
          <w:jc w:val="center"/>
        </w:trPr>
        <w:tc>
          <w:tcPr>
            <w:tcW w:w="7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9C8D">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5873"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459B81">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会同县“十五五”人力资源和社会保障事业发展规划</w:t>
            </w:r>
          </w:p>
        </w:tc>
        <w:tc>
          <w:tcPr>
            <w:tcW w:w="165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CDF3C4">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县人社局</w:t>
            </w:r>
          </w:p>
        </w:tc>
      </w:tr>
      <w:tr w14:paraId="498D4EED">
        <w:tblPrEx>
          <w:tblCellMar>
            <w:top w:w="0" w:type="dxa"/>
            <w:left w:w="0" w:type="dxa"/>
            <w:bottom w:w="0" w:type="dxa"/>
            <w:right w:w="0" w:type="dxa"/>
          </w:tblCellMar>
        </w:tblPrEx>
        <w:trPr>
          <w:trHeight w:val="505" w:hRule="atLeast"/>
          <w:jc w:val="center"/>
        </w:trPr>
        <w:tc>
          <w:tcPr>
            <w:tcW w:w="7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9E9E">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p>
        </w:tc>
        <w:tc>
          <w:tcPr>
            <w:tcW w:w="5873"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A85467">
            <w:pPr>
              <w:keepNext w:val="0"/>
              <w:keepLines w:val="0"/>
              <w:pageBreakBefore w:val="0"/>
              <w:widowControl w:val="0"/>
              <w:suppressLineNumbers w:val="0"/>
              <w:tabs>
                <w:tab w:val="left" w:pos="1801"/>
              </w:tabs>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会同县“十五五”卫生与健康事业规划</w:t>
            </w:r>
          </w:p>
        </w:tc>
        <w:tc>
          <w:tcPr>
            <w:tcW w:w="165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354324">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县卫健局</w:t>
            </w:r>
          </w:p>
        </w:tc>
      </w:tr>
      <w:tr w14:paraId="7612E8D9">
        <w:tblPrEx>
          <w:tblCellMar>
            <w:top w:w="0" w:type="dxa"/>
            <w:left w:w="0" w:type="dxa"/>
            <w:bottom w:w="0" w:type="dxa"/>
            <w:right w:w="0" w:type="dxa"/>
          </w:tblCellMar>
        </w:tblPrEx>
        <w:trPr>
          <w:trHeight w:val="420" w:hRule="atLeast"/>
          <w:jc w:val="center"/>
        </w:trPr>
        <w:tc>
          <w:tcPr>
            <w:tcW w:w="7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64B41">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w:t>
            </w:r>
          </w:p>
        </w:tc>
        <w:tc>
          <w:tcPr>
            <w:tcW w:w="5873"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3337CA">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会同县“十五五”能源产业发展规划</w:t>
            </w:r>
          </w:p>
        </w:tc>
        <w:tc>
          <w:tcPr>
            <w:tcW w:w="165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50B4D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县发改局</w:t>
            </w:r>
          </w:p>
        </w:tc>
      </w:tr>
      <w:tr w14:paraId="7D33724D">
        <w:tblPrEx>
          <w:tblCellMar>
            <w:top w:w="0" w:type="dxa"/>
            <w:left w:w="0" w:type="dxa"/>
            <w:bottom w:w="0" w:type="dxa"/>
            <w:right w:w="0" w:type="dxa"/>
          </w:tblCellMar>
        </w:tblPrEx>
        <w:trPr>
          <w:trHeight w:val="475" w:hRule="atLeast"/>
          <w:jc w:val="center"/>
        </w:trPr>
        <w:tc>
          <w:tcPr>
            <w:tcW w:w="7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4A6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11</w:t>
            </w:r>
          </w:p>
        </w:tc>
        <w:tc>
          <w:tcPr>
            <w:tcW w:w="5873"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E06EB2">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sz w:val="24"/>
                <w:szCs w:val="24"/>
                <w:u w:val="none"/>
                <w:lang w:eastAsia="zh-CN"/>
              </w:rPr>
              <w:t>会同县“十五五”住房和城乡发展规划</w:t>
            </w:r>
          </w:p>
        </w:tc>
        <w:tc>
          <w:tcPr>
            <w:tcW w:w="165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15B15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县住建局</w:t>
            </w:r>
          </w:p>
        </w:tc>
      </w:tr>
      <w:tr w14:paraId="5DA86AE7">
        <w:tblPrEx>
          <w:tblCellMar>
            <w:top w:w="0" w:type="dxa"/>
            <w:left w:w="0" w:type="dxa"/>
            <w:bottom w:w="0" w:type="dxa"/>
            <w:right w:w="0" w:type="dxa"/>
          </w:tblCellMar>
        </w:tblPrEx>
        <w:trPr>
          <w:trHeight w:val="49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C2DA">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58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3CE38B">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会同县“十五五”民政事业发展规划</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0DE02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县民政局</w:t>
            </w:r>
          </w:p>
        </w:tc>
      </w:tr>
      <w:tr w14:paraId="5264F68A">
        <w:tblPrEx>
          <w:tblCellMar>
            <w:top w:w="0" w:type="dxa"/>
            <w:left w:w="0" w:type="dxa"/>
            <w:bottom w:w="0" w:type="dxa"/>
            <w:right w:w="0" w:type="dxa"/>
          </w:tblCellMar>
        </w:tblPrEx>
        <w:trPr>
          <w:trHeight w:val="47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926F">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58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BACD4E">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会同县“十五五”水利（移民）发展规划</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65FA1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县水利局</w:t>
            </w:r>
          </w:p>
        </w:tc>
      </w:tr>
      <w:tr w14:paraId="6F7CA843">
        <w:tblPrEx>
          <w:tblCellMar>
            <w:top w:w="0" w:type="dxa"/>
            <w:left w:w="0" w:type="dxa"/>
            <w:bottom w:w="0" w:type="dxa"/>
            <w:right w:w="0" w:type="dxa"/>
          </w:tblCellMar>
        </w:tblPrEx>
        <w:trPr>
          <w:trHeight w:val="45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B342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14</w:t>
            </w:r>
          </w:p>
        </w:tc>
        <w:tc>
          <w:tcPr>
            <w:tcW w:w="58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BBD87E">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会同县“十五五”林业发展规划</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46AFD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县林业局</w:t>
            </w:r>
          </w:p>
        </w:tc>
      </w:tr>
      <w:tr w14:paraId="2F503C30">
        <w:tblPrEx>
          <w:tblCellMar>
            <w:top w:w="0" w:type="dxa"/>
            <w:left w:w="0" w:type="dxa"/>
            <w:bottom w:w="0" w:type="dxa"/>
            <w:right w:w="0" w:type="dxa"/>
          </w:tblCellMar>
        </w:tblPrEx>
        <w:trPr>
          <w:trHeight w:val="48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44DA9">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15</w:t>
            </w:r>
          </w:p>
        </w:tc>
        <w:tc>
          <w:tcPr>
            <w:tcW w:w="58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1D1C24">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会同县“十五五”安全生产发展及防灾减灾规划</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9D911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县应急局</w:t>
            </w:r>
          </w:p>
        </w:tc>
      </w:tr>
      <w:tr w14:paraId="26620E1F">
        <w:tblPrEx>
          <w:tblCellMar>
            <w:top w:w="0" w:type="dxa"/>
            <w:left w:w="0" w:type="dxa"/>
            <w:bottom w:w="0" w:type="dxa"/>
            <w:right w:w="0" w:type="dxa"/>
          </w:tblCellMar>
        </w:tblPrEx>
        <w:trPr>
          <w:trHeight w:val="68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C1C3">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16</w:t>
            </w:r>
          </w:p>
        </w:tc>
        <w:tc>
          <w:tcPr>
            <w:tcW w:w="58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7FF87C">
            <w:pPr>
              <w:keepNext w:val="0"/>
              <w:keepLines w:val="0"/>
              <w:pageBreakBefore w:val="0"/>
              <w:widowControl w:val="0"/>
              <w:suppressLineNumbers w:val="0"/>
              <w:tabs>
                <w:tab w:val="left" w:pos="991"/>
              </w:tabs>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会同县“十五五”食品药品安全及市场监督管理发展规划</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9A565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县市监局</w:t>
            </w:r>
          </w:p>
        </w:tc>
      </w:tr>
      <w:tr w14:paraId="3986CBF0">
        <w:tblPrEx>
          <w:tblCellMar>
            <w:top w:w="0" w:type="dxa"/>
            <w:left w:w="0" w:type="dxa"/>
            <w:bottom w:w="0" w:type="dxa"/>
            <w:right w:w="0" w:type="dxa"/>
          </w:tblCellMar>
        </w:tblPrEx>
        <w:trPr>
          <w:trHeight w:val="7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DAD8">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17</w:t>
            </w:r>
          </w:p>
        </w:tc>
        <w:tc>
          <w:tcPr>
            <w:tcW w:w="58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5ACCAD">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会同县“十五五”生态环境及污染防治规划</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6AD91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怀化市生态环境局会同分局</w:t>
            </w:r>
          </w:p>
        </w:tc>
      </w:tr>
      <w:tr w14:paraId="3647CE59">
        <w:tblPrEx>
          <w:tblCellMar>
            <w:top w:w="0" w:type="dxa"/>
            <w:left w:w="0" w:type="dxa"/>
            <w:bottom w:w="0" w:type="dxa"/>
            <w:right w:w="0" w:type="dxa"/>
          </w:tblCellMar>
        </w:tblPrEx>
        <w:trPr>
          <w:trHeight w:val="80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AB8F5">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总计</w:t>
            </w:r>
          </w:p>
        </w:tc>
        <w:tc>
          <w:tcPr>
            <w:tcW w:w="58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CFA0DA">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1个规划纲要+16个专项规划</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D6EC6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lang w:eastAsia="zh-CN"/>
              </w:rPr>
            </w:pPr>
          </w:p>
        </w:tc>
      </w:tr>
    </w:tbl>
    <w:p w14:paraId="645F4C9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ind w:leftChars="200"/>
        <w:jc w:val="both"/>
        <w:textAlignment w:val="baseline"/>
        <w:rPr>
          <w:rFonts w:hint="eastAsia" w:ascii="楷体_GB2312" w:hAnsi="楷体_GB2312" w:eastAsia="楷体_GB2312" w:cs="楷体_GB2312"/>
          <w:b/>
          <w:bCs/>
          <w:color w:val="auto"/>
          <w:sz w:val="32"/>
          <w:szCs w:val="32"/>
          <w:lang w:val="en-US" w:eastAsia="zh-CN"/>
        </w:rPr>
      </w:pPr>
    </w:p>
    <w:p w14:paraId="7852D957">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p>
    <w:p w14:paraId="0EECAA25"/>
    <w:p w14:paraId="5D38B760">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华文中宋" w:hAnsi="华文中宋" w:eastAsia="华文中宋" w:cs="华文中宋"/>
          <w:b/>
          <w:bCs/>
          <w:color w:val="auto"/>
          <w:sz w:val="36"/>
          <w:szCs w:val="36"/>
          <w:lang w:eastAsia="zh-CN"/>
        </w:rPr>
      </w:pPr>
    </w:p>
    <w:p w14:paraId="4D300D0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default" w:ascii="华文中宋" w:hAnsi="华文中宋" w:eastAsia="华文中宋" w:cs="华文中宋"/>
          <w:b/>
          <w:bCs/>
          <w:color w:val="auto"/>
          <w:sz w:val="36"/>
          <w:szCs w:val="36"/>
          <w:lang w:val="en-US" w:eastAsia="zh-CN"/>
        </w:rPr>
      </w:pPr>
      <w:r>
        <w:rPr>
          <w:rFonts w:hint="eastAsia" w:ascii="华文中宋" w:hAnsi="华文中宋" w:eastAsia="华文中宋" w:cs="华文中宋"/>
          <w:b/>
          <w:bCs/>
          <w:color w:val="auto"/>
          <w:sz w:val="36"/>
          <w:szCs w:val="36"/>
          <w:lang w:eastAsia="zh-CN"/>
        </w:rPr>
        <w:t>附件</w:t>
      </w:r>
      <w:r>
        <w:rPr>
          <w:rFonts w:hint="eastAsia" w:ascii="华文中宋" w:hAnsi="华文中宋" w:eastAsia="华文中宋" w:cs="华文中宋"/>
          <w:b/>
          <w:bCs/>
          <w:color w:val="auto"/>
          <w:sz w:val="36"/>
          <w:szCs w:val="36"/>
          <w:lang w:val="en-US" w:eastAsia="zh-CN"/>
        </w:rPr>
        <w:t>3</w:t>
      </w:r>
    </w:p>
    <w:p w14:paraId="542FFEE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华文中宋" w:hAnsi="华文中宋" w:eastAsia="华文中宋" w:cs="华文中宋"/>
          <w:b/>
          <w:bCs/>
          <w:color w:val="auto"/>
          <w:sz w:val="36"/>
          <w:szCs w:val="36"/>
          <w:lang w:val="en-US" w:eastAsia="zh-CN"/>
        </w:rPr>
      </w:pPr>
    </w:p>
    <w:p w14:paraId="0F751FB3">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cs="宋体"/>
          <w:b/>
          <w:bCs/>
          <w:spacing w:val="28"/>
          <w:sz w:val="44"/>
          <w:szCs w:val="44"/>
          <w:lang w:eastAsia="zh-CN"/>
        </w:rPr>
      </w:pPr>
      <w:r>
        <w:rPr>
          <w:rFonts w:hint="eastAsia" w:ascii="宋体" w:hAnsi="宋体" w:eastAsia="宋体" w:cs="宋体"/>
          <w:b/>
          <w:bCs/>
          <w:spacing w:val="28"/>
          <w:sz w:val="44"/>
          <w:szCs w:val="44"/>
        </w:rPr>
        <w:t>会同县“十五五”规划编制</w:t>
      </w:r>
      <w:r>
        <w:rPr>
          <w:rFonts w:hint="eastAsia" w:ascii="宋体" w:hAnsi="宋体" w:cs="宋体"/>
          <w:b/>
          <w:bCs/>
          <w:spacing w:val="28"/>
          <w:sz w:val="44"/>
          <w:szCs w:val="44"/>
          <w:lang w:eastAsia="zh-CN"/>
        </w:rPr>
        <w:t>工作联络员名单回</w:t>
      </w:r>
      <w:r>
        <w:rPr>
          <w:rFonts w:hint="eastAsia" w:ascii="宋体" w:hAnsi="宋体" w:cs="宋体"/>
          <w:b/>
          <w:bCs/>
          <w:spacing w:val="28"/>
          <w:sz w:val="44"/>
          <w:szCs w:val="44"/>
          <w:lang w:val="en-US" w:eastAsia="zh-CN"/>
        </w:rPr>
        <w:t xml:space="preserve"> </w:t>
      </w:r>
      <w:r>
        <w:rPr>
          <w:rFonts w:hint="eastAsia" w:ascii="宋体" w:hAnsi="宋体" w:cs="宋体"/>
          <w:b/>
          <w:bCs/>
          <w:spacing w:val="28"/>
          <w:sz w:val="44"/>
          <w:szCs w:val="44"/>
          <w:lang w:eastAsia="zh-CN"/>
        </w:rPr>
        <w:t>执</w:t>
      </w:r>
    </w:p>
    <w:p w14:paraId="6670867C">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cs="宋体"/>
          <w:b/>
          <w:bCs/>
          <w:sz w:val="44"/>
          <w:szCs w:val="44"/>
          <w:lang w:eastAsia="zh-CN"/>
        </w:rPr>
      </w:pPr>
    </w:p>
    <w:p w14:paraId="4A748496">
      <w:pPr>
        <w:keepNext w:val="0"/>
        <w:keepLines w:val="0"/>
        <w:pageBreakBefore w:val="0"/>
        <w:widowControl w:val="0"/>
        <w:kinsoku w:val="0"/>
        <w:wordWrap/>
        <w:overflowPunct/>
        <w:topLinePunct w:val="0"/>
        <w:autoSpaceDE w:val="0"/>
        <w:autoSpaceDN w:val="0"/>
        <w:bidi w:val="0"/>
        <w:adjustRightInd w:val="0"/>
        <w:snapToGrid w:val="0"/>
        <w:spacing w:line="580" w:lineRule="exact"/>
        <w:jc w:val="left"/>
        <w:textAlignment w:val="baseline"/>
        <w:rPr>
          <w:rFonts w:hint="eastAsia" w:ascii="仿宋_GB2312" w:hAnsi="仿宋_GB2312" w:eastAsia="仿宋_GB2312" w:cs="仿宋_GB2312"/>
          <w:b w:val="0"/>
          <w:bCs w:val="0"/>
          <w:sz w:val="44"/>
          <w:szCs w:val="44"/>
          <w:lang w:eastAsia="zh-CN"/>
        </w:rPr>
      </w:pPr>
      <w:r>
        <w:rPr>
          <w:rFonts w:hint="eastAsia" w:ascii="仿宋_GB2312" w:hAnsi="仿宋_GB2312" w:eastAsia="仿宋_GB2312" w:cs="仿宋_GB2312"/>
          <w:b w:val="0"/>
          <w:bCs w:val="0"/>
          <w:sz w:val="28"/>
          <w:szCs w:val="28"/>
          <w:lang w:eastAsia="zh-CN"/>
        </w:rPr>
        <w:t>单位名称（盖章）：</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6"/>
        <w:gridCol w:w="2537"/>
        <w:gridCol w:w="4575"/>
      </w:tblGrid>
      <w:tr w14:paraId="229B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9" w:hRule="atLeast"/>
        </w:trPr>
        <w:tc>
          <w:tcPr>
            <w:tcW w:w="1314" w:type="pct"/>
            <w:vAlign w:val="center"/>
          </w:tcPr>
          <w:p w14:paraId="49E2EB9F">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cs="宋体"/>
                <w:b/>
                <w:bCs/>
                <w:sz w:val="44"/>
                <w:szCs w:val="44"/>
                <w:vertAlign w:val="baseline"/>
                <w:lang w:eastAsia="zh-CN"/>
              </w:rPr>
            </w:pPr>
            <w:r>
              <w:rPr>
                <w:rFonts w:hint="eastAsia" w:ascii="宋体" w:hAnsi="宋体" w:cs="宋体"/>
                <w:b/>
                <w:bCs/>
                <w:sz w:val="32"/>
                <w:szCs w:val="32"/>
                <w:vertAlign w:val="baseline"/>
                <w:lang w:eastAsia="zh-CN"/>
              </w:rPr>
              <w:t>姓</w:t>
            </w:r>
            <w:r>
              <w:rPr>
                <w:rFonts w:hint="eastAsia" w:ascii="宋体" w:hAnsi="宋体" w:cs="宋体"/>
                <w:b/>
                <w:bCs/>
                <w:sz w:val="32"/>
                <w:szCs w:val="32"/>
                <w:vertAlign w:val="baseline"/>
                <w:lang w:val="en-US" w:eastAsia="zh-CN"/>
              </w:rPr>
              <w:t xml:space="preserve"> </w:t>
            </w:r>
            <w:r>
              <w:rPr>
                <w:rFonts w:hint="eastAsia" w:ascii="宋体" w:hAnsi="宋体" w:cs="宋体"/>
                <w:b/>
                <w:bCs/>
                <w:sz w:val="32"/>
                <w:szCs w:val="32"/>
                <w:vertAlign w:val="baseline"/>
                <w:lang w:eastAsia="zh-CN"/>
              </w:rPr>
              <w:t>名</w:t>
            </w:r>
          </w:p>
        </w:tc>
        <w:tc>
          <w:tcPr>
            <w:tcW w:w="1314" w:type="pct"/>
            <w:vAlign w:val="center"/>
          </w:tcPr>
          <w:p w14:paraId="0180B5DF">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cs="宋体"/>
                <w:b/>
                <w:bCs/>
                <w:sz w:val="44"/>
                <w:szCs w:val="44"/>
                <w:vertAlign w:val="baseline"/>
                <w:lang w:eastAsia="zh-CN"/>
              </w:rPr>
            </w:pPr>
            <w:r>
              <w:rPr>
                <w:rFonts w:hint="eastAsia" w:ascii="宋体" w:hAnsi="宋体" w:cs="宋体"/>
                <w:b/>
                <w:bCs/>
                <w:sz w:val="32"/>
                <w:szCs w:val="32"/>
                <w:vertAlign w:val="baseline"/>
                <w:lang w:eastAsia="zh-CN"/>
              </w:rPr>
              <w:t>职</w:t>
            </w:r>
            <w:r>
              <w:rPr>
                <w:rFonts w:hint="eastAsia" w:ascii="宋体" w:hAnsi="宋体" w:cs="宋体"/>
                <w:b/>
                <w:bCs/>
                <w:sz w:val="32"/>
                <w:szCs w:val="32"/>
                <w:vertAlign w:val="baseline"/>
                <w:lang w:val="en-US" w:eastAsia="zh-CN"/>
              </w:rPr>
              <w:t xml:space="preserve"> </w:t>
            </w:r>
            <w:r>
              <w:rPr>
                <w:rFonts w:hint="eastAsia" w:ascii="宋体" w:hAnsi="宋体" w:cs="宋体"/>
                <w:b/>
                <w:bCs/>
                <w:sz w:val="32"/>
                <w:szCs w:val="32"/>
                <w:vertAlign w:val="baseline"/>
                <w:lang w:eastAsia="zh-CN"/>
              </w:rPr>
              <w:t>务</w:t>
            </w:r>
          </w:p>
        </w:tc>
        <w:tc>
          <w:tcPr>
            <w:tcW w:w="2370" w:type="pct"/>
            <w:vAlign w:val="center"/>
          </w:tcPr>
          <w:p w14:paraId="4582F95C">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cs="宋体"/>
                <w:b/>
                <w:bCs/>
                <w:sz w:val="44"/>
                <w:szCs w:val="44"/>
                <w:vertAlign w:val="baseline"/>
                <w:lang w:eastAsia="zh-CN"/>
              </w:rPr>
            </w:pPr>
            <w:r>
              <w:rPr>
                <w:rFonts w:hint="eastAsia" w:ascii="宋体" w:hAnsi="宋体" w:cs="宋体"/>
                <w:b/>
                <w:bCs/>
                <w:sz w:val="32"/>
                <w:szCs w:val="32"/>
                <w:vertAlign w:val="baseline"/>
                <w:lang w:eastAsia="zh-CN"/>
              </w:rPr>
              <w:t>联系电话</w:t>
            </w:r>
          </w:p>
        </w:tc>
      </w:tr>
      <w:tr w14:paraId="060C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314" w:type="pct"/>
            <w:vAlign w:val="center"/>
          </w:tcPr>
          <w:p w14:paraId="20E506A7">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cs="宋体"/>
                <w:b/>
                <w:bCs/>
                <w:sz w:val="44"/>
                <w:szCs w:val="44"/>
                <w:vertAlign w:val="baseline"/>
                <w:lang w:eastAsia="zh-CN"/>
              </w:rPr>
            </w:pPr>
          </w:p>
        </w:tc>
        <w:tc>
          <w:tcPr>
            <w:tcW w:w="1314" w:type="pct"/>
            <w:vAlign w:val="center"/>
          </w:tcPr>
          <w:p w14:paraId="2A614062">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cs="宋体"/>
                <w:b/>
                <w:bCs/>
                <w:sz w:val="44"/>
                <w:szCs w:val="44"/>
                <w:vertAlign w:val="baseline"/>
                <w:lang w:eastAsia="zh-CN"/>
              </w:rPr>
            </w:pPr>
          </w:p>
        </w:tc>
        <w:tc>
          <w:tcPr>
            <w:tcW w:w="2370" w:type="pct"/>
            <w:vAlign w:val="center"/>
          </w:tcPr>
          <w:p w14:paraId="2108F2DC">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cs="宋体"/>
                <w:b/>
                <w:bCs/>
                <w:sz w:val="44"/>
                <w:szCs w:val="44"/>
                <w:vertAlign w:val="baseline"/>
                <w:lang w:eastAsia="zh-CN"/>
              </w:rPr>
            </w:pPr>
          </w:p>
        </w:tc>
      </w:tr>
      <w:tr w14:paraId="1734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314" w:type="pct"/>
            <w:vAlign w:val="center"/>
          </w:tcPr>
          <w:p w14:paraId="04FEB1BE">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cs="宋体"/>
                <w:b/>
                <w:bCs/>
                <w:sz w:val="44"/>
                <w:szCs w:val="44"/>
                <w:vertAlign w:val="baseline"/>
                <w:lang w:eastAsia="zh-CN"/>
              </w:rPr>
            </w:pPr>
          </w:p>
        </w:tc>
        <w:tc>
          <w:tcPr>
            <w:tcW w:w="1314" w:type="pct"/>
            <w:vAlign w:val="center"/>
          </w:tcPr>
          <w:p w14:paraId="3DF2D82D">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cs="宋体"/>
                <w:b/>
                <w:bCs/>
                <w:sz w:val="44"/>
                <w:szCs w:val="44"/>
                <w:vertAlign w:val="baseline"/>
                <w:lang w:eastAsia="zh-CN"/>
              </w:rPr>
            </w:pPr>
          </w:p>
        </w:tc>
        <w:tc>
          <w:tcPr>
            <w:tcW w:w="2370" w:type="pct"/>
            <w:vAlign w:val="center"/>
          </w:tcPr>
          <w:p w14:paraId="5C8336F0">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cs="宋体"/>
                <w:b/>
                <w:bCs/>
                <w:sz w:val="44"/>
                <w:szCs w:val="44"/>
                <w:vertAlign w:val="baseline"/>
                <w:lang w:eastAsia="zh-CN"/>
              </w:rPr>
            </w:pPr>
          </w:p>
        </w:tc>
      </w:tr>
      <w:tr w14:paraId="44A3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314" w:type="pct"/>
            <w:vAlign w:val="center"/>
          </w:tcPr>
          <w:p w14:paraId="74A335F2">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cs="宋体"/>
                <w:b/>
                <w:bCs/>
                <w:sz w:val="44"/>
                <w:szCs w:val="44"/>
                <w:vertAlign w:val="baseline"/>
                <w:lang w:eastAsia="zh-CN"/>
              </w:rPr>
            </w:pPr>
          </w:p>
        </w:tc>
        <w:tc>
          <w:tcPr>
            <w:tcW w:w="1314" w:type="pct"/>
            <w:vAlign w:val="center"/>
          </w:tcPr>
          <w:p w14:paraId="59254DF4">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cs="宋体"/>
                <w:b/>
                <w:bCs/>
                <w:sz w:val="44"/>
                <w:szCs w:val="44"/>
                <w:vertAlign w:val="baseline"/>
                <w:lang w:eastAsia="zh-CN"/>
              </w:rPr>
            </w:pPr>
          </w:p>
        </w:tc>
        <w:tc>
          <w:tcPr>
            <w:tcW w:w="2370" w:type="pct"/>
            <w:vAlign w:val="center"/>
          </w:tcPr>
          <w:p w14:paraId="134FB39D">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cs="宋体"/>
                <w:b/>
                <w:bCs/>
                <w:sz w:val="44"/>
                <w:szCs w:val="44"/>
                <w:vertAlign w:val="baseline"/>
                <w:lang w:eastAsia="zh-CN"/>
              </w:rPr>
            </w:pPr>
          </w:p>
        </w:tc>
      </w:tr>
    </w:tbl>
    <w:p w14:paraId="7D5B6373">
      <w:pPr>
        <w:keepNext w:val="0"/>
        <w:keepLines w:val="0"/>
        <w:pageBreakBefore w:val="0"/>
        <w:widowControl w:val="0"/>
        <w:kinsoku w:val="0"/>
        <w:wordWrap/>
        <w:overflowPunct/>
        <w:topLinePunct w:val="0"/>
        <w:autoSpaceDE w:val="0"/>
        <w:autoSpaceDN w:val="0"/>
        <w:bidi w:val="0"/>
        <w:adjustRightInd w:val="0"/>
        <w:snapToGrid w:val="0"/>
        <w:spacing w:line="580" w:lineRule="exact"/>
        <w:jc w:val="center"/>
        <w:textAlignment w:val="baseline"/>
        <w:rPr>
          <w:rFonts w:hint="eastAsia" w:ascii="宋体" w:hAnsi="宋体" w:cs="宋体"/>
          <w:b/>
          <w:bCs/>
          <w:sz w:val="44"/>
          <w:szCs w:val="44"/>
          <w:lang w:eastAsia="zh-CN"/>
        </w:rPr>
      </w:pPr>
    </w:p>
    <w:p w14:paraId="1A5E48D6">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p>
    <w:p w14:paraId="63B895F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注：请各专项规划的成员单位确定一名分管领导和一名联系员具体负责，于8月23日前将名单报发改局综合股张春林汇总，联系电话13574573095.</w:t>
      </w:r>
    </w:p>
    <w:p w14:paraId="7369690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p>
    <w:p w14:paraId="34A8731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p>
    <w:p w14:paraId="3108C22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p>
    <w:p w14:paraId="2611E7F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p>
    <w:p w14:paraId="216087A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lang w:val="en-US" w:eastAsia="zh-CN"/>
        </w:rPr>
      </w:pPr>
    </w:p>
    <w:p w14:paraId="4C6E1F86">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left"/>
        <w:textAlignment w:val="baseline"/>
        <w:rPr>
          <w:rFonts w:hint="eastAsia" w:ascii="黑体" w:hAnsi="黑体" w:eastAsia="黑体" w:cs="黑体"/>
          <w:color w:val="auto"/>
          <w:sz w:val="32"/>
          <w:szCs w:val="32"/>
          <w:lang w:val="en-US" w:eastAsia="zh-CN"/>
        </w:rPr>
      </w:pPr>
    </w:p>
    <w:sectPr>
      <w:footerReference r:id="rId4" w:type="default"/>
      <w:pgSz w:w="11906" w:h="16838" w:orient="landscape"/>
      <w:pgMar w:top="1440" w:right="1236" w:bottom="1440" w:left="1236" w:header="0" w:footer="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AAEAE5-09AE-4A46-8471-4E7A6ABDB5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9279328-69C4-4235-A8B1-A4D913C5B972}"/>
  </w:font>
  <w:font w:name="Luxi Sans">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3" w:fontKey="{FC4FACF4-BDAC-4E12-B7B2-CA1F670C7C50}"/>
  </w:font>
  <w:font w:name="仿宋_GB2312">
    <w:panose1 w:val="02010609030101010101"/>
    <w:charset w:val="86"/>
    <w:family w:val="modern"/>
    <w:pitch w:val="default"/>
    <w:sig w:usb0="00000001" w:usb1="080E0000" w:usb2="00000000" w:usb3="00000000" w:csb0="00040000" w:csb1="00000000"/>
    <w:embedRegular r:id="rId4" w:fontKey="{51AC32A1-22DC-4F5B-ACAD-5739985A38EA}"/>
  </w:font>
  <w:font w:name="方正小标宋_GBK">
    <w:panose1 w:val="02000000000000000000"/>
    <w:charset w:val="86"/>
    <w:family w:val="script"/>
    <w:pitch w:val="default"/>
    <w:sig w:usb0="A00002BF" w:usb1="38CF7CFA" w:usb2="00082016" w:usb3="00000000" w:csb0="00040001" w:csb1="00000000"/>
    <w:embedRegular r:id="rId5" w:fontKey="{A2A19032-1AC9-4805-83B6-3706798C73BA}"/>
  </w:font>
  <w:font w:name="华文中宋">
    <w:panose1 w:val="02010600040101010101"/>
    <w:charset w:val="86"/>
    <w:family w:val="auto"/>
    <w:pitch w:val="default"/>
    <w:sig w:usb0="00000287" w:usb1="080F0000" w:usb2="00000000" w:usb3="00000000" w:csb0="0004009F" w:csb1="DFD70000"/>
    <w:embedRegular r:id="rId6" w:fontKey="{75B68E5E-7489-4BD0-9F75-2363B219F2E5}"/>
  </w:font>
  <w:font w:name="方正楷体_GB2312">
    <w:panose1 w:val="02000000000000000000"/>
    <w:charset w:val="86"/>
    <w:family w:val="auto"/>
    <w:pitch w:val="default"/>
    <w:sig w:usb0="A00002BF" w:usb1="184F6CFA" w:usb2="00000012" w:usb3="00000000" w:csb0="00040001" w:csb1="00000000"/>
    <w:embedRegular r:id="rId7" w:fontKey="{5E80135D-B0F0-4F47-B281-98513E6C7BC8}"/>
  </w:font>
  <w:font w:name="楷体_GB2312">
    <w:panose1 w:val="02010609030101010101"/>
    <w:charset w:val="86"/>
    <w:family w:val="auto"/>
    <w:pitch w:val="default"/>
    <w:sig w:usb0="00000001" w:usb1="080E0000" w:usb2="00000000" w:usb3="00000000" w:csb0="00040000" w:csb1="00000000"/>
    <w:embedRegular r:id="rId8" w:fontKey="{7A486768-6C38-4405-8530-0074B77D61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2C8C">
    <w:pPr>
      <w:pStyle w:val="15"/>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-169545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7E389">
                          <w:pPr>
                            <w:pStyle w:val="15"/>
                          </w:pPr>
                          <w: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r>
                            <w:rPr>
                              <w:sz w:val="30"/>
                              <w:szCs w:val="30"/>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35pt;height:144pt;width:144pt;mso-position-horizontal:outside;mso-position-horizontal-relative:margin;mso-wrap-style:none;z-index:251661312;mso-width-relative:page;mso-height-relative:page;" filled="f" stroked="f" coordsize="21600,21600" o:gfxdata="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BOMddUAAAAIAQAADwAAAAAAAAABACAAAAAiAAAAZHJzL2Rvd25yZXYueG1sUEsB&#10;AhQAFAAAAAgAh07iQOsAOHoxAgAAYwQAAA4AAAAAAAAAAQAgAAAAJAEAAGRycy9lMm9Eb2MueG1s&#10;UEsFBgAAAAAGAAYAWQEAAMcFAAAAAA==&#10;">
              <v:fill on="f" focussize="0,0"/>
              <v:stroke on="f" weight="0.5pt"/>
              <v:imagedata o:title=""/>
              <o:lock v:ext="edit" aspectratio="f"/>
              <v:textbox inset="0mm,0mm,0mm,0mm" style="mso-fit-shape-to-text:t;">
                <w:txbxContent>
                  <w:p w14:paraId="29A7E389">
                    <w:pPr>
                      <w:pStyle w:val="15"/>
                    </w:pPr>
                    <w: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r>
                      <w:rPr>
                        <w:sz w:val="30"/>
                        <w:szCs w:val="30"/>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1B6FD">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-169545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D283C">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cs="Times New Roman"/>
                              <w:kern w:val="2"/>
                              <w:sz w:val="30"/>
                              <w:szCs w:val="30"/>
                              <w:lang w:val="en-US" w:eastAsia="zh-CN" w:bidi="ar-SA"/>
                            </w:rPr>
                            <w:t xml:space="preserve">— </w:t>
                          </w:r>
                          <w:r>
                            <w:rPr>
                              <w:rFonts w:cs="Times New Roman"/>
                              <w:kern w:val="2"/>
                              <w:sz w:val="30"/>
                              <w:szCs w:val="30"/>
                              <w:lang w:val="en-US" w:eastAsia="zh-CN" w:bidi="ar-SA"/>
                            </w:rPr>
                            <w:fldChar w:fldCharType="begin"/>
                          </w:r>
                          <w:r>
                            <w:rPr>
                              <w:rFonts w:cs="Times New Roman"/>
                              <w:kern w:val="2"/>
                              <w:sz w:val="30"/>
                              <w:szCs w:val="30"/>
                              <w:lang w:val="en-US" w:eastAsia="zh-CN" w:bidi="ar-SA"/>
                            </w:rPr>
                            <w:instrText xml:space="preserve"> PAGE  \* MERGEFORMAT </w:instrText>
                          </w:r>
                          <w:r>
                            <w:rPr>
                              <w:rFonts w:cs="Times New Roman"/>
                              <w:kern w:val="2"/>
                              <w:sz w:val="30"/>
                              <w:szCs w:val="30"/>
                              <w:lang w:val="en-US" w:eastAsia="zh-CN" w:bidi="ar-SA"/>
                            </w:rPr>
                            <w:fldChar w:fldCharType="separate"/>
                          </w:r>
                          <w:r>
                            <w:rPr>
                              <w:rFonts w:cs="Times New Roman"/>
                              <w:kern w:val="2"/>
                              <w:sz w:val="30"/>
                              <w:szCs w:val="30"/>
                              <w:lang w:val="en-US" w:eastAsia="zh-CN" w:bidi="ar-SA"/>
                            </w:rPr>
                            <w:t>2</w:t>
                          </w:r>
                          <w:r>
                            <w:rPr>
                              <w:rFonts w:cs="Times New Roman"/>
                              <w:kern w:val="2"/>
                              <w:sz w:val="30"/>
                              <w:szCs w:val="30"/>
                              <w:lang w:val="en-US" w:eastAsia="zh-CN" w:bidi="ar-SA"/>
                            </w:rPr>
                            <w:fldChar w:fldCharType="end"/>
                          </w:r>
                          <w:r>
                            <w:rPr>
                              <w:rFonts w:cs="Times New Roman"/>
                              <w:kern w:val="2"/>
                              <w:sz w:val="30"/>
                              <w:szCs w:val="30"/>
                              <w:lang w:val="en-US" w:eastAsia="zh-CN" w:bidi="ar-SA"/>
                            </w:rPr>
                            <w:t xml:space="preserve"> </w:t>
                          </w:r>
                          <w:r>
                            <w:rPr>
                              <w:rFonts w:cs="Times New Roman"/>
                              <w:kern w:val="2"/>
                              <w:sz w:val="18"/>
                              <w:szCs w:val="24"/>
                              <w:lang w:val="en-US" w:eastAsia="zh-CN" w:bidi="ar-S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35pt;height:144pt;width:144pt;mso-position-horizontal:outside;mso-position-horizontal-relative:margin;mso-wrap-style:none;z-index:251660288;mso-width-relative:page;mso-height-relative:page;" filled="f" stroked="f" coordsize="21600,21600" o:gfxdata="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&#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BOMdd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14:paraId="7AFD283C">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cs="Times New Roman"/>
                        <w:kern w:val="2"/>
                        <w:sz w:val="30"/>
                        <w:szCs w:val="30"/>
                        <w:lang w:val="en-US" w:eastAsia="zh-CN" w:bidi="ar-SA"/>
                      </w:rPr>
                      <w:t xml:space="preserve">— </w:t>
                    </w:r>
                    <w:r>
                      <w:rPr>
                        <w:rFonts w:cs="Times New Roman"/>
                        <w:kern w:val="2"/>
                        <w:sz w:val="30"/>
                        <w:szCs w:val="30"/>
                        <w:lang w:val="en-US" w:eastAsia="zh-CN" w:bidi="ar-SA"/>
                      </w:rPr>
                      <w:fldChar w:fldCharType="begin"/>
                    </w:r>
                    <w:r>
                      <w:rPr>
                        <w:rFonts w:cs="Times New Roman"/>
                        <w:kern w:val="2"/>
                        <w:sz w:val="30"/>
                        <w:szCs w:val="30"/>
                        <w:lang w:val="en-US" w:eastAsia="zh-CN" w:bidi="ar-SA"/>
                      </w:rPr>
                      <w:instrText xml:space="preserve"> PAGE  \* MERGEFORMAT </w:instrText>
                    </w:r>
                    <w:r>
                      <w:rPr>
                        <w:rFonts w:cs="Times New Roman"/>
                        <w:kern w:val="2"/>
                        <w:sz w:val="30"/>
                        <w:szCs w:val="30"/>
                        <w:lang w:val="en-US" w:eastAsia="zh-CN" w:bidi="ar-SA"/>
                      </w:rPr>
                      <w:fldChar w:fldCharType="separate"/>
                    </w:r>
                    <w:r>
                      <w:rPr>
                        <w:rFonts w:cs="Times New Roman"/>
                        <w:kern w:val="2"/>
                        <w:sz w:val="30"/>
                        <w:szCs w:val="30"/>
                        <w:lang w:val="en-US" w:eastAsia="zh-CN" w:bidi="ar-SA"/>
                      </w:rPr>
                      <w:t>2</w:t>
                    </w:r>
                    <w:r>
                      <w:rPr>
                        <w:rFonts w:cs="Times New Roman"/>
                        <w:kern w:val="2"/>
                        <w:sz w:val="30"/>
                        <w:szCs w:val="30"/>
                        <w:lang w:val="en-US" w:eastAsia="zh-CN" w:bidi="ar-SA"/>
                      </w:rPr>
                      <w:fldChar w:fldCharType="end"/>
                    </w:r>
                    <w:r>
                      <w:rPr>
                        <w:rFonts w:cs="Times New Roman"/>
                        <w:kern w:val="2"/>
                        <w:sz w:val="30"/>
                        <w:szCs w:val="30"/>
                        <w:lang w:val="en-US" w:eastAsia="zh-CN" w:bidi="ar-SA"/>
                      </w:rPr>
                      <w:t xml:space="preserve"> </w:t>
                    </w:r>
                    <w:r>
                      <w:rPr>
                        <w:rFonts w:cs="Times New Roman"/>
                        <w:kern w:val="2"/>
                        <w:sz w:val="18"/>
                        <w:szCs w:val="24"/>
                        <w:lang w:val="en-US" w:eastAsia="zh-CN" w:bidi="ar-SA"/>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5F707"/>
    <w:multiLevelType w:val="singleLevel"/>
    <w:tmpl w:val="41C5F707"/>
    <w:lvl w:ilvl="0" w:tentative="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bookFoldPrinting w:val="1"/>
  <w:bookFoldPrintingSheets w:val="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mM1OTNjMTM2ZGQ0ZWI5ZWQ3NTg2NzIzODcyZDk1ODQifQ=="/>
  </w:docVars>
  <w:rsids>
    <w:rsidRoot w:val="00000000"/>
    <w:rsid w:val="003411B1"/>
    <w:rsid w:val="01974C59"/>
    <w:rsid w:val="019A4DC3"/>
    <w:rsid w:val="01BF5AA6"/>
    <w:rsid w:val="035C5045"/>
    <w:rsid w:val="03C076DD"/>
    <w:rsid w:val="03E33071"/>
    <w:rsid w:val="04024200"/>
    <w:rsid w:val="050977A3"/>
    <w:rsid w:val="064D74BE"/>
    <w:rsid w:val="066A4BBD"/>
    <w:rsid w:val="07910CCE"/>
    <w:rsid w:val="08002FD4"/>
    <w:rsid w:val="08A97334"/>
    <w:rsid w:val="08C91CDB"/>
    <w:rsid w:val="095C786B"/>
    <w:rsid w:val="0B04097A"/>
    <w:rsid w:val="0BC26BB8"/>
    <w:rsid w:val="0C2D757F"/>
    <w:rsid w:val="0C90058D"/>
    <w:rsid w:val="0CD27E12"/>
    <w:rsid w:val="0D0D6FD5"/>
    <w:rsid w:val="0DF50627"/>
    <w:rsid w:val="0E31431D"/>
    <w:rsid w:val="0EC57F43"/>
    <w:rsid w:val="0F4D13B1"/>
    <w:rsid w:val="11103304"/>
    <w:rsid w:val="11292A0B"/>
    <w:rsid w:val="115A0E16"/>
    <w:rsid w:val="118539B9"/>
    <w:rsid w:val="12012AAF"/>
    <w:rsid w:val="12B72C8C"/>
    <w:rsid w:val="133412EE"/>
    <w:rsid w:val="135B71AA"/>
    <w:rsid w:val="139200B5"/>
    <w:rsid w:val="13E26EA1"/>
    <w:rsid w:val="146A2E38"/>
    <w:rsid w:val="153F34B3"/>
    <w:rsid w:val="15783497"/>
    <w:rsid w:val="16445F34"/>
    <w:rsid w:val="1677265C"/>
    <w:rsid w:val="168B1A72"/>
    <w:rsid w:val="170830C2"/>
    <w:rsid w:val="175F260D"/>
    <w:rsid w:val="188A67E9"/>
    <w:rsid w:val="18CA2CBF"/>
    <w:rsid w:val="1A564145"/>
    <w:rsid w:val="1A943FAE"/>
    <w:rsid w:val="1B155DAE"/>
    <w:rsid w:val="1C6074FD"/>
    <w:rsid w:val="1C786E84"/>
    <w:rsid w:val="1D6E3F60"/>
    <w:rsid w:val="1DAE2DBD"/>
    <w:rsid w:val="1DB738A2"/>
    <w:rsid w:val="1E006259"/>
    <w:rsid w:val="1F7EA185"/>
    <w:rsid w:val="1F924995"/>
    <w:rsid w:val="1F9F4C8D"/>
    <w:rsid w:val="20E717D6"/>
    <w:rsid w:val="216D1533"/>
    <w:rsid w:val="21764BCB"/>
    <w:rsid w:val="221404C5"/>
    <w:rsid w:val="225656DA"/>
    <w:rsid w:val="229F2122"/>
    <w:rsid w:val="230209B9"/>
    <w:rsid w:val="23A0635B"/>
    <w:rsid w:val="24DE352E"/>
    <w:rsid w:val="250D5171"/>
    <w:rsid w:val="25E865E0"/>
    <w:rsid w:val="267EE899"/>
    <w:rsid w:val="26BE0601"/>
    <w:rsid w:val="271918C7"/>
    <w:rsid w:val="274E4B21"/>
    <w:rsid w:val="27DD2CF4"/>
    <w:rsid w:val="27F51A4F"/>
    <w:rsid w:val="28142EBC"/>
    <w:rsid w:val="299E1A2F"/>
    <w:rsid w:val="2A0814A4"/>
    <w:rsid w:val="2A25390E"/>
    <w:rsid w:val="2A8C41C4"/>
    <w:rsid w:val="2B82123D"/>
    <w:rsid w:val="2BC74EA2"/>
    <w:rsid w:val="2BDE5EEE"/>
    <w:rsid w:val="2BF764E8"/>
    <w:rsid w:val="2CB76E8B"/>
    <w:rsid w:val="2DAE0081"/>
    <w:rsid w:val="2E66217F"/>
    <w:rsid w:val="2F0F0A20"/>
    <w:rsid w:val="2F76D412"/>
    <w:rsid w:val="2FB66441"/>
    <w:rsid w:val="32715B3D"/>
    <w:rsid w:val="32AA29C4"/>
    <w:rsid w:val="333B70CF"/>
    <w:rsid w:val="340F5638"/>
    <w:rsid w:val="348254B1"/>
    <w:rsid w:val="34B47F8E"/>
    <w:rsid w:val="34D65032"/>
    <w:rsid w:val="35D9567E"/>
    <w:rsid w:val="367E0853"/>
    <w:rsid w:val="369167D9"/>
    <w:rsid w:val="36FFDDEB"/>
    <w:rsid w:val="37371D5C"/>
    <w:rsid w:val="37DE7253"/>
    <w:rsid w:val="37DF48E7"/>
    <w:rsid w:val="37F46373"/>
    <w:rsid w:val="37FF16B3"/>
    <w:rsid w:val="387F05E2"/>
    <w:rsid w:val="38AD1CF4"/>
    <w:rsid w:val="39292CF8"/>
    <w:rsid w:val="39F64F4F"/>
    <w:rsid w:val="3A0A783A"/>
    <w:rsid w:val="3A2A75FA"/>
    <w:rsid w:val="3AAFC713"/>
    <w:rsid w:val="3AEF34B9"/>
    <w:rsid w:val="3B0B7F6D"/>
    <w:rsid w:val="3B3E6E7F"/>
    <w:rsid w:val="3CDF55AF"/>
    <w:rsid w:val="3D943DCC"/>
    <w:rsid w:val="3DEECCF7"/>
    <w:rsid w:val="3E0E1C13"/>
    <w:rsid w:val="3F5465F5"/>
    <w:rsid w:val="3F57523B"/>
    <w:rsid w:val="3F744F36"/>
    <w:rsid w:val="3FB69F17"/>
    <w:rsid w:val="3FBD419A"/>
    <w:rsid w:val="3FDDFE3D"/>
    <w:rsid w:val="3FE6A00E"/>
    <w:rsid w:val="3FFCBAFD"/>
    <w:rsid w:val="40436D96"/>
    <w:rsid w:val="407751A2"/>
    <w:rsid w:val="412D7A4F"/>
    <w:rsid w:val="42AD517E"/>
    <w:rsid w:val="43FD4FE8"/>
    <w:rsid w:val="456004C2"/>
    <w:rsid w:val="46A44F19"/>
    <w:rsid w:val="47085BC9"/>
    <w:rsid w:val="47C13A1B"/>
    <w:rsid w:val="47D625CC"/>
    <w:rsid w:val="48253225"/>
    <w:rsid w:val="48BF6709"/>
    <w:rsid w:val="48C837EF"/>
    <w:rsid w:val="494D6EBA"/>
    <w:rsid w:val="499C381A"/>
    <w:rsid w:val="49CB5E06"/>
    <w:rsid w:val="49FA350D"/>
    <w:rsid w:val="4ADF2336"/>
    <w:rsid w:val="4AFE53B0"/>
    <w:rsid w:val="4B144E40"/>
    <w:rsid w:val="4C014490"/>
    <w:rsid w:val="4C670458"/>
    <w:rsid w:val="4C8C5620"/>
    <w:rsid w:val="4CC64518"/>
    <w:rsid w:val="4CD945DE"/>
    <w:rsid w:val="4CF15E8D"/>
    <w:rsid w:val="4D337EE6"/>
    <w:rsid w:val="4E2B1404"/>
    <w:rsid w:val="4F8E4330"/>
    <w:rsid w:val="4F9458BF"/>
    <w:rsid w:val="4FAE7A8E"/>
    <w:rsid w:val="4FF13FF1"/>
    <w:rsid w:val="4FFE72C4"/>
    <w:rsid w:val="4FFF9ABC"/>
    <w:rsid w:val="50BB0282"/>
    <w:rsid w:val="510C1695"/>
    <w:rsid w:val="515822B1"/>
    <w:rsid w:val="516A4481"/>
    <w:rsid w:val="517265DD"/>
    <w:rsid w:val="51D75590"/>
    <w:rsid w:val="533146EC"/>
    <w:rsid w:val="537F5EDF"/>
    <w:rsid w:val="539D7491"/>
    <w:rsid w:val="53AE630E"/>
    <w:rsid w:val="54444A33"/>
    <w:rsid w:val="547370C6"/>
    <w:rsid w:val="54D658B6"/>
    <w:rsid w:val="54DC08F8"/>
    <w:rsid w:val="55554509"/>
    <w:rsid w:val="569172EC"/>
    <w:rsid w:val="56E048E5"/>
    <w:rsid w:val="57435E3C"/>
    <w:rsid w:val="574B60D8"/>
    <w:rsid w:val="57BC0B08"/>
    <w:rsid w:val="57E57397"/>
    <w:rsid w:val="582726A1"/>
    <w:rsid w:val="58FF3883"/>
    <w:rsid w:val="595A19B1"/>
    <w:rsid w:val="5A8B5893"/>
    <w:rsid w:val="5B256B60"/>
    <w:rsid w:val="5C8B6F03"/>
    <w:rsid w:val="5CCC3817"/>
    <w:rsid w:val="5CD65588"/>
    <w:rsid w:val="5D2C42B6"/>
    <w:rsid w:val="5D31340A"/>
    <w:rsid w:val="5DED7EE9"/>
    <w:rsid w:val="5DF73A7C"/>
    <w:rsid w:val="5DF7EF66"/>
    <w:rsid w:val="5E6D8AD6"/>
    <w:rsid w:val="5EDD4118"/>
    <w:rsid w:val="5F5755CD"/>
    <w:rsid w:val="5FFC2AB1"/>
    <w:rsid w:val="607D1C87"/>
    <w:rsid w:val="61C47C9D"/>
    <w:rsid w:val="61E1214F"/>
    <w:rsid w:val="62B360FC"/>
    <w:rsid w:val="62EC0DA3"/>
    <w:rsid w:val="634F76D6"/>
    <w:rsid w:val="63E7123E"/>
    <w:rsid w:val="64065861"/>
    <w:rsid w:val="645E569D"/>
    <w:rsid w:val="64E84EA0"/>
    <w:rsid w:val="64F471AE"/>
    <w:rsid w:val="66490E8D"/>
    <w:rsid w:val="666B6D4A"/>
    <w:rsid w:val="66867433"/>
    <w:rsid w:val="66B05C4D"/>
    <w:rsid w:val="67AD6CDE"/>
    <w:rsid w:val="67C76B59"/>
    <w:rsid w:val="67CA1FF7"/>
    <w:rsid w:val="67DFE477"/>
    <w:rsid w:val="67F14284"/>
    <w:rsid w:val="68236364"/>
    <w:rsid w:val="6846635B"/>
    <w:rsid w:val="687078B0"/>
    <w:rsid w:val="695A6467"/>
    <w:rsid w:val="697231F5"/>
    <w:rsid w:val="69E92A7B"/>
    <w:rsid w:val="6BA37047"/>
    <w:rsid w:val="6CCE57E5"/>
    <w:rsid w:val="6CF22D7E"/>
    <w:rsid w:val="6D6337C8"/>
    <w:rsid w:val="6D7D3037"/>
    <w:rsid w:val="6DA6B5C7"/>
    <w:rsid w:val="6DDB0A33"/>
    <w:rsid w:val="6DF20E3E"/>
    <w:rsid w:val="6DFF32A8"/>
    <w:rsid w:val="6EB7C8BC"/>
    <w:rsid w:val="6F6EC3F3"/>
    <w:rsid w:val="6F7F2C74"/>
    <w:rsid w:val="6FCF07B0"/>
    <w:rsid w:val="6FD7E68E"/>
    <w:rsid w:val="6FF5144F"/>
    <w:rsid w:val="6FFF9EF3"/>
    <w:rsid w:val="71BD682B"/>
    <w:rsid w:val="71FCEE23"/>
    <w:rsid w:val="72237334"/>
    <w:rsid w:val="72A7542B"/>
    <w:rsid w:val="72FDE221"/>
    <w:rsid w:val="73893307"/>
    <w:rsid w:val="739C750B"/>
    <w:rsid w:val="73C6272D"/>
    <w:rsid w:val="73E7219E"/>
    <w:rsid w:val="7535155A"/>
    <w:rsid w:val="754D4790"/>
    <w:rsid w:val="757D59B5"/>
    <w:rsid w:val="75FF6C19"/>
    <w:rsid w:val="76124DDB"/>
    <w:rsid w:val="76435FD7"/>
    <w:rsid w:val="76725D71"/>
    <w:rsid w:val="767EB9B0"/>
    <w:rsid w:val="76EBAEFD"/>
    <w:rsid w:val="76EF2BC4"/>
    <w:rsid w:val="773E000F"/>
    <w:rsid w:val="775832D0"/>
    <w:rsid w:val="777FDC1E"/>
    <w:rsid w:val="779FA258"/>
    <w:rsid w:val="77AD9736"/>
    <w:rsid w:val="77BF60D2"/>
    <w:rsid w:val="77DCB1F1"/>
    <w:rsid w:val="78163AD9"/>
    <w:rsid w:val="78D82AD0"/>
    <w:rsid w:val="7935541B"/>
    <w:rsid w:val="7A064BE3"/>
    <w:rsid w:val="7A7F327C"/>
    <w:rsid w:val="7AA86AE7"/>
    <w:rsid w:val="7ADA9DFB"/>
    <w:rsid w:val="7AED3DD5"/>
    <w:rsid w:val="7AF7B647"/>
    <w:rsid w:val="7B5CD242"/>
    <w:rsid w:val="7B784E3E"/>
    <w:rsid w:val="7B7BBEEC"/>
    <w:rsid w:val="7B7F50C6"/>
    <w:rsid w:val="7B9A3006"/>
    <w:rsid w:val="7B9C1BE4"/>
    <w:rsid w:val="7BB56302"/>
    <w:rsid w:val="7BBF99E8"/>
    <w:rsid w:val="7BC78A72"/>
    <w:rsid w:val="7BDA587D"/>
    <w:rsid w:val="7BE4B3A3"/>
    <w:rsid w:val="7BE89827"/>
    <w:rsid w:val="7C31692C"/>
    <w:rsid w:val="7C575DB3"/>
    <w:rsid w:val="7C7CDDAF"/>
    <w:rsid w:val="7CD723F4"/>
    <w:rsid w:val="7CFB8A9C"/>
    <w:rsid w:val="7D281393"/>
    <w:rsid w:val="7D7FFAE0"/>
    <w:rsid w:val="7DBD7D14"/>
    <w:rsid w:val="7DD0310A"/>
    <w:rsid w:val="7DDC3350"/>
    <w:rsid w:val="7E1F77F3"/>
    <w:rsid w:val="7E492AC2"/>
    <w:rsid w:val="7EF79F7D"/>
    <w:rsid w:val="7F2A46A1"/>
    <w:rsid w:val="7F4FA0E1"/>
    <w:rsid w:val="7F80073F"/>
    <w:rsid w:val="7FB76A71"/>
    <w:rsid w:val="7FBFAC06"/>
    <w:rsid w:val="7FD80A42"/>
    <w:rsid w:val="7FF361EF"/>
    <w:rsid w:val="7FF3D4C5"/>
    <w:rsid w:val="7FF44C22"/>
    <w:rsid w:val="7FFA9084"/>
    <w:rsid w:val="7FFBA086"/>
    <w:rsid w:val="7FFCB6E2"/>
    <w:rsid w:val="7FFE3494"/>
    <w:rsid w:val="7FFF796F"/>
    <w:rsid w:val="936FCCF5"/>
    <w:rsid w:val="9DDE7E29"/>
    <w:rsid w:val="9EFDF712"/>
    <w:rsid w:val="9FC78E18"/>
    <w:rsid w:val="9FF77D68"/>
    <w:rsid w:val="A7FF7514"/>
    <w:rsid w:val="A8FDE761"/>
    <w:rsid w:val="ADF63D63"/>
    <w:rsid w:val="AF9FD380"/>
    <w:rsid w:val="AFD76AA6"/>
    <w:rsid w:val="AFF3BB50"/>
    <w:rsid w:val="B0FF31C1"/>
    <w:rsid w:val="B1AAC0D1"/>
    <w:rsid w:val="B1EE0C83"/>
    <w:rsid w:val="B57F5D0C"/>
    <w:rsid w:val="BB1DFB24"/>
    <w:rsid w:val="BD8B853B"/>
    <w:rsid w:val="BFDFAA39"/>
    <w:rsid w:val="BFFF488D"/>
    <w:rsid w:val="CDD70148"/>
    <w:rsid w:val="CEDFAB57"/>
    <w:rsid w:val="CF7BB099"/>
    <w:rsid w:val="CFBA61CD"/>
    <w:rsid w:val="CFC7610C"/>
    <w:rsid w:val="D6D6720D"/>
    <w:rsid w:val="D764657F"/>
    <w:rsid w:val="D85FE40A"/>
    <w:rsid w:val="DB1FDDD4"/>
    <w:rsid w:val="DB6618A2"/>
    <w:rsid w:val="DBED545C"/>
    <w:rsid w:val="DDBF690C"/>
    <w:rsid w:val="DDD735E9"/>
    <w:rsid w:val="DEE5220E"/>
    <w:rsid w:val="DEEBA62E"/>
    <w:rsid w:val="DEEE3810"/>
    <w:rsid w:val="DEEF9F0E"/>
    <w:rsid w:val="DF5DAFF9"/>
    <w:rsid w:val="DF6578F4"/>
    <w:rsid w:val="DF6EBB7E"/>
    <w:rsid w:val="DFF7E86A"/>
    <w:rsid w:val="E579F38C"/>
    <w:rsid w:val="E57BD735"/>
    <w:rsid w:val="E637B1CB"/>
    <w:rsid w:val="EDF77BF3"/>
    <w:rsid w:val="EF337638"/>
    <w:rsid w:val="EF351189"/>
    <w:rsid w:val="EF852EEF"/>
    <w:rsid w:val="F1CDC8F3"/>
    <w:rsid w:val="F473D8E0"/>
    <w:rsid w:val="F5BDAB83"/>
    <w:rsid w:val="F76F96D8"/>
    <w:rsid w:val="F777A2FC"/>
    <w:rsid w:val="F7BF01F9"/>
    <w:rsid w:val="F7EBBC71"/>
    <w:rsid w:val="F7F64F77"/>
    <w:rsid w:val="F97E8B9F"/>
    <w:rsid w:val="F97FE4F5"/>
    <w:rsid w:val="FB96C1E2"/>
    <w:rsid w:val="FBA732B2"/>
    <w:rsid w:val="FBF75F89"/>
    <w:rsid w:val="FC6F5E83"/>
    <w:rsid w:val="FCB54A58"/>
    <w:rsid w:val="FCBF4041"/>
    <w:rsid w:val="FD33F527"/>
    <w:rsid w:val="FD3E253A"/>
    <w:rsid w:val="FD77B137"/>
    <w:rsid w:val="FDB5335F"/>
    <w:rsid w:val="FDBFCD72"/>
    <w:rsid w:val="FDCF1645"/>
    <w:rsid w:val="FDEDB002"/>
    <w:rsid w:val="FDF90088"/>
    <w:rsid w:val="FDFDF041"/>
    <w:rsid w:val="FDFE3EFA"/>
    <w:rsid w:val="FDFFFE5D"/>
    <w:rsid w:val="FEBE4D38"/>
    <w:rsid w:val="FEFFA9DA"/>
    <w:rsid w:val="FF3F5C2E"/>
    <w:rsid w:val="FF5356FA"/>
    <w:rsid w:val="FF732CDE"/>
    <w:rsid w:val="FF7B8B43"/>
    <w:rsid w:val="FFA7CC8F"/>
    <w:rsid w:val="FFAFC391"/>
    <w:rsid w:val="FFBF0F2E"/>
    <w:rsid w:val="FFDDF79E"/>
    <w:rsid w:val="FFDF511E"/>
    <w:rsid w:val="FFF0EA68"/>
    <w:rsid w:val="FFF69EFC"/>
    <w:rsid w:val="FFF7E854"/>
    <w:rsid w:val="FFFD64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6"/>
    <w:basedOn w:val="1"/>
    <w:next w:val="1"/>
    <w:qFormat/>
    <w:uiPriority w:val="0"/>
    <w:pPr>
      <w:keepNext/>
      <w:keepLines/>
      <w:widowControl w:val="0"/>
      <w:adjustRightInd w:val="0"/>
      <w:spacing w:before="240" w:after="64" w:line="320" w:lineRule="atLeast"/>
      <w:jc w:val="left"/>
      <w:textAlignment w:val="baseline"/>
      <w:outlineLvl w:val="5"/>
    </w:pPr>
    <w:rPr>
      <w:rFonts w:ascii="Arial" w:hAnsi="Arial" w:eastAsia="黑体"/>
      <w:b/>
      <w:bCs/>
      <w:kern w:val="0"/>
      <w:sz w:val="24"/>
    </w:rPr>
  </w:style>
  <w:style w:type="character" w:default="1" w:styleId="24">
    <w:name w:val="Default Paragraph Font"/>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eastAsia="仿宋" w:cs="Times New Roman"/>
    </w:rPr>
  </w:style>
  <w:style w:type="paragraph" w:styleId="7">
    <w:name w:val="index 5"/>
    <w:basedOn w:val="1"/>
    <w:next w:val="1"/>
    <w:qFormat/>
    <w:uiPriority w:val="0"/>
    <w:pPr>
      <w:ind w:left="1680"/>
    </w:pPr>
  </w:style>
  <w:style w:type="paragraph" w:styleId="8">
    <w:name w:val="Body Text"/>
    <w:basedOn w:val="1"/>
    <w:next w:val="9"/>
    <w:qFormat/>
    <w:uiPriority w:val="0"/>
    <w:pPr>
      <w:spacing w:after="120"/>
    </w:pPr>
  </w:style>
  <w:style w:type="paragraph" w:styleId="9">
    <w:name w:val="Body Text First Indent"/>
    <w:basedOn w:val="8"/>
    <w:qFormat/>
    <w:uiPriority w:val="0"/>
    <w:pPr>
      <w:ind w:firstLine="100" w:firstLineChars="100"/>
    </w:pPr>
  </w:style>
  <w:style w:type="paragraph" w:styleId="10">
    <w:name w:val="Body Text Indent"/>
    <w:basedOn w:val="1"/>
    <w:next w:val="6"/>
    <w:qFormat/>
    <w:uiPriority w:val="0"/>
    <w:pPr>
      <w:spacing w:after="120"/>
      <w:ind w:left="420" w:leftChars="200"/>
    </w:pPr>
    <w:rPr>
      <w:rFonts w:ascii="Times New Roman" w:hAnsi="Times New Roman" w:eastAsia="宋体" w:cs="Times New Roman"/>
    </w:rPr>
  </w:style>
  <w:style w:type="paragraph" w:styleId="11">
    <w:name w:val="Block Text"/>
    <w:basedOn w:val="1"/>
    <w:qFormat/>
    <w:uiPriority w:val="0"/>
    <w:pPr>
      <w:ind w:firstLine="640"/>
    </w:pPr>
    <w:rPr>
      <w:rFonts w:ascii="Calibri" w:hAnsi="Calibri" w:eastAsia="仿宋_GB2312" w:cs="宋体"/>
      <w:kern w:val="0"/>
      <w:sz w:val="32"/>
      <w:szCs w:val="32"/>
    </w:rPr>
  </w:style>
  <w:style w:type="paragraph" w:styleId="12">
    <w:name w:val="toc 5"/>
    <w:basedOn w:val="1"/>
    <w:next w:val="1"/>
    <w:qFormat/>
    <w:uiPriority w:val="0"/>
    <w:pPr>
      <w:ind w:left="800" w:leftChars="800"/>
    </w:pPr>
  </w:style>
  <w:style w:type="paragraph" w:styleId="13">
    <w:name w:val="Date"/>
    <w:basedOn w:val="1"/>
    <w:next w:val="1"/>
    <w:qFormat/>
    <w:uiPriority w:val="0"/>
    <w:pPr>
      <w:ind w:left="2500" w:leftChars="2500"/>
    </w:pPr>
  </w:style>
  <w:style w:type="paragraph" w:styleId="14">
    <w:name w:val="Balloon Text"/>
    <w:basedOn w:val="1"/>
    <w:qFormat/>
    <w:uiPriority w:val="0"/>
    <w:rPr>
      <w:sz w:val="18"/>
      <w:szCs w:val="18"/>
    </w:rPr>
  </w:style>
  <w:style w:type="paragraph" w:styleId="15">
    <w:name w:val="footer"/>
    <w:basedOn w:val="1"/>
    <w:next w:val="7"/>
    <w:qFormat/>
    <w:uiPriority w:val="0"/>
    <w:pPr>
      <w:tabs>
        <w:tab w:val="center" w:pos="4153"/>
        <w:tab w:val="right" w:pos="8306"/>
      </w:tabs>
      <w:snapToGrid w:val="0"/>
      <w:jc w:val="left"/>
    </w:pPr>
    <w:rPr>
      <w:sz w:val="18"/>
    </w:rPr>
  </w:style>
  <w:style w:type="paragraph" w:styleId="16">
    <w:name w:val="header"/>
    <w:basedOn w:val="1"/>
    <w:next w:val="8"/>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7">
    <w:name w:val="toc 1"/>
    <w:basedOn w:val="1"/>
    <w:next w:val="1"/>
    <w:qFormat/>
    <w:uiPriority w:val="0"/>
    <w:rPr>
      <w:rFonts w:ascii="黑体" w:eastAsia="黑体"/>
      <w:sz w:val="32"/>
      <w:szCs w:val="32"/>
    </w:rPr>
  </w:style>
  <w:style w:type="paragraph" w:styleId="18">
    <w:name w:val="footnote text"/>
    <w:basedOn w:val="1"/>
    <w:qFormat/>
    <w:uiPriority w:val="0"/>
    <w:pPr>
      <w:snapToGrid w:val="0"/>
      <w:jc w:val="left"/>
    </w:pPr>
    <w:rPr>
      <w:rFonts w:ascii="Times New Roman" w:hAnsi="Times New Roman" w:eastAsia="宋体" w:cs="Times New Roman"/>
      <w:sz w:val="18"/>
      <w:szCs w:val="18"/>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rPr>
      <w:sz w:val="24"/>
    </w:rPr>
  </w:style>
  <w:style w:type="paragraph" w:styleId="21">
    <w:name w:val="Body Text First Indent 2"/>
    <w:basedOn w:val="10"/>
    <w:next w:val="1"/>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Emphasis"/>
    <w:basedOn w:val="24"/>
    <w:qFormat/>
    <w:uiPriority w:val="0"/>
    <w:rPr>
      <w:i/>
    </w:rPr>
  </w:style>
  <w:style w:type="character" w:styleId="26">
    <w:name w:val="Hyperlink"/>
    <w:basedOn w:val="24"/>
    <w:qFormat/>
    <w:uiPriority w:val="0"/>
    <w:rPr>
      <w:color w:val="0000FF"/>
      <w:u w:val="single"/>
    </w:rPr>
  </w:style>
  <w:style w:type="paragraph" w:customStyle="1" w:styleId="27">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28">
    <w:name w:val="页脚1"/>
    <w:basedOn w:val="1"/>
    <w:qFormat/>
    <w:uiPriority w:val="0"/>
    <w:pPr>
      <w:tabs>
        <w:tab w:val="center" w:pos="4153"/>
        <w:tab w:val="right" w:pos="8306"/>
      </w:tabs>
      <w:snapToGrid w:val="0"/>
      <w:jc w:val="left"/>
    </w:pPr>
    <w:rPr>
      <w:sz w:val="18"/>
      <w:szCs w:val="20"/>
    </w:rPr>
  </w:style>
  <w:style w:type="paragraph" w:styleId="29">
    <w:name w:val="List Paragraph"/>
    <w:basedOn w:val="1"/>
    <w:qFormat/>
    <w:uiPriority w:val="0"/>
    <w:pPr>
      <w:ind w:firstLine="200" w:firstLineChars="200"/>
    </w:pPr>
  </w:style>
  <w:style w:type="character" w:customStyle="1" w:styleId="30">
    <w:name w:val="font112"/>
    <w:basedOn w:val="24"/>
    <w:qFormat/>
    <w:uiPriority w:val="0"/>
    <w:rPr>
      <w:rFonts w:ascii="宋体" w:eastAsia="宋体" w:cs="宋体"/>
      <w:b/>
      <w:bCs/>
      <w:color w:val="000000"/>
      <w:sz w:val="32"/>
      <w:szCs w:val="32"/>
      <w:u w:val="none"/>
    </w:rPr>
  </w:style>
  <w:style w:type="character" w:customStyle="1" w:styleId="31">
    <w:name w:val="font01"/>
    <w:basedOn w:val="24"/>
    <w:qFormat/>
    <w:uiPriority w:val="0"/>
    <w:rPr>
      <w:rFonts w:ascii="宋体" w:eastAsia="宋体" w:cs="宋体"/>
      <w:color w:val="000000"/>
      <w:sz w:val="22"/>
      <w:szCs w:val="22"/>
      <w:u w:val="none"/>
    </w:rPr>
  </w:style>
  <w:style w:type="character" w:customStyle="1" w:styleId="32">
    <w:name w:val="font121"/>
    <w:basedOn w:val="24"/>
    <w:qFormat/>
    <w:uiPriority w:val="0"/>
    <w:rPr>
      <w:rFonts w:ascii="宋体" w:eastAsia="宋体" w:cs="宋体"/>
      <w:color w:val="000000"/>
      <w:sz w:val="20"/>
      <w:szCs w:val="20"/>
      <w:u w:val="none"/>
    </w:rPr>
  </w:style>
  <w:style w:type="character" w:customStyle="1" w:styleId="33">
    <w:name w:val="font21"/>
    <w:basedOn w:val="24"/>
    <w:qFormat/>
    <w:uiPriority w:val="0"/>
    <w:rPr>
      <w:rFonts w:ascii="宋体" w:eastAsia="宋体" w:cs="宋体"/>
      <w:b/>
      <w:bCs/>
      <w:color w:val="000000"/>
      <w:sz w:val="32"/>
      <w:szCs w:val="32"/>
      <w:u w:val="none"/>
    </w:rPr>
  </w:style>
  <w:style w:type="character" w:customStyle="1" w:styleId="34">
    <w:name w:val="font11"/>
    <w:basedOn w:val="24"/>
    <w:qFormat/>
    <w:uiPriority w:val="0"/>
    <w:rPr>
      <w:rFonts w:ascii="宋体" w:eastAsia="宋体" w:cs="宋体"/>
      <w:b/>
      <w:bCs/>
      <w:color w:val="000000"/>
      <w:sz w:val="32"/>
      <w:szCs w:val="32"/>
      <w:u w:val="none"/>
    </w:rPr>
  </w:style>
  <w:style w:type="character" w:customStyle="1" w:styleId="35">
    <w:name w:val="font31"/>
    <w:basedOn w:val="24"/>
    <w:qFormat/>
    <w:uiPriority w:val="0"/>
    <w:rPr>
      <w:rFonts w:ascii="宋体" w:eastAsia="宋体" w:cs="宋体"/>
      <w:color w:val="000000"/>
      <w:sz w:val="22"/>
      <w:szCs w:val="22"/>
      <w:u w:val="none"/>
    </w:rPr>
  </w:style>
  <w:style w:type="character" w:customStyle="1" w:styleId="36">
    <w:name w:val="font81"/>
    <w:basedOn w:val="24"/>
    <w:qFormat/>
    <w:uiPriority w:val="0"/>
    <w:rPr>
      <w:rFonts w:ascii="宋体" w:eastAsia="宋体" w:cs="宋体"/>
      <w:b/>
      <w:color w:val="000000"/>
      <w:sz w:val="32"/>
      <w:szCs w:val="32"/>
      <w:u w:val="none"/>
    </w:rPr>
  </w:style>
  <w:style w:type="character" w:customStyle="1" w:styleId="37">
    <w:name w:val="font291"/>
    <w:basedOn w:val="24"/>
    <w:qFormat/>
    <w:uiPriority w:val="0"/>
    <w:rPr>
      <w:rFonts w:ascii="宋体" w:eastAsia="宋体" w:cs="宋体"/>
      <w:b/>
      <w:color w:val="000000"/>
      <w:sz w:val="32"/>
      <w:szCs w:val="32"/>
      <w:u w:val="none"/>
    </w:rPr>
  </w:style>
  <w:style w:type="character" w:customStyle="1" w:styleId="38">
    <w:name w:val="font171"/>
    <w:basedOn w:val="24"/>
    <w:qFormat/>
    <w:uiPriority w:val="0"/>
    <w:rPr>
      <w:rFonts w:ascii="宋体" w:eastAsia="宋体" w:cs="宋体"/>
      <w:color w:val="000000"/>
      <w:sz w:val="20"/>
      <w:szCs w:val="20"/>
      <w:u w:val="none"/>
    </w:rPr>
  </w:style>
  <w:style w:type="character" w:customStyle="1" w:styleId="39">
    <w:name w:val="font281"/>
    <w:basedOn w:val="24"/>
    <w:qFormat/>
    <w:uiPriority w:val="0"/>
    <w:rPr>
      <w:rFonts w:ascii="仿宋_GB2312" w:eastAsia="仿宋_GB2312" w:cs="仿宋_GB2312"/>
      <w:color w:val="000000"/>
      <w:sz w:val="32"/>
      <w:szCs w:val="32"/>
      <w:u w:val="single"/>
    </w:rPr>
  </w:style>
  <w:style w:type="character" w:customStyle="1" w:styleId="40">
    <w:name w:val="font91"/>
    <w:basedOn w:val="24"/>
    <w:qFormat/>
    <w:uiPriority w:val="0"/>
    <w:rPr>
      <w:rFonts w:ascii="宋体" w:eastAsia="宋体" w:cs="宋体"/>
      <w:b/>
      <w:color w:val="000000"/>
      <w:sz w:val="32"/>
      <w:szCs w:val="32"/>
      <w:u w:val="single"/>
    </w:rPr>
  </w:style>
  <w:style w:type="paragraph" w:customStyle="1" w:styleId="41">
    <w:name w:val="msolistparagraph"/>
    <w:basedOn w:val="1"/>
    <w:qFormat/>
    <w:uiPriority w:val="0"/>
    <w:pPr>
      <w:ind w:firstLine="200" w:firstLineChars="200"/>
    </w:pPr>
    <w:rPr>
      <w:rFonts w:ascii="Times New Roman" w:hAnsi="Times New Roman" w:eastAsia="宋体" w:cs="Times New Roman"/>
      <w:szCs w:val="20"/>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Table Text"/>
    <w:basedOn w:val="1"/>
    <w:semiHidden/>
    <w:qFormat/>
    <w:uiPriority w:val="0"/>
    <w:rPr>
      <w:rFonts w:ascii="仿宋" w:hAnsi="仿宋" w:eastAsia="仿宋" w:cs="仿宋"/>
      <w:sz w:val="20"/>
      <w:szCs w:val="20"/>
      <w:lang w:val="en-US" w:eastAsia="en-US" w:bidi="ar-SA"/>
    </w:rPr>
  </w:style>
  <w:style w:type="paragraph" w:customStyle="1" w:styleId="44">
    <w:name w:val="Heading3"/>
    <w:basedOn w:val="1"/>
    <w:next w:val="1"/>
    <w:qFormat/>
    <w:uiPriority w:val="99"/>
    <w:pPr>
      <w:keepNext/>
      <w:keepLines/>
      <w:spacing w:line="560" w:lineRule="exact"/>
      <w:textAlignment w:val="baseline"/>
    </w:pPr>
    <w:rPr>
      <w:rFonts w:ascii="Calibri" w:hAnsi="Calibri" w:cs="Calibri"/>
      <w:b/>
      <w:bCs/>
    </w:rPr>
  </w:style>
  <w:style w:type="paragraph" w:customStyle="1" w:styleId="45">
    <w:name w:val="Body Text First Indent1"/>
    <w:basedOn w:val="8"/>
    <w:next w:val="16"/>
    <w:qFormat/>
    <w:uiPriority w:val="0"/>
    <w:pPr>
      <w:ind w:firstLine="420" w:firstLineChars="100"/>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20</Pages>
  <Words>9756</Words>
  <Characters>10033</Characters>
  <Lines>57</Lines>
  <Paragraphs>14</Paragraphs>
  <TotalTime>8</TotalTime>
  <ScaleCrop>false</ScaleCrop>
  <LinksUpToDate>false</LinksUpToDate>
  <CharactersWithSpaces>10156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2023-06-04T16:39:00Z</dcterms:created>
  <dc:creator>xb21cn</dc:creator>
  <cp:lastModifiedBy>春天来临</cp:lastModifiedBy>
  <cp:lastPrinted>2024-10-18T06:52:45Z</cp:lastPrinted>
  <dcterms:modified xsi:type="dcterms:W3CDTF">2024-10-18T07:06:04Z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D84CC5411EBA463A92C398B54BAAA194_13</vt:lpwstr>
  </property>
</Properties>
</file>