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inorEastAsia" w:hAnsiTheme="minorEastAsia" w:eastAsiaTheme="minorEastAsia"/>
          <w:sz w:val="30"/>
          <w:szCs w:val="30"/>
        </w:rPr>
      </w:pPr>
    </w:p>
    <w:p>
      <w:pPr>
        <w:shd w:val="clear" w:color="auto" w:fill="FFFFFF"/>
        <w:adjustRightInd/>
        <w:snapToGrid/>
        <w:spacing w:after="0" w:line="560" w:lineRule="atLeast"/>
        <w:ind w:firstLine="420"/>
        <w:jc w:val="both"/>
        <w:rPr>
          <w:rFonts w:ascii="黑体" w:hAnsi="黑体" w:eastAsia="黑体" w:cs="宋体"/>
          <w:color w:val="333333"/>
          <w:sz w:val="36"/>
          <w:szCs w:val="36"/>
          <w:shd w:val="clear" w:color="auto" w:fill="FFFFFF"/>
        </w:rPr>
      </w:pPr>
      <w:r>
        <w:rPr>
          <w:rFonts w:hint="eastAsia" w:ascii="黑体" w:hAnsi="黑体" w:eastAsia="黑体" w:cs="宋体"/>
          <w:color w:val="333333"/>
          <w:sz w:val="36"/>
          <w:szCs w:val="36"/>
          <w:shd w:val="clear" w:color="auto" w:fill="FFFFFF"/>
        </w:rPr>
        <w:t>附表1</w:t>
      </w:r>
    </w:p>
    <w:p>
      <w:pPr>
        <w:shd w:val="clear" w:color="auto" w:fill="FFFFFF"/>
        <w:adjustRightInd/>
        <w:snapToGrid/>
        <w:spacing w:after="0" w:line="560" w:lineRule="atLeast"/>
        <w:ind w:firstLine="42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z w:val="44"/>
          <w:szCs w:val="44"/>
          <w:shd w:val="clear" w:color="auto" w:fill="FFFFFF"/>
        </w:rPr>
        <w:t>湖南省住房和城乡建设厅</w:t>
      </w:r>
    </w:p>
    <w:p>
      <w:pPr>
        <w:shd w:val="clear" w:color="auto" w:fill="FFFFFF"/>
        <w:adjustRightInd/>
        <w:snapToGrid/>
        <w:spacing w:after="0" w:line="560" w:lineRule="atLeast"/>
        <w:ind w:firstLine="42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color w:val="333333"/>
          <w:sz w:val="44"/>
          <w:szCs w:val="44"/>
          <w:shd w:val="clear" w:color="auto" w:fill="FFFFFF"/>
        </w:rPr>
        <w:t>关于印发2020《湖南省建设工程计价办法》</w:t>
      </w:r>
    </w:p>
    <w:p>
      <w:pPr>
        <w:shd w:val="clear" w:color="auto" w:fill="FFFFFF"/>
        <w:adjustRightInd/>
        <w:snapToGrid/>
        <w:spacing w:after="0" w:line="560" w:lineRule="atLeast"/>
        <w:ind w:firstLine="420"/>
        <w:jc w:val="center"/>
        <w:rPr>
          <w:rFonts w:ascii="宋体" w:hAnsi="宋体" w:eastAsia="宋体" w:cs="宋体"/>
          <w:sz w:val="24"/>
          <w:szCs w:val="24"/>
        </w:rPr>
      </w:pPr>
      <w:r>
        <w:rPr>
          <w:rFonts w:hint="eastAsia" w:ascii="方正小标宋简体" w:hAnsi="方正小标宋简体" w:eastAsia="方正小标宋简体" w:cs="方正小标宋简体"/>
          <w:color w:val="333333"/>
          <w:sz w:val="44"/>
          <w:szCs w:val="44"/>
          <w:shd w:val="clear" w:color="auto" w:fill="FFFFFF"/>
        </w:rPr>
        <w:t>及《湖南省建设工程消耗量标准》的通知</w:t>
      </w:r>
    </w:p>
    <w:bookmarkEnd w:id="0"/>
    <w:p>
      <w:pPr>
        <w:shd w:val="clear" w:color="auto" w:fill="FFFFFF"/>
        <w:adjustRightInd/>
        <w:snapToGrid/>
        <w:spacing w:after="0" w:line="560" w:lineRule="atLeast"/>
        <w:ind w:firstLine="420"/>
        <w:jc w:val="center"/>
        <w:rPr>
          <w:rFonts w:ascii="宋体" w:hAnsi="宋体" w:eastAsia="宋体" w:cs="宋体"/>
          <w:sz w:val="24"/>
          <w:szCs w:val="24"/>
        </w:rPr>
      </w:pPr>
      <w:r>
        <w:rPr>
          <w:rFonts w:hint="eastAsia" w:ascii="仿宋_GB2312" w:hAnsi="宋体" w:eastAsia="仿宋_GB2312" w:cs="宋体"/>
          <w:color w:val="333333"/>
          <w:sz w:val="32"/>
          <w:szCs w:val="32"/>
          <w:shd w:val="clear" w:color="auto" w:fill="FFFFFF"/>
        </w:rPr>
        <w:t> 湘建价〔2020〕56号</w:t>
      </w:r>
    </w:p>
    <w:p>
      <w:pPr>
        <w:shd w:val="clear" w:color="auto" w:fill="FFFFFF"/>
        <w:adjustRightInd/>
        <w:snapToGrid/>
        <w:spacing w:after="0" w:line="560" w:lineRule="atLeast"/>
        <w:jc w:val="both"/>
        <w:rPr>
          <w:rFonts w:hint="eastAsia" w:ascii="仿宋_GB2312" w:hAnsi="宋体" w:eastAsia="仿宋_GB2312" w:cs="宋体"/>
          <w:color w:val="333333"/>
          <w:sz w:val="32"/>
          <w:szCs w:val="32"/>
          <w:shd w:val="clear" w:color="auto" w:fill="FFFFFF"/>
        </w:rPr>
      </w:pPr>
    </w:p>
    <w:p>
      <w:pPr>
        <w:shd w:val="clear" w:color="auto" w:fill="FFFFFF"/>
        <w:adjustRightInd/>
        <w:snapToGrid/>
        <w:spacing w:after="0" w:line="560" w:lineRule="atLeast"/>
        <w:jc w:val="both"/>
        <w:rPr>
          <w:rFonts w:ascii="宋体" w:hAnsi="宋体" w:eastAsia="宋体" w:cs="宋体"/>
          <w:sz w:val="24"/>
          <w:szCs w:val="24"/>
        </w:rPr>
      </w:pPr>
      <w:r>
        <w:rPr>
          <w:rFonts w:hint="eastAsia" w:ascii="仿宋_GB2312" w:hAnsi="宋体" w:eastAsia="仿宋_GB2312" w:cs="宋体"/>
          <w:color w:val="333333"/>
          <w:sz w:val="32"/>
          <w:szCs w:val="32"/>
          <w:shd w:val="clear" w:color="auto" w:fill="FFFFFF"/>
        </w:rPr>
        <w:t>各市州住房和城乡建设局，各有关单位：</w:t>
      </w:r>
    </w:p>
    <w:p>
      <w:pPr>
        <w:shd w:val="clear" w:color="auto" w:fill="FFFFFF"/>
        <w:adjustRightInd/>
        <w:snapToGrid/>
        <w:spacing w:after="0" w:line="560" w:lineRule="atLeast"/>
        <w:ind w:firstLine="640"/>
        <w:jc w:val="both"/>
        <w:rPr>
          <w:rFonts w:ascii="宋体" w:hAnsi="宋体" w:eastAsia="宋体" w:cs="宋体"/>
          <w:sz w:val="24"/>
          <w:szCs w:val="24"/>
        </w:rPr>
      </w:pPr>
      <w:r>
        <w:rPr>
          <w:rFonts w:hint="eastAsia" w:ascii="仿宋_GB2312" w:hAnsi="宋体" w:eastAsia="仿宋_GB2312" w:cs="宋体"/>
          <w:color w:val="333333"/>
          <w:sz w:val="32"/>
          <w:szCs w:val="32"/>
          <w:shd w:val="clear" w:color="auto" w:fill="FFFFFF"/>
        </w:rPr>
        <w:t>根据《建筑工程施工发包与承包计价管理办法》（住建部令第16号）《中华人民共和国环境保护税法》《住房城乡建设部财政部关于印发〈建筑安装工程费用项目组成〉的通知》（建标〔2013〕44号）《住房和城乡建设部关于印发&lt;建设工程定额管理办法&gt;的通知》（建标〔2015〕230号）等有关法律法规，结合本省实际情况，我厅组织制定了《湖南省建设工程计价办法》（以下简称“计价办法”》）及《湖南省建设工程消耗量标准》（以下总称“消耗量标准”），其中“消耗量标准”包括《湖南省房屋建筑与装饰工程消耗量标准》《湖南省安装工程消耗量标准》《湖南省市政工程消耗量标准》《湖南省市政排水设施维护工程消耗量标准》《湖南省仿古建筑工程消耗量标准》《湖南省园林绿化工程消耗量标准》，现印发给你们，并就有关事项通知如下：</w:t>
      </w:r>
    </w:p>
    <w:p>
      <w:pPr>
        <w:shd w:val="clear" w:color="auto" w:fill="FFFFFF"/>
        <w:adjustRightInd/>
        <w:snapToGrid/>
        <w:spacing w:after="0" w:line="560" w:lineRule="atLeast"/>
        <w:ind w:firstLine="640"/>
        <w:jc w:val="both"/>
        <w:rPr>
          <w:rFonts w:ascii="宋体" w:hAnsi="宋体" w:eastAsia="宋体" w:cs="宋体"/>
          <w:sz w:val="24"/>
          <w:szCs w:val="24"/>
        </w:rPr>
      </w:pPr>
      <w:r>
        <w:rPr>
          <w:rFonts w:hint="eastAsia" w:ascii="仿宋_GB2312" w:hAnsi="宋体" w:eastAsia="仿宋_GB2312" w:cs="宋体"/>
          <w:color w:val="333333"/>
          <w:sz w:val="32"/>
          <w:szCs w:val="32"/>
          <w:shd w:val="clear" w:color="auto" w:fill="FFFFFF"/>
        </w:rPr>
        <w:t>一、“计价办法”与“消耗量标准”配套使用，“计价办法”及“消耗量标准”适用于湖南省行政区域内的建筑工程、装饰工程、安装工程、市政工程、市政排水设施维护工程、仿古建筑工程、园林绿化工程发承包及实施阶段的工程计价。</w:t>
      </w:r>
    </w:p>
    <w:p>
      <w:pPr>
        <w:shd w:val="clear" w:color="auto" w:fill="FFFFFF"/>
        <w:adjustRightInd/>
        <w:snapToGrid/>
        <w:spacing w:after="0" w:line="560" w:lineRule="atLeast"/>
        <w:ind w:firstLine="640"/>
        <w:jc w:val="both"/>
        <w:rPr>
          <w:rFonts w:ascii="宋体" w:hAnsi="宋体" w:eastAsia="宋体" w:cs="宋体"/>
          <w:sz w:val="24"/>
          <w:szCs w:val="24"/>
        </w:rPr>
      </w:pPr>
      <w:r>
        <w:rPr>
          <w:rFonts w:hint="eastAsia" w:ascii="仿宋_GB2312" w:hAnsi="宋体" w:eastAsia="仿宋_GB2312" w:cs="宋体"/>
          <w:color w:val="333333"/>
          <w:sz w:val="32"/>
          <w:szCs w:val="32"/>
          <w:shd w:val="clear" w:color="auto" w:fill="FFFFFF"/>
        </w:rPr>
        <w:t>二、本通知自2020年10月1日开始施行，我厅2014年颁布的《湖南省建设工程计价办法》及《湖南省建设工程消耗量标准》（湘建价〔2014〕113号）《湖南省装配式建设工程消耗量标准（试行）》（湘建价〔2016〕237号）《湖南省城市地下综合管廊工程消耗量标准（试行）》（湘建价〔2018〕212号）及与之配套的取费文件、补充定额、解释说明同时废止。</w:t>
      </w:r>
    </w:p>
    <w:p>
      <w:pPr>
        <w:shd w:val="clear" w:color="auto" w:fill="FFFFFF"/>
        <w:adjustRightInd/>
        <w:snapToGrid/>
        <w:spacing w:after="0" w:line="560" w:lineRule="atLeast"/>
        <w:ind w:firstLine="640"/>
        <w:jc w:val="both"/>
        <w:rPr>
          <w:rFonts w:ascii="宋体" w:hAnsi="宋体" w:eastAsia="宋体" w:cs="宋体"/>
          <w:sz w:val="24"/>
          <w:szCs w:val="24"/>
        </w:rPr>
      </w:pPr>
      <w:r>
        <w:rPr>
          <w:rFonts w:hint="eastAsia" w:ascii="仿宋_GB2312" w:hAnsi="宋体" w:eastAsia="仿宋_GB2312" w:cs="宋体"/>
          <w:color w:val="333333"/>
          <w:sz w:val="32"/>
          <w:szCs w:val="32"/>
          <w:shd w:val="clear" w:color="auto" w:fill="FFFFFF"/>
        </w:rPr>
        <w:t>三、已发出招标文件并已公示招标控制价的工程或已签订施工合同的工程，仍按原招标文件的规定或施工合同的约定执行，合同约定不明确的，由双方签订补充协议明确是否按照新计价依据执行。</w:t>
      </w:r>
    </w:p>
    <w:p>
      <w:pPr>
        <w:shd w:val="clear" w:color="auto" w:fill="FFFFFF"/>
        <w:adjustRightInd/>
        <w:snapToGrid/>
        <w:spacing w:after="0" w:line="560" w:lineRule="atLeast"/>
        <w:ind w:firstLine="640"/>
        <w:jc w:val="both"/>
        <w:rPr>
          <w:rFonts w:ascii="宋体" w:hAnsi="宋体" w:eastAsia="宋体" w:cs="宋体"/>
          <w:sz w:val="24"/>
          <w:szCs w:val="24"/>
        </w:rPr>
      </w:pPr>
      <w:r>
        <w:rPr>
          <w:rFonts w:hint="eastAsia" w:ascii="仿宋_GB2312" w:hAnsi="宋体" w:eastAsia="仿宋_GB2312" w:cs="宋体"/>
          <w:color w:val="333333"/>
          <w:sz w:val="32"/>
          <w:szCs w:val="32"/>
          <w:shd w:val="clear" w:color="auto" w:fill="FFFFFF"/>
        </w:rPr>
        <w:t>各单位在执行过程中遇到的问题和意见，请及时与省建设工程造价管理总站联系。</w:t>
      </w:r>
    </w:p>
    <w:p>
      <w:pPr>
        <w:shd w:val="clear" w:color="auto" w:fill="FFFFFF"/>
        <w:adjustRightInd/>
        <w:snapToGrid/>
        <w:spacing w:after="0" w:line="560" w:lineRule="atLeast"/>
        <w:ind w:firstLine="640"/>
        <w:jc w:val="both"/>
        <w:rPr>
          <w:rFonts w:ascii="宋体" w:hAnsi="宋体" w:eastAsia="宋体" w:cs="宋体"/>
          <w:sz w:val="24"/>
          <w:szCs w:val="24"/>
        </w:rPr>
      </w:pPr>
      <w:r>
        <w:rPr>
          <w:rFonts w:hint="eastAsia" w:ascii="仿宋_GB2312" w:hAnsi="宋体" w:eastAsia="仿宋_GB2312" w:cs="宋体"/>
          <w:color w:val="333333"/>
          <w:sz w:val="32"/>
          <w:szCs w:val="32"/>
          <w:shd w:val="clear" w:color="auto" w:fill="FFFFFF"/>
        </w:rPr>
        <w:t>联系电话：0731—84165435</w:t>
      </w:r>
    </w:p>
    <w:p>
      <w:pPr>
        <w:shd w:val="clear" w:color="auto" w:fill="FFFFFF"/>
        <w:adjustRightInd/>
        <w:snapToGrid/>
        <w:spacing w:after="0" w:line="560" w:lineRule="atLeast"/>
        <w:ind w:firstLine="640"/>
        <w:jc w:val="both"/>
        <w:rPr>
          <w:rFonts w:ascii="宋体" w:hAnsi="宋体" w:eastAsia="宋体" w:cs="宋体"/>
          <w:sz w:val="24"/>
          <w:szCs w:val="24"/>
        </w:rPr>
      </w:pPr>
      <w:r>
        <w:rPr>
          <w:rFonts w:hint="eastAsia" w:ascii="仿宋_GB2312" w:hAnsi="宋体" w:eastAsia="仿宋_GB2312" w:cs="宋体"/>
          <w:color w:val="333333"/>
          <w:sz w:val="32"/>
          <w:szCs w:val="32"/>
          <w:shd w:val="clear" w:color="auto" w:fill="FFFFFF"/>
        </w:rPr>
        <w:t>       0731—84160661</w:t>
      </w:r>
    </w:p>
    <w:p>
      <w:pPr>
        <w:shd w:val="clear" w:color="auto" w:fill="FFFFFF"/>
        <w:adjustRightInd/>
        <w:snapToGrid/>
        <w:spacing w:after="0" w:line="560" w:lineRule="atLeast"/>
        <w:ind w:firstLine="640"/>
        <w:jc w:val="both"/>
        <w:rPr>
          <w:rFonts w:ascii="宋体" w:hAnsi="宋体" w:eastAsia="宋体" w:cs="宋体"/>
          <w:sz w:val="24"/>
          <w:szCs w:val="24"/>
        </w:rPr>
      </w:pPr>
      <w:r>
        <w:rPr>
          <w:rFonts w:hint="eastAsia" w:ascii="仿宋_GB2312" w:hAnsi="宋体" w:eastAsia="仿宋_GB2312" w:cs="宋体"/>
          <w:color w:val="333333"/>
          <w:sz w:val="32"/>
          <w:szCs w:val="32"/>
          <w:shd w:val="clear" w:color="auto" w:fill="FFFFFF"/>
        </w:rPr>
        <w:t>       0731—85584341</w:t>
      </w:r>
    </w:p>
    <w:p>
      <w:pPr>
        <w:shd w:val="clear" w:color="auto" w:fill="FFFFFF"/>
        <w:adjustRightInd/>
        <w:snapToGrid/>
        <w:spacing w:after="0" w:line="560" w:lineRule="atLeast"/>
        <w:ind w:firstLine="420"/>
        <w:jc w:val="both"/>
        <w:rPr>
          <w:rFonts w:ascii="宋体" w:hAnsi="宋体" w:eastAsia="宋体" w:cs="宋体"/>
          <w:sz w:val="24"/>
          <w:szCs w:val="24"/>
        </w:rPr>
      </w:pPr>
      <w:r>
        <w:rPr>
          <w:rFonts w:hint="eastAsia" w:ascii="仿宋_GB2312" w:hAnsi="宋体" w:eastAsia="仿宋_GB2312" w:cs="宋体"/>
          <w:color w:val="333333"/>
          <w:sz w:val="32"/>
          <w:szCs w:val="32"/>
          <w:shd w:val="clear" w:color="auto" w:fill="FFFFFF"/>
        </w:rPr>
        <w:t>          </w:t>
      </w:r>
    </w:p>
    <w:p>
      <w:pPr>
        <w:shd w:val="clear" w:color="auto" w:fill="FFFFFF"/>
        <w:adjustRightInd/>
        <w:snapToGrid/>
        <w:spacing w:after="0" w:line="560" w:lineRule="atLeast"/>
        <w:ind w:firstLine="420"/>
        <w:jc w:val="both"/>
        <w:rPr>
          <w:rFonts w:ascii="宋体" w:hAnsi="宋体" w:eastAsia="宋体" w:cs="宋体"/>
          <w:sz w:val="24"/>
          <w:szCs w:val="24"/>
        </w:rPr>
      </w:pPr>
      <w:r>
        <w:rPr>
          <w:rFonts w:hint="eastAsia" w:ascii="仿宋_GB2312" w:hAnsi="宋体" w:eastAsia="仿宋_GB2312" w:cs="宋体"/>
          <w:color w:val="333333"/>
          <w:sz w:val="32"/>
          <w:szCs w:val="32"/>
          <w:shd w:val="clear" w:color="auto" w:fill="FFFFFF"/>
        </w:rPr>
        <w:t> </w:t>
      </w:r>
    </w:p>
    <w:p>
      <w:pPr>
        <w:shd w:val="clear" w:color="auto" w:fill="FFFFFF"/>
        <w:adjustRightInd/>
        <w:snapToGrid/>
        <w:spacing w:after="0" w:line="560" w:lineRule="atLeast"/>
        <w:ind w:firstLine="420"/>
        <w:jc w:val="both"/>
        <w:rPr>
          <w:rFonts w:ascii="宋体" w:hAnsi="宋体" w:eastAsia="宋体" w:cs="宋体"/>
          <w:sz w:val="24"/>
          <w:szCs w:val="24"/>
        </w:rPr>
      </w:pPr>
      <w:r>
        <w:rPr>
          <w:rFonts w:hint="eastAsia" w:ascii="仿宋_GB2312" w:hAnsi="宋体" w:eastAsia="仿宋_GB2312" w:cs="宋体"/>
          <w:color w:val="333333"/>
          <w:sz w:val="32"/>
          <w:szCs w:val="32"/>
          <w:shd w:val="clear" w:color="auto" w:fill="FFFFFF"/>
        </w:rPr>
        <w:t> </w:t>
      </w:r>
    </w:p>
    <w:p>
      <w:pPr>
        <w:shd w:val="clear" w:color="auto" w:fill="FFFFFF"/>
        <w:adjustRightInd/>
        <w:snapToGrid/>
        <w:spacing w:after="0" w:line="560" w:lineRule="atLeast"/>
        <w:ind w:firstLine="420"/>
        <w:jc w:val="right"/>
        <w:rPr>
          <w:rFonts w:ascii="宋体" w:hAnsi="宋体" w:eastAsia="宋体" w:cs="宋体"/>
          <w:sz w:val="24"/>
          <w:szCs w:val="24"/>
        </w:rPr>
      </w:pPr>
      <w:r>
        <w:rPr>
          <w:rFonts w:hint="eastAsia" w:ascii="仿宋_GB2312" w:hAnsi="宋体" w:eastAsia="仿宋_GB2312" w:cs="宋体"/>
          <w:color w:val="333333"/>
          <w:sz w:val="32"/>
          <w:szCs w:val="32"/>
          <w:shd w:val="clear" w:color="auto" w:fill="FFFFFF"/>
        </w:rPr>
        <w:t>湖南省住房和城乡建设厅</w:t>
      </w:r>
    </w:p>
    <w:p>
      <w:pPr>
        <w:shd w:val="clear" w:color="auto" w:fill="FFFFFF"/>
        <w:adjustRightInd/>
        <w:snapToGrid/>
        <w:spacing w:after="0" w:line="560" w:lineRule="atLeast"/>
        <w:ind w:firstLine="420"/>
        <w:jc w:val="right"/>
        <w:rPr>
          <w:rFonts w:ascii="宋体" w:hAnsi="宋体" w:eastAsia="宋体" w:cs="宋体"/>
          <w:sz w:val="24"/>
          <w:szCs w:val="24"/>
        </w:rPr>
      </w:pPr>
      <w:r>
        <w:rPr>
          <w:rFonts w:hint="eastAsia" w:ascii="仿宋_GB2312" w:hAnsi="宋体" w:eastAsia="仿宋_GB2312" w:cs="宋体"/>
          <w:color w:val="333333"/>
          <w:sz w:val="32"/>
          <w:szCs w:val="32"/>
          <w:shd w:val="clear" w:color="auto" w:fill="FFFFFF"/>
        </w:rPr>
        <w:t>2020年4月15日</w:t>
      </w:r>
    </w:p>
    <w:p>
      <w:pPr>
        <w:adjustRightInd/>
        <w:snapToGrid/>
        <w:spacing w:after="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br w:type="textWrapping"/>
      </w:r>
    </w:p>
    <w:tbl>
      <w:tblPr>
        <w:tblStyle w:val="3"/>
        <w:tblW w:w="5000" w:type="pct"/>
        <w:tblInd w:w="0" w:type="dxa"/>
        <w:tblLayout w:type="autofit"/>
        <w:tblCellMar>
          <w:top w:w="15" w:type="dxa"/>
          <w:left w:w="15" w:type="dxa"/>
          <w:bottom w:w="15" w:type="dxa"/>
          <w:right w:w="15" w:type="dxa"/>
        </w:tblCellMar>
      </w:tblPr>
      <w:tblGrid>
        <w:gridCol w:w="8610"/>
      </w:tblGrid>
      <w:tr>
        <w:tblPrEx>
          <w:tblCellMar>
            <w:top w:w="15" w:type="dxa"/>
            <w:left w:w="15" w:type="dxa"/>
            <w:bottom w:w="15" w:type="dxa"/>
            <w:right w:w="15" w:type="dxa"/>
          </w:tblCellMar>
        </w:tblPrEx>
        <w:tc>
          <w:tcPr>
            <w:tcW w:w="0" w:type="auto"/>
          </w:tcPr>
          <w:p>
            <w:pPr>
              <w:adjustRightInd/>
              <w:snapToGrid/>
              <w:spacing w:after="0"/>
              <w:rPr>
                <w:rFonts w:ascii="宋体" w:hAnsi="宋体" w:eastAsia="宋体" w:cs="宋体"/>
                <w:color w:val="000000"/>
                <w:sz w:val="18"/>
                <w:szCs w:val="18"/>
              </w:rPr>
            </w:pPr>
          </w:p>
        </w:tc>
      </w:tr>
    </w:tbl>
    <w:p>
      <w:pPr>
        <w:jc w:val="both"/>
        <w:rPr>
          <w:rFonts w:asciiTheme="minorEastAsia" w:hAnsiTheme="minorEastAsia" w:eastAsiaTheme="minorEastAsia"/>
          <w:sz w:val="30"/>
          <w:szCs w:val="30"/>
        </w:rPr>
      </w:pPr>
    </w:p>
    <w:sectPr>
      <w:pgSz w:w="11906" w:h="16838"/>
      <w:pgMar w:top="1440" w:right="1526"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6513E"/>
    <w:rsid w:val="00104B1E"/>
    <w:rsid w:val="002A586A"/>
    <w:rsid w:val="00323B43"/>
    <w:rsid w:val="003D37D8"/>
    <w:rsid w:val="00426133"/>
    <w:rsid w:val="004358AB"/>
    <w:rsid w:val="004429CA"/>
    <w:rsid w:val="005344CD"/>
    <w:rsid w:val="00820341"/>
    <w:rsid w:val="008B7726"/>
    <w:rsid w:val="00A91A2D"/>
    <w:rsid w:val="00CA100A"/>
    <w:rsid w:val="00D31D50"/>
    <w:rsid w:val="00E55D24"/>
    <w:rsid w:val="761F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uiPriority w:val="99"/>
    <w:pPr>
      <w:ind w:left="100" w:leftChars="2500"/>
    </w:pPr>
  </w:style>
  <w:style w:type="character" w:customStyle="1" w:styleId="5">
    <w:name w:val="日期 Char"/>
    <w:basedOn w:val="4"/>
    <w:link w:val="2"/>
    <w:semiHidden/>
    <w:uiPriority w:val="99"/>
    <w:rPr>
      <w:rFonts w:ascii="Tahoma" w:hAnsi="Tahoma"/>
    </w:rPr>
  </w:style>
  <w:style w:type="paragraph" w:customStyle="1" w:styleId="6">
    <w:name w:val="p"/>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216</Words>
  <Characters>1236</Characters>
  <Lines>10</Lines>
  <Paragraphs>2</Paragraphs>
  <TotalTime>65</TotalTime>
  <ScaleCrop>false</ScaleCrop>
  <LinksUpToDate>false</LinksUpToDate>
  <CharactersWithSpaces>1450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2020-09-27T02:39:38Z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