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D16790">
      <w:pPr>
        <w:pStyle w:val="17"/>
        <w:jc w:val="both"/>
        <w:rPr>
          <w:rFonts w:hint="eastAsia" w:hAnsi="黑体" w:eastAsia="黑体"/>
          <w:sz w:val="36"/>
          <w:szCs w:val="36"/>
          <w:lang w:eastAsia="zh-CN"/>
        </w:rPr>
      </w:pPr>
    </w:p>
    <w:p w14:paraId="24F8563E">
      <w:pPr>
        <w:pStyle w:val="17"/>
        <w:jc w:val="center"/>
        <w:rPr>
          <w:rFonts w:ascii="Times New Roman" w:hAnsi="Times New Roman" w:cs="Times New Roman"/>
          <w:sz w:val="56"/>
          <w:szCs w:val="56"/>
        </w:rPr>
      </w:pPr>
    </w:p>
    <w:p w14:paraId="25423CB4">
      <w:pPr>
        <w:pStyle w:val="17"/>
        <w:jc w:val="center"/>
        <w:rPr>
          <w:rFonts w:ascii="Times New Roman" w:hAnsi="Times New Roman" w:cs="Times New Roman"/>
          <w:sz w:val="84"/>
          <w:szCs w:val="84"/>
        </w:rPr>
      </w:pPr>
    </w:p>
    <w:p w14:paraId="6DC7F31B">
      <w:pPr>
        <w:pStyle w:val="17"/>
        <w:jc w:val="center"/>
        <w:rPr>
          <w:rFonts w:ascii="Times New Roman" w:hAnsi="Times New Roman" w:cs="Times New Roman"/>
          <w:sz w:val="84"/>
          <w:szCs w:val="84"/>
        </w:rPr>
      </w:pPr>
    </w:p>
    <w:p w14:paraId="2A3C4CDA">
      <w:pPr>
        <w:pStyle w:val="17"/>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4ED2B8E9">
      <w:pPr>
        <w:pStyle w:val="17"/>
        <w:jc w:val="center"/>
        <w:rPr>
          <w:rFonts w:hint="eastAsia" w:ascii="Times New Roman" w:hAnsi="Times New Roman" w:eastAsia="方正小标宋简体" w:cs="Times New Roman"/>
          <w:sz w:val="72"/>
          <w:szCs w:val="72"/>
          <w:lang w:val="en-US" w:eastAsia="zh-CN"/>
        </w:rPr>
      </w:pPr>
      <w:r>
        <w:rPr>
          <w:rFonts w:hint="eastAsia" w:ascii="Times New Roman" w:hAnsi="Times New Roman" w:eastAsia="方正小标宋简体" w:cs="Times New Roman"/>
          <w:sz w:val="72"/>
          <w:szCs w:val="72"/>
          <w:lang w:val="en-US" w:eastAsia="zh-CN"/>
        </w:rPr>
        <w:t>中国人民政治协商会议湖南省会同县委员会办公室</w:t>
      </w:r>
    </w:p>
    <w:p w14:paraId="1A040D66">
      <w:pPr>
        <w:pStyle w:val="17"/>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26044455">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6B70B035">
      <w:pPr>
        <w:pStyle w:val="17"/>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7A7F257E">
      <w:pPr>
        <w:pStyle w:val="17"/>
        <w:spacing w:line="600" w:lineRule="exact"/>
        <w:jc w:val="both"/>
        <w:rPr>
          <w:rFonts w:ascii="Times New Roman" w:hAnsi="Times New Roman" w:cs="Times New Roman"/>
          <w:b/>
          <w:sz w:val="36"/>
          <w:szCs w:val="28"/>
        </w:rPr>
      </w:pPr>
    </w:p>
    <w:p w14:paraId="0368FEE9">
      <w:pPr>
        <w:pStyle w:val="17"/>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09298414">
      <w:pPr>
        <w:pStyle w:val="17"/>
        <w:spacing w:line="600" w:lineRule="exact"/>
        <w:jc w:val="center"/>
        <w:rPr>
          <w:rFonts w:ascii="Times New Roman" w:hAnsi="Times New Roman" w:cs="Times New Roman"/>
          <w:b/>
          <w:sz w:val="36"/>
          <w:szCs w:val="28"/>
        </w:rPr>
      </w:pPr>
    </w:p>
    <w:p w14:paraId="62CB11D8">
      <w:pPr>
        <w:pStyle w:val="17"/>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 （单位）概况</w:t>
      </w:r>
    </w:p>
    <w:p w14:paraId="23763284">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07D482C1">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0E0B6D41">
      <w:pPr>
        <w:pStyle w:val="17"/>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2DAB515A">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3F211AF3">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7689FA03">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04858499">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3DD97C18">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21AD8282">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1FA909B7">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37CEDFC8">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3E4E4471">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0E4D8C7E">
      <w:pPr>
        <w:pStyle w:val="17"/>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3B45DC3C">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0AE33360">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57472F6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440AA1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3CC3C87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73A235E1">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32352FC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12610E3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4B9C7A6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417AF46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70A59A2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21EEDEC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54C20A8A">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2CA54677">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5D5101E9">
      <w:pPr>
        <w:pStyle w:val="17"/>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0C3AB957">
      <w:pPr>
        <w:pStyle w:val="17"/>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0334CBAC">
      <w:pPr>
        <w:pStyle w:val="17"/>
        <w:spacing w:line="600" w:lineRule="exact"/>
        <w:rPr>
          <w:rFonts w:ascii="Times New Roman" w:hAnsi="Times New Roman" w:cs="Times New Roman"/>
          <w:bCs/>
          <w:sz w:val="28"/>
          <w:szCs w:val="28"/>
        </w:rPr>
      </w:pPr>
    </w:p>
    <w:p w14:paraId="482ACED4">
      <w:pPr>
        <w:jc w:val="center"/>
        <w:rPr>
          <w:rFonts w:ascii="Times New Roman" w:hAnsi="Times New Roman" w:cs="Times New Roman"/>
          <w:sz w:val="72"/>
          <w:szCs w:val="72"/>
        </w:rPr>
      </w:pPr>
    </w:p>
    <w:p w14:paraId="49D8F4B2">
      <w:pPr>
        <w:jc w:val="center"/>
        <w:rPr>
          <w:rFonts w:ascii="Times New Roman" w:hAnsi="Times New Roman" w:cs="Times New Roman"/>
          <w:sz w:val="72"/>
          <w:szCs w:val="72"/>
        </w:rPr>
      </w:pPr>
    </w:p>
    <w:p w14:paraId="4B3F170E">
      <w:pPr>
        <w:jc w:val="center"/>
        <w:rPr>
          <w:rFonts w:ascii="Times New Roman" w:hAnsi="Times New Roman" w:cs="Times New Roman"/>
          <w:sz w:val="72"/>
          <w:szCs w:val="72"/>
        </w:rPr>
      </w:pPr>
    </w:p>
    <w:p w14:paraId="018D62D1">
      <w:pPr>
        <w:pStyle w:val="10"/>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1C5EC30A">
      <w:pPr>
        <w:rPr>
          <w:rFonts w:ascii="Times New Roman" w:hAnsi="Times New Roman" w:eastAsia="方正小标宋_GBK" w:cs="Times New Roman"/>
          <w:sz w:val="72"/>
          <w:szCs w:val="72"/>
        </w:rPr>
      </w:pPr>
    </w:p>
    <w:p w14:paraId="7302B366">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4EAE8A1A">
      <w:pPr>
        <w:pStyle w:val="17"/>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w:t>
      </w:r>
      <w:r>
        <w:rPr>
          <w:rFonts w:hint="eastAsia" w:ascii="Times New Roman" w:hAnsi="Times New Roman" w:eastAsia="方正小标宋_GBK" w:cs="Times New Roman"/>
          <w:sz w:val="52"/>
          <w:szCs w:val="52"/>
          <w:lang w:val="en-US" w:eastAsia="zh-CN"/>
        </w:rPr>
        <w:t>单位）</w:t>
      </w:r>
      <w:r>
        <w:rPr>
          <w:rFonts w:ascii="Times New Roman" w:hAnsi="Times New Roman" w:eastAsia="方正小标宋_GBK" w:cs="Times New Roman"/>
          <w:sz w:val="52"/>
          <w:szCs w:val="52"/>
        </w:rPr>
        <w:t>概况</w:t>
      </w:r>
    </w:p>
    <w:p w14:paraId="10F96A7E">
      <w:pPr>
        <w:pStyle w:val="6"/>
        <w:ind w:left="0" w:leftChars="0" w:firstLine="0" w:firstLineChars="0"/>
        <w:rPr>
          <w:rFonts w:ascii="Times New Roman" w:hAnsi="Times New Roman" w:cs="Times New Roman"/>
        </w:rPr>
      </w:pPr>
    </w:p>
    <w:p w14:paraId="3D3CF80A">
      <w:pPr>
        <w:pStyle w:val="18"/>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59A0143D">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依据《中国人民政治协商会议章程》规定，县政协机关的主要职责是:</w:t>
      </w:r>
    </w:p>
    <w:p w14:paraId="75AD031B">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一、负责县政协全体会议、常务委员会议、主席会议、主席办公会、常务委员会专题座谈会和专门委员会会议的会务工作，负责上述会议所形成的决议、决定的组织实施。</w:t>
      </w:r>
    </w:p>
    <w:p w14:paraId="5A9161E3">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二、协调县政协各专门委员会的工作，充分发挥县政协委员的作用，履行好政治协商、民主监督、参政议政的基本职责。</w:t>
      </w:r>
    </w:p>
    <w:p w14:paraId="1C628E18">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三、负责县政协委员视察、参观、调查、座谈、学习、研讨等日常活动的服务和具体组织工作;受市政协办公室的委托，组织在县的市</w:t>
      </w:r>
      <w:r>
        <w:rPr>
          <w:rFonts w:hint="eastAsia" w:ascii="Times New Roman" w:hAnsi="Times New Roman" w:eastAsia="仿宋_GB2312" w:cs="Times New Roman"/>
          <w:sz w:val="32"/>
          <w:szCs w:val="32"/>
          <w:lang w:eastAsia="zh-CN"/>
        </w:rPr>
        <w:t>政协</w:t>
      </w:r>
      <w:r>
        <w:rPr>
          <w:rFonts w:hint="eastAsia" w:ascii="Times New Roman" w:hAnsi="Times New Roman" w:eastAsia="仿宋_GB2312" w:cs="Times New Roman"/>
          <w:sz w:val="32"/>
          <w:szCs w:val="32"/>
        </w:rPr>
        <w:t>委员进行视察活动。</w:t>
      </w:r>
    </w:p>
    <w:p w14:paraId="58918597">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四、研究统一战线和人民政协的理论、政策，调查研究地方政协的共同性问题及其解决办法，供领导参考。</w:t>
      </w:r>
    </w:p>
    <w:p w14:paraId="1EFA7F3E">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五、宣传人民政协的方针政策、工作业绩和经验以及政协委员的先进事迹，收集和反映县政协委员和各界人士的意见与建议，综合、反映社情民意。</w:t>
      </w:r>
    </w:p>
    <w:p w14:paraId="7EDD3418">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六、联系各民主党派、工商联、各人民团体和无党派人士，联系县直有关部门，互通信息，协调工作，加强合作。</w:t>
      </w:r>
    </w:p>
    <w:p w14:paraId="53A23F1A">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七、负责县政协开展各项活动的有关后勤服务管理工作和</w:t>
      </w:r>
    </w:p>
    <w:p w14:paraId="286A97F3">
      <w:pPr>
        <w:spacing w:line="600" w:lineRule="exact"/>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县政协机关行政事务管理工作。</w:t>
      </w:r>
    </w:p>
    <w:p w14:paraId="303BCDA0">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八、负责权限范围内的人事任免。</w:t>
      </w:r>
    </w:p>
    <w:p w14:paraId="3EE8DCB0">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九、负责接待来县访问的海内外有关友好人士和对外联谊工作。</w:t>
      </w:r>
    </w:p>
    <w:p w14:paraId="6962531F">
      <w:pPr>
        <w:spacing w:line="600" w:lineRule="exact"/>
        <w:ind w:firstLine="800" w:firstLineChars="25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十、承办县政协主席、副主席交办的其他事项。</w:t>
      </w:r>
    </w:p>
    <w:p w14:paraId="5134B8D1">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0B405E15">
      <w:pPr>
        <w:widowControl/>
        <w:spacing w:line="600" w:lineRule="exact"/>
        <w:ind w:left="319" w:leftChars="152" w:firstLine="320" w:firstLineChars="1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lang w:val="en-US" w:eastAsia="zh-CN"/>
        </w:rPr>
        <w:t>中国人民政治协商会议湖南省会同县委员会办公室</w:t>
      </w:r>
      <w:r>
        <w:rPr>
          <w:rFonts w:hint="eastAsia" w:ascii="仿宋_GB2312" w:hAnsi="仿宋_GB2312" w:eastAsia="仿宋_GB2312" w:cs="仿宋_GB2312"/>
          <w:bCs/>
          <w:kern w:val="0"/>
          <w:sz w:val="32"/>
          <w:szCs w:val="32"/>
        </w:rPr>
        <w:t>内设机构包括：</w:t>
      </w:r>
      <w:r>
        <w:rPr>
          <w:rFonts w:hint="eastAsia" w:ascii="仿宋_GB2312" w:hAnsi="仿宋_GB2312" w:eastAsia="仿宋_GB2312" w:cs="仿宋_GB2312"/>
          <w:sz w:val="32"/>
          <w:szCs w:val="32"/>
        </w:rPr>
        <w:t>政协办公室、提案和委员学习联络委员会、经济科技和外事委员会、农业农村和人口资源环境委员会、文教卫体和文史委员会、社会法制和民族宗教委员会。</w:t>
      </w:r>
    </w:p>
    <w:p w14:paraId="6260582C">
      <w:pPr>
        <w:widowControl/>
        <w:spacing w:line="600" w:lineRule="exact"/>
        <w:ind w:left="319" w:leftChars="152" w:firstLine="320" w:firstLineChars="100"/>
        <w:rPr>
          <w:rFonts w:hint="eastAsia" w:ascii="Times New Roman" w:hAnsi="Times New Roman" w:eastAsia="仿宋_GB2312" w:cs="仿宋_GB2312"/>
          <w:bCs/>
          <w:kern w:val="0"/>
          <w:sz w:val="32"/>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val="en-US" w:eastAsia="zh-CN"/>
        </w:rPr>
        <w:t>中国人民政治协商会议湖南省会同县委员会办公室</w:t>
      </w:r>
      <w:r>
        <w:rPr>
          <w:rFonts w:hint="eastAsia" w:ascii="仿宋_GB2312" w:hAnsi="仿宋_GB2312" w:eastAsia="仿宋_GB2312" w:cs="仿宋_GB2312"/>
          <w:bCs/>
          <w:kern w:val="0"/>
          <w:sz w:val="32"/>
          <w:szCs w:val="32"/>
        </w:rPr>
        <w:t>202</w:t>
      </w:r>
      <w:r>
        <w:rPr>
          <w:rFonts w:hint="eastAsia" w:ascii="仿宋_GB2312" w:hAnsi="仿宋_GB2312" w:eastAsia="仿宋_GB2312" w:cs="仿宋_GB2312"/>
          <w:bCs/>
          <w:kern w:val="0"/>
          <w:sz w:val="32"/>
          <w:szCs w:val="32"/>
          <w:lang w:val="en-US" w:eastAsia="zh-CN"/>
        </w:rPr>
        <w:t>5</w:t>
      </w:r>
      <w:r>
        <w:rPr>
          <w:rFonts w:hint="eastAsia" w:ascii="仿宋_GB2312" w:hAnsi="仿宋_GB2312" w:eastAsia="仿宋_GB2312" w:cs="仿宋_GB2312"/>
          <w:bCs/>
          <w:kern w:val="0"/>
          <w:sz w:val="32"/>
          <w:szCs w:val="32"/>
        </w:rPr>
        <w:t>年部门</w:t>
      </w:r>
      <w:r>
        <w:rPr>
          <w:rFonts w:hint="eastAsia" w:ascii="Times New Roman" w:hAnsi="Times New Roman" w:eastAsia="仿宋_GB2312" w:cs="仿宋_GB2312"/>
          <w:bCs/>
          <w:kern w:val="0"/>
          <w:sz w:val="32"/>
          <w:szCs w:val="32"/>
        </w:rPr>
        <w:t>决算汇总公开单位构成</w:t>
      </w:r>
      <w:r>
        <w:rPr>
          <w:rFonts w:hint="eastAsia" w:ascii="Times New Roman" w:hAnsi="Times New Roman" w:eastAsia="仿宋_GB2312" w:cs="仿宋_GB2312"/>
          <w:bCs/>
          <w:kern w:val="0"/>
          <w:sz w:val="32"/>
          <w:szCs w:val="32"/>
          <w:lang w:eastAsia="zh-CN"/>
        </w:rPr>
        <w:t>只限县政协办公室</w:t>
      </w:r>
      <w:r>
        <w:rPr>
          <w:rFonts w:hint="eastAsia" w:ascii="Times New Roman" w:hAnsi="Times New Roman" w:eastAsia="仿宋_GB2312" w:cs="仿宋_GB2312"/>
          <w:bCs/>
          <w:kern w:val="0"/>
          <w:sz w:val="32"/>
          <w:szCs w:val="32"/>
        </w:rPr>
        <w:t>本级</w:t>
      </w:r>
    </w:p>
    <w:p w14:paraId="26713C3E">
      <w:pPr>
        <w:widowControl/>
        <w:spacing w:line="600" w:lineRule="exact"/>
        <w:rPr>
          <w:rFonts w:ascii="Times New Roman" w:hAnsi="Times New Roman" w:eastAsia="仿宋_GB2312" w:cs="Times New Roman"/>
          <w:bCs/>
          <w:kern w:val="0"/>
          <w:sz w:val="32"/>
          <w:szCs w:val="32"/>
        </w:rPr>
      </w:pPr>
    </w:p>
    <w:p w14:paraId="4C932D75">
      <w:pPr>
        <w:jc w:val="left"/>
        <w:rPr>
          <w:rFonts w:ascii="Times New Roman" w:hAnsi="Times New Roman" w:eastAsia="仿宋_GB2312" w:cs="Times New Roman"/>
          <w:sz w:val="28"/>
          <w:szCs w:val="32"/>
        </w:rPr>
      </w:pPr>
    </w:p>
    <w:p w14:paraId="72043077">
      <w:pPr>
        <w:jc w:val="center"/>
        <w:rPr>
          <w:rFonts w:ascii="Times New Roman" w:hAnsi="Times New Roman" w:eastAsia="黑体" w:cs="Times New Roman"/>
          <w:sz w:val="28"/>
          <w:szCs w:val="28"/>
        </w:rPr>
      </w:pPr>
    </w:p>
    <w:p w14:paraId="766D0F86">
      <w:pPr>
        <w:jc w:val="center"/>
        <w:rPr>
          <w:rFonts w:ascii="Times New Roman" w:hAnsi="Times New Roman" w:eastAsia="黑体" w:cs="Times New Roman"/>
          <w:sz w:val="28"/>
          <w:szCs w:val="28"/>
        </w:rPr>
      </w:pPr>
    </w:p>
    <w:p w14:paraId="09477F30">
      <w:pPr>
        <w:jc w:val="center"/>
        <w:rPr>
          <w:rFonts w:ascii="Times New Roman" w:hAnsi="Times New Roman" w:eastAsia="黑体" w:cs="Times New Roman"/>
          <w:sz w:val="28"/>
          <w:szCs w:val="28"/>
        </w:rPr>
      </w:pPr>
    </w:p>
    <w:p w14:paraId="4849E9F3">
      <w:pPr>
        <w:jc w:val="center"/>
        <w:rPr>
          <w:rFonts w:ascii="Times New Roman" w:hAnsi="Times New Roman" w:eastAsia="黑体" w:cs="Times New Roman"/>
          <w:sz w:val="28"/>
          <w:szCs w:val="28"/>
        </w:rPr>
      </w:pPr>
    </w:p>
    <w:p w14:paraId="77626ABF">
      <w:pPr>
        <w:jc w:val="center"/>
        <w:rPr>
          <w:rFonts w:ascii="Times New Roman" w:hAnsi="Times New Roman" w:eastAsia="黑体" w:cs="Times New Roman"/>
          <w:sz w:val="28"/>
          <w:szCs w:val="28"/>
        </w:rPr>
      </w:pPr>
    </w:p>
    <w:p w14:paraId="5215FE86">
      <w:pPr>
        <w:pStyle w:val="10"/>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5C4135D1">
      <w:pPr>
        <w:pStyle w:val="17"/>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1EB4E122">
      <w:pPr>
        <w:bidi w:val="0"/>
        <w:jc w:val="left"/>
        <w:rPr>
          <w:lang w:val="en-US" w:eastAsia="zh-CN"/>
        </w:rPr>
      </w:pPr>
      <w:r>
        <w:rPr>
          <w:rFonts w:ascii="Times New Roman" w:hAnsi="Times New Roman" w:eastAsia="黑体" w:cs="Times New Roman"/>
          <w:color w:val="000000"/>
          <w:kern w:val="0"/>
          <w:sz w:val="36"/>
          <w:szCs w:val="36"/>
          <w:lang w:bidi="ar"/>
        </w:rPr>
        <w:object>
          <v:shape id="_x0000_i1025" o:spt="75" type="#_x0000_t75" style="height:424.9pt;width:548.6pt;" o:ole="t" filled="f" o:preferrelative="t" stroked="f" coordsize="21600,21600">
            <v:path/>
            <v:fill on="f" focussize="0,0"/>
            <v:stroke on="f"/>
            <v:imagedata r:id="rId11" o:title=""/>
            <o:lock v:ext="edit" aspectratio="f"/>
            <w10:wrap type="none"/>
            <w10:anchorlock/>
          </v:shape>
          <o:OLEObject Type="Embed" ProgID="Excel.Sheet.12" ShapeID="_x0000_i1025" DrawAspect="Content" ObjectID="_1468075725" r:id="rId10">
            <o:LockedField>false</o:LockedField>
          </o:OLEObject>
        </w:object>
      </w:r>
    </w:p>
    <w:p w14:paraId="2448B711">
      <w:pPr>
        <w:rPr>
          <w:rFonts w:asciiTheme="minorHAnsi" w:hAnsiTheme="minorHAnsi" w:eastAsiaTheme="minorEastAsia" w:cstheme="minorBidi"/>
          <w:kern w:val="2"/>
          <w:sz w:val="21"/>
          <w:szCs w:val="22"/>
          <w:lang w:val="en-US" w:eastAsia="zh-CN" w:bidi="ar-SA"/>
        </w:rPr>
      </w:pPr>
    </w:p>
    <w:p w14:paraId="3B283B0B">
      <w:pPr>
        <w:bidi w:val="0"/>
        <w:jc w:val="left"/>
      </w:pPr>
    </w:p>
    <w:p w14:paraId="148BBB48">
      <w:pPr>
        <w:widowControl/>
        <w:jc w:val="left"/>
        <w:rPr>
          <w:rFonts w:ascii="Times New Roman" w:hAnsi="Times New Roman" w:eastAsia="黑体" w:cs="Times New Roman"/>
          <w:bCs/>
          <w:kern w:val="0"/>
          <w:sz w:val="32"/>
          <w:szCs w:val="32"/>
        </w:rPr>
      </w:pPr>
      <w:r>
        <w:rPr>
          <w:rFonts w:ascii="Times New Roman" w:hAnsi="Times New Roman" w:eastAsia="仿宋_GB2312" w:cs="Times New Roman"/>
        </w:rPr>
        <w:object>
          <v:shape id="_x0000_i1026" o:spt="75" type="#_x0000_t75" style="height:409.4pt;width:699.9pt;" o:ole="t" filled="f" o:preferrelative="t" stroked="f" coordsize="21600,21600">
            <v:path/>
            <v:fill on="f" focussize="0,0"/>
            <v:stroke on="f"/>
            <v:imagedata r:id="rId13" o:title=""/>
            <o:lock v:ext="edit" aspectratio="f"/>
            <w10:wrap type="none"/>
            <w10:anchorlock/>
          </v:shape>
          <o:OLEObject Type="Embed" ProgID="Excel.Sheet.12" ShapeID="_x0000_i1026" DrawAspect="Content" ObjectID="_1468075726" r:id="rId12">
            <o:LockedField>false</o:LockedField>
          </o:OLEObject>
        </w:objec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p>
    <w:p w14:paraId="450B2046">
      <w:pPr>
        <w:widowControl/>
        <w:spacing w:after="156" w:afterLines="50"/>
        <w:jc w:val="both"/>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object>
          <v:shape id="_x0000_i1027" o:spt="75" type="#_x0000_t75" style="height:453.1pt;width:699.7pt;" o:ole="t" filled="f" o:preferrelative="t" stroked="f" coordsize="21600,21600">
            <v:path/>
            <v:fill on="f" focussize="0,0"/>
            <v:stroke on="f"/>
            <v:imagedata r:id="rId15" o:title=""/>
            <o:lock v:ext="edit" aspectratio="f"/>
            <w10:wrap type="none"/>
            <w10:anchorlock/>
          </v:shape>
          <o:OLEObject Type="Embed" ProgID="Excel.Sheet.12" ShapeID="_x0000_i1027" DrawAspect="Content" ObjectID="_1468075727" r:id="rId14">
            <o:LockedField>false</o:LockedField>
          </o:OLEObject>
        </w:object>
      </w:r>
    </w:p>
    <w:p w14:paraId="3F07B95D">
      <w:pPr>
        <w:widowControl/>
        <w:tabs>
          <w:tab w:val="left" w:pos="1236"/>
          <w:tab w:val="left" w:pos="1499"/>
          <w:tab w:val="left" w:pos="2980"/>
          <w:tab w:val="left" w:pos="4932"/>
          <w:tab w:val="left" w:pos="6923"/>
          <w:tab w:val="left" w:pos="8914"/>
          <w:tab w:val="left" w:pos="10905"/>
          <w:tab w:val="left" w:pos="12896"/>
        </w:tabs>
        <w:jc w:val="both"/>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object>
          <v:shape id="_x0000_i1028" o:spt="75" type="#_x0000_t75" style="height:522.15pt;width:699.6pt;" o:ole="t" filled="f" o:preferrelative="t" stroked="f" coordsize="21600,21600">
            <v:path/>
            <v:fill on="f" focussize="0,0"/>
            <v:stroke on="f"/>
            <v:imagedata r:id="rId17" o:title=""/>
            <o:lock v:ext="edit" aspectratio="f"/>
            <w10:wrap type="none"/>
            <w10:anchorlock/>
          </v:shape>
          <o:OLEObject Type="Embed" ProgID="Excel.Sheet.12" ShapeID="_x0000_i1028" DrawAspect="Content" ObjectID="_1468075728" r:id="rId16">
            <o:LockedField>false</o:LockedField>
          </o:OLEObject>
        </w:object>
      </w:r>
      <w:r>
        <w:rPr>
          <w:rFonts w:ascii="Times New Roman" w:hAnsi="Times New Roman" w:eastAsia="仿宋_GB2312" w:cs="Times New Roman"/>
          <w:kern w:val="0"/>
          <w:sz w:val="24"/>
          <w:szCs w:val="24"/>
        </w:rPr>
        <w:object>
          <v:shape id="_x0000_i1029" o:spt="75" type="#_x0000_t75" style="height:477.55pt;width:532.4pt;" o:ole="t" filled="f" o:preferrelative="t" stroked="f" coordsize="21600,21600">
            <v:path/>
            <v:fill on="f" focussize="0,0"/>
            <v:stroke on="f"/>
            <v:imagedata r:id="rId19" o:title=""/>
            <o:lock v:ext="edit" aspectratio="f"/>
            <w10:wrap type="none"/>
            <w10:anchorlock/>
          </v:shape>
          <o:OLEObject Type="Embed" ProgID="Excel.Sheet.12" ShapeID="_x0000_i1029" DrawAspect="Content" ObjectID="_1468075729" r:id="rId18">
            <o:LockedField>false</o:LockedField>
          </o:OLEObject>
        </w:objec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p>
    <w:p w14:paraId="6C509F49">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仿宋_GB2312" w:cs="Times New Roman"/>
          <w:bCs/>
          <w:kern w:val="0"/>
          <w:szCs w:val="21"/>
        </w:rPr>
      </w:pPr>
      <w:bookmarkStart w:id="0" w:name="RANGE!A1:F16"/>
      <w:r>
        <w:rPr>
          <w:rFonts w:ascii="Times New Roman" w:hAnsi="Times New Roman" w:eastAsia="宋体" w:cs="Times New Roman"/>
          <w:kern w:val="0"/>
          <w:sz w:val="24"/>
          <w:szCs w:val="24"/>
        </w:rPr>
        <w:object>
          <v:shape id="_x0000_i1030" o:spt="75" type="#_x0000_t75" style="height:424.15pt;width:700.1pt;" o:ole="t" filled="f" o:preferrelative="t" stroked="f" coordsize="21600,21600">
            <v:path/>
            <v:fill on="f" focussize="0,0"/>
            <v:stroke on="f"/>
            <v:imagedata r:id="rId21" o:title=""/>
            <o:lock v:ext="edit" aspectratio="f"/>
            <w10:wrap type="none"/>
            <w10:anchorlock/>
          </v:shape>
          <o:OLEObject Type="Embed" ProgID="Excel.Sheet.12" ShapeID="_x0000_i1030" DrawAspect="Content" ObjectID="_1468075730" r:id="rId20">
            <o:LockedField>false</o:LockedField>
          </o:OLEObject>
        </w:object>
      </w:r>
      <w:r>
        <w:rPr>
          <w:rFonts w:ascii="Times New Roman" w:hAnsi="Times New Roman" w:eastAsia="宋体" w:cs="Times New Roman"/>
          <w:kern w:val="0"/>
          <w:sz w:val="24"/>
          <w:szCs w:val="24"/>
        </w:rPr>
        <w:tab/>
      </w:r>
      <w:bookmarkEnd w:id="0"/>
      <w:r>
        <w:rPr>
          <w:rFonts w:ascii="Times New Roman" w:hAnsi="Times New Roman" w:eastAsia="仿宋_GB2312" w:cs="Times New Roman"/>
          <w:bCs/>
          <w:kern w:val="0"/>
          <w:szCs w:val="21"/>
        </w:rPr>
        <w:br w:type="page"/>
      </w:r>
    </w:p>
    <w:p w14:paraId="3C3F3173">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 xml:space="preserve">        </w:t>
      </w:r>
    </w:p>
    <w:p w14:paraId="75223D92">
      <w:pPr>
        <w:widowControl/>
        <w:spacing w:line="400" w:lineRule="exact"/>
        <w:jc w:val="both"/>
        <w:textAlignment w:val="center"/>
        <w:rPr>
          <w:rFonts w:ascii="Times New Roman" w:hAnsi="Times New Roman" w:eastAsia="仿宋_GB2312" w:cs="Times New Roman"/>
          <w:color w:val="000000"/>
          <w:kern w:val="0"/>
          <w:sz w:val="32"/>
          <w:szCs w:val="32"/>
          <w:lang w:bidi="ar"/>
        </w:rPr>
      </w:pPr>
    </w:p>
    <w:p w14:paraId="2B176AFC">
      <w:pPr>
        <w:widowControl/>
        <w:spacing w:before="120"/>
        <w:jc w:val="left"/>
        <w:textAlignment w:val="center"/>
        <w:rPr>
          <w:rFonts w:ascii="Times New Roman" w:hAnsi="Times New Roman" w:eastAsia="仿宋_GB2312" w:cs="Times New Roman"/>
          <w:color w:val="000000"/>
          <w:kern w:val="0"/>
          <w:sz w:val="24"/>
          <w:szCs w:val="24"/>
          <w:lang w:bidi="ar"/>
        </w:rPr>
      </w:pPr>
    </w:p>
    <w:p w14:paraId="42ACDB99">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object>
          <v:shape id="_x0000_i1031" o:spt="75" type="#_x0000_t75" style="height:167pt;width:687.5pt;" o:ole="t" filled="f" o:preferrelative="t" stroked="f" coordsize="21600,21600">
            <v:path/>
            <v:fill on="f" focussize="0,0"/>
            <v:stroke on="f"/>
            <v:imagedata r:id="rId23" o:title=""/>
            <o:lock v:ext="edit" aspectratio="f"/>
            <w10:wrap type="none"/>
            <w10:anchorlock/>
          </v:shape>
          <o:OLEObject Type="Embed" ProgID="Excel.Sheet.12" ShapeID="_x0000_i1031" DrawAspect="Content" ObjectID="_1468075731" r:id="rId22">
            <o:LockedField>false</o:LockedField>
          </o:OLEObject>
        </w:object>
      </w:r>
    </w:p>
    <w:p w14:paraId="1A115C75">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3030F629">
      <w:pPr>
        <w:widowControl/>
        <w:jc w:val="center"/>
        <w:rPr>
          <w:rFonts w:ascii="Times New Roman" w:hAnsi="Times New Roman" w:eastAsia="方正小标宋_GBK" w:cs="Times New Roman"/>
          <w:color w:val="000000"/>
          <w:kern w:val="0"/>
          <w:sz w:val="36"/>
          <w:szCs w:val="36"/>
        </w:rPr>
      </w:pPr>
    </w:p>
    <w:p w14:paraId="13B82F51">
      <w:pPr>
        <w:widowControl/>
        <w:spacing w:line="400" w:lineRule="exact"/>
        <w:textAlignment w:val="center"/>
        <w:rPr>
          <w:rFonts w:ascii="Times New Roman" w:hAnsi="Times New Roman" w:eastAsia="黑体" w:cs="Times New Roman"/>
          <w:color w:val="000000"/>
          <w:kern w:val="0"/>
          <w:sz w:val="36"/>
          <w:szCs w:val="36"/>
          <w:lang w:bidi="ar"/>
        </w:rPr>
      </w:pPr>
    </w:p>
    <w:p w14:paraId="2246A490">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372005D">
      <w:pPr>
        <w:widowControl/>
        <w:spacing w:after="156" w:afterLines="50"/>
        <w:jc w:val="center"/>
        <w:textAlignment w:val="center"/>
        <w:rPr>
          <w:rFonts w:ascii="Times New Roman" w:hAnsi="Times New Roman" w:eastAsia="黑体" w:cs="Times New Roman"/>
          <w:color w:val="000000"/>
          <w:kern w:val="0"/>
          <w:sz w:val="36"/>
          <w:szCs w:val="36"/>
          <w:lang w:bidi="ar"/>
        </w:rPr>
      </w:pPr>
    </w:p>
    <w:p w14:paraId="3E03E9CD">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B18A75E">
      <w:pPr>
        <w:widowControl/>
        <w:spacing w:after="156" w:afterLines="50"/>
        <w:jc w:val="center"/>
        <w:textAlignment w:val="center"/>
        <w:rPr>
          <w:rFonts w:ascii="Times New Roman" w:hAnsi="Times New Roman" w:eastAsia="黑体" w:cs="Times New Roman"/>
          <w:color w:val="000000"/>
          <w:kern w:val="0"/>
          <w:sz w:val="36"/>
          <w:szCs w:val="36"/>
          <w:lang w:bidi="ar"/>
        </w:rPr>
      </w:pPr>
    </w:p>
    <w:p w14:paraId="1782E7B3">
      <w:pPr>
        <w:widowControl/>
        <w:spacing w:after="156" w:afterLines="50"/>
        <w:jc w:val="center"/>
        <w:textAlignment w:val="center"/>
        <w:rPr>
          <w:rFonts w:ascii="Times New Roman" w:hAnsi="Times New Roman" w:eastAsia="黑体" w:cs="Times New Roman"/>
          <w:color w:val="000000"/>
          <w:kern w:val="0"/>
          <w:sz w:val="36"/>
          <w:szCs w:val="36"/>
          <w:lang w:bidi="ar"/>
        </w:rPr>
      </w:pPr>
    </w:p>
    <w:p w14:paraId="68EEC9C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330ACE6E">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1FD76981">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中国人民政治协商会议湖南省会同县委员会办公室</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3"/>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74848B9B">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35293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22"/>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CAC3A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10CA9F1C">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CB767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5A7A0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0EC3E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058EB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6EFCB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02863AC0">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3CBE6">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E9004">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9DB6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57EE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0FBAA">
            <w:pPr>
              <w:jc w:val="center"/>
              <w:rPr>
                <w:rFonts w:ascii="Times New Roman" w:hAnsi="Times New Roman" w:eastAsia="仿宋_GB2312" w:cs="Times New Roman"/>
                <w:color w:val="000000"/>
                <w:sz w:val="24"/>
                <w:szCs w:val="24"/>
              </w:rPr>
            </w:pPr>
          </w:p>
        </w:tc>
      </w:tr>
      <w:tr w14:paraId="0B13F2DA">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79C6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501C8">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A18D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021A9">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79D4F0">
            <w:pPr>
              <w:jc w:val="center"/>
              <w:rPr>
                <w:rFonts w:ascii="Times New Roman" w:hAnsi="Times New Roman" w:eastAsia="仿宋_GB2312" w:cs="Times New Roman"/>
                <w:color w:val="000000"/>
                <w:sz w:val="24"/>
                <w:szCs w:val="24"/>
              </w:rPr>
            </w:pPr>
          </w:p>
        </w:tc>
      </w:tr>
      <w:tr w14:paraId="68272AB6">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4C98A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FA7F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3800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C5AC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73DB1837">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1024C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ED20E">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E3611">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1BC8D">
            <w:pPr>
              <w:jc w:val="center"/>
              <w:rPr>
                <w:rFonts w:ascii="Times New Roman" w:hAnsi="Times New Roman" w:eastAsia="仿宋_GB2312" w:cs="Times New Roman"/>
                <w:color w:val="000000"/>
                <w:sz w:val="24"/>
                <w:szCs w:val="24"/>
              </w:rPr>
            </w:pPr>
          </w:p>
        </w:tc>
      </w:tr>
      <w:tr w14:paraId="13B79D68">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2FC02">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1ECEF">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240E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9F117">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813A4">
            <w:pPr>
              <w:rPr>
                <w:rFonts w:ascii="Times New Roman" w:hAnsi="Times New Roman" w:eastAsia="仿宋_GB2312" w:cs="Times New Roman"/>
                <w:color w:val="000000"/>
                <w:sz w:val="24"/>
                <w:szCs w:val="24"/>
              </w:rPr>
            </w:pPr>
          </w:p>
        </w:tc>
      </w:tr>
      <w:tr w14:paraId="7551E57E">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7E0D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C8462">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950E5">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1DE33">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06506">
            <w:pPr>
              <w:rPr>
                <w:rFonts w:ascii="Times New Roman" w:hAnsi="Times New Roman" w:eastAsia="仿宋_GB2312" w:cs="Times New Roman"/>
                <w:color w:val="000000"/>
                <w:sz w:val="24"/>
                <w:szCs w:val="24"/>
              </w:rPr>
            </w:pPr>
          </w:p>
        </w:tc>
      </w:tr>
      <w:tr w14:paraId="7DD448A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886B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7A374">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F3F9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264D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01B67">
            <w:pPr>
              <w:rPr>
                <w:rFonts w:ascii="Times New Roman" w:hAnsi="Times New Roman" w:eastAsia="宋体" w:cs="Times New Roman"/>
                <w:color w:val="000000"/>
                <w:sz w:val="24"/>
                <w:szCs w:val="24"/>
              </w:rPr>
            </w:pPr>
          </w:p>
        </w:tc>
      </w:tr>
      <w:tr w14:paraId="5EAE1C8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6CB2E">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458BD">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3DDE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510B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5EF5A">
            <w:pPr>
              <w:rPr>
                <w:rFonts w:ascii="Times New Roman" w:hAnsi="Times New Roman" w:eastAsia="宋体" w:cs="Times New Roman"/>
                <w:color w:val="000000"/>
                <w:sz w:val="24"/>
                <w:szCs w:val="24"/>
              </w:rPr>
            </w:pPr>
          </w:p>
        </w:tc>
      </w:tr>
      <w:tr w14:paraId="2702CF0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A46D0">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0C4CA">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A2F6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7D2C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73487">
            <w:pPr>
              <w:rPr>
                <w:rFonts w:ascii="Times New Roman" w:hAnsi="Times New Roman" w:eastAsia="宋体" w:cs="Times New Roman"/>
                <w:color w:val="000000"/>
                <w:sz w:val="24"/>
                <w:szCs w:val="24"/>
              </w:rPr>
            </w:pPr>
          </w:p>
        </w:tc>
      </w:tr>
      <w:tr w14:paraId="5881337B">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D44F3">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A5259">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9D49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50EA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B7F04">
            <w:pPr>
              <w:rPr>
                <w:rFonts w:ascii="Times New Roman" w:hAnsi="Times New Roman" w:eastAsia="宋体" w:cs="Times New Roman"/>
                <w:color w:val="000000"/>
                <w:sz w:val="24"/>
                <w:szCs w:val="24"/>
              </w:rPr>
            </w:pPr>
          </w:p>
        </w:tc>
      </w:tr>
    </w:tbl>
    <w:p w14:paraId="346A799B">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4FB748BF">
      <w:pPr>
        <w:widowControl/>
        <w:jc w:val="left"/>
        <w:textAlignment w:val="center"/>
        <w:rPr>
          <w:rFonts w:ascii="Times New Roman" w:hAnsi="Times New Roman" w:eastAsia="宋体" w:cs="Times New Roman"/>
          <w:color w:val="000000"/>
          <w:kern w:val="0"/>
          <w:sz w:val="24"/>
          <w:szCs w:val="24"/>
          <w:lang w:bidi="ar"/>
        </w:rPr>
      </w:pPr>
    </w:p>
    <w:p w14:paraId="6C6710A4">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57F6803A">
      <w:pPr>
        <w:widowControl/>
        <w:jc w:val="center"/>
        <w:rPr>
          <w:rFonts w:ascii="Times New Roman" w:hAnsi="Times New Roman" w:eastAsia="方正小标宋_GBK" w:cs="Times New Roman"/>
          <w:color w:val="000000"/>
          <w:kern w:val="0"/>
          <w:sz w:val="36"/>
          <w:szCs w:val="36"/>
        </w:rPr>
      </w:pPr>
    </w:p>
    <w:p w14:paraId="6983D4FC">
      <w:pPr>
        <w:pStyle w:val="10"/>
        <w:spacing w:line="400" w:lineRule="exact"/>
        <w:rPr>
          <w:rFonts w:ascii="Times New Roman" w:hAnsi="Times New Roman" w:eastAsia="华文中宋" w:cs="Times New Roman"/>
          <w:color w:val="000000"/>
          <w:kern w:val="0"/>
          <w:sz w:val="32"/>
          <w:szCs w:val="32"/>
          <w:lang w:bidi="ar"/>
        </w:rPr>
      </w:pPr>
    </w:p>
    <w:p w14:paraId="0D955C17">
      <w:pPr>
        <w:autoSpaceDE w:val="0"/>
        <w:autoSpaceDN w:val="0"/>
        <w:adjustRightInd w:val="0"/>
        <w:jc w:val="left"/>
        <w:rPr>
          <w:rFonts w:ascii="Times New Roman" w:hAnsi="Times New Roman" w:eastAsia="宋体" w:cs="Times New Roman"/>
          <w:kern w:val="0"/>
          <w:sz w:val="24"/>
          <w:szCs w:val="24"/>
        </w:rPr>
      </w:pPr>
    </w:p>
    <w:p w14:paraId="2030AB3C">
      <w:pPr>
        <w:autoSpaceDE w:val="0"/>
        <w:autoSpaceDN w:val="0"/>
        <w:adjustRightInd w:val="0"/>
        <w:ind w:left="315" w:leftChars="150"/>
        <w:jc w:val="left"/>
        <w:rPr>
          <w:rFonts w:ascii="Times New Roman" w:hAnsi="Times New Roman" w:eastAsia="宋体" w:cs="Times New Roman"/>
          <w:kern w:val="0"/>
          <w:sz w:val="24"/>
          <w:szCs w:val="24"/>
        </w:rPr>
      </w:pPr>
      <w:r>
        <w:rPr>
          <w:rFonts w:ascii="Times New Roman" w:hAnsi="Times New Roman" w:eastAsia="宋体" w:cs="Times New Roman"/>
          <w:kern w:val="0"/>
          <w:sz w:val="24"/>
          <w:szCs w:val="24"/>
        </w:rPr>
        <w:object>
          <v:shape id="_x0000_i1032" o:spt="75" type="#_x0000_t75" style="height:158.85pt;width:675.8pt;" o:ole="t" filled="f" o:preferrelative="t" stroked="f" coordsize="21600,21600">
            <v:path/>
            <v:fill on="f" focussize="0,0"/>
            <v:stroke on="f"/>
            <v:imagedata r:id="rId25" o:title=""/>
            <o:lock v:ext="edit" aspectratio="f"/>
            <w10:wrap type="none"/>
            <w10:anchorlock/>
          </v:shape>
          <o:OLEObject Type="Embed" ProgID="Excel.Sheet.12" ShapeID="_x0000_i1032" DrawAspect="Content" ObjectID="_1468075732" r:id="rId24">
            <o:LockedField>false</o:LockedField>
          </o:OLEObject>
        </w:object>
      </w:r>
    </w:p>
    <w:p w14:paraId="3B7ED0E0">
      <w:pPr>
        <w:autoSpaceDE w:val="0"/>
        <w:autoSpaceDN w:val="0"/>
        <w:adjustRightInd w:val="0"/>
        <w:ind w:left="315" w:leftChars="150"/>
        <w:jc w:val="left"/>
        <w:rPr>
          <w:rFonts w:ascii="Times New Roman" w:hAnsi="Times New Roman" w:eastAsia="宋体" w:cs="Times New Roman"/>
          <w:kern w:val="0"/>
          <w:sz w:val="24"/>
          <w:szCs w:val="24"/>
        </w:rPr>
      </w:pPr>
    </w:p>
    <w:p w14:paraId="0D769BF5">
      <w:pPr>
        <w:autoSpaceDE w:val="0"/>
        <w:autoSpaceDN w:val="0"/>
        <w:adjustRightInd w:val="0"/>
        <w:ind w:left="315" w:leftChars="150"/>
        <w:jc w:val="left"/>
        <w:rPr>
          <w:rFonts w:ascii="Times New Roman" w:hAnsi="Times New Roman" w:eastAsia="宋体" w:cs="Times New Roman"/>
          <w:kern w:val="0"/>
          <w:sz w:val="24"/>
          <w:szCs w:val="24"/>
        </w:rPr>
      </w:pPr>
    </w:p>
    <w:p w14:paraId="0599F033">
      <w:pPr>
        <w:autoSpaceDE w:val="0"/>
        <w:autoSpaceDN w:val="0"/>
        <w:adjustRightInd w:val="0"/>
        <w:ind w:left="315" w:leftChars="150"/>
        <w:jc w:val="left"/>
        <w:rPr>
          <w:rFonts w:ascii="Times New Roman" w:hAnsi="Times New Roman" w:eastAsia="宋体" w:cs="Times New Roman"/>
          <w:kern w:val="0"/>
          <w:sz w:val="24"/>
          <w:szCs w:val="24"/>
        </w:rPr>
      </w:pPr>
    </w:p>
    <w:p w14:paraId="69001990">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006575F7">
      <w:pPr>
        <w:pStyle w:val="17"/>
        <w:rPr>
          <w:rFonts w:ascii="Times New Roman" w:hAnsi="Times New Roman" w:cs="Times New Roman"/>
          <w:sz w:val="72"/>
          <w:szCs w:val="72"/>
        </w:rPr>
      </w:pPr>
    </w:p>
    <w:p w14:paraId="0D8CF4BA">
      <w:pPr>
        <w:pStyle w:val="17"/>
        <w:rPr>
          <w:rFonts w:ascii="Times New Roman" w:hAnsi="Times New Roman" w:cs="Times New Roman"/>
          <w:sz w:val="72"/>
          <w:szCs w:val="72"/>
        </w:rPr>
      </w:pPr>
    </w:p>
    <w:p w14:paraId="6E974EA5">
      <w:pPr>
        <w:pStyle w:val="17"/>
        <w:rPr>
          <w:rFonts w:ascii="Times New Roman" w:hAnsi="Times New Roman" w:cs="Times New Roman"/>
          <w:sz w:val="72"/>
          <w:szCs w:val="72"/>
        </w:rPr>
      </w:pPr>
    </w:p>
    <w:p w14:paraId="3E52FC37">
      <w:pPr>
        <w:pStyle w:val="17"/>
        <w:jc w:val="center"/>
        <w:rPr>
          <w:rFonts w:ascii="Times New Roman" w:hAnsi="Times New Roman" w:cs="Times New Roman"/>
          <w:sz w:val="72"/>
          <w:szCs w:val="72"/>
        </w:rPr>
      </w:pPr>
    </w:p>
    <w:p w14:paraId="7DE276EB">
      <w:pPr>
        <w:pStyle w:val="17"/>
        <w:jc w:val="center"/>
        <w:rPr>
          <w:rFonts w:ascii="Times New Roman" w:hAnsi="Times New Roman" w:eastAsia="方正小标宋_GBK" w:cs="Times New Roman"/>
          <w:sz w:val="72"/>
          <w:szCs w:val="72"/>
        </w:rPr>
      </w:pPr>
    </w:p>
    <w:p w14:paraId="6E9D7013">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183E6257">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063276CD">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67616177">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527DC6FE">
      <w:pPr>
        <w:pStyle w:val="17"/>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720.61</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110.82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社会保障和就业支出比上年增加</w:t>
      </w:r>
      <w:r>
        <w:rPr>
          <w:rFonts w:hint="eastAsia" w:ascii="Times New Roman" w:hAnsi="Times New Roman" w:eastAsia="仿宋_GB2312" w:cs="Times New Roman"/>
          <w:sz w:val="32"/>
          <w:szCs w:val="32"/>
          <w:lang w:val="en-US" w:eastAsia="zh-CN"/>
        </w:rPr>
        <w:t>，城乡社区支出比上年增加。</w:t>
      </w:r>
    </w:p>
    <w:p w14:paraId="74FEBD46">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社会保障和就业支出、城乡社区支出等重点支出，体现在有关支出科目中。</w:t>
      </w:r>
    </w:p>
    <w:p w14:paraId="2DFF1A68">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724A6323">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720.61</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720.61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2CE05361">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1821C4EA">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720.61</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679.17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94</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41.45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3A9A51ED">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0F7953F5">
      <w:pPr>
        <w:pStyle w:val="17"/>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720.61</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110.82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社会保障和就业支出比上年增加</w:t>
      </w:r>
      <w:r>
        <w:rPr>
          <w:rFonts w:hint="eastAsia" w:ascii="Times New Roman" w:hAnsi="Times New Roman" w:eastAsia="仿宋_GB2312" w:cs="Times New Roman"/>
          <w:sz w:val="32"/>
          <w:szCs w:val="32"/>
          <w:lang w:val="en-US" w:eastAsia="zh-CN"/>
        </w:rPr>
        <w:t>，城乡社区支出比上年增加。</w:t>
      </w:r>
    </w:p>
    <w:p w14:paraId="474D8F7B">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E9362F6">
      <w:pPr>
        <w:pStyle w:val="17"/>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63DA46E1">
      <w:pPr>
        <w:pStyle w:val="17"/>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720.61</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110.82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社会保障和就业支出比上年增加</w:t>
      </w:r>
      <w:r>
        <w:rPr>
          <w:rFonts w:hint="eastAsia" w:ascii="Times New Roman" w:hAnsi="Times New Roman" w:eastAsia="仿宋_GB2312" w:cs="Times New Roman"/>
          <w:sz w:val="32"/>
          <w:szCs w:val="32"/>
          <w:lang w:val="en-US" w:eastAsia="zh-CN"/>
        </w:rPr>
        <w:t>，城乡社区支出比上年增加。</w:t>
      </w:r>
    </w:p>
    <w:p w14:paraId="2079ABDC">
      <w:pPr>
        <w:pStyle w:val="17"/>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50221F98">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720.61</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474.4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社会保障和就业</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108.61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卫生和健康支出</w:t>
      </w:r>
      <w:r>
        <w:rPr>
          <w:rFonts w:hint="eastAsia" w:ascii="Times New Roman" w:hAnsi="Times New Roman" w:eastAsia="仿宋_GB2312" w:cs="Times New Roman"/>
          <w:sz w:val="32"/>
          <w:szCs w:val="32"/>
          <w:lang w:val="en-US" w:eastAsia="zh-CN"/>
        </w:rPr>
        <w:t>29.71万元，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城乡社区支出</w:t>
      </w:r>
      <w:r>
        <w:rPr>
          <w:rFonts w:hint="eastAsia" w:ascii="Times New Roman" w:hAnsi="Times New Roman" w:eastAsia="仿宋_GB2312" w:cs="Times New Roman"/>
          <w:sz w:val="32"/>
          <w:szCs w:val="32"/>
          <w:lang w:val="en-US" w:eastAsia="zh-CN"/>
        </w:rPr>
        <w:t>107.89万元，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　</w:t>
      </w:r>
    </w:p>
    <w:p w14:paraId="3B3C2A85">
      <w:pPr>
        <w:pStyle w:val="17"/>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188FEF5C">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589.49</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720.61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122</w:t>
      </w:r>
      <w:r>
        <w:rPr>
          <w:rFonts w:ascii="Times New Roman" w:hAnsi="Times New Roman" w:eastAsia="仿宋_GB2312" w:cs="Times New Roman"/>
          <w:sz w:val="32"/>
          <w:szCs w:val="32"/>
        </w:rPr>
        <w:t>%，其中：</w:t>
      </w:r>
    </w:p>
    <w:p w14:paraId="5D04ED5B">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lang w:eastAsia="zh-CN"/>
        </w:rPr>
        <w:t>政协事务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行政运行</w:t>
      </w:r>
      <w:r>
        <w:rPr>
          <w:rFonts w:ascii="Times New Roman" w:hAnsi="Times New Roman" w:eastAsia="仿宋_GB2312" w:cs="Times New Roman"/>
          <w:sz w:val="32"/>
          <w:szCs w:val="32"/>
        </w:rPr>
        <w:t>（项）。</w:t>
      </w:r>
    </w:p>
    <w:p w14:paraId="187BCE31">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455.25</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435.69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96</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厉行节约，减少此项支出。</w:t>
      </w:r>
    </w:p>
    <w:p w14:paraId="4636948A">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eastAsia="zh-CN"/>
        </w:rPr>
        <w:t>政协事务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一般行政管理事务</w:t>
      </w:r>
      <w:r>
        <w:rPr>
          <w:rFonts w:ascii="Times New Roman" w:hAnsi="Times New Roman" w:eastAsia="仿宋_GB2312" w:cs="Times New Roman"/>
          <w:sz w:val="32"/>
          <w:szCs w:val="32"/>
        </w:rPr>
        <w:t>（项）。</w:t>
      </w:r>
    </w:p>
    <w:p w14:paraId="609E146E">
      <w:pPr>
        <w:pStyle w:val="17"/>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1.74</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本年度增加此项支出及功能科目变动</w:t>
      </w:r>
      <w:r>
        <w:rPr>
          <w:rFonts w:hint="eastAsia" w:ascii="Times New Roman" w:hAnsi="Times New Roman" w:eastAsia="仿宋_GB2312" w:cs="Times New Roman"/>
          <w:sz w:val="32"/>
          <w:szCs w:val="32"/>
          <w:lang w:val="en-US" w:eastAsia="zh-CN"/>
        </w:rPr>
        <w:t>。</w:t>
      </w:r>
    </w:p>
    <w:p w14:paraId="0F054811">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p>
    <w:p w14:paraId="123F4D64">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eastAsia="zh-CN"/>
        </w:rPr>
        <w:t>政协事务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其他政协事务支出</w:t>
      </w:r>
      <w:r>
        <w:rPr>
          <w:rFonts w:ascii="Times New Roman" w:hAnsi="Times New Roman" w:eastAsia="仿宋_GB2312" w:cs="Times New Roman"/>
          <w:sz w:val="32"/>
          <w:szCs w:val="32"/>
        </w:rPr>
        <w:t>（项）。</w:t>
      </w:r>
    </w:p>
    <w:p w14:paraId="63B5A5C6">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53.4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27.71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52</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年中调整，减少此项支出。</w:t>
      </w:r>
    </w:p>
    <w:p w14:paraId="29619C2E">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eastAsia="zh-CN"/>
        </w:rPr>
        <w:t>政府办公厅（室）及相关机构服务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行政运行</w:t>
      </w:r>
      <w:r>
        <w:rPr>
          <w:rFonts w:ascii="Times New Roman" w:hAnsi="Times New Roman" w:eastAsia="仿宋_GB2312" w:cs="Times New Roman"/>
          <w:sz w:val="32"/>
          <w:szCs w:val="32"/>
        </w:rPr>
        <w:t>（项）。</w:t>
      </w:r>
    </w:p>
    <w:p w14:paraId="48B74A8B">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9.26</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本年度增加此项支出及功能科目变动</w:t>
      </w:r>
      <w:r>
        <w:rPr>
          <w:rFonts w:hint="eastAsia" w:ascii="Times New Roman" w:hAnsi="Times New Roman" w:eastAsia="仿宋_GB2312" w:cs="Times New Roman"/>
          <w:sz w:val="32"/>
          <w:szCs w:val="32"/>
          <w:lang w:val="en-US" w:eastAsia="zh-CN"/>
        </w:rPr>
        <w:t>。</w:t>
      </w:r>
    </w:p>
    <w:p w14:paraId="6F896A96">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行政单位离退休</w:t>
      </w:r>
      <w:r>
        <w:rPr>
          <w:rFonts w:ascii="Times New Roman" w:hAnsi="Times New Roman" w:eastAsia="仿宋_GB2312" w:cs="Times New Roman"/>
          <w:sz w:val="32"/>
          <w:szCs w:val="32"/>
        </w:rPr>
        <w:t>（项）。</w:t>
      </w:r>
    </w:p>
    <w:p w14:paraId="6FD8193D">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6.72</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本年度增加此项支出及功能科目变动</w:t>
      </w:r>
      <w:r>
        <w:rPr>
          <w:rFonts w:hint="eastAsia" w:ascii="Times New Roman" w:hAnsi="Times New Roman" w:eastAsia="仿宋_GB2312" w:cs="Times New Roman"/>
          <w:sz w:val="32"/>
          <w:szCs w:val="32"/>
          <w:lang w:val="en-US" w:eastAsia="zh-CN"/>
        </w:rPr>
        <w:t>。</w:t>
      </w:r>
    </w:p>
    <w:p w14:paraId="10D435C7">
      <w:pPr>
        <w:pStyle w:val="17"/>
        <w:numPr>
          <w:ilvl w:val="0"/>
          <w:numId w:val="1"/>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机关事业单位基本养老保险缴费支出</w:t>
      </w:r>
      <w:r>
        <w:rPr>
          <w:rFonts w:ascii="Times New Roman" w:hAnsi="Times New Roman" w:eastAsia="仿宋_GB2312" w:cs="Times New Roman"/>
          <w:sz w:val="32"/>
          <w:szCs w:val="32"/>
        </w:rPr>
        <w:t>（项）。</w:t>
      </w:r>
    </w:p>
    <w:p w14:paraId="2FCFD81E">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34.25</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44.7</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rPr>
        <w:t>人员工资</w:t>
      </w:r>
      <w:r>
        <w:rPr>
          <w:rFonts w:hint="eastAsia" w:ascii="Times New Roman" w:hAnsi="Times New Roman" w:eastAsia="仿宋_GB2312" w:cs="Times New Roman"/>
          <w:sz w:val="32"/>
          <w:szCs w:val="32"/>
          <w:lang w:eastAsia="zh-CN"/>
        </w:rPr>
        <w:t>调整导致</w:t>
      </w:r>
      <w:r>
        <w:rPr>
          <w:rFonts w:hint="eastAsia" w:ascii="Times New Roman" w:hAnsi="Times New Roman" w:eastAsia="仿宋_GB2312" w:cs="Times New Roman"/>
          <w:sz w:val="32"/>
          <w:szCs w:val="32"/>
        </w:rPr>
        <w:t>各项社保缴费增加以及功能科目变动</w:t>
      </w:r>
      <w:r>
        <w:rPr>
          <w:rFonts w:hint="eastAsia" w:ascii="Times New Roman" w:hAnsi="Times New Roman" w:eastAsia="仿宋_GB2312" w:cs="Times New Roman"/>
          <w:sz w:val="32"/>
          <w:szCs w:val="32"/>
          <w:lang w:eastAsia="zh-CN"/>
        </w:rPr>
        <w:t>。</w:t>
      </w:r>
    </w:p>
    <w:p w14:paraId="41602B7A">
      <w:pPr>
        <w:pStyle w:val="17"/>
        <w:numPr>
          <w:ilvl w:val="0"/>
          <w:numId w:val="1"/>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抚恤</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死亡抚恤</w:t>
      </w:r>
      <w:r>
        <w:rPr>
          <w:rFonts w:ascii="Times New Roman" w:hAnsi="Times New Roman" w:eastAsia="仿宋_GB2312" w:cs="Times New Roman"/>
          <w:sz w:val="32"/>
          <w:szCs w:val="32"/>
        </w:rPr>
        <w:t>（项）。</w:t>
      </w:r>
    </w:p>
    <w:p w14:paraId="473DC17F">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57.09</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本年度增加此项支出</w:t>
      </w:r>
      <w:r>
        <w:rPr>
          <w:rFonts w:hint="eastAsia" w:ascii="Times New Roman" w:hAnsi="Times New Roman" w:eastAsia="仿宋_GB2312" w:cs="Times New Roman"/>
          <w:sz w:val="32"/>
          <w:szCs w:val="32"/>
          <w:lang w:val="en-US" w:eastAsia="zh-CN"/>
        </w:rPr>
        <w:t>。</w:t>
      </w:r>
    </w:p>
    <w:p w14:paraId="48066891">
      <w:pPr>
        <w:pStyle w:val="17"/>
        <w:numPr>
          <w:ilvl w:val="0"/>
          <w:numId w:val="1"/>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其他社会保障和就业支出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其他社会保障和就业支出</w:t>
      </w:r>
      <w:r>
        <w:rPr>
          <w:rFonts w:ascii="Times New Roman" w:hAnsi="Times New Roman" w:eastAsia="仿宋_GB2312" w:cs="Times New Roman"/>
          <w:sz w:val="32"/>
          <w:szCs w:val="32"/>
        </w:rPr>
        <w:t>（项）。</w:t>
      </w:r>
    </w:p>
    <w:p w14:paraId="0269F210">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0.04</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0.1</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本年度工伤保险、失业保险等社保缴费增加以及功能科目变动。</w:t>
      </w:r>
    </w:p>
    <w:p w14:paraId="774313DC">
      <w:pPr>
        <w:pStyle w:val="17"/>
        <w:numPr>
          <w:ilvl w:val="0"/>
          <w:numId w:val="1"/>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行政单位医疗</w:t>
      </w:r>
      <w:r>
        <w:rPr>
          <w:rFonts w:ascii="Times New Roman" w:hAnsi="Times New Roman" w:eastAsia="仿宋_GB2312" w:cs="Times New Roman"/>
          <w:sz w:val="32"/>
          <w:szCs w:val="32"/>
        </w:rPr>
        <w:t>（项）。</w:t>
      </w:r>
    </w:p>
    <w:p w14:paraId="2D46DB2E">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14.84</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17</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本年度医疗保险等社保缴费增加。</w:t>
      </w:r>
    </w:p>
    <w:p w14:paraId="1A0255BF">
      <w:pPr>
        <w:pStyle w:val="17"/>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10、</w:t>
      </w:r>
      <w:r>
        <w:rPr>
          <w:rFonts w:hint="eastAsia" w:ascii="Times New Roman" w:hAnsi="Times New Roman" w:eastAsia="仿宋_GB2312" w:cs="Times New Roman"/>
          <w:sz w:val="32"/>
          <w:szCs w:val="32"/>
          <w:lang w:eastAsia="zh-CN"/>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其他行政事业单位医疗支出</w:t>
      </w:r>
      <w:r>
        <w:rPr>
          <w:rFonts w:ascii="Times New Roman" w:hAnsi="Times New Roman" w:eastAsia="仿宋_GB2312" w:cs="Times New Roman"/>
          <w:sz w:val="32"/>
          <w:szCs w:val="32"/>
        </w:rPr>
        <w:t>（项）。</w:t>
      </w:r>
    </w:p>
    <w:p w14:paraId="319B9951">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12.71</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功能科目变动。</w:t>
      </w:r>
    </w:p>
    <w:p w14:paraId="1AB6D65C">
      <w:pPr>
        <w:pStyle w:val="17"/>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11、城乡社区</w:t>
      </w:r>
      <w:r>
        <w:rPr>
          <w:rFonts w:hint="eastAsia" w:ascii="Times New Roman" w:hAnsi="Times New Roman" w:eastAsia="仿宋_GB2312" w:cs="Times New Roman"/>
          <w:sz w:val="32"/>
          <w:szCs w:val="32"/>
          <w:lang w:eastAsia="zh-CN"/>
        </w:rPr>
        <w:t>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城乡社区管理事务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其他城乡社区管理事务支出</w:t>
      </w:r>
      <w:r>
        <w:rPr>
          <w:rFonts w:ascii="Times New Roman" w:hAnsi="Times New Roman" w:eastAsia="仿宋_GB2312" w:cs="Times New Roman"/>
          <w:sz w:val="32"/>
          <w:szCs w:val="32"/>
        </w:rPr>
        <w:t>（项）。</w:t>
      </w:r>
    </w:p>
    <w:p w14:paraId="2572811A">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107.89</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本年度增加此项支出及功能科目变动。</w:t>
      </w:r>
    </w:p>
    <w:p w14:paraId="65A77F08">
      <w:pPr>
        <w:pStyle w:val="17"/>
        <w:overflowPunct w:val="0"/>
        <w:autoSpaceDE/>
        <w:autoSpaceDN/>
        <w:spacing w:line="600" w:lineRule="exact"/>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　　</w:t>
      </w: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eastAsia="zh-CN"/>
        </w:rPr>
        <w:t>一般公共服务支出</w:t>
      </w:r>
      <w:r>
        <w:rPr>
          <w:rFonts w:hint="eastAsia" w:ascii="Times New Roman" w:hAnsi="Times New Roman" w:eastAsia="仿宋_GB2312" w:cs="Times New Roman"/>
          <w:sz w:val="32"/>
          <w:szCs w:val="32"/>
        </w:rPr>
        <w:t>方面的支出规模较大，主要是：</w:t>
      </w:r>
      <w:r>
        <w:rPr>
          <w:rFonts w:hint="eastAsia" w:ascii="Times New Roman" w:hAnsi="Times New Roman" w:eastAsia="仿宋_GB2312" w:cs="Times New Roman"/>
          <w:sz w:val="32"/>
          <w:szCs w:val="32"/>
          <w:lang w:eastAsia="zh-CN"/>
        </w:rPr>
        <w:t>行政运行科目</w:t>
      </w:r>
      <w:r>
        <w:rPr>
          <w:rFonts w:hint="eastAsia" w:ascii="Times New Roman" w:hAnsi="Times New Roman" w:eastAsia="仿宋_GB2312" w:cs="Times New Roman"/>
          <w:sz w:val="32"/>
          <w:szCs w:val="32"/>
        </w:rPr>
        <w:t>（科目名称），2025年度决算数</w:t>
      </w:r>
      <w:r>
        <w:rPr>
          <w:rFonts w:hint="eastAsia" w:ascii="Times New Roman" w:hAnsi="Times New Roman" w:eastAsia="仿宋_GB2312" w:cs="Times New Roman"/>
          <w:sz w:val="32"/>
          <w:szCs w:val="32"/>
          <w:lang w:val="en-US" w:eastAsia="zh-CN"/>
        </w:rPr>
        <w:t>435.69</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60</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县政协机关行政事务管理以及政协委员视察、参观、调查、座谈、学习、研讨等日常活动经费开支</w:t>
      </w:r>
      <w:r>
        <w:rPr>
          <w:rFonts w:hint="eastAsia" w:ascii="Times New Roman" w:hAnsi="Times New Roman" w:eastAsia="楷体_GB2312" w:cs="Times New Roman"/>
          <w:b/>
          <w:bCs/>
          <w:i/>
          <w:color w:val="auto"/>
          <w:sz w:val="32"/>
          <w:szCs w:val="32"/>
        </w:rPr>
        <w:t>。</w:t>
      </w:r>
    </w:p>
    <w:p w14:paraId="3635CCE0">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6C151C7F">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679.17</w:t>
      </w:r>
      <w:r>
        <w:rPr>
          <w:rFonts w:ascii="Times New Roman" w:hAnsi="Times New Roman" w:eastAsia="仿宋_GB2312" w:cs="Times New Roman"/>
          <w:sz w:val="32"/>
          <w:szCs w:val="32"/>
        </w:rPr>
        <w:t>万元，其中：</w:t>
      </w:r>
    </w:p>
    <w:p w14:paraId="60C15873">
      <w:pPr>
        <w:pStyle w:val="17"/>
        <w:overflowPunct w:val="0"/>
        <w:autoSpaceDE/>
        <w:autoSpaceDN/>
        <w:spacing w:line="60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b/>
          <w:bCs/>
          <w:sz w:val="32"/>
          <w:szCs w:val="32"/>
          <w:lang w:val="en-US" w:eastAsia="zh-CN"/>
        </w:rPr>
        <w:t>520.14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77</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eastAsia="zh-CN"/>
        </w:rPr>
        <w:t>绩效工资、机关事业单位基本养老保险缴费、其他社会保障缴费、住房公积金、医疗费、抚恤金、医疗费补助、</w:t>
      </w:r>
      <w:r>
        <w:rPr>
          <w:rFonts w:hint="eastAsia" w:ascii="Times New Roman" w:hAnsi="Times New Roman" w:eastAsia="仿宋_GB2312" w:cs="Times New Roman"/>
          <w:sz w:val="32"/>
          <w:szCs w:val="32"/>
          <w:lang w:val="en-US" w:eastAsia="zh-CN"/>
        </w:rPr>
        <w:tab/>
      </w:r>
      <w:r>
        <w:rPr>
          <w:rFonts w:hint="eastAsia" w:ascii="Times New Roman" w:hAnsi="Times New Roman" w:eastAsia="仿宋_GB2312" w:cs="Times New Roman"/>
          <w:sz w:val="32"/>
          <w:szCs w:val="32"/>
          <w:lang w:val="en-US" w:eastAsia="zh-CN"/>
        </w:rPr>
        <w:t>其他对个人和家庭的补助</w:t>
      </w:r>
      <w:r>
        <w:rPr>
          <w:rFonts w:ascii="Times New Roman" w:hAnsi="Times New Roman" w:eastAsia="仿宋_GB2312" w:cs="Times New Roman"/>
          <w:sz w:val="32"/>
          <w:szCs w:val="32"/>
        </w:rPr>
        <w:t>。</w:t>
      </w:r>
    </w:p>
    <w:p w14:paraId="72821020">
      <w:pPr>
        <w:pStyle w:val="17"/>
        <w:overflowPunct w:val="0"/>
        <w:autoSpaceDE/>
        <w:autoSpaceDN/>
        <w:spacing w:line="600" w:lineRule="exact"/>
        <w:ind w:firstLine="643"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b/>
          <w:bCs/>
          <w:sz w:val="32"/>
          <w:szCs w:val="32"/>
          <w:lang w:val="en-US" w:eastAsia="zh-CN"/>
        </w:rPr>
        <w:t>159.03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23</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eastAsia="zh-CN"/>
        </w:rPr>
        <w:t>邮电</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eastAsia="zh-CN"/>
        </w:rPr>
        <w:t>差旅</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eastAsia="zh-CN"/>
        </w:rPr>
        <w:t>、维修费、会议费、培训费、工会经费、福利费、公务用车运行维护费、其他交通费用、其他商品和服务支出。</w:t>
      </w:r>
    </w:p>
    <w:p w14:paraId="0DADEF9A">
      <w:pPr>
        <w:pStyle w:val="17"/>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34985E1A">
      <w:pPr>
        <w:pStyle w:val="17"/>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51337B9C">
      <w:pPr>
        <w:pStyle w:val="17"/>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5.99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5.99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3.23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35</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eastAsia="zh-CN"/>
        </w:rPr>
        <w:t>预算指标年中调剂</w:t>
      </w:r>
      <w:r>
        <w:rPr>
          <w:rFonts w:ascii="Times New Roman" w:hAnsi="Times New Roman" w:eastAsia="仿宋_GB2312" w:cs="Times New Roman"/>
          <w:sz w:val="32"/>
          <w:szCs w:val="32"/>
        </w:rPr>
        <w:t>。决算数小于上年数的主要原因</w:t>
      </w:r>
      <w:r>
        <w:rPr>
          <w:rFonts w:hint="eastAsia" w:ascii="Times New Roman" w:hAnsi="Times New Roman" w:eastAsia="仿宋_GB2312" w:cs="Times New Roman"/>
          <w:sz w:val="32"/>
          <w:szCs w:val="32"/>
          <w:lang w:eastAsia="zh-CN"/>
        </w:rPr>
        <w:t>是公务接待费大幅减少</w:t>
      </w:r>
      <w:r>
        <w:rPr>
          <w:rFonts w:ascii="Times New Roman" w:hAnsi="Times New Roman" w:eastAsia="仿宋_GB2312" w:cs="Times New Roman"/>
          <w:sz w:val="32"/>
          <w:szCs w:val="32"/>
        </w:rPr>
        <w:t>。</w:t>
      </w:r>
    </w:p>
    <w:p w14:paraId="15C1CE05">
      <w:pPr>
        <w:pStyle w:val="17"/>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3DBC02FB">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由于年初数为0万元，无法计算百分比</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一致，无增减变动，</w:t>
      </w:r>
      <w:r>
        <w:rPr>
          <w:rFonts w:hint="eastAsia" w:ascii="Times New Roman" w:hAnsi="Times New Roman" w:eastAsia="仿宋_GB2312" w:cs="Times New Roman"/>
          <w:sz w:val="32"/>
          <w:szCs w:val="32"/>
        </w:rPr>
        <w:t>主要原因是没有因公出国（境）费用类支出。全年安排因公出国（境）团组0个，累计0人次，未安排活动。</w:t>
      </w:r>
    </w:p>
    <w:p w14:paraId="5C819772">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5.77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5.77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0.64</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%。其中：</w:t>
      </w:r>
    </w:p>
    <w:p w14:paraId="503F8E43">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由于年初数为0万元，无法计算百分比</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一致</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无增减变动</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主要原因是未购置公务用车</w:t>
      </w:r>
      <w:r>
        <w:rPr>
          <w:rFonts w:ascii="Times New Roman" w:hAnsi="Times New Roman" w:eastAsia="仿宋_GB2312" w:cs="Times New Roman"/>
          <w:color w:val="000000" w:themeColor="text1"/>
          <w:sz w:val="32"/>
          <w:szCs w:val="32"/>
          <w14:textFill>
            <w14:solidFill>
              <w14:schemeClr w14:val="tx1"/>
            </w14:solidFill>
          </w14:textFill>
        </w:rPr>
        <w:t>。</w:t>
      </w:r>
    </w:p>
    <w:p w14:paraId="0B6A5446">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5.77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5.77</w:t>
      </w:r>
      <w:r>
        <w:rPr>
          <w:rFonts w:ascii="Times New Roman" w:hAnsi="Times New Roman" w:eastAsia="仿宋_GB2312" w:cs="Times New Roman"/>
          <w:sz w:val="32"/>
          <w:szCs w:val="32"/>
        </w:rPr>
        <w:t>万元，</w:t>
      </w:r>
    </w:p>
    <w:p w14:paraId="556973FD">
      <w:pPr>
        <w:pStyle w:val="17"/>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rPr>
        <w:t>车辆汽油费、过路过桥费</w:t>
      </w:r>
      <w:r>
        <w:rPr>
          <w:rFonts w:hint="eastAsia" w:ascii="Times New Roman" w:hAnsi="Times New Roman" w:eastAsia="仿宋_GB2312" w:cs="Times New Roman"/>
          <w:sz w:val="32"/>
          <w:szCs w:val="32"/>
          <w:lang w:eastAsia="zh-CN"/>
        </w:rPr>
        <w:t>、车辆维修费及车辆保险费等</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0.64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w:t>
      </w:r>
      <w:r>
        <w:rPr>
          <w:rFonts w:ascii="Times New Roman" w:hAnsi="Times New Roman" w:eastAsia="仿宋_GB2312" w:cs="Times New Roman"/>
          <w:sz w:val="32"/>
          <w:szCs w:val="32"/>
        </w:rPr>
        <w:t>于预算数的主要原因是</w:t>
      </w:r>
      <w:r>
        <w:rPr>
          <w:rFonts w:hint="eastAsia" w:ascii="Times New Roman" w:hAnsi="Times New Roman" w:eastAsia="仿宋_GB2312" w:cs="Times New Roman"/>
          <w:sz w:val="32"/>
          <w:szCs w:val="32"/>
          <w:lang w:eastAsia="zh-CN"/>
        </w:rPr>
        <w:t>该预算指标年中调剂</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rPr>
        <w:t>本年度用车频率高，油费增加</w:t>
      </w:r>
      <w:r>
        <w:rPr>
          <w:rFonts w:ascii="Times New Roman" w:hAnsi="Times New Roman" w:eastAsia="仿宋_GB2312" w:cs="Times New Roman"/>
          <w:sz w:val="32"/>
          <w:szCs w:val="32"/>
        </w:rPr>
        <w:t>。截</w:t>
      </w:r>
      <w:r>
        <w:rPr>
          <w:rFonts w:hint="eastAsia" w:ascii="Times New Roman" w:hAnsi="Times New Roman" w:eastAsia="仿宋_GB2312" w:cs="Times New Roman"/>
          <w:sz w:val="32"/>
          <w:szCs w:val="32"/>
          <w:lang w:eastAsia="zh-CN"/>
        </w:rPr>
        <w:t>至</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辆</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更新公务用车0辆</w:t>
      </w:r>
      <w:r>
        <w:rPr>
          <w:rFonts w:ascii="Times New Roman" w:hAnsi="Times New Roman" w:eastAsia="仿宋_GB2312" w:cs="Times New Roman"/>
          <w:sz w:val="32"/>
          <w:szCs w:val="32"/>
        </w:rPr>
        <w:t>。</w:t>
      </w:r>
    </w:p>
    <w:p w14:paraId="509BC2F5">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0.22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0.22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3.87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95</w:t>
      </w:r>
      <w:r>
        <w:rPr>
          <w:rFonts w:ascii="Times New Roman" w:hAnsi="Times New Roman" w:eastAsia="仿宋_GB2312" w:cs="Times New Roman"/>
          <w:sz w:val="32"/>
          <w:szCs w:val="32"/>
        </w:rPr>
        <w:t>%。决算数小于预算数的主要原因</w:t>
      </w:r>
      <w:r>
        <w:rPr>
          <w:rFonts w:hint="eastAsia" w:ascii="Times New Roman" w:hAnsi="Times New Roman" w:eastAsia="仿宋_GB2312" w:cs="Times New Roman"/>
          <w:sz w:val="32"/>
          <w:szCs w:val="32"/>
          <w:lang w:eastAsia="zh-CN"/>
        </w:rPr>
        <w:t>是强化制度执行与预算管理、实际接待人数减少</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强化制度执行与预算管理、实际接待人数减少</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17</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lang w:eastAsia="zh-CN"/>
        </w:rPr>
        <w:t>外省政协人员来我县考察学习交流</w:t>
      </w:r>
      <w:r>
        <w:rPr>
          <w:rFonts w:ascii="Times New Roman" w:hAnsi="Times New Roman" w:eastAsia="仿宋_GB2312" w:cs="Times New Roman"/>
          <w:sz w:val="32"/>
          <w:szCs w:val="32"/>
        </w:rPr>
        <w:t>发生的接待支出。</w:t>
      </w:r>
    </w:p>
    <w:p w14:paraId="37D66C02">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1A86E945">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本年度无政府性基金预算收入支出。</w:t>
      </w:r>
    </w:p>
    <w:p w14:paraId="03AA6DC2">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1BAAC422">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159.03</w:t>
      </w:r>
      <w:r>
        <w:rPr>
          <w:rFonts w:ascii="Times New Roman" w:hAnsi="Times New Roman" w:eastAsia="仿宋_GB2312" w:cs="Times New Roman"/>
          <w:sz w:val="32"/>
          <w:szCs w:val="32"/>
        </w:rPr>
        <w:t>万元，比年初预算数增加</w:t>
      </w:r>
      <w:r>
        <w:rPr>
          <w:rFonts w:hint="eastAsia" w:ascii="Times New Roman" w:hAnsi="Times New Roman" w:eastAsia="仿宋_GB2312" w:cs="Times New Roman"/>
          <w:sz w:val="32"/>
          <w:szCs w:val="32"/>
          <w:lang w:val="en-US" w:eastAsia="zh-CN"/>
        </w:rPr>
        <w:t>22.43</w:t>
      </w:r>
      <w:r>
        <w:rPr>
          <w:rFonts w:ascii="Times New Roman" w:hAnsi="Times New Roman" w:eastAsia="仿宋_GB2312" w:cs="Times New Roman"/>
          <w:sz w:val="32"/>
          <w:szCs w:val="32"/>
        </w:rPr>
        <w:t xml:space="preserve"> 万元，增长</w:t>
      </w:r>
      <w:r>
        <w:rPr>
          <w:rFonts w:hint="eastAsia" w:ascii="Times New Roman" w:hAnsi="Times New Roman" w:eastAsia="仿宋_GB2312" w:cs="Times New Roman"/>
          <w:sz w:val="32"/>
          <w:szCs w:val="32"/>
          <w:lang w:val="en-US" w:eastAsia="zh-CN"/>
        </w:rPr>
        <w:t>16</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内网及机房建设，经费开支增加。</w:t>
      </w:r>
    </w:p>
    <w:p w14:paraId="519415F4">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6292BADC">
      <w:pPr>
        <w:spacing w:line="600" w:lineRule="exact"/>
        <w:ind w:firstLine="640" w:firstLineChars="200"/>
        <w:rPr>
          <w:rFonts w:hint="eastAsia" w:eastAsia="仿宋_GB2312"/>
          <w:kern w:val="0"/>
          <w:sz w:val="32"/>
          <w:szCs w:val="32"/>
          <w:highlight w:val="none"/>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30.6</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eastAsia="zh-CN"/>
        </w:rPr>
        <w:t>政协会同县第十届委员会第四次</w:t>
      </w:r>
      <w:r>
        <w:rPr>
          <w:rFonts w:ascii="Times New Roman" w:hAnsi="Times New Roman" w:eastAsia="仿宋_GB2312" w:cs="Times New Roman"/>
          <w:sz w:val="32"/>
          <w:szCs w:val="32"/>
        </w:rPr>
        <w:t>会议</w:t>
      </w:r>
      <w:r>
        <w:rPr>
          <w:rFonts w:hint="eastAsia" w:ascii="Times New Roman" w:hAnsi="Times New Roman" w:eastAsia="仿宋_GB2312" w:cs="Times New Roman"/>
          <w:sz w:val="32"/>
          <w:szCs w:val="32"/>
          <w:lang w:eastAsia="zh-CN"/>
        </w:rPr>
        <w:t>、政协常委会会议、重点提案办理协商会议、专委会会议。</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eastAsia="zh-CN"/>
        </w:rPr>
        <w:t>合计</w:t>
      </w:r>
      <w:r>
        <w:rPr>
          <w:rFonts w:hint="eastAsia" w:ascii="Times New Roman" w:hAnsi="Times New Roman" w:eastAsia="仿宋_GB2312" w:cs="Times New Roman"/>
          <w:sz w:val="32"/>
          <w:szCs w:val="32"/>
          <w:lang w:val="en-US" w:eastAsia="zh-CN"/>
        </w:rPr>
        <w:t>730</w:t>
      </w:r>
      <w:r>
        <w:rPr>
          <w:rFonts w:ascii="Times New Roman" w:hAnsi="Times New Roman" w:eastAsia="仿宋_GB2312" w:cs="Times New Roman"/>
          <w:sz w:val="32"/>
          <w:szCs w:val="32"/>
        </w:rPr>
        <w:t>人，</w:t>
      </w:r>
      <w:r>
        <w:rPr>
          <w:rFonts w:hint="eastAsia" w:eastAsia="仿宋_GB2312"/>
          <w:kern w:val="0"/>
          <w:sz w:val="32"/>
          <w:szCs w:val="32"/>
          <w:highlight w:val="none"/>
          <w:lang w:eastAsia="zh-CN"/>
        </w:rPr>
        <w:t>政协全会的</w:t>
      </w:r>
      <w:r>
        <w:rPr>
          <w:rFonts w:eastAsia="仿宋_GB2312"/>
          <w:kern w:val="0"/>
          <w:sz w:val="32"/>
          <w:szCs w:val="32"/>
          <w:highlight w:val="none"/>
        </w:rPr>
        <w:t>内容为</w:t>
      </w:r>
      <w:r>
        <w:rPr>
          <w:rFonts w:hint="eastAsia" w:eastAsia="仿宋_GB2312"/>
          <w:kern w:val="0"/>
          <w:sz w:val="32"/>
          <w:szCs w:val="32"/>
          <w:highlight w:val="none"/>
          <w:lang w:eastAsia="zh-CN"/>
        </w:rPr>
        <w:t>选举及决定政协常委人员的变更；协商讨论大政方针及重大问题、听取和审议常委会、提案等工作；讨论重大工作方针、任务并作出决议。政协常委会会议内容为审议政协及常委会会务和工作中的重大事项，传达中央、省、市、县的重要会议和文件精神、协商讨论县委县政府重大方针政策及社会关注的重大问题，听取有关报告或说明，提出建议和意见；审议提交政协全委会的文件；审议重要的建议案、提案、视察报告、其他报告；审议各委室年度工作报告。专委会的内容为专题协商、界别协商、对口协商会议等重点协商议政会议及活动。</w:t>
      </w:r>
      <w:r>
        <w:rPr>
          <w:rFonts w:eastAsia="仿宋_GB2312"/>
          <w:kern w:val="0"/>
          <w:sz w:val="32"/>
          <w:szCs w:val="32"/>
          <w:highlight w:val="none"/>
        </w:rPr>
        <w:t>开支培训费</w:t>
      </w:r>
      <w:r>
        <w:rPr>
          <w:rFonts w:hint="eastAsia" w:eastAsia="仿宋_GB2312"/>
          <w:kern w:val="0"/>
          <w:sz w:val="32"/>
          <w:szCs w:val="32"/>
          <w:highlight w:val="none"/>
          <w:lang w:val="en-US" w:eastAsia="zh-CN"/>
        </w:rPr>
        <w:t>1.45</w:t>
      </w:r>
      <w:r>
        <w:rPr>
          <w:rFonts w:eastAsia="仿宋_GB2312"/>
          <w:kern w:val="0"/>
          <w:sz w:val="32"/>
          <w:szCs w:val="32"/>
          <w:highlight w:val="none"/>
        </w:rPr>
        <w:t>万元，用于</w:t>
      </w:r>
      <w:r>
        <w:rPr>
          <w:rFonts w:hint="eastAsia" w:eastAsia="仿宋_GB2312"/>
          <w:kern w:val="0"/>
          <w:sz w:val="32"/>
          <w:szCs w:val="32"/>
          <w:highlight w:val="none"/>
          <w:lang w:eastAsia="zh-CN"/>
        </w:rPr>
        <w:t>参加政协新闻宣传业务能力培训。</w:t>
      </w:r>
    </w:p>
    <w:p w14:paraId="4F446F6B">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52D87AFC">
      <w:pPr>
        <w:pStyle w:val="17"/>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w:t>
      </w:r>
      <w:r>
        <w:rPr>
          <w:rFonts w:hint="eastAsia" w:ascii="Times New Roman" w:hAnsi="Times New Roman" w:eastAsia="仿宋_GB2312" w:cs="Times New Roman"/>
          <w:sz w:val="32"/>
          <w:szCs w:val="32"/>
          <w:lang w:eastAsia="zh-CN"/>
        </w:rPr>
        <w:t>元。</w:t>
      </w:r>
    </w:p>
    <w:p w14:paraId="22B3D06B">
      <w:pPr>
        <w:pStyle w:val="17"/>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4D734DCA">
      <w:pPr>
        <w:pStyle w:val="17"/>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lang w:eastAsia="zh-CN"/>
        </w:rPr>
        <w:t>单位工作用车和业务用车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51B8E96B">
      <w:pPr>
        <w:pStyle w:val="17"/>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1017E0ED">
      <w:pPr>
        <w:overflowPunct w:val="0"/>
        <w:spacing w:line="600" w:lineRule="exact"/>
        <w:ind w:firstLine="643"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41.45</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41.45</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二是部门评价开展情况（如有，一级预算部门填写）。</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eastAsia="zh-CN"/>
        </w:rPr>
        <w:t>委员工作室工作经费</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县政协委员通讯交通补贴</w:t>
      </w:r>
      <w:r>
        <w:rPr>
          <w:rFonts w:ascii="Times New Roman" w:hAnsi="Times New Roman" w:eastAsia="仿宋_GB2312" w:cs="Times New Roman"/>
          <w:kern w:val="0"/>
          <w:sz w:val="32"/>
          <w:szCs w:val="32"/>
        </w:rPr>
        <w:t>”等</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kern w:val="0"/>
          <w:sz w:val="32"/>
          <w:szCs w:val="32"/>
          <w:lang w:val="en-US" w:eastAsia="zh-CN"/>
        </w:rPr>
        <w:t>41.45</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hint="eastAsia" w:ascii="Times New Roman" w:hAnsi="Times New Roman" w:eastAsia="仿宋_GB2312" w:cs="Times New Roman"/>
          <w:kern w:val="0"/>
          <w:sz w:val="32"/>
          <w:szCs w:val="32"/>
        </w:rPr>
        <w:t>本年度无重点项目支出</w:t>
      </w:r>
      <w:r>
        <w:rPr>
          <w:rFonts w:ascii="Times New Roman" w:hAnsi="Times New Roman" w:eastAsia="仿宋_GB2312" w:cs="Times New Roman"/>
          <w:kern w:val="0"/>
          <w:sz w:val="32"/>
          <w:szCs w:val="32"/>
        </w:rPr>
        <w:t>。</w:t>
      </w:r>
    </w:p>
    <w:p w14:paraId="67067024">
      <w:pPr>
        <w:overflowPunct w:val="0"/>
        <w:spacing w:line="600" w:lineRule="exact"/>
        <w:ind w:firstLine="643"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720.61</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720.61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kern w:val="0"/>
          <w:sz w:val="32"/>
          <w:szCs w:val="32"/>
          <w:lang w:val="en-US" w:eastAsia="zh-CN"/>
        </w:rPr>
        <w:t>99.2</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”。绩效目标完成情况：一是</w:t>
      </w:r>
      <w:r>
        <w:rPr>
          <w:rFonts w:hint="eastAsia" w:ascii="Times New Roman" w:hAnsi="Times New Roman" w:eastAsia="仿宋_GB2312" w:cs="Times New Roman"/>
          <w:sz w:val="32"/>
          <w:szCs w:val="32"/>
          <w:lang w:eastAsia="zh-CN"/>
        </w:rPr>
        <w:t>履职活动开展完成既定目标</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eastAsia="zh-CN"/>
        </w:rPr>
        <w:t>提案办理工作推动解决了一批群众关心的民生问题和发展难题；三是机关建设管理效率持续提升，机关运行规范有序</w:t>
      </w:r>
      <w:r>
        <w:rPr>
          <w:rFonts w:ascii="Times New Roman" w:hAnsi="Times New Roman" w:eastAsia="仿宋_GB2312" w:cs="Times New Roman"/>
          <w:sz w:val="32"/>
          <w:szCs w:val="32"/>
        </w:rPr>
        <w:t>。发现的主要问题及原因：一是</w:t>
      </w:r>
      <w:r>
        <w:rPr>
          <w:rFonts w:hint="eastAsia" w:ascii="Times New Roman" w:hAnsi="Times New Roman" w:eastAsia="仿宋_GB2312" w:cs="Times New Roman"/>
          <w:sz w:val="32"/>
          <w:szCs w:val="32"/>
          <w:lang w:eastAsia="zh-CN"/>
        </w:rPr>
        <w:t>部分履职调研成果转化效率有待进一步提升</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eastAsia="zh-CN"/>
        </w:rPr>
        <w:t>预算绩效管理精细化仍有提升空间；三是委员履职能力建设仍需加强</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lang w:eastAsia="zh-CN"/>
        </w:rPr>
        <w:t>健全履职成果转化机制，加强与相关部门的沟通协调，跟踪协商意见、调研报告的采纳落实情况，推动成果转化落地</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eastAsia="zh-CN"/>
        </w:rPr>
        <w:t>深化预算绩效管理，完善绩效目标设定、过程监控、评价反馈机制，细化绩效评价指标，提升资金使用效益。三是加强委员队伍建设，完善委员履职管理和激励机制，开展履职培训，提升委员履职能力和积极性。四是持续优化机关管理，进一步精简流程，提高效率，推动政协工作提质增效，更好服务全县经济社会发展大局。</w:t>
      </w:r>
      <w:r>
        <w:rPr>
          <w:rFonts w:ascii="Times New Roman" w:hAnsi="Times New Roman" w:eastAsia="仿宋_GB2312" w:cs="Times New Roman"/>
          <w:b/>
          <w:bCs/>
          <w:kern w:val="0"/>
          <w:sz w:val="32"/>
          <w:szCs w:val="32"/>
        </w:rPr>
        <w:t>二是部门评价结果（如有，一级预算部门填写）。</w:t>
      </w:r>
      <w:r>
        <w:rPr>
          <w:rFonts w:hint="eastAsia" w:ascii="Times New Roman" w:hAnsi="Times New Roman" w:eastAsia="仿宋_GB2312" w:cs="Times New Roman"/>
          <w:b/>
          <w:bCs/>
          <w:kern w:val="0"/>
          <w:sz w:val="32"/>
          <w:szCs w:val="32"/>
          <w:lang w:eastAsia="zh-CN"/>
        </w:rPr>
        <w:t>委员工作室工作经费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19</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96.3</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w:t>
      </w:r>
      <w:r>
        <w:rPr>
          <w:rFonts w:hint="eastAsia" w:ascii="Times New Roman" w:hAnsi="Times New Roman" w:eastAsia="仿宋_GB2312" w:cs="Times New Roman"/>
          <w:b/>
          <w:bCs/>
          <w:sz w:val="32"/>
          <w:szCs w:val="32"/>
          <w:lang w:eastAsia="zh-CN"/>
        </w:rPr>
        <w:t>政协委员交通通讯补助</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22.45</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22.45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99.59</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eastAsia="zh-CN"/>
        </w:rPr>
        <w:t>对绩效管理的认识有待进一步提高，对参与绩效管理评价的人员需加大培训力度，夯实业务知识，进一步提升专业能力。</w:t>
      </w:r>
      <w:r>
        <w:rPr>
          <w:rFonts w:ascii="Times New Roman" w:hAnsi="Times New Roman" w:eastAsia="仿宋_GB2312" w:cs="Times New Roman"/>
          <w:b/>
          <w:bCs/>
          <w:kern w:val="0"/>
          <w:sz w:val="32"/>
          <w:szCs w:val="32"/>
        </w:rPr>
        <w:t>三是事前绩效评估结果（如有，一级预算部门填写）。</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kern w:val="0"/>
          <w:sz w:val="32"/>
          <w:szCs w:val="32"/>
        </w:rPr>
        <w:t>重大项目事前绩效评估。</w:t>
      </w:r>
    </w:p>
    <w:p w14:paraId="31CF8E67">
      <w:pPr>
        <w:pStyle w:val="17"/>
        <w:overflowPunct w:val="0"/>
        <w:autoSpaceDE/>
        <w:autoSpaceDN/>
        <w:spacing w:line="600" w:lineRule="exact"/>
        <w:ind w:firstLine="643"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ascii="Times New Roman" w:hAnsi="Times New Roman" w:eastAsia="仿宋_GB2312" w:cs="Times New Roman"/>
          <w:color w:val="auto"/>
          <w:sz w:val="32"/>
          <w:szCs w:val="32"/>
        </w:rPr>
        <w:t>请根据202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年度绩效自评结果、部门评价结果、财政评价结果对本部门2025年度预算安排，支出结构调整，资金管理，制度建设等方面结果运用进行简要说明。</w:t>
      </w:r>
    </w:p>
    <w:p w14:paraId="350946EC">
      <w:pPr>
        <w:pStyle w:val="17"/>
        <w:jc w:val="center"/>
        <w:rPr>
          <w:rFonts w:ascii="Times New Roman" w:hAnsi="Times New Roman" w:cs="Times New Roman"/>
          <w:sz w:val="72"/>
          <w:szCs w:val="72"/>
        </w:rPr>
      </w:pPr>
    </w:p>
    <w:p w14:paraId="471177AB">
      <w:pPr>
        <w:pStyle w:val="17"/>
        <w:jc w:val="center"/>
        <w:rPr>
          <w:rFonts w:ascii="Times New Roman" w:hAnsi="Times New Roman" w:cs="Times New Roman"/>
          <w:sz w:val="72"/>
          <w:szCs w:val="72"/>
        </w:rPr>
      </w:pPr>
    </w:p>
    <w:p w14:paraId="3E6AF018">
      <w:pPr>
        <w:pStyle w:val="17"/>
        <w:jc w:val="center"/>
        <w:rPr>
          <w:rFonts w:ascii="Times New Roman" w:hAnsi="Times New Roman" w:cs="Times New Roman"/>
          <w:sz w:val="72"/>
          <w:szCs w:val="72"/>
        </w:rPr>
      </w:pPr>
    </w:p>
    <w:p w14:paraId="68E795F5">
      <w:pPr>
        <w:pStyle w:val="17"/>
        <w:jc w:val="center"/>
        <w:rPr>
          <w:rFonts w:ascii="Times New Roman" w:hAnsi="Times New Roman" w:cs="Times New Roman"/>
          <w:sz w:val="72"/>
          <w:szCs w:val="72"/>
        </w:rPr>
      </w:pPr>
    </w:p>
    <w:p w14:paraId="3042E486">
      <w:pPr>
        <w:pStyle w:val="17"/>
        <w:jc w:val="both"/>
        <w:rPr>
          <w:rFonts w:ascii="Times New Roman" w:hAnsi="Times New Roman" w:cs="Times New Roman"/>
          <w:sz w:val="72"/>
          <w:szCs w:val="72"/>
        </w:rPr>
      </w:pPr>
    </w:p>
    <w:p w14:paraId="7D09F656">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6D2C6B5D">
      <w:pPr>
        <w:widowControl/>
        <w:jc w:val="left"/>
        <w:rPr>
          <w:rFonts w:ascii="Times New Roman" w:hAnsi="Times New Roman" w:cs="Times New Roman"/>
          <w:color w:val="000000"/>
          <w:kern w:val="0"/>
          <w:sz w:val="32"/>
          <w:szCs w:val="32"/>
        </w:rPr>
      </w:pPr>
    </w:p>
    <w:p w14:paraId="40377AF4">
      <w:pPr>
        <w:pStyle w:val="17"/>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1.财政拨款收入：指市级财政当年拨付的资金。</w:t>
      </w:r>
    </w:p>
    <w:p w14:paraId="24A15B0F">
      <w:pPr>
        <w:pStyle w:val="17"/>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2.上级补助收入：指单位从主管部门和上级单位取得的非财政性补助收入。</w:t>
      </w:r>
    </w:p>
    <w:p w14:paraId="21222A15">
      <w:pPr>
        <w:pStyle w:val="17"/>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3.事业收入：指事业单位开展专业业务活动及辅助活动所取得的收入。</w:t>
      </w:r>
    </w:p>
    <w:p w14:paraId="57D18BE5">
      <w:pPr>
        <w:pStyle w:val="17"/>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4.经营收入：指事业单位在专业业务活动及辅助活动之外开展非独立核算经营活动取得的收入。</w:t>
      </w:r>
    </w:p>
    <w:p w14:paraId="749FBF2E">
      <w:pPr>
        <w:pStyle w:val="17"/>
        <w:spacing w:line="600" w:lineRule="exact"/>
        <w:ind w:left="319" w:leftChars="152" w:firstLine="320" w:firstLineChars="100"/>
        <w:rPr>
          <w:rFonts w:hint="eastAsia" w:ascii="Times New Roman" w:hAnsi="Times New Roman" w:eastAsia="仿宋_GB2312" w:cs="Times New Roman"/>
          <w:color w:val="000000"/>
          <w:kern w:val="0"/>
          <w:sz w:val="32"/>
          <w:szCs w:val="32"/>
          <w:lang w:eastAsia="zh-CN"/>
        </w:rPr>
      </w:pPr>
      <w:r>
        <w:rPr>
          <w:rFonts w:hint="eastAsia" w:ascii="Times New Roman" w:hAnsi="Times New Roman" w:eastAsia="仿宋_GB2312" w:cs="Times New Roman"/>
          <w:color w:val="000000"/>
          <w:kern w:val="0"/>
          <w:sz w:val="32"/>
          <w:szCs w:val="32"/>
        </w:rPr>
        <w:t>5.附属单位上缴收入：指单位附属的独立核算单位按照</w:t>
      </w:r>
      <w:r>
        <w:rPr>
          <w:rFonts w:hint="eastAsia" w:ascii="Times New Roman" w:hAnsi="Times New Roman" w:eastAsia="仿宋_GB2312" w:cs="Times New Roman"/>
          <w:color w:val="000000"/>
          <w:kern w:val="0"/>
          <w:sz w:val="32"/>
          <w:szCs w:val="32"/>
          <w:lang w:eastAsia="zh-CN"/>
        </w:rPr>
        <w:t>规定</w:t>
      </w:r>
    </w:p>
    <w:p w14:paraId="738190B4">
      <w:pPr>
        <w:pStyle w:val="17"/>
        <w:spacing w:line="600" w:lineRule="exac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上缴的收入。</w:t>
      </w:r>
    </w:p>
    <w:p w14:paraId="51494A47">
      <w:pPr>
        <w:pStyle w:val="17"/>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6.其他收入：指除上述“财政拨款收入”、“上级补助收入”、“事业收入”、“经营收入”、“附属单位上缴收入”等以外的收入。</w:t>
      </w:r>
    </w:p>
    <w:p w14:paraId="0A892AB2">
      <w:pPr>
        <w:pStyle w:val="17"/>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7.用事业基金弥补收支差额：指事业单位在当年的“财政拨款收入”、“财政拨款结转和结余资金”、“上级补助收入”、“事业收入”、“经营收入”、“附属单位上缴收入”、“其他收入”不足以安排当年支出情况下，使用以前年度积累的</w:t>
      </w:r>
      <w:r>
        <w:rPr>
          <w:rFonts w:hint="eastAsia" w:ascii="Times New Roman" w:hAnsi="Times New Roman" w:eastAsia="仿宋_GB2312" w:cs="Times New Roman"/>
          <w:color w:val="000000"/>
          <w:kern w:val="0"/>
          <w:sz w:val="32"/>
          <w:szCs w:val="32"/>
          <w:lang w:eastAsia="zh-CN"/>
        </w:rPr>
        <w:t>事业</w:t>
      </w:r>
      <w:r>
        <w:rPr>
          <w:rFonts w:hint="eastAsia" w:ascii="Times New Roman" w:hAnsi="Times New Roman" w:eastAsia="仿宋_GB2312" w:cs="Times New Roman"/>
          <w:color w:val="000000"/>
          <w:kern w:val="0"/>
          <w:sz w:val="32"/>
          <w:szCs w:val="32"/>
        </w:rPr>
        <w:t>基金（事业单位当年收支相抵后按国家规定提取、用于弥补以后年度收支差额的基金）弥补本年度收支缺口的资金。</w:t>
      </w:r>
    </w:p>
    <w:p w14:paraId="10A387E5">
      <w:pPr>
        <w:pStyle w:val="17"/>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8.上年结转和结余：指以前年度尚未完成、结转到本年按有关规定继续使用的资金。</w:t>
      </w:r>
    </w:p>
    <w:p w14:paraId="634EA852">
      <w:pPr>
        <w:pStyle w:val="17"/>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9.结余分配：指事业单位按规定对非财政补助结余资金提取的职工福利基金、事业基金和缴纳的所得税，以及减少单位按规定应缴回的基本建设竣工项目结余资金。</w:t>
      </w:r>
    </w:p>
    <w:p w14:paraId="3B7A369A">
      <w:pPr>
        <w:pStyle w:val="17"/>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10.年末结转和结余资金：指本年度或以前年度预算安排、因客观条件发生变化无法按原计划实施，需要延迟到以后年度按有关规定继续使用的资金。</w:t>
      </w:r>
    </w:p>
    <w:p w14:paraId="523B403E">
      <w:pPr>
        <w:pStyle w:val="17"/>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11.基本支出：指保障机构正常运转、完成日常工作任务而发生的人员支出和公用支出。</w:t>
      </w:r>
    </w:p>
    <w:p w14:paraId="535384A7">
      <w:pPr>
        <w:pStyle w:val="17"/>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12.项目支出：指在基本支出之外为完成特定行政任务和事业发展目标所发生的支出。</w:t>
      </w:r>
    </w:p>
    <w:p w14:paraId="59EC089D">
      <w:pPr>
        <w:pStyle w:val="17"/>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13.经营支出：指事业单位在专业业务活动及其辅助活动之外开展非独立核算经营活动发生的支出。</w:t>
      </w:r>
    </w:p>
    <w:p w14:paraId="5D8C68C2">
      <w:pPr>
        <w:pStyle w:val="17"/>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14、上缴上级支出：指事业单位按照财政部门和主管部门的规定上缴上级单位的支出。（可结合部门实际支出情况举例说明）</w:t>
      </w:r>
    </w:p>
    <w:p w14:paraId="682C3CFE">
      <w:pPr>
        <w:pStyle w:val="17"/>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15、对附属单位补助支出：指事业单位用财政补助收入之外的收入对附属单位补助发生的支出</w:t>
      </w:r>
    </w:p>
    <w:p w14:paraId="4CDFD4A1">
      <w:pPr>
        <w:pStyle w:val="17"/>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16.“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61238307">
      <w:pPr>
        <w:pStyle w:val="17"/>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17.机关运行经费：为保障行政单位（含参照公务员法管理的事业单位）运行用于购买货物和服务的各项资金，包括办公及印刷费、邮电费、会议费、福利费、日常维修费、专用材料及一般设备购置费、办公用房水电费、办公用房取暖费、办公用房管理费、办公用车运行维护费以及其他费用。</w:t>
      </w:r>
    </w:p>
    <w:p w14:paraId="4801E3C3">
      <w:pPr>
        <w:pStyle w:val="17"/>
        <w:spacing w:line="600" w:lineRule="exact"/>
        <w:ind w:firstLine="640" w:firstLineChars="200"/>
        <w:rPr>
          <w:rFonts w:ascii="Times New Roman" w:hAnsi="Times New Roman" w:eastAsia="楷体_GB2312" w:cs="Times New Roman"/>
          <w:b/>
          <w:bCs/>
          <w:i/>
          <w:color w:val="auto"/>
          <w:sz w:val="32"/>
          <w:szCs w:val="32"/>
        </w:rPr>
      </w:pPr>
      <w:r>
        <w:rPr>
          <w:rFonts w:hint="eastAsia" w:ascii="Times New Roman" w:hAnsi="Times New Roman" w:eastAsia="仿宋_GB2312" w:cs="Times New Roman"/>
          <w:color w:val="000000"/>
          <w:kern w:val="0"/>
          <w:sz w:val="32"/>
          <w:szCs w:val="32"/>
        </w:rPr>
        <w:t>18.政府采购 ：就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52A7C60E">
      <w:pPr>
        <w:pStyle w:val="17"/>
        <w:jc w:val="center"/>
        <w:rPr>
          <w:rFonts w:ascii="Times New Roman" w:hAnsi="Times New Roman" w:cs="Times New Roman"/>
          <w:sz w:val="72"/>
          <w:szCs w:val="72"/>
        </w:rPr>
      </w:pPr>
    </w:p>
    <w:p w14:paraId="29887E39">
      <w:pPr>
        <w:pStyle w:val="17"/>
        <w:jc w:val="center"/>
        <w:rPr>
          <w:rFonts w:ascii="Times New Roman" w:hAnsi="Times New Roman" w:cs="Times New Roman"/>
          <w:sz w:val="72"/>
          <w:szCs w:val="72"/>
        </w:rPr>
      </w:pPr>
    </w:p>
    <w:p w14:paraId="5A1EF9D6">
      <w:pPr>
        <w:pStyle w:val="17"/>
        <w:jc w:val="center"/>
        <w:rPr>
          <w:rFonts w:ascii="Times New Roman" w:hAnsi="Times New Roman" w:cs="Times New Roman"/>
          <w:sz w:val="72"/>
          <w:szCs w:val="72"/>
        </w:rPr>
      </w:pPr>
    </w:p>
    <w:p w14:paraId="06424481">
      <w:pPr>
        <w:pStyle w:val="17"/>
        <w:spacing w:line="360" w:lineRule="auto"/>
        <w:jc w:val="both"/>
        <w:rPr>
          <w:rFonts w:hint="eastAsia" w:ascii="Times New Roman" w:hAnsi="Times New Roman" w:eastAsia="方正小标宋_GBK" w:cs="Times New Roman"/>
          <w:sz w:val="52"/>
          <w:szCs w:val="52"/>
          <w:lang w:eastAsia="zh-CN"/>
        </w:rPr>
      </w:pPr>
      <w:r>
        <w:rPr>
          <w:rFonts w:hint="eastAsia" w:ascii="Times New Roman" w:hAnsi="Times New Roman" w:eastAsia="方正小标宋_GBK" w:cs="Times New Roman"/>
          <w:sz w:val="52"/>
          <w:szCs w:val="52"/>
          <w:lang w:eastAsia="zh-CN"/>
        </w:rPr>
        <w:t>　　　　</w:t>
      </w:r>
    </w:p>
    <w:p w14:paraId="455037A8">
      <w:pPr>
        <w:pStyle w:val="17"/>
        <w:spacing w:line="360" w:lineRule="auto"/>
        <w:jc w:val="both"/>
        <w:rPr>
          <w:rFonts w:hint="eastAsia" w:ascii="Times New Roman" w:hAnsi="Times New Roman" w:eastAsia="方正小标宋_GBK" w:cs="Times New Roman"/>
          <w:sz w:val="52"/>
          <w:szCs w:val="52"/>
          <w:lang w:eastAsia="zh-CN"/>
        </w:rPr>
      </w:pPr>
    </w:p>
    <w:p w14:paraId="3F336C7C">
      <w:pPr>
        <w:pStyle w:val="17"/>
        <w:spacing w:line="360" w:lineRule="auto"/>
        <w:jc w:val="both"/>
        <w:rPr>
          <w:rFonts w:hint="eastAsia" w:ascii="Times New Roman" w:hAnsi="Times New Roman" w:eastAsia="方正小标宋_GBK" w:cs="Times New Roman"/>
          <w:sz w:val="52"/>
          <w:szCs w:val="52"/>
          <w:lang w:eastAsia="zh-CN"/>
        </w:rPr>
      </w:pPr>
    </w:p>
    <w:p w14:paraId="28D27A75">
      <w:pPr>
        <w:pStyle w:val="17"/>
        <w:spacing w:line="360" w:lineRule="auto"/>
        <w:ind w:firstLine="2600" w:firstLineChars="500"/>
        <w:jc w:val="both"/>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436CB31B">
      <w:pPr>
        <w:rPr>
          <w:rFonts w:ascii="Times New Roman" w:hAnsi="Times New Roman" w:cs="Times New Roman"/>
          <w:sz w:val="72"/>
          <w:szCs w:val="72"/>
        </w:rPr>
      </w:pPr>
    </w:p>
    <w:p w14:paraId="600724BD">
      <w:pPr>
        <w:pStyle w:val="17"/>
        <w:spacing w:line="600" w:lineRule="exact"/>
        <w:rPr>
          <w:rFonts w:ascii="Times New Roman" w:hAnsi="Times New Roman" w:eastAsia="仿宋_GB2312" w:cs="Times New Roman"/>
          <w:sz w:val="32"/>
          <w:szCs w:val="32"/>
        </w:rPr>
      </w:pPr>
    </w:p>
    <w:p w14:paraId="3D6F85ED">
      <w:pPr>
        <w:kinsoku/>
        <w:autoSpaceDE/>
        <w:autoSpaceDN/>
        <w:adjustRightInd/>
        <w:snapToGrid/>
        <w:jc w:val="center"/>
        <w:textAlignment w:val="auto"/>
        <w:rPr>
          <w:rFonts w:hint="eastAsia" w:ascii="方正大标宋_GBK" w:hAnsi="宋体" w:eastAsia="方正大标宋_GBK" w:cs="宋体"/>
          <w:snapToGrid/>
          <w:sz w:val="52"/>
          <w:szCs w:val="52"/>
          <w:lang w:eastAsia="zh-CN" w:bidi="ar"/>
        </w:rPr>
      </w:pPr>
    </w:p>
    <w:p w14:paraId="5A88C7E6">
      <w:pPr>
        <w:kinsoku/>
        <w:autoSpaceDE/>
        <w:autoSpaceDN/>
        <w:adjustRightInd/>
        <w:snapToGrid/>
        <w:jc w:val="center"/>
        <w:textAlignment w:val="auto"/>
        <w:rPr>
          <w:rFonts w:hint="eastAsia" w:ascii="方正大标宋_GBK" w:hAnsi="宋体" w:eastAsia="方正大标宋_GBK" w:cs="宋体"/>
          <w:snapToGrid/>
          <w:sz w:val="52"/>
          <w:szCs w:val="52"/>
          <w:lang w:eastAsia="zh-CN" w:bidi="ar"/>
        </w:rPr>
      </w:pPr>
    </w:p>
    <w:p w14:paraId="707FBFA4">
      <w:pPr>
        <w:kinsoku/>
        <w:autoSpaceDE/>
        <w:autoSpaceDN/>
        <w:adjustRightInd/>
        <w:snapToGrid/>
        <w:jc w:val="center"/>
        <w:textAlignment w:val="auto"/>
        <w:rPr>
          <w:rFonts w:hint="eastAsia" w:ascii="方正大标宋_GBK" w:hAnsi="宋体" w:eastAsia="方正大标宋_GBK" w:cs="宋体"/>
          <w:snapToGrid/>
          <w:sz w:val="52"/>
          <w:szCs w:val="52"/>
          <w:lang w:eastAsia="zh-CN" w:bidi="ar"/>
        </w:rPr>
      </w:pPr>
    </w:p>
    <w:p w14:paraId="224ADE53">
      <w:pPr>
        <w:kinsoku/>
        <w:autoSpaceDE/>
        <w:autoSpaceDN/>
        <w:adjustRightInd/>
        <w:snapToGrid/>
        <w:jc w:val="both"/>
        <w:textAlignment w:val="auto"/>
        <w:rPr>
          <w:rFonts w:hint="eastAsia" w:ascii="方正大标宋_GBK" w:hAnsi="宋体" w:eastAsia="方正大标宋_GBK" w:cs="宋体"/>
          <w:snapToGrid/>
          <w:sz w:val="52"/>
          <w:szCs w:val="52"/>
          <w:lang w:eastAsia="zh-CN" w:bidi="ar"/>
        </w:rPr>
      </w:pPr>
    </w:p>
    <w:p w14:paraId="0D93EB04">
      <w:pPr>
        <w:kinsoku/>
        <w:autoSpaceDE/>
        <w:autoSpaceDN/>
        <w:adjustRightInd/>
        <w:snapToGrid/>
        <w:jc w:val="center"/>
        <w:textAlignment w:val="auto"/>
        <w:rPr>
          <w:rFonts w:hint="eastAsia" w:ascii="方正大标宋_GBK" w:hAnsi="宋体" w:eastAsia="方正大标宋_GBK" w:cs="宋体"/>
          <w:snapToGrid/>
          <w:sz w:val="52"/>
          <w:szCs w:val="52"/>
          <w:lang w:eastAsia="zh-CN" w:bidi="ar"/>
        </w:rPr>
      </w:pPr>
      <w:r>
        <w:rPr>
          <w:rFonts w:hint="eastAsia" w:ascii="方正大标宋_GBK" w:hAnsi="宋体" w:eastAsia="方正大标宋_GBK" w:cs="宋体"/>
          <w:snapToGrid/>
          <w:sz w:val="52"/>
          <w:szCs w:val="52"/>
          <w:lang w:eastAsia="zh-CN" w:bidi="ar"/>
        </w:rPr>
        <w:t>2025年度</w:t>
      </w:r>
      <w:r>
        <w:rPr>
          <w:rFonts w:hint="eastAsia" w:ascii="方正大标宋_GBK" w:hAnsi="宋体" w:eastAsia="方正大标宋_GBK" w:cs="宋体"/>
          <w:snapToGrid/>
          <w:sz w:val="52"/>
          <w:szCs w:val="52"/>
          <w:lang w:val="en-US" w:eastAsia="zh-CN" w:bidi="ar"/>
        </w:rPr>
        <w:t>中国人民政治协商会议湖南省会同县委员会办公室</w:t>
      </w:r>
      <w:r>
        <w:rPr>
          <w:rFonts w:hint="eastAsia" w:ascii="方正大标宋_GBK" w:hAnsi="宋体" w:eastAsia="方正大标宋_GBK" w:cs="宋体"/>
          <w:snapToGrid/>
          <w:sz w:val="52"/>
          <w:szCs w:val="52"/>
          <w:lang w:eastAsia="zh-CN" w:bidi="ar"/>
        </w:rPr>
        <w:t>整体支出</w:t>
      </w:r>
    </w:p>
    <w:p w14:paraId="7EABB930">
      <w:pPr>
        <w:kinsoku/>
        <w:autoSpaceDE/>
        <w:autoSpaceDN/>
        <w:adjustRightInd/>
        <w:snapToGrid/>
        <w:jc w:val="center"/>
        <w:textAlignment w:val="auto"/>
        <w:rPr>
          <w:rFonts w:hint="eastAsia" w:ascii="方正大标宋_GBK" w:hAnsi="宋体" w:eastAsia="方正大标宋_GBK" w:cs="宋体"/>
          <w:snapToGrid/>
          <w:sz w:val="52"/>
          <w:szCs w:val="52"/>
          <w:lang w:eastAsia="zh-CN" w:bidi="ar"/>
        </w:rPr>
      </w:pPr>
      <w:r>
        <w:rPr>
          <w:rFonts w:hint="eastAsia" w:ascii="方正大标宋_GBK" w:hAnsi="宋体" w:eastAsia="方正大标宋_GBK" w:cs="宋体"/>
          <w:snapToGrid/>
          <w:sz w:val="52"/>
          <w:szCs w:val="52"/>
          <w:lang w:eastAsia="zh-CN" w:bidi="ar"/>
        </w:rPr>
        <w:t>绩效自评报告</w:t>
      </w:r>
    </w:p>
    <w:p w14:paraId="1CEC643F">
      <w:pPr>
        <w:rPr>
          <w:rFonts w:hint="eastAsia" w:ascii="方正大标宋_GBK" w:hAnsi="宋体" w:eastAsia="方正大标宋_GBK" w:cs="宋体"/>
          <w:sz w:val="24"/>
          <w:szCs w:val="24"/>
          <w:lang w:eastAsia="zh-CN"/>
        </w:rPr>
      </w:pPr>
    </w:p>
    <w:p w14:paraId="33CE7777">
      <w:pPr>
        <w:spacing w:line="249" w:lineRule="auto"/>
        <w:rPr>
          <w:lang w:eastAsia="zh-CN"/>
        </w:rPr>
      </w:pPr>
    </w:p>
    <w:p w14:paraId="12C9DB03">
      <w:pPr>
        <w:spacing w:line="249" w:lineRule="auto"/>
        <w:rPr>
          <w:lang w:eastAsia="zh-CN"/>
        </w:rPr>
      </w:pPr>
    </w:p>
    <w:p w14:paraId="64E3C034">
      <w:pPr>
        <w:spacing w:line="249" w:lineRule="auto"/>
        <w:rPr>
          <w:lang w:eastAsia="zh-CN"/>
        </w:rPr>
      </w:pPr>
    </w:p>
    <w:p w14:paraId="10517AFD">
      <w:pPr>
        <w:spacing w:line="249" w:lineRule="auto"/>
        <w:rPr>
          <w:lang w:eastAsia="zh-CN"/>
        </w:rPr>
      </w:pPr>
    </w:p>
    <w:p w14:paraId="20E7E533">
      <w:pPr>
        <w:spacing w:line="249" w:lineRule="auto"/>
        <w:rPr>
          <w:lang w:eastAsia="zh-CN"/>
        </w:rPr>
      </w:pPr>
    </w:p>
    <w:p w14:paraId="7B508C39">
      <w:pPr>
        <w:spacing w:line="249" w:lineRule="auto"/>
        <w:rPr>
          <w:lang w:eastAsia="zh-CN"/>
        </w:rPr>
      </w:pPr>
    </w:p>
    <w:p w14:paraId="5C205779">
      <w:pPr>
        <w:spacing w:line="249" w:lineRule="auto"/>
        <w:rPr>
          <w:lang w:eastAsia="zh-CN"/>
        </w:rPr>
      </w:pPr>
    </w:p>
    <w:p w14:paraId="5FC8A508">
      <w:pPr>
        <w:spacing w:line="249" w:lineRule="auto"/>
        <w:rPr>
          <w:lang w:eastAsia="zh-CN"/>
        </w:rPr>
      </w:pPr>
    </w:p>
    <w:p w14:paraId="2F700936">
      <w:pPr>
        <w:spacing w:line="249" w:lineRule="auto"/>
        <w:rPr>
          <w:lang w:eastAsia="zh-CN"/>
        </w:rPr>
      </w:pPr>
    </w:p>
    <w:p w14:paraId="781E2645">
      <w:pPr>
        <w:spacing w:line="249" w:lineRule="auto"/>
        <w:rPr>
          <w:lang w:eastAsia="zh-CN"/>
        </w:rPr>
      </w:pPr>
    </w:p>
    <w:p w14:paraId="37AF141C">
      <w:pPr>
        <w:spacing w:line="249" w:lineRule="auto"/>
        <w:rPr>
          <w:lang w:eastAsia="zh-CN"/>
        </w:rPr>
      </w:pPr>
    </w:p>
    <w:p w14:paraId="2D8DF70C">
      <w:pPr>
        <w:spacing w:line="249" w:lineRule="auto"/>
        <w:rPr>
          <w:lang w:eastAsia="zh-CN"/>
        </w:rPr>
      </w:pPr>
    </w:p>
    <w:p w14:paraId="40F0C17E">
      <w:pPr>
        <w:spacing w:line="240" w:lineRule="auto"/>
        <w:jc w:val="center"/>
        <w:rPr>
          <w:rFonts w:hint="eastAsia" w:ascii="宋体" w:hAnsi="宋体" w:eastAsia="宋体" w:cs="宋体"/>
          <w:kern w:val="0"/>
          <w:sz w:val="32"/>
          <w:szCs w:val="32"/>
          <w:lang w:val="en-US" w:eastAsia="zh-CN"/>
        </w:rPr>
      </w:pPr>
      <w:r>
        <w:rPr>
          <w:rFonts w:hint="eastAsia" w:ascii="宋体" w:hAnsi="宋体" w:eastAsia="宋体" w:cs="宋体"/>
          <w:b/>
          <w:bCs/>
          <w:spacing w:val="25"/>
          <w:sz w:val="32"/>
          <w:szCs w:val="32"/>
          <w:lang w:eastAsia="zh-CN"/>
        </w:rPr>
        <w:t>单位名称:</w:t>
      </w:r>
      <w:r>
        <w:rPr>
          <w:rFonts w:hint="eastAsia" w:ascii="宋体" w:hAnsi="宋体" w:eastAsia="宋体" w:cs="宋体"/>
          <w:spacing w:val="1"/>
          <w:w w:val="87"/>
          <w:kern w:val="0"/>
          <w:sz w:val="32"/>
          <w:szCs w:val="32"/>
          <w:fitText w:val="6144" w:id="1666518995"/>
          <w:lang w:val="en-US" w:eastAsia="zh-CN"/>
        </w:rPr>
        <w:t>中国人民政治协商会议湖南省会同县委员会办公</w:t>
      </w:r>
      <w:r>
        <w:rPr>
          <w:rFonts w:hint="eastAsia" w:ascii="宋体" w:hAnsi="宋体" w:eastAsia="宋体" w:cs="宋体"/>
          <w:spacing w:val="-1"/>
          <w:w w:val="87"/>
          <w:kern w:val="0"/>
          <w:sz w:val="32"/>
          <w:szCs w:val="32"/>
          <w:fitText w:val="6144" w:id="1666518995"/>
          <w:lang w:val="en-US" w:eastAsia="zh-CN"/>
        </w:rPr>
        <w:t>室</w:t>
      </w:r>
    </w:p>
    <w:p w14:paraId="787257FB">
      <w:pPr>
        <w:spacing w:line="240" w:lineRule="auto"/>
        <w:jc w:val="center"/>
        <w:rPr>
          <w:rFonts w:hint="eastAsia" w:ascii="宋体" w:hAnsi="宋体" w:eastAsia="宋体" w:cs="宋体"/>
          <w:spacing w:val="25"/>
          <w:sz w:val="32"/>
          <w:szCs w:val="32"/>
          <w:lang w:eastAsia="zh-CN"/>
        </w:rPr>
      </w:pPr>
      <w:r>
        <w:rPr>
          <w:rFonts w:hint="eastAsia" w:ascii="宋体" w:hAnsi="宋体" w:eastAsia="宋体" w:cs="宋体"/>
          <w:spacing w:val="25"/>
          <w:sz w:val="32"/>
          <w:szCs w:val="32"/>
          <w:lang w:eastAsia="zh-CN"/>
        </w:rPr>
        <w:t>2026年5月20日　</w:t>
      </w:r>
    </w:p>
    <w:p w14:paraId="55A636F6">
      <w:pPr>
        <w:spacing w:line="256" w:lineRule="auto"/>
        <w:rPr>
          <w:lang w:eastAsia="zh-CN"/>
        </w:rPr>
      </w:pPr>
    </w:p>
    <w:p w14:paraId="11E97A09">
      <w:pPr>
        <w:bidi w:val="0"/>
        <w:jc w:val="left"/>
        <w:rPr>
          <w:lang w:val="en-US" w:eastAsia="zh-CN"/>
        </w:rPr>
        <w:sectPr>
          <w:footerReference r:id="rId7" w:type="default"/>
          <w:pgSz w:w="12040" w:h="16960"/>
          <w:pgMar w:top="2041" w:right="1531" w:bottom="1758" w:left="1531" w:header="0" w:footer="1304" w:gutter="0"/>
          <w:pgNumType w:fmt="numberInDash"/>
          <w:cols w:space="720" w:num="1"/>
          <w:docGrid w:linePitch="286" w:charSpace="0"/>
        </w:sectPr>
      </w:pPr>
    </w:p>
    <w:p w14:paraId="2E8281B4">
      <w:pPr>
        <w:widowControl w:val="0"/>
        <w:spacing w:line="560" w:lineRule="exact"/>
        <w:jc w:val="both"/>
        <w:outlineLvl w:val="1"/>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t>一、基本情况</w:t>
      </w:r>
    </w:p>
    <w:p w14:paraId="5FB69926">
      <w:pPr>
        <w:pStyle w:val="12"/>
        <w:widowControl w:val="0"/>
        <w:shd w:val="clear" w:color="auto" w:fill="FFFFFF"/>
        <w:kinsoku/>
        <w:autoSpaceDE/>
        <w:autoSpaceDN/>
        <w:adjustRightInd/>
        <w:spacing w:before="0" w:beforeAutospacing="0" w:after="0" w:afterAutospacing="0" w:line="520" w:lineRule="exact"/>
        <w:ind w:firstLine="640" w:firstLineChars="200"/>
        <w:jc w:val="both"/>
        <w:textAlignment w:val="auto"/>
        <w:rPr>
          <w:rFonts w:hint="eastAsia" w:ascii="宋体" w:hAnsi="宋体" w:eastAsia="宋体" w:cs="宋体"/>
          <w:sz w:val="32"/>
          <w:szCs w:val="32"/>
          <w:shd w:val="clear" w:color="auto" w:fill="FFFFFF"/>
        </w:rPr>
      </w:pPr>
      <w:r>
        <w:rPr>
          <w:rFonts w:hint="eastAsia" w:ascii="宋体" w:hAnsi="宋体" w:eastAsia="宋体" w:cs="宋体"/>
          <w:snapToGrid/>
          <w:sz w:val="32"/>
          <w:szCs w:val="32"/>
          <w:lang w:bidi="ar"/>
        </w:rPr>
        <w:t>(一)部门(单位)基本情况：</w:t>
      </w:r>
    </w:p>
    <w:p w14:paraId="7B1E40EF">
      <w:pPr>
        <w:pStyle w:val="12"/>
        <w:widowControl w:val="0"/>
        <w:shd w:val="clear" w:color="auto" w:fill="FFFFFF"/>
        <w:kinsoku/>
        <w:autoSpaceDE/>
        <w:autoSpaceDN/>
        <w:adjustRightInd/>
        <w:spacing w:before="0" w:beforeAutospacing="0" w:after="0" w:afterAutospacing="0" w:line="520" w:lineRule="exact"/>
        <w:ind w:firstLine="640" w:firstLineChars="200"/>
        <w:jc w:val="both"/>
        <w:textAlignment w:val="auto"/>
        <w:rPr>
          <w:rFonts w:hint="eastAsia" w:ascii="宋体" w:hAnsi="宋体" w:eastAsia="宋体" w:cs="宋体"/>
          <w:sz w:val="32"/>
          <w:szCs w:val="32"/>
          <w:shd w:val="clear" w:color="auto" w:fill="FFFFFF"/>
        </w:rPr>
      </w:pPr>
      <w:r>
        <w:rPr>
          <w:rFonts w:hint="eastAsia" w:ascii="宋体" w:hAnsi="宋体" w:eastAsia="宋体" w:cs="宋体"/>
          <w:sz w:val="32"/>
          <w:szCs w:val="32"/>
          <w:shd w:val="clear" w:color="auto" w:fill="FFFFFF"/>
          <w:lang w:val="en-US" w:eastAsia="zh-CN"/>
        </w:rPr>
        <w:t>中国人民政治协商会议湖南省会同县委员会办公室</w:t>
      </w:r>
      <w:r>
        <w:rPr>
          <w:rFonts w:hint="eastAsia" w:ascii="宋体" w:hAnsi="宋体" w:eastAsia="宋体" w:cs="宋体"/>
          <w:sz w:val="32"/>
          <w:szCs w:val="32"/>
          <w:shd w:val="clear" w:color="auto" w:fill="FFFFFF"/>
        </w:rPr>
        <w:t>内设五委一室（提案和委员学习联络委、文教卫体和文史委、经济科技和外事委、农业农村和人口资源委、社会法制和民族宗教委、办公室）</w:t>
      </w:r>
    </w:p>
    <w:p w14:paraId="52AE13DF">
      <w:pPr>
        <w:pStyle w:val="12"/>
        <w:widowControl w:val="0"/>
        <w:shd w:val="clear" w:color="auto" w:fill="FFFFFF"/>
        <w:kinsoku/>
        <w:autoSpaceDE/>
        <w:autoSpaceDN/>
        <w:adjustRightInd/>
        <w:spacing w:before="0" w:beforeAutospacing="0" w:after="0" w:afterAutospacing="0" w:line="520" w:lineRule="exact"/>
        <w:ind w:firstLine="640" w:firstLineChars="200"/>
        <w:jc w:val="both"/>
        <w:textAlignment w:val="auto"/>
        <w:rPr>
          <w:rFonts w:hint="eastAsia" w:ascii="宋体" w:hAnsi="宋体" w:eastAsia="宋体" w:cs="宋体"/>
          <w:sz w:val="32"/>
          <w:szCs w:val="32"/>
          <w:shd w:val="clear" w:color="auto" w:fill="FFFFFF"/>
        </w:rPr>
      </w:pPr>
      <w:r>
        <w:rPr>
          <w:rFonts w:hint="eastAsia" w:ascii="宋体" w:hAnsi="宋体" w:eastAsia="宋体" w:cs="宋体"/>
          <w:sz w:val="32"/>
          <w:szCs w:val="32"/>
          <w:shd w:val="clear" w:color="auto" w:fill="FFFFFF"/>
        </w:rPr>
        <w:t>年末现有行政编制人员23个，全额拨款事业编制5个，实有在职人数28人，离、退休人员19人。</w:t>
      </w:r>
    </w:p>
    <w:p w14:paraId="7B3D465F">
      <w:pPr>
        <w:pStyle w:val="12"/>
        <w:widowControl w:val="0"/>
        <w:shd w:val="clear" w:color="auto" w:fill="FFFFFF"/>
        <w:kinsoku/>
        <w:autoSpaceDE/>
        <w:autoSpaceDN/>
        <w:adjustRightInd/>
        <w:spacing w:before="0" w:beforeAutospacing="0" w:after="0" w:afterAutospacing="0" w:line="520" w:lineRule="exact"/>
        <w:ind w:firstLine="640" w:firstLineChars="200"/>
        <w:jc w:val="both"/>
        <w:textAlignment w:val="auto"/>
        <w:rPr>
          <w:rFonts w:hint="eastAsia" w:ascii="宋体" w:hAnsi="宋体" w:eastAsia="宋体" w:cs="宋体"/>
          <w:sz w:val="32"/>
          <w:szCs w:val="32"/>
          <w:shd w:val="clear" w:color="auto" w:fill="FFFFFF"/>
        </w:rPr>
      </w:pPr>
      <w:r>
        <w:rPr>
          <w:rFonts w:hint="eastAsia" w:ascii="宋体" w:hAnsi="宋体" w:eastAsia="宋体" w:cs="宋体"/>
          <w:sz w:val="32"/>
          <w:szCs w:val="32"/>
          <w:shd w:val="clear" w:color="auto" w:fill="FFFFFF"/>
        </w:rPr>
        <w:t>政协的主要职能是政治协商、民主监督、参政议政。加强思想政治引领、广泛凝聚共识。</w:t>
      </w:r>
    </w:p>
    <w:p w14:paraId="78C1AE15">
      <w:pPr>
        <w:pStyle w:val="12"/>
        <w:widowControl w:val="0"/>
        <w:numPr>
          <w:ilvl w:val="0"/>
          <w:numId w:val="2"/>
        </w:numPr>
        <w:shd w:val="clear" w:color="auto" w:fill="FFFFFF"/>
        <w:kinsoku/>
        <w:autoSpaceDE/>
        <w:autoSpaceDN/>
        <w:adjustRightInd/>
        <w:spacing w:before="0" w:beforeAutospacing="0" w:after="0" w:afterAutospacing="0" w:line="520" w:lineRule="exact"/>
        <w:ind w:firstLine="640" w:firstLineChars="200"/>
        <w:jc w:val="both"/>
        <w:textAlignment w:val="auto"/>
        <w:rPr>
          <w:rFonts w:hint="eastAsia" w:ascii="宋体" w:hAnsi="宋体" w:eastAsia="宋体" w:cs="宋体"/>
          <w:sz w:val="32"/>
          <w:szCs w:val="32"/>
          <w:shd w:val="clear" w:color="auto" w:fill="FFFFFF"/>
        </w:rPr>
      </w:pPr>
      <w:r>
        <w:rPr>
          <w:rFonts w:hint="eastAsia" w:ascii="宋体" w:hAnsi="宋体" w:eastAsia="宋体" w:cs="宋体"/>
          <w:sz w:val="32"/>
          <w:szCs w:val="32"/>
          <w:shd w:val="clear" w:color="auto" w:fill="FFFFFF"/>
        </w:rPr>
        <w:t>绩效目标设定情况</w:t>
      </w:r>
    </w:p>
    <w:p w14:paraId="39405A55">
      <w:pPr>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z w:val="32"/>
          <w:szCs w:val="32"/>
          <w:shd w:val="clear" w:color="auto" w:fill="FFFFFF"/>
          <w:lang w:val="en-US" w:eastAsia="zh-CN"/>
        </w:rPr>
        <w:t>中国人民政治协商会议湖南省会同县委员会办公室</w:t>
      </w:r>
      <w:r>
        <w:rPr>
          <w:rFonts w:hint="eastAsia" w:ascii="宋体" w:hAnsi="宋体" w:eastAsia="宋体" w:cs="宋体"/>
          <w:snapToGrid/>
          <w:sz w:val="32"/>
          <w:szCs w:val="32"/>
          <w:lang w:eastAsia="zh-CN" w:bidi="ar"/>
        </w:rPr>
        <w:t>绩效目标的设定，紧紧围绕“政治协商、民主监督、参政议政”三大职能，聚焦年度协商计划、提案办理、调查研究、社情民意信息等重点工作，按照“指向明确、细化量化、合理可行、相应匹配”的原则进行设定。根据财政绩效管理的通用规范，绩效指标统一由投入指标、成本指标、产出指标、效益指标、满意度指标共同构成。</w:t>
      </w:r>
    </w:p>
    <w:p w14:paraId="74D64EB6">
      <w:pPr>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（三）部门(单位)年度整体支出绩效目标，本级专项资金绩效目标、其他项目支出(除本级专项资金以外)绩效目标。</w:t>
      </w:r>
    </w:p>
    <w:p w14:paraId="5C96822B">
      <w:pPr>
        <w:widowControl w:val="0"/>
        <w:spacing w:line="560" w:lineRule="exact"/>
        <w:ind w:firstLine="643" w:firstLineChars="200"/>
        <w:jc w:val="both"/>
        <w:rPr>
          <w:rFonts w:hint="eastAsia" w:ascii="宋体" w:hAnsi="宋体" w:eastAsia="宋体" w:cs="宋体"/>
          <w:sz w:val="32"/>
          <w:szCs w:val="32"/>
          <w:lang w:eastAsia="zh-CN"/>
        </w:rPr>
      </w:pPr>
      <w:r>
        <w:rPr>
          <w:rFonts w:hint="eastAsia" w:ascii="宋体" w:hAnsi="宋体" w:eastAsia="宋体" w:cs="宋体"/>
          <w:b/>
          <w:bCs/>
          <w:sz w:val="32"/>
          <w:szCs w:val="32"/>
          <w:shd w:val="clear" w:color="auto" w:fill="FFFFFF"/>
          <w:lang w:val="en-US" w:eastAsia="zh-CN"/>
        </w:rPr>
        <w:t>中国人民政治协商会议湖南省会同县委员会办公室</w:t>
      </w:r>
      <w:r>
        <w:rPr>
          <w:rFonts w:hint="eastAsia" w:ascii="宋体" w:hAnsi="宋体" w:eastAsia="宋体" w:cs="宋体"/>
          <w:b/>
          <w:bCs/>
          <w:snapToGrid/>
          <w:sz w:val="32"/>
          <w:szCs w:val="32"/>
          <w:lang w:eastAsia="zh-CN" w:bidi="ar"/>
        </w:rPr>
        <w:t>202</w:t>
      </w:r>
      <w:r>
        <w:rPr>
          <w:rFonts w:hint="eastAsia" w:ascii="宋体" w:hAnsi="宋体" w:eastAsia="宋体" w:cs="宋体"/>
          <w:b/>
          <w:bCs/>
          <w:snapToGrid/>
          <w:sz w:val="32"/>
          <w:szCs w:val="32"/>
          <w:lang w:val="en-US" w:eastAsia="zh-CN" w:bidi="ar"/>
        </w:rPr>
        <w:t>5</w:t>
      </w:r>
      <w:r>
        <w:rPr>
          <w:rFonts w:hint="eastAsia" w:ascii="宋体" w:hAnsi="宋体" w:eastAsia="宋体" w:cs="宋体"/>
          <w:b/>
          <w:bCs/>
          <w:snapToGrid/>
          <w:sz w:val="32"/>
          <w:szCs w:val="32"/>
          <w:lang w:eastAsia="zh-CN" w:bidi="ar"/>
        </w:rPr>
        <w:t>年度整体绩效目标：1、</w:t>
      </w:r>
      <w:r>
        <w:rPr>
          <w:rFonts w:hint="eastAsia" w:ascii="宋体" w:hAnsi="宋体" w:eastAsia="宋体" w:cs="宋体"/>
          <w:sz w:val="32"/>
          <w:szCs w:val="32"/>
          <w:lang w:eastAsia="zh-CN"/>
        </w:rPr>
        <w:t xml:space="preserve">  更好的发挥政协职能；2、抓好民生服务活动，拓展群众参政渠道；3、提高政协委员履职水平及政协工作者的业务水平；4、认真开展专题协商、对口协商，积极开展调研视察；聚焦社会民生领域热点难点问题开展监督。5、开展好委员走访调研视察等履职工作，充分应用好“政协云”</w:t>
      </w:r>
    </w:p>
    <w:p w14:paraId="1EB33729">
      <w:pPr>
        <w:widowControl w:val="0"/>
        <w:spacing w:line="560" w:lineRule="exact"/>
        <w:ind w:firstLine="643" w:firstLineChars="200"/>
        <w:jc w:val="both"/>
        <w:rPr>
          <w:rFonts w:hint="eastAsia" w:ascii="宋体" w:hAnsi="宋体" w:eastAsia="宋体" w:cs="宋体"/>
          <w:sz w:val="32"/>
          <w:szCs w:val="32"/>
          <w:lang w:eastAsia="zh-CN"/>
        </w:rPr>
      </w:pPr>
      <w:r>
        <w:rPr>
          <w:rFonts w:hint="eastAsia" w:ascii="宋体" w:hAnsi="宋体" w:eastAsia="宋体" w:cs="宋体"/>
          <w:b/>
          <w:bCs/>
          <w:sz w:val="32"/>
          <w:szCs w:val="32"/>
          <w:lang w:eastAsia="zh-CN"/>
        </w:rPr>
        <w:t>委员工作室工作经费2025年绩效目标</w:t>
      </w:r>
      <w:r>
        <w:rPr>
          <w:rFonts w:hint="eastAsia" w:ascii="宋体" w:hAnsi="宋体" w:eastAsia="宋体" w:cs="宋体"/>
          <w:sz w:val="32"/>
          <w:szCs w:val="32"/>
          <w:lang w:eastAsia="zh-CN"/>
        </w:rPr>
        <w:t>：认真组织委员开展履职，及时完成上报县政协日常安排的各项工作任务，确保委员工作室的日常办公及建设开支。</w:t>
      </w:r>
    </w:p>
    <w:p w14:paraId="5C57D637">
      <w:pPr>
        <w:widowControl w:val="0"/>
        <w:spacing w:line="560" w:lineRule="exact"/>
        <w:ind w:firstLine="643" w:firstLineChars="200"/>
        <w:jc w:val="both"/>
        <w:rPr>
          <w:rFonts w:hint="eastAsia" w:ascii="宋体" w:hAnsi="宋体" w:eastAsia="宋体" w:cs="宋体"/>
          <w:sz w:val="32"/>
          <w:szCs w:val="32"/>
          <w:lang w:eastAsia="zh-CN"/>
        </w:rPr>
      </w:pPr>
      <w:r>
        <w:rPr>
          <w:rFonts w:hint="eastAsia" w:ascii="宋体" w:hAnsi="宋体" w:eastAsia="宋体" w:cs="宋体"/>
          <w:b/>
          <w:bCs/>
          <w:sz w:val="32"/>
          <w:szCs w:val="32"/>
          <w:lang w:eastAsia="zh-CN"/>
        </w:rPr>
        <w:t>县政协委员通讯交通补贴2025年绩效目标</w:t>
      </w:r>
      <w:r>
        <w:rPr>
          <w:rFonts w:hint="eastAsia" w:ascii="宋体" w:hAnsi="宋体" w:eastAsia="宋体" w:cs="宋体"/>
          <w:sz w:val="32"/>
          <w:szCs w:val="32"/>
          <w:lang w:eastAsia="zh-CN"/>
        </w:rPr>
        <w:t>：认真开展好政协一年一度全体大会，按照《中国人民政治协商会议章程》开展社情民意、视察调研等相关工作，给予全体委员一定的交通通讯补助。</w:t>
      </w:r>
    </w:p>
    <w:p w14:paraId="30C1F045">
      <w:pPr>
        <w:widowControl w:val="0"/>
        <w:spacing w:line="560" w:lineRule="exact"/>
        <w:ind w:firstLine="643" w:firstLineChars="200"/>
        <w:jc w:val="both"/>
        <w:outlineLvl w:val="1"/>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t>二、一般公共预算支出情况</w:t>
      </w:r>
    </w:p>
    <w:p w14:paraId="1B2B5D50">
      <w:pPr>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(一)基本支出情况</w:t>
      </w:r>
    </w:p>
    <w:p w14:paraId="69A77C29">
      <w:pPr>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基本支出679.17万元(年初预算支出536.09万元，占全年支出的74.4%，占基本支出的79%。年中预算调整支出143.08万元，占全年支出的19.8%，占基本支出的21%)，占总支出的94%。按经济分类明细如下：</w:t>
      </w:r>
    </w:p>
    <w:p w14:paraId="59531047">
      <w:pPr>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1.工资福利支出447.64万元，占总支出的62.12%，占基本支出的65.91%。其中基本工资164.89万元，津补贴110.62万元，奖金37.83万元，绩效工资43.29万元，医疗保险费35.62万元，基本养老保险费44.71万元，住房公积金6.04万元，其他社会保障1.86万元，医疗费2.78万元。</w:t>
      </w:r>
    </w:p>
    <w:p w14:paraId="62A45666">
      <w:pPr>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2.商品和服务支出159.02万元，占总支出的22.07%，占基本支出的23.41%。其中：其中办公费28.44万元，印刷费4.08万元，邮电费8.46万元，差旅费20.83万元，维护费13.69万元，会议费30.6万元，培训费1.45万元，公务接待费0.22万元，工会经费23.8万元，福利费1.21万元，公务用车运行维护费5.77万元，其他交通费用2.21万元，其他商品服务支出18.26万元。</w:t>
      </w:r>
    </w:p>
    <w:p w14:paraId="55936264">
      <w:pPr>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3.对个人和家庭补助支出72.51万元。占总支出的10.06%，占基本支出的10.68%。其中抚恤金58.11万元，生活补助5.28万元人，医疗费补助0.64万元，奖励金0.98万元，其他对个人和家庭的补助7.5万元。</w:t>
      </w:r>
    </w:p>
    <w:p w14:paraId="12328048">
      <w:pPr>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(二)项目支出情况</w:t>
      </w:r>
    </w:p>
    <w:p w14:paraId="366FF77D">
      <w:pPr>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县本级项目支出41.4</w:t>
      </w:r>
      <w:r>
        <w:rPr>
          <w:rFonts w:hint="eastAsia" w:ascii="宋体" w:hAnsi="宋体" w:eastAsia="宋体" w:cs="宋体"/>
          <w:snapToGrid/>
          <w:sz w:val="32"/>
          <w:szCs w:val="32"/>
          <w:lang w:val="en-US" w:eastAsia="zh-CN" w:bidi="ar"/>
        </w:rPr>
        <w:t>5</w:t>
      </w:r>
      <w:r>
        <w:rPr>
          <w:rFonts w:hint="eastAsia" w:ascii="宋体" w:hAnsi="宋体" w:eastAsia="宋体" w:cs="宋体"/>
          <w:snapToGrid/>
          <w:sz w:val="32"/>
          <w:szCs w:val="32"/>
          <w:lang w:eastAsia="zh-CN" w:bidi="ar"/>
        </w:rPr>
        <w:t>万元(年初预算53.4万元，年中调减项目支出11.9</w:t>
      </w:r>
      <w:r>
        <w:rPr>
          <w:rFonts w:hint="eastAsia" w:ascii="宋体" w:hAnsi="宋体" w:eastAsia="宋体" w:cs="宋体"/>
          <w:snapToGrid/>
          <w:sz w:val="32"/>
          <w:szCs w:val="32"/>
          <w:lang w:val="en-US" w:eastAsia="zh-CN" w:bidi="ar"/>
        </w:rPr>
        <w:t>5</w:t>
      </w:r>
      <w:r>
        <w:rPr>
          <w:rFonts w:hint="eastAsia" w:ascii="宋体" w:hAnsi="宋体" w:eastAsia="宋体" w:cs="宋体"/>
          <w:snapToGrid/>
          <w:sz w:val="32"/>
          <w:szCs w:val="32"/>
          <w:lang w:eastAsia="zh-CN" w:bidi="ar"/>
        </w:rPr>
        <w:t>万元)占全年总支出的5.75%.</w:t>
      </w:r>
    </w:p>
    <w:p w14:paraId="00764C22">
      <w:pPr>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1.委员工作室工作经费1</w:t>
      </w:r>
      <w:r>
        <w:rPr>
          <w:rFonts w:hint="eastAsia" w:ascii="宋体" w:hAnsi="宋体" w:eastAsia="宋体" w:cs="宋体"/>
          <w:snapToGrid/>
          <w:sz w:val="32"/>
          <w:szCs w:val="32"/>
          <w:lang w:val="en-US" w:eastAsia="zh-CN" w:bidi="ar"/>
        </w:rPr>
        <w:t>9</w:t>
      </w:r>
      <w:r>
        <w:rPr>
          <w:rFonts w:hint="eastAsia" w:ascii="宋体" w:hAnsi="宋体" w:eastAsia="宋体" w:cs="宋体"/>
          <w:snapToGrid/>
          <w:sz w:val="32"/>
          <w:szCs w:val="32"/>
          <w:lang w:eastAsia="zh-CN" w:bidi="ar"/>
        </w:rPr>
        <w:t>万元。主要用于委员履职经费开支。</w:t>
      </w:r>
    </w:p>
    <w:p w14:paraId="55536009">
      <w:pPr>
        <w:pStyle w:val="23"/>
        <w:widowControl w:val="0"/>
        <w:ind w:left="0" w:leftChars="0" w:firstLine="640" w:firstLineChars="200"/>
        <w:jc w:val="both"/>
        <w:rPr>
          <w:rFonts w:hint="eastAsia" w:ascii="宋体" w:hAnsi="宋体" w:eastAsia="宋体" w:cs="宋体"/>
          <w:sz w:val="32"/>
          <w:szCs w:val="32"/>
          <w:lang w:eastAsia="zh-CN"/>
        </w:rPr>
      </w:pPr>
      <w:r>
        <w:rPr>
          <w:rFonts w:hint="eastAsia" w:ascii="宋体" w:hAnsi="宋体" w:eastAsia="宋体" w:cs="宋体"/>
          <w:sz w:val="32"/>
          <w:szCs w:val="32"/>
          <w:lang w:eastAsia="zh-CN"/>
        </w:rPr>
        <w:t>2.县政协委员通讯交通补贴22.45万元.主要用于保障委员参加会议、视察调研、社情民意等相关工作开展，给予全体委员一定的交通通讯补助。</w:t>
      </w:r>
    </w:p>
    <w:p w14:paraId="7A980F23">
      <w:pPr>
        <w:widowControl w:val="0"/>
        <w:spacing w:line="560" w:lineRule="exact"/>
        <w:ind w:firstLine="643" w:firstLineChars="200"/>
        <w:jc w:val="both"/>
        <w:outlineLvl w:val="1"/>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t>三、政府性基金预算支出情况</w:t>
      </w:r>
    </w:p>
    <w:p w14:paraId="36899D2A">
      <w:pPr>
        <w:pStyle w:val="23"/>
        <w:widowControl w:val="0"/>
        <w:ind w:left="0" w:leftChars="0" w:firstLine="640" w:firstLineChars="200"/>
        <w:jc w:val="both"/>
        <w:rPr>
          <w:rFonts w:hint="eastAsia" w:ascii="宋体" w:hAnsi="宋体" w:eastAsia="宋体" w:cs="宋体"/>
          <w:sz w:val="32"/>
          <w:szCs w:val="32"/>
          <w:lang w:eastAsia="zh-CN"/>
        </w:rPr>
      </w:pPr>
      <w:r>
        <w:rPr>
          <w:rFonts w:hint="eastAsia" w:ascii="宋体" w:hAnsi="宋体" w:eastAsia="宋体" w:cs="宋体"/>
          <w:sz w:val="32"/>
          <w:szCs w:val="32"/>
          <w:lang w:eastAsia="zh-CN"/>
        </w:rPr>
        <w:t>无</w:t>
      </w:r>
    </w:p>
    <w:p w14:paraId="585F1A04">
      <w:pPr>
        <w:widowControl w:val="0"/>
        <w:numPr>
          <w:ilvl w:val="0"/>
          <w:numId w:val="3"/>
        </w:numPr>
        <w:spacing w:line="560" w:lineRule="exact"/>
        <w:ind w:left="0" w:firstLine="643" w:firstLineChars="200"/>
        <w:jc w:val="both"/>
        <w:outlineLvl w:val="1"/>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t>国有资本经营预算支出情况</w:t>
      </w:r>
    </w:p>
    <w:p w14:paraId="5375E96A">
      <w:pPr>
        <w:pStyle w:val="23"/>
        <w:widowControl w:val="0"/>
        <w:ind w:left="0" w:leftChars="0" w:firstLine="640" w:firstLineChars="200"/>
        <w:jc w:val="both"/>
        <w:rPr>
          <w:rFonts w:hint="eastAsia" w:ascii="宋体" w:hAnsi="宋体" w:eastAsia="宋体" w:cs="宋体"/>
          <w:sz w:val="32"/>
          <w:szCs w:val="32"/>
          <w:lang w:eastAsia="zh-CN"/>
        </w:rPr>
      </w:pPr>
      <w:r>
        <w:rPr>
          <w:rFonts w:hint="eastAsia" w:ascii="宋体" w:hAnsi="宋体" w:eastAsia="宋体" w:cs="宋体"/>
          <w:sz w:val="32"/>
          <w:szCs w:val="32"/>
          <w:lang w:eastAsia="zh-CN"/>
        </w:rPr>
        <w:t>无</w:t>
      </w:r>
    </w:p>
    <w:p w14:paraId="6D8858CD">
      <w:pPr>
        <w:widowControl w:val="0"/>
        <w:numPr>
          <w:ilvl w:val="0"/>
          <w:numId w:val="3"/>
        </w:numPr>
        <w:spacing w:line="560" w:lineRule="exact"/>
        <w:ind w:left="0" w:firstLine="643" w:firstLineChars="200"/>
        <w:jc w:val="both"/>
        <w:outlineLvl w:val="1"/>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t>社会保险基金预算支出情况</w:t>
      </w:r>
    </w:p>
    <w:p w14:paraId="22C3B3C0">
      <w:pPr>
        <w:pStyle w:val="23"/>
        <w:widowControl w:val="0"/>
        <w:ind w:left="0" w:leftChars="0" w:firstLine="640" w:firstLineChars="200"/>
        <w:jc w:val="both"/>
        <w:rPr>
          <w:rFonts w:hint="eastAsia" w:ascii="宋体" w:hAnsi="宋体" w:eastAsia="宋体" w:cs="宋体"/>
          <w:sz w:val="32"/>
          <w:szCs w:val="32"/>
          <w:lang w:eastAsia="zh-CN"/>
        </w:rPr>
      </w:pPr>
      <w:r>
        <w:rPr>
          <w:rFonts w:hint="eastAsia" w:ascii="宋体" w:hAnsi="宋体" w:eastAsia="宋体" w:cs="宋体"/>
          <w:sz w:val="32"/>
          <w:szCs w:val="32"/>
          <w:lang w:eastAsia="zh-CN"/>
        </w:rPr>
        <w:t>无</w:t>
      </w:r>
    </w:p>
    <w:p w14:paraId="48D38938">
      <w:pPr>
        <w:widowControl w:val="0"/>
        <w:numPr>
          <w:ilvl w:val="0"/>
          <w:numId w:val="3"/>
        </w:numPr>
        <w:spacing w:line="560" w:lineRule="exact"/>
        <w:ind w:left="0" w:firstLine="643" w:firstLineChars="200"/>
        <w:jc w:val="both"/>
        <w:outlineLvl w:val="1"/>
        <w:rPr>
          <w:rFonts w:hint="eastAsia" w:ascii="宋体" w:hAnsi="宋体" w:eastAsia="宋体" w:cs="宋体"/>
          <w:b/>
          <w:bCs/>
          <w:sz w:val="32"/>
          <w:szCs w:val="32"/>
        </w:rPr>
      </w:pPr>
      <w:r>
        <w:rPr>
          <w:rFonts w:hint="eastAsia" w:ascii="宋体" w:hAnsi="宋体" w:eastAsia="宋体" w:cs="宋体"/>
          <w:b/>
          <w:bCs/>
          <w:sz w:val="32"/>
          <w:szCs w:val="32"/>
        </w:rPr>
        <w:t>部门整体支出绩效情况</w:t>
      </w:r>
    </w:p>
    <w:p w14:paraId="7643F338">
      <w:pPr>
        <w:widowControl w:val="0"/>
        <w:spacing w:line="560" w:lineRule="exact"/>
        <w:ind w:firstLine="640" w:firstLineChars="200"/>
        <w:jc w:val="both"/>
        <w:outlineLvl w:val="1"/>
        <w:rPr>
          <w:rFonts w:hint="eastAsia" w:ascii="宋体" w:hAnsi="宋体" w:eastAsia="宋体" w:cs="宋体"/>
          <w:sz w:val="32"/>
          <w:szCs w:val="32"/>
          <w:lang w:eastAsia="zh-CN"/>
        </w:rPr>
      </w:pPr>
      <w:r>
        <w:rPr>
          <w:rFonts w:hint="eastAsia" w:ascii="宋体" w:hAnsi="宋体" w:eastAsia="宋体" w:cs="宋体"/>
          <w:sz w:val="32"/>
          <w:szCs w:val="32"/>
          <w:lang w:eastAsia="zh-CN"/>
        </w:rPr>
        <w:t>（一）部门概况</w:t>
      </w:r>
    </w:p>
    <w:p w14:paraId="27D6AF4B">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1.部门主要职责：</w:t>
      </w:r>
    </w:p>
    <w:p w14:paraId="720FA523">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①负责县政协全体会议、常务委员会议、主席会议、主席办公会、常务委员会专题座谈会和专门委员会会议的会务工作，负责上述会议所形成的决议、决定的组织实施。</w:t>
      </w:r>
    </w:p>
    <w:p w14:paraId="5D3F2833">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②协调县政协各专门委员会的工作，充分发挥县政协委员的作用，履行好政治协商、民主监督、参政议政的基本职责。</w:t>
      </w:r>
    </w:p>
    <w:p w14:paraId="5AF6095D">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③负责县政协委员视察、参观、调查、座谈、学习、研讨等日常活动的服务和具体组织工作;受市政协办公室的委托，组织在县的市政委员进行视察活动。</w:t>
      </w:r>
    </w:p>
    <w:p w14:paraId="2BD210A6">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④研究统一战线和人民政协的理论、政策，调查研究地方政协的共同性问题及其解决办法，供领导参考。</w:t>
      </w:r>
    </w:p>
    <w:p w14:paraId="34D57E4E">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⑤宣传人民政协的方针政策、工作业绩和经验以及政协委员的先进事迹，收集和反映县政协委员和各界人士的意见与建议，综合、反映社情民意。</w:t>
      </w:r>
    </w:p>
    <w:p w14:paraId="7D5B538B">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⑥联系各民主党派、工商联、各人民团体和无党派人士，联系县直有关部门，互通信息，协调工作，加强合作。</w:t>
      </w:r>
    </w:p>
    <w:p w14:paraId="33A0FA33">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⑦负责县政协开展各项活动的有关后勤服务管理工作和政协机关行政事务管理工作。</w:t>
      </w:r>
    </w:p>
    <w:p w14:paraId="41AB565C">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⑧负责权限范围内的人事任免。</w:t>
      </w:r>
    </w:p>
    <w:p w14:paraId="651CED79">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⑨负责接待来县访问的海内外有关友好人士和对外联谊</w:t>
      </w:r>
    </w:p>
    <w:p w14:paraId="21CF23EF">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⑩承办县政协主席、副主席交办的其他事项</w:t>
      </w:r>
    </w:p>
    <w:p w14:paraId="22A24DA9">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2.年度重点工作： 2025年，县政协</w:t>
      </w:r>
      <w:r>
        <w:rPr>
          <w:rFonts w:hint="eastAsia" w:ascii="宋体" w:hAnsi="宋体" w:eastAsia="宋体" w:cs="宋体"/>
          <w:snapToGrid/>
          <w:sz w:val="32"/>
          <w:szCs w:val="32"/>
          <w:lang w:val="en-US" w:eastAsia="zh-CN" w:bidi="ar"/>
        </w:rPr>
        <w:t>办</w:t>
      </w:r>
      <w:r>
        <w:rPr>
          <w:rFonts w:hint="eastAsia" w:ascii="宋体" w:hAnsi="宋体" w:eastAsia="宋体" w:cs="宋体"/>
          <w:snapToGrid/>
          <w:sz w:val="32"/>
          <w:szCs w:val="32"/>
          <w:lang w:eastAsia="zh-CN" w:bidi="ar"/>
        </w:rPr>
        <w:t>紧扣县委、县政府中心工作，聚焦县域经济高质量发展、民生保障改善、基层治理创新等重点领域，组织开展专题协商、调研视察、提案办理等工作，推动协商成果转化，助力全县重点任务落实。</w:t>
      </w:r>
    </w:p>
    <w:p w14:paraId="478A0AF6">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3.“四本预算”收支情况：2025年度，我单位严格执行财政预算管理规定，纳入“四本预算”管理的收支均按批复执行，资金全部用于保障机关正常运转、履职活动开展及重点工作推进，无超预算、无截留挪用、无违规开支情况。</w:t>
      </w:r>
    </w:p>
    <w:p w14:paraId="15D34C8C">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（二）绩效目标完成情况</w:t>
      </w:r>
    </w:p>
    <w:p w14:paraId="662C4DC8">
      <w:pPr>
        <w:pStyle w:val="4"/>
        <w:widowControl w:val="0"/>
        <w:spacing w:line="560" w:lineRule="exact"/>
        <w:ind w:firstLine="640" w:firstLineChars="200"/>
        <w:jc w:val="both"/>
        <w:rPr>
          <w:rFonts w:hint="eastAsia" w:ascii="宋体" w:hAnsi="宋体" w:eastAsia="宋体" w:cs="宋体"/>
          <w:snapToGrid/>
          <w:color w:val="auto"/>
          <w:sz w:val="32"/>
          <w:szCs w:val="32"/>
          <w:lang w:eastAsia="zh-CN" w:bidi="ar"/>
        </w:rPr>
      </w:pPr>
      <w:r>
        <w:rPr>
          <w:rFonts w:hint="eastAsia" w:ascii="宋体" w:hAnsi="宋体" w:eastAsia="宋体" w:cs="宋体"/>
          <w:snapToGrid/>
          <w:color w:val="auto"/>
          <w:sz w:val="32"/>
          <w:szCs w:val="32"/>
          <w:lang w:eastAsia="zh-CN" w:bidi="ar"/>
        </w:rPr>
        <w:t>1.履职活动开展：全年组织开展县政协委员全体会议1次；政协常委会5次；主席会议12次；政协专委会10次；民主评议动员会、集中评议大会2次；协商会议10次；开展委员主题活动1次；开展民主评议1次，收集社情59篇；针对干部职工</w:t>
      </w:r>
      <w:r>
        <w:rPr>
          <w:rFonts w:hint="eastAsia" w:ascii="宋体" w:hAnsi="宋体" w:eastAsia="宋体" w:cs="宋体"/>
          <w:color w:val="auto"/>
          <w:sz w:val="32"/>
          <w:szCs w:val="32"/>
          <w:lang w:eastAsia="zh-CN"/>
        </w:rPr>
        <w:t>深入贯彻中央八项规定精神学习教育，集中学习4次、研讨交流5次、警示教育活动5次、作风建设主题</w:t>
      </w:r>
      <w:r>
        <w:rPr>
          <w:rFonts w:hint="eastAsia" w:ascii="宋体" w:hAnsi="宋体" w:eastAsia="宋体" w:cs="宋体"/>
          <w:snapToGrid/>
          <w:color w:val="auto"/>
          <w:sz w:val="32"/>
          <w:szCs w:val="32"/>
          <w:lang w:eastAsia="zh-CN" w:bidi="ar"/>
        </w:rPr>
        <w:t>民意</w:t>
      </w:r>
      <w:bookmarkStart w:id="1" w:name="_GoBack"/>
      <w:bookmarkEnd w:id="1"/>
      <w:r>
        <w:rPr>
          <w:rFonts w:hint="eastAsia" w:ascii="宋体" w:hAnsi="宋体" w:eastAsia="宋体" w:cs="宋体"/>
          <w:color w:val="auto"/>
          <w:sz w:val="32"/>
          <w:szCs w:val="32"/>
          <w:lang w:eastAsia="zh-CN"/>
        </w:rPr>
        <w:t>活动2次，举办专题讲座1场；对委员开展培训1次；</w:t>
      </w:r>
      <w:r>
        <w:rPr>
          <w:rFonts w:hint="eastAsia" w:ascii="宋体" w:hAnsi="宋体" w:eastAsia="宋体" w:cs="宋体"/>
          <w:snapToGrid/>
          <w:color w:val="auto"/>
          <w:sz w:val="32"/>
          <w:szCs w:val="32"/>
          <w:lang w:eastAsia="zh-CN" w:bidi="ar"/>
        </w:rPr>
        <w:t>调研视察活动6次、界别活动5场，参与委员190人次，完成年度履职活动计划的100%。</w:t>
      </w:r>
    </w:p>
    <w:p w14:paraId="4CB0D0F7">
      <w:pPr>
        <w:pStyle w:val="4"/>
        <w:widowControl w:val="0"/>
        <w:spacing w:line="560" w:lineRule="exact"/>
        <w:ind w:firstLine="640" w:firstLineChars="200"/>
        <w:jc w:val="both"/>
        <w:rPr>
          <w:rFonts w:hint="eastAsia" w:ascii="宋体" w:hAnsi="宋体" w:eastAsia="宋体" w:cs="宋体"/>
          <w:snapToGrid/>
          <w:color w:val="auto"/>
          <w:sz w:val="32"/>
          <w:szCs w:val="32"/>
          <w:lang w:eastAsia="zh-CN" w:bidi="ar"/>
        </w:rPr>
      </w:pPr>
      <w:r>
        <w:rPr>
          <w:rFonts w:hint="eastAsia" w:ascii="宋体" w:hAnsi="宋体" w:eastAsia="宋体" w:cs="宋体"/>
          <w:snapToGrid/>
          <w:color w:val="auto"/>
          <w:sz w:val="32"/>
          <w:szCs w:val="32"/>
          <w:lang w:eastAsia="zh-CN" w:bidi="ar"/>
        </w:rPr>
        <w:t>2.提案办理工作：收到委员提案102件，立案93件，办理93件，办结率100%，委员满意率95%，推动解决了一批群众关心的民生问题和发展难题。</w:t>
      </w:r>
      <w:r>
        <w:rPr>
          <w:rFonts w:hint="eastAsia" w:ascii="宋体" w:hAnsi="宋体" w:eastAsia="宋体" w:cs="宋体"/>
          <w:sz w:val="32"/>
          <w:szCs w:val="32"/>
          <w:lang w:eastAsia="zh-CN"/>
        </w:rPr>
        <w:t>为抓好提案办理工作，我们从中明确了3件重点提案，选取《关于改造雷鸣湾沿街楼房生活污水管道的建议》进行了重点提案办理情况视察和协商；将《关于整治S342省道洒口至排子村路段护路林枯树的建议》移交县检察院协同督办，并对2023年委员所提《关于尽快修建会同河小（寨）竹（寨）段防洪堤的建议》落实情况持续监督，推动解决了一批民生问题，并通过“微建议”助推兴办实事12件，解决民生问题27个。</w:t>
      </w:r>
    </w:p>
    <w:p w14:paraId="53B6489B">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 xml:space="preserve">3.机关建设管理：严格落实预算管理、资产管理、财务内控等制度，机关运行规范有序，无违规违纪问题发生，管理效率持续提升。 </w:t>
      </w:r>
    </w:p>
    <w:p w14:paraId="130C4BE3">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（三）预算资金管理与业务开展情况</w:t>
      </w:r>
    </w:p>
    <w:p w14:paraId="59C7F451">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预算资金管理：严格执行国库集中支付、政府采购等制度，预算编制科学合理，资金拨付及时规范，专款专用，资金使用效益良好。年度预算执行率达100%，无闲置沉淀资金，无虚列支出、挤占挪用等问题。</w:t>
      </w:r>
    </w:p>
    <w:p w14:paraId="66F4B1BF">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资产管理情况：建立健全资产管理制度，定期开展资产清查盘点，资产账实相符、账账相符，无资产流失、闲置浪费等情况，资产使用效率稳步提升。</w:t>
      </w:r>
    </w:p>
    <w:p w14:paraId="5453E2EC">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核心业务推进</w:t>
      </w:r>
    </w:p>
    <w:p w14:paraId="31355F36">
      <w:pPr>
        <w:pStyle w:val="4"/>
        <w:widowControl w:val="0"/>
        <w:spacing w:line="560" w:lineRule="exact"/>
        <w:ind w:firstLine="640" w:firstLineChars="200"/>
        <w:jc w:val="both"/>
        <w:rPr>
          <w:rFonts w:hint="eastAsia" w:ascii="宋体" w:hAnsi="宋体" w:eastAsia="宋体" w:cs="宋体"/>
          <w:sz w:val="32"/>
          <w:szCs w:val="32"/>
          <w:lang w:eastAsia="zh-CN"/>
        </w:rPr>
      </w:pPr>
      <w:r>
        <w:rPr>
          <w:rFonts w:hint="eastAsia" w:ascii="宋体" w:hAnsi="宋体" w:eastAsia="宋体" w:cs="宋体"/>
          <w:snapToGrid/>
          <w:sz w:val="32"/>
          <w:szCs w:val="32"/>
          <w:lang w:eastAsia="zh-CN" w:bidi="ar"/>
        </w:rPr>
        <w:t>1.政治协商提质增效：围绕县域重大决策部署，组织召开全体会议、常委会议、专题协商会，</w:t>
      </w:r>
      <w:r>
        <w:rPr>
          <w:rFonts w:hint="eastAsia" w:ascii="宋体" w:hAnsi="宋体" w:eastAsia="宋体" w:cs="宋体"/>
          <w:sz w:val="32"/>
          <w:szCs w:val="32"/>
          <w:lang w:eastAsia="zh-CN"/>
        </w:rPr>
        <w:t>建立健全联系服务委员、协商民主、反映社情民意信息工作机制，上报调研信息81条、调研报告3篇，为群众办好事实事38件。</w:t>
      </w:r>
    </w:p>
    <w:p w14:paraId="67926E89">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2.民主监督精准发力：聚焦民生实事项目、重点工作落实，开展专项监督视察107次，提出监督意见建议24条，推动相关工作改进提升。</w:t>
      </w:r>
    </w:p>
    <w:p w14:paraId="77A76864">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3.参政议政成果丰硕：组织委员深入基层调研，形成调研报告13篇，其中多篇被县委、县政府采纳，为县域发展建言献策。</w:t>
      </w:r>
    </w:p>
    <w:p w14:paraId="6C5CB05F">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4.凝聚共识广泛深入：加强与各民主党派、工商联、无党派人士及各界群众的联系，开展团结联谊活动9次，汇聚推动发展的合力。</w:t>
      </w:r>
    </w:p>
    <w:p w14:paraId="3AE72A04">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（四）绩效评价分析</w:t>
      </w:r>
    </w:p>
    <w:p w14:paraId="5143BEE2">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1.投入指标</w:t>
      </w:r>
    </w:p>
    <w:p w14:paraId="2EFEBF5E">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严格控制“三公”经费及一般性支出，“三公”经费比上年减少3.</w:t>
      </w:r>
      <w:r>
        <w:rPr>
          <w:rFonts w:hint="eastAsia" w:ascii="宋体" w:hAnsi="宋体" w:eastAsia="宋体" w:cs="宋体"/>
          <w:snapToGrid/>
          <w:sz w:val="32"/>
          <w:szCs w:val="32"/>
          <w:lang w:val="en-US" w:eastAsia="zh-CN" w:bidi="ar"/>
        </w:rPr>
        <w:t>23</w:t>
      </w:r>
      <w:r>
        <w:rPr>
          <w:rFonts w:hint="eastAsia" w:ascii="宋体" w:hAnsi="宋体" w:eastAsia="宋体" w:cs="宋体"/>
          <w:snapToGrid/>
          <w:sz w:val="32"/>
          <w:szCs w:val="32"/>
          <w:lang w:eastAsia="zh-CN" w:bidi="ar"/>
        </w:rPr>
        <w:t xml:space="preserve">万元，一般性支出因物价上涨及业务量增加等因素，相比上年略有增加，年度运行成本控制在预算范围内，全年预算执行率为100%。 </w:t>
      </w:r>
    </w:p>
    <w:p w14:paraId="7E0035C3">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2.产出指标</w:t>
      </w:r>
    </w:p>
    <w:p w14:paraId="691B7804">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通过完善内部管理制度、优化工作流程，机关办文、办会、办事效率显著提升，各项工作顺利开展且按时完成率达100%，无工作延误、推诿扯皮等情况。</w:t>
      </w:r>
    </w:p>
    <w:p w14:paraId="5DD82D29">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年度各项履职任务均超额或按计划完成，协商建言、提案办理、民主监督等工作成果得到县委、县政府及相关部门的肯定，履职效能持续增强。</w:t>
      </w:r>
    </w:p>
    <w:p w14:paraId="49495376">
      <w:pPr>
        <w:pStyle w:val="4"/>
        <w:widowControl w:val="0"/>
        <w:spacing w:line="560" w:lineRule="exact"/>
        <w:ind w:left="64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3.效益指标</w:t>
      </w:r>
    </w:p>
    <w:p w14:paraId="1D13C058">
      <w:pPr>
        <w:pStyle w:val="4"/>
        <w:widowControl w:val="0"/>
        <w:spacing w:line="560" w:lineRule="exact"/>
        <w:ind w:firstLine="640" w:firstLineChars="200"/>
        <w:jc w:val="both"/>
        <w:rPr>
          <w:rFonts w:hint="eastAsia" w:ascii="宋体" w:hAnsi="宋体" w:eastAsia="宋体" w:cs="宋体"/>
          <w:sz w:val="32"/>
          <w:szCs w:val="32"/>
          <w:lang w:eastAsia="zh-CN"/>
        </w:rPr>
      </w:pPr>
      <w:r>
        <w:rPr>
          <w:rFonts w:hint="eastAsia" w:ascii="宋体" w:hAnsi="宋体" w:eastAsia="宋体" w:cs="宋体"/>
          <w:snapToGrid/>
          <w:sz w:val="32"/>
          <w:szCs w:val="32"/>
          <w:lang w:eastAsia="zh-CN" w:bidi="ar"/>
        </w:rPr>
        <w:sym w:font="Wingdings" w:char="F081"/>
      </w:r>
      <w:r>
        <w:rPr>
          <w:rFonts w:hint="eastAsia" w:ascii="宋体" w:hAnsi="宋体" w:eastAsia="宋体" w:cs="宋体"/>
          <w:snapToGrid/>
          <w:sz w:val="32"/>
          <w:szCs w:val="32"/>
          <w:lang w:eastAsia="zh-CN" w:bidi="ar"/>
        </w:rPr>
        <w:t>经济效益：</w:t>
      </w:r>
      <w:r>
        <w:rPr>
          <w:rFonts w:hint="eastAsia" w:ascii="宋体" w:hAnsi="宋体" w:eastAsia="宋体" w:cs="宋体"/>
          <w:sz w:val="32"/>
          <w:szCs w:val="32"/>
          <w:lang w:eastAsia="zh-CN"/>
        </w:rPr>
        <w:t>牵头负责和参与重点项目建设18个，助力高椅古村创成AAAA景区、红培基地建成运营、怀化国际陆港·会同港设立获批，组织开展了“两支队伍齐动员·奋战项目建设年”活动和“委员招商”“委员回乡”行动。立足实际把助推“林下经济”及“中医药”等特色产业发展作为建言服务重点，开展对口协商和专题调研，提出了建立中药材交易市场、加强中药材加工及冷链企业培育等建议，呼吁“支持会同建成全省林下经济示范县”提案获省、市林业部门专门答复，推动解决具体问题30多个。</w:t>
      </w:r>
    </w:p>
    <w:p w14:paraId="19C6A7B8">
      <w:pPr>
        <w:pStyle w:val="4"/>
        <w:widowControl w:val="0"/>
        <w:spacing w:line="560" w:lineRule="exact"/>
        <w:ind w:firstLine="640" w:firstLineChars="200"/>
        <w:jc w:val="both"/>
        <w:rPr>
          <w:rFonts w:hint="eastAsia" w:ascii="宋体" w:hAnsi="宋体" w:eastAsia="宋体" w:cs="宋体"/>
          <w:sz w:val="32"/>
          <w:szCs w:val="32"/>
          <w:lang w:eastAsia="zh-CN"/>
        </w:rPr>
      </w:pPr>
      <w:r>
        <w:rPr>
          <w:rFonts w:hint="eastAsia" w:ascii="宋体" w:hAnsi="宋体" w:eastAsia="宋体" w:cs="宋体"/>
          <w:sz w:val="32"/>
          <w:szCs w:val="32"/>
          <w:lang w:eastAsia="zh-CN"/>
        </w:rPr>
        <w:sym w:font="Wingdings" w:char="F082"/>
      </w:r>
      <w:r>
        <w:rPr>
          <w:rFonts w:hint="eastAsia" w:ascii="宋体" w:hAnsi="宋体" w:eastAsia="宋体" w:cs="宋体"/>
          <w:sz w:val="32"/>
          <w:szCs w:val="32"/>
          <w:lang w:eastAsia="zh-CN"/>
        </w:rPr>
        <w:t>社会效益：聚焦怀化国际陆港·会同港建设，开展“激发港产城融合创新动能，助力高质量发展”专题协商，撰写了《通江达海需大力构建完备的人才支撑体系》等参政议政材料。聚焦文旅融合，召开专题议政性常委会并提交建议案，成立了“大健康科普文旅融合”、“红色文旅融合”委员工作室，提出了串“珠”成“链”舞好文旅产业龙头、创新管理做好旅发大会“后半篇文章”等建议。聚焦生态文明建设，深入开展改善生态环境专项民主监督，累计开展监督活动97次，提交智慧提案10件、微建议12条、社情民意信息2条；县城区“雨污分流”改造建议，得到县人民政府采纳。聚焦巩固拓展脱贫攻坚成果同乡村振兴有效衔接，开展专题协商和就业帮扶专题调研，抓实抓好联乡联村结对帮扶，发动委员开展“走进乡村促振兴”活动，助农增收3000多万元、销售农特产品2亿多元。聚焦怀化国际陆港·会同港建设，开展“激发港产城融合创新动能，助力高质量发展”专题协商，撰写了《通江达海需大力构建完备的人才支撑体系》等参政议政材料。聚焦文旅融合，召开专题议政性常委会并提交建议案，成立了“大健康科普文旅融合”、“红色文旅融合”委员工作室，提出了串“珠”成“链”舞好文旅产业龙头、创新管理做好旅发大会“后半篇文章”等建议。聚焦巩固拓展脱贫攻坚成果同乡村振兴有效衔接，开展专题协商和就业帮扶专题调研，抓实抓好联乡联村结对帮扶，发动委员开展“走进乡村促振兴”活动，助农增收3000多万元、销售农特产品2亿多元，取得了良好的社会效应。</w:t>
      </w:r>
    </w:p>
    <w:p w14:paraId="751CF6B6">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sym w:font="Wingdings" w:char="F083"/>
      </w:r>
      <w:r>
        <w:rPr>
          <w:rFonts w:hint="eastAsia" w:ascii="宋体" w:hAnsi="宋体" w:eastAsia="宋体" w:cs="宋体"/>
          <w:snapToGrid/>
          <w:sz w:val="32"/>
          <w:szCs w:val="32"/>
          <w:lang w:eastAsia="zh-CN" w:bidi="ar"/>
        </w:rPr>
        <w:t>生态效益指标：</w:t>
      </w:r>
      <w:r>
        <w:rPr>
          <w:rFonts w:hint="eastAsia" w:ascii="宋体" w:hAnsi="宋体" w:eastAsia="宋体" w:cs="宋体"/>
          <w:sz w:val="32"/>
          <w:szCs w:val="32"/>
          <w:lang w:eastAsia="zh-CN"/>
        </w:rPr>
        <w:t>聚焦生态文明建设，深入开展改善生态环境专项民主监督，累计开展监督活动97次，提交智慧提案10件、微建议12条、社情民意信息2条；县城区“雨污分流”改造建议，得到县人民政府采纳。</w:t>
      </w:r>
    </w:p>
    <w:p w14:paraId="73319F26">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④可持续影响指标：</w:t>
      </w:r>
    </w:p>
    <w:p w14:paraId="51B35889">
      <w:pPr>
        <w:widowControl w:val="0"/>
        <w:spacing w:line="600" w:lineRule="exact"/>
        <w:ind w:firstLine="640" w:firstLineChars="200"/>
        <w:jc w:val="both"/>
        <w:rPr>
          <w:rFonts w:hint="eastAsia" w:ascii="宋体" w:hAnsi="宋体" w:eastAsia="宋体" w:cs="宋体"/>
          <w:sz w:val="32"/>
          <w:szCs w:val="32"/>
          <w:lang w:eastAsia="zh-CN"/>
        </w:rPr>
      </w:pPr>
      <w:r>
        <w:rPr>
          <w:rFonts w:hint="eastAsia" w:ascii="宋体" w:hAnsi="宋体" w:eastAsia="宋体" w:cs="宋体"/>
          <w:sz w:val="32"/>
          <w:szCs w:val="32"/>
          <w:lang w:eastAsia="zh-CN"/>
        </w:rPr>
        <w:t>健全完善专委会内部运行机制、对口联系机制、协同联动机制、委员归口服务管理机制，建立“政协党组-专委会党组织-界别小组”责任链条。制定出台《关于进一步健全协商民主机制全面提升履职质效的实施意见》，着力构建“强党建+优协商、严监督、促凝聚”“1+3”工作体系。持续推进“数字政协”建设，抓实政协云履职运用。坚持正确的用人导向，注重机关干部和政协委员的优势发挥和工作积极性调动。</w:t>
      </w:r>
    </w:p>
    <w:p w14:paraId="6858509D">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4.服务对象满意度</w:t>
      </w:r>
    </w:p>
    <w:p w14:paraId="1F1996DD">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通过委员满意度调查、群众意见征集等方式，服务对象对年度工作满意度达90%，普遍认为政协履职工作贴近实际、贴近群众，成效明显。</w:t>
      </w:r>
    </w:p>
    <w:p w14:paraId="33BD717B">
      <w:pPr>
        <w:pStyle w:val="4"/>
        <w:widowControl w:val="0"/>
        <w:spacing w:line="560" w:lineRule="exact"/>
        <w:ind w:firstLine="643" w:firstLineChars="200"/>
        <w:jc w:val="both"/>
        <w:rPr>
          <w:rFonts w:hint="eastAsia" w:ascii="宋体" w:hAnsi="宋体" w:eastAsia="宋体" w:cs="宋体"/>
          <w:b/>
          <w:bCs/>
          <w:snapToGrid/>
          <w:sz w:val="32"/>
          <w:szCs w:val="32"/>
          <w:lang w:eastAsia="zh-CN" w:bidi="ar"/>
        </w:rPr>
      </w:pPr>
      <w:r>
        <w:rPr>
          <w:rFonts w:hint="eastAsia" w:ascii="宋体" w:hAnsi="宋体" w:eastAsia="宋体" w:cs="宋体"/>
          <w:b/>
          <w:bCs/>
          <w:snapToGrid/>
          <w:sz w:val="32"/>
          <w:szCs w:val="32"/>
          <w:lang w:eastAsia="zh-CN" w:bidi="ar"/>
        </w:rPr>
        <w:t>七、存在的问题及原因分析</w:t>
      </w:r>
    </w:p>
    <w:p w14:paraId="05B74352">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1. 部分履职调研成果转化效率有待进一步提升，部分建议落地周期较长。</w:t>
      </w:r>
    </w:p>
    <w:p w14:paraId="629E46C7">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2. 预算绩效管理精细化水平仍有提升空间，绩效评价指标体系需进一步完善。</w:t>
      </w:r>
    </w:p>
    <w:p w14:paraId="6D0E1DA7">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3. 委员履职能力建设仍需加强，部分委员履职积极性和主动性有待提高。</w:t>
      </w:r>
    </w:p>
    <w:p w14:paraId="519475F2">
      <w:pPr>
        <w:pStyle w:val="4"/>
        <w:widowControl w:val="0"/>
        <w:spacing w:line="560" w:lineRule="exact"/>
        <w:ind w:firstLine="643" w:firstLineChars="200"/>
        <w:jc w:val="both"/>
        <w:rPr>
          <w:rFonts w:hint="eastAsia" w:ascii="宋体" w:hAnsi="宋体" w:eastAsia="宋体" w:cs="宋体"/>
          <w:b/>
          <w:bCs/>
          <w:snapToGrid/>
          <w:sz w:val="32"/>
          <w:szCs w:val="32"/>
          <w:lang w:eastAsia="zh-CN" w:bidi="ar"/>
        </w:rPr>
      </w:pPr>
      <w:r>
        <w:rPr>
          <w:rFonts w:hint="eastAsia" w:ascii="宋体" w:hAnsi="宋体" w:eastAsia="宋体" w:cs="宋体"/>
          <w:b/>
          <w:bCs/>
          <w:snapToGrid/>
          <w:sz w:val="32"/>
          <w:szCs w:val="32"/>
          <w:lang w:eastAsia="zh-CN" w:bidi="ar"/>
        </w:rPr>
        <w:t>八、下一步改进措施</w:t>
      </w:r>
    </w:p>
    <w:p w14:paraId="477D9C81">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1. 健全履职成果转化机制，加强与相关部门的沟通协调，跟踪协商意见、调研报告的采纳落实情况，推动成果转化落地。</w:t>
      </w:r>
    </w:p>
    <w:p w14:paraId="38E9E7AA">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2. 深化预算绩效管理，完善绩效目标设定、过程监控、评价反馈机制，细化绩效评价指标，提升资金使用效益。</w:t>
      </w:r>
    </w:p>
    <w:p w14:paraId="006946B1">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3. 加强委员队伍建设，完善委员履职管理和激励机制，开展履职培训，提升委员履职能力和积极性。</w:t>
      </w:r>
    </w:p>
    <w:p w14:paraId="61C9B749">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4. 持续优化机关管理，进一步精简流程、提高效率，推动政协工作提质增效，更好服务全县经济社会发展大局。</w:t>
      </w:r>
    </w:p>
    <w:p w14:paraId="12895433">
      <w:pPr>
        <w:pStyle w:val="4"/>
        <w:widowControl w:val="0"/>
        <w:spacing w:line="560" w:lineRule="exact"/>
        <w:ind w:firstLine="643" w:firstLineChars="200"/>
        <w:jc w:val="both"/>
        <w:rPr>
          <w:rFonts w:hint="eastAsia" w:ascii="宋体" w:hAnsi="宋体" w:eastAsia="宋体" w:cs="宋体"/>
          <w:b/>
          <w:bCs/>
          <w:snapToGrid/>
          <w:sz w:val="32"/>
          <w:szCs w:val="32"/>
          <w:lang w:eastAsia="zh-CN" w:bidi="ar"/>
        </w:rPr>
      </w:pPr>
      <w:r>
        <w:rPr>
          <w:rFonts w:hint="eastAsia" w:ascii="宋体" w:hAnsi="宋体" w:eastAsia="宋体" w:cs="宋体"/>
          <w:b/>
          <w:bCs/>
          <w:snapToGrid/>
          <w:sz w:val="32"/>
          <w:szCs w:val="32"/>
          <w:lang w:eastAsia="zh-CN" w:bidi="ar"/>
        </w:rPr>
        <w:t>九、绩效自主结果拟应用和公开情况</w:t>
      </w:r>
    </w:p>
    <w:p w14:paraId="396FE0E0">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经自评，2025年度我单位整体支出绩效评价结论为“优”，自评结果为99.2分，并授权会同县财政局将在政府门户网站进行公开。</w:t>
      </w:r>
    </w:p>
    <w:p w14:paraId="1412BBA2">
      <w:pPr>
        <w:widowControl w:val="0"/>
        <w:spacing w:line="560" w:lineRule="exact"/>
        <w:ind w:firstLine="643" w:firstLineChars="200"/>
        <w:jc w:val="both"/>
        <w:outlineLvl w:val="1"/>
        <w:rPr>
          <w:rFonts w:hint="eastAsia" w:ascii="宋体" w:hAnsi="宋体" w:eastAsia="宋体" w:cs="宋体"/>
          <w:b/>
          <w:bCs/>
          <w:snapToGrid/>
          <w:sz w:val="32"/>
          <w:szCs w:val="32"/>
          <w:lang w:eastAsia="zh-CN" w:bidi="ar"/>
        </w:rPr>
      </w:pPr>
      <w:r>
        <w:rPr>
          <w:rFonts w:hint="eastAsia" w:ascii="宋体" w:hAnsi="宋体" w:eastAsia="宋体" w:cs="宋体"/>
          <w:b/>
          <w:bCs/>
          <w:snapToGrid/>
          <w:sz w:val="32"/>
          <w:szCs w:val="32"/>
          <w:lang w:eastAsia="zh-CN" w:bidi="ar"/>
        </w:rPr>
        <w:t>十、其他需要说明的情况</w:t>
      </w:r>
    </w:p>
    <w:p w14:paraId="2DB4E98E">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报告需要以下附件：</w:t>
      </w:r>
    </w:p>
    <w:p w14:paraId="1070ACCD">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1.部门整体支出绩效评价基础数据表(必填)</w:t>
      </w:r>
    </w:p>
    <w:p w14:paraId="4DA20180">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2.部门整体支出绩效自评表(必填)</w:t>
      </w:r>
    </w:p>
    <w:p w14:paraId="5B205AD9">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3.项目支出绩效自评表(每个一级项目支出一张表)</w:t>
      </w:r>
    </w:p>
    <w:p w14:paraId="034A1E63">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autoSpaceDE/>
        <w:autoSpaceDN/>
        <w:adjustRightInd/>
        <w:snapToGrid/>
        <w:jc w:val="both"/>
        <w:textAlignment w:val="auto"/>
        <w:rPr>
          <w:rFonts w:cs="宋体"/>
          <w:snapToGrid/>
          <w:sz w:val="31"/>
          <w:szCs w:val="31"/>
        </w:rPr>
      </w:pPr>
    </w:p>
    <w:p w14:paraId="4D7C707D">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autoSpaceDE/>
        <w:autoSpaceDN/>
        <w:adjustRightInd/>
        <w:snapToGrid/>
        <w:jc w:val="both"/>
        <w:textAlignment w:val="auto"/>
        <w:rPr>
          <w:rFonts w:cs="宋体"/>
          <w:snapToGrid/>
          <w:sz w:val="31"/>
          <w:szCs w:val="31"/>
        </w:rPr>
      </w:pPr>
    </w:p>
    <w:p w14:paraId="39F451EA">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autoSpaceDE/>
        <w:autoSpaceDN/>
        <w:adjustRightInd/>
        <w:snapToGrid/>
        <w:textAlignment w:val="auto"/>
        <w:rPr>
          <w:rFonts w:cs="宋体"/>
          <w:snapToGrid/>
          <w:sz w:val="31"/>
          <w:szCs w:val="31"/>
        </w:rPr>
      </w:pPr>
    </w:p>
    <w:p w14:paraId="6CF75B11">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autoSpaceDE/>
        <w:autoSpaceDN/>
        <w:adjustRightInd/>
        <w:snapToGrid/>
        <w:textAlignment w:val="auto"/>
        <w:rPr>
          <w:rFonts w:cs="宋体"/>
          <w:snapToGrid/>
          <w:sz w:val="31"/>
          <w:szCs w:val="31"/>
        </w:rPr>
      </w:pPr>
    </w:p>
    <w:p w14:paraId="686D8BF1">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autoSpaceDE/>
        <w:autoSpaceDN/>
        <w:adjustRightInd/>
        <w:snapToGrid/>
        <w:textAlignment w:val="auto"/>
        <w:rPr>
          <w:rFonts w:cs="宋体"/>
          <w:snapToGrid/>
          <w:sz w:val="31"/>
          <w:szCs w:val="31"/>
        </w:rPr>
      </w:pPr>
    </w:p>
    <w:p w14:paraId="4D9E84A0">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autoSpaceDE/>
        <w:autoSpaceDN/>
        <w:adjustRightInd/>
        <w:snapToGrid/>
        <w:textAlignment w:val="auto"/>
        <w:rPr>
          <w:rFonts w:cs="宋体"/>
          <w:snapToGrid/>
          <w:sz w:val="31"/>
          <w:szCs w:val="31"/>
        </w:rPr>
      </w:pPr>
    </w:p>
    <w:p w14:paraId="6C3E2B0E">
      <w:pPr>
        <w:kinsoku/>
        <w:autoSpaceDE/>
        <w:autoSpaceDN/>
        <w:adjustRightInd/>
        <w:snapToGrid/>
        <w:textAlignment w:val="auto"/>
        <w:rPr>
          <w:rFonts w:hint="eastAsia" w:ascii="黑体" w:hAnsi="黑体" w:eastAsia="黑体" w:cs="宋体"/>
          <w:snapToGrid/>
          <w:sz w:val="32"/>
          <w:szCs w:val="32"/>
          <w:lang w:eastAsia="zh-CN" w:bidi="ar"/>
        </w:rPr>
      </w:pPr>
    </w:p>
    <w:p w14:paraId="3234B2DA">
      <w:pPr>
        <w:kinsoku/>
        <w:autoSpaceDE/>
        <w:autoSpaceDN/>
        <w:adjustRightInd/>
        <w:snapToGrid/>
        <w:textAlignment w:val="auto"/>
        <w:rPr>
          <w:rFonts w:hint="eastAsia" w:ascii="黑体" w:hAnsi="黑体" w:eastAsia="黑体" w:cs="宋体"/>
          <w:snapToGrid/>
          <w:sz w:val="32"/>
          <w:szCs w:val="32"/>
          <w:lang w:eastAsia="zh-CN" w:bidi="ar"/>
        </w:rPr>
      </w:pPr>
      <w:r>
        <w:rPr>
          <w:rFonts w:hint="eastAsia" w:ascii="黑体" w:hAnsi="黑体" w:eastAsia="黑体" w:cs="宋体"/>
          <w:snapToGrid/>
          <w:sz w:val="32"/>
          <w:szCs w:val="32"/>
          <w:lang w:eastAsia="zh-CN" w:bidi="ar"/>
        </w:rPr>
        <w:t>附件1</w:t>
      </w:r>
    </w:p>
    <w:p w14:paraId="5DD33214">
      <w:pPr>
        <w:kinsoku/>
        <w:autoSpaceDE/>
        <w:autoSpaceDN/>
        <w:adjustRightInd/>
        <w:snapToGrid/>
        <w:jc w:val="center"/>
        <w:textAlignment w:val="auto"/>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2025年度部门整体支出绩效评价基础数据表</w:t>
      </w:r>
    </w:p>
    <w:p w14:paraId="0A350A74">
      <w:pPr>
        <w:spacing w:before="20" w:line="219" w:lineRule="auto"/>
        <w:ind w:left="179"/>
        <w:rPr>
          <w:rFonts w:hint="eastAsia" w:ascii="宋体" w:hAnsi="宋体" w:eastAsia="宋体" w:cs="宋体"/>
          <w:sz w:val="23"/>
          <w:szCs w:val="23"/>
          <w:lang w:eastAsia="zh-CN"/>
        </w:rPr>
      </w:pPr>
      <w:r>
        <w:rPr>
          <w:rFonts w:hint="eastAsia" w:ascii="宋体" w:hAnsi="宋体" w:eastAsia="宋体" w:cs="宋体"/>
          <w:spacing w:val="-1"/>
          <w:sz w:val="23"/>
          <w:szCs w:val="23"/>
          <w:lang w:eastAsia="zh-CN"/>
        </w:rPr>
        <w:t>填报单位：</w:t>
      </w:r>
      <w:r>
        <w:rPr>
          <w:rFonts w:hint="eastAsia" w:ascii="宋体" w:hAnsi="宋体" w:eastAsia="宋体" w:cs="宋体"/>
          <w:spacing w:val="-1"/>
          <w:sz w:val="23"/>
          <w:szCs w:val="23"/>
          <w:lang w:val="en-US" w:eastAsia="zh-CN"/>
        </w:rPr>
        <w:t>中国人民政治协商会议湖南省会同县委员会办公室</w:t>
      </w:r>
      <w:r>
        <w:rPr>
          <w:rFonts w:hint="eastAsia" w:ascii="宋体" w:hAnsi="宋体" w:eastAsia="宋体" w:cs="宋体"/>
          <w:spacing w:val="-1"/>
          <w:sz w:val="23"/>
          <w:szCs w:val="23"/>
          <w:lang w:eastAsia="zh-CN"/>
        </w:rPr>
        <w:t xml:space="preserve">         单位：万元</w:t>
      </w:r>
    </w:p>
    <w:p w14:paraId="2FDEA7CF">
      <w:pPr>
        <w:spacing w:line="26" w:lineRule="auto"/>
        <w:rPr>
          <w:rFonts w:hint="eastAsia" w:ascii="宋体" w:hAnsi="宋体" w:eastAsia="宋体" w:cs="宋体"/>
          <w:sz w:val="2"/>
          <w:lang w:eastAsia="zh-CN"/>
        </w:rPr>
      </w:pPr>
    </w:p>
    <w:tbl>
      <w:tblPr>
        <w:tblStyle w:val="25"/>
        <w:tblW w:w="8939" w:type="dxa"/>
        <w:tblInd w:w="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253"/>
        <w:gridCol w:w="1089"/>
        <w:gridCol w:w="746"/>
        <w:gridCol w:w="912"/>
        <w:gridCol w:w="1030"/>
        <w:gridCol w:w="991"/>
        <w:gridCol w:w="918"/>
      </w:tblGrid>
      <w:tr w14:paraId="7C7ED5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vMerge w:val="restart"/>
            <w:tcBorders>
              <w:bottom w:val="nil"/>
            </w:tcBorders>
            <w:vAlign w:val="center"/>
          </w:tcPr>
          <w:p w14:paraId="0BD8755D">
            <w:pPr>
              <w:pStyle w:val="24"/>
              <w:widowControl w:val="0"/>
              <w:spacing w:line="280" w:lineRule="exact"/>
              <w:jc w:val="center"/>
              <w:rPr>
                <w:rFonts w:hint="eastAsia"/>
              </w:rPr>
            </w:pPr>
            <w:r>
              <w:rPr>
                <w:rFonts w:hint="eastAsia"/>
                <w:spacing w:val="1"/>
              </w:rPr>
              <w:t>财政供养人员情况</w:t>
            </w:r>
          </w:p>
        </w:tc>
        <w:tc>
          <w:tcPr>
            <w:tcW w:w="1835" w:type="dxa"/>
            <w:gridSpan w:val="2"/>
            <w:vAlign w:val="center"/>
          </w:tcPr>
          <w:p w14:paraId="0A1B1701">
            <w:pPr>
              <w:pStyle w:val="24"/>
              <w:widowControl w:val="0"/>
              <w:spacing w:line="280" w:lineRule="exact"/>
              <w:ind w:left="563"/>
              <w:jc w:val="center"/>
              <w:rPr>
                <w:rFonts w:hint="eastAsia"/>
              </w:rPr>
            </w:pPr>
            <w:r>
              <w:rPr>
                <w:rFonts w:hint="eastAsia"/>
                <w:spacing w:val="3"/>
              </w:rPr>
              <w:t>编制数</w:t>
            </w:r>
          </w:p>
        </w:tc>
        <w:tc>
          <w:tcPr>
            <w:tcW w:w="1942" w:type="dxa"/>
            <w:gridSpan w:val="2"/>
            <w:vAlign w:val="center"/>
          </w:tcPr>
          <w:p w14:paraId="4C4E26E7">
            <w:pPr>
              <w:pStyle w:val="24"/>
              <w:widowControl w:val="0"/>
              <w:spacing w:line="280" w:lineRule="exact"/>
              <w:ind w:left="504" w:right="370" w:hanging="119"/>
              <w:jc w:val="center"/>
              <w:rPr>
                <w:rFonts w:hint="eastAsia"/>
              </w:rPr>
            </w:pPr>
            <w:r>
              <w:rPr>
                <w:rFonts w:hint="eastAsia"/>
                <w:spacing w:val="1"/>
              </w:rPr>
              <w:t>2024年实际</w:t>
            </w:r>
            <w:r>
              <w:rPr>
                <w:rFonts w:hint="eastAsia"/>
                <w:spacing w:val="-2"/>
              </w:rPr>
              <w:t>在职人数</w:t>
            </w:r>
          </w:p>
        </w:tc>
        <w:tc>
          <w:tcPr>
            <w:tcW w:w="1909" w:type="dxa"/>
            <w:gridSpan w:val="2"/>
            <w:vAlign w:val="center"/>
          </w:tcPr>
          <w:p w14:paraId="6D3745D4">
            <w:pPr>
              <w:pStyle w:val="24"/>
              <w:widowControl w:val="0"/>
              <w:spacing w:line="280" w:lineRule="exact"/>
              <w:ind w:left="608"/>
              <w:jc w:val="center"/>
              <w:rPr>
                <w:rFonts w:hint="eastAsia"/>
              </w:rPr>
            </w:pPr>
            <w:r>
              <w:rPr>
                <w:rFonts w:hint="eastAsia"/>
                <w:spacing w:val="-2"/>
              </w:rPr>
              <w:t>控制率</w:t>
            </w:r>
          </w:p>
        </w:tc>
      </w:tr>
      <w:tr w14:paraId="405CCE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vMerge w:val="continue"/>
            <w:tcBorders>
              <w:top w:val="nil"/>
            </w:tcBorders>
          </w:tcPr>
          <w:p w14:paraId="28BEF629">
            <w:pPr>
              <w:widowControl w:val="0"/>
              <w:spacing w:line="280" w:lineRule="exact"/>
              <w:rPr>
                <w:rFonts w:hint="eastAsia" w:ascii="宋体" w:hAnsi="宋体" w:eastAsia="宋体" w:cs="宋体"/>
              </w:rPr>
            </w:pPr>
          </w:p>
        </w:tc>
        <w:tc>
          <w:tcPr>
            <w:tcW w:w="1835" w:type="dxa"/>
            <w:gridSpan w:val="2"/>
            <w:vAlign w:val="center"/>
          </w:tcPr>
          <w:p w14:paraId="45AF7136">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28</w:t>
            </w:r>
          </w:p>
        </w:tc>
        <w:tc>
          <w:tcPr>
            <w:tcW w:w="1942" w:type="dxa"/>
            <w:gridSpan w:val="2"/>
            <w:vAlign w:val="center"/>
          </w:tcPr>
          <w:p w14:paraId="19B25FEB">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28</w:t>
            </w:r>
          </w:p>
        </w:tc>
        <w:tc>
          <w:tcPr>
            <w:tcW w:w="1909" w:type="dxa"/>
            <w:gridSpan w:val="2"/>
            <w:vAlign w:val="center"/>
          </w:tcPr>
          <w:p w14:paraId="5AF33C4A">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100%</w:t>
            </w:r>
          </w:p>
        </w:tc>
      </w:tr>
      <w:tr w14:paraId="69392A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435BB8E0">
            <w:pPr>
              <w:pStyle w:val="24"/>
              <w:widowControl w:val="0"/>
              <w:spacing w:line="280" w:lineRule="exact"/>
              <w:ind w:left="948"/>
              <w:rPr>
                <w:rFonts w:hint="eastAsia"/>
              </w:rPr>
            </w:pPr>
            <w:r>
              <w:rPr>
                <w:rFonts w:hint="eastAsia"/>
                <w:b/>
                <w:bCs/>
                <w:spacing w:val="-5"/>
              </w:rPr>
              <w:t>经费控制情况</w:t>
            </w:r>
          </w:p>
        </w:tc>
        <w:tc>
          <w:tcPr>
            <w:tcW w:w="1835" w:type="dxa"/>
            <w:gridSpan w:val="2"/>
            <w:vAlign w:val="center"/>
          </w:tcPr>
          <w:p w14:paraId="30D045C3">
            <w:pPr>
              <w:pStyle w:val="24"/>
              <w:widowControl w:val="0"/>
              <w:spacing w:line="280" w:lineRule="exact"/>
              <w:jc w:val="center"/>
              <w:rPr>
                <w:rFonts w:hint="eastAsia"/>
              </w:rPr>
            </w:pPr>
            <w:r>
              <w:rPr>
                <w:rFonts w:hint="eastAsia"/>
                <w:b/>
                <w:bCs/>
                <w:spacing w:val="-4"/>
              </w:rPr>
              <w:t>202</w:t>
            </w:r>
            <w:r>
              <w:rPr>
                <w:rFonts w:hint="eastAsia"/>
                <w:b/>
                <w:bCs/>
                <w:spacing w:val="-4"/>
                <w:lang w:eastAsia="zh-CN"/>
              </w:rPr>
              <w:t>4</w:t>
            </w:r>
            <w:r>
              <w:rPr>
                <w:rFonts w:hint="eastAsia"/>
                <w:b/>
                <w:bCs/>
                <w:spacing w:val="-4"/>
              </w:rPr>
              <w:t>年决算数</w:t>
            </w:r>
          </w:p>
        </w:tc>
        <w:tc>
          <w:tcPr>
            <w:tcW w:w="1942" w:type="dxa"/>
            <w:gridSpan w:val="2"/>
            <w:vAlign w:val="center"/>
          </w:tcPr>
          <w:p w14:paraId="41112241">
            <w:pPr>
              <w:pStyle w:val="24"/>
              <w:widowControl w:val="0"/>
              <w:spacing w:line="280" w:lineRule="exact"/>
              <w:jc w:val="center"/>
              <w:rPr>
                <w:rFonts w:hint="eastAsia"/>
              </w:rPr>
            </w:pPr>
            <w:r>
              <w:rPr>
                <w:rFonts w:hint="eastAsia"/>
                <w:b/>
                <w:bCs/>
                <w:spacing w:val="-4"/>
              </w:rPr>
              <w:t>202</w:t>
            </w:r>
            <w:r>
              <w:rPr>
                <w:rFonts w:hint="eastAsia"/>
                <w:b/>
                <w:bCs/>
                <w:spacing w:val="-4"/>
                <w:lang w:eastAsia="zh-CN"/>
              </w:rPr>
              <w:t>5</w:t>
            </w:r>
            <w:r>
              <w:rPr>
                <w:rFonts w:hint="eastAsia"/>
                <w:b/>
                <w:bCs/>
                <w:spacing w:val="-4"/>
              </w:rPr>
              <w:t>年预算数</w:t>
            </w:r>
          </w:p>
        </w:tc>
        <w:tc>
          <w:tcPr>
            <w:tcW w:w="1909" w:type="dxa"/>
            <w:gridSpan w:val="2"/>
            <w:vAlign w:val="center"/>
          </w:tcPr>
          <w:p w14:paraId="495BFE57">
            <w:pPr>
              <w:pStyle w:val="24"/>
              <w:widowControl w:val="0"/>
              <w:spacing w:line="280" w:lineRule="exact"/>
              <w:jc w:val="center"/>
              <w:rPr>
                <w:rFonts w:hint="eastAsia"/>
              </w:rPr>
            </w:pPr>
            <w:r>
              <w:rPr>
                <w:rFonts w:hint="eastAsia"/>
                <w:b/>
                <w:bCs/>
                <w:spacing w:val="-4"/>
              </w:rPr>
              <w:t>202</w:t>
            </w:r>
            <w:r>
              <w:rPr>
                <w:rFonts w:hint="eastAsia"/>
                <w:b/>
                <w:bCs/>
                <w:spacing w:val="-4"/>
                <w:lang w:eastAsia="zh-CN"/>
              </w:rPr>
              <w:t>5</w:t>
            </w:r>
            <w:r>
              <w:rPr>
                <w:rFonts w:hint="eastAsia"/>
                <w:b/>
                <w:bCs/>
                <w:spacing w:val="-4"/>
              </w:rPr>
              <w:t>年决算数</w:t>
            </w:r>
          </w:p>
        </w:tc>
      </w:tr>
      <w:tr w14:paraId="1D30F7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5122EA25">
            <w:pPr>
              <w:pStyle w:val="24"/>
              <w:widowControl w:val="0"/>
              <w:spacing w:line="280" w:lineRule="exact"/>
              <w:ind w:left="108"/>
              <w:rPr>
                <w:rFonts w:hint="eastAsia"/>
              </w:rPr>
            </w:pPr>
            <w:r>
              <w:rPr>
                <w:rFonts w:hint="eastAsia"/>
                <w:b/>
                <w:bCs/>
                <w:spacing w:val="-5"/>
              </w:rPr>
              <w:t>三公经费</w:t>
            </w:r>
          </w:p>
        </w:tc>
        <w:tc>
          <w:tcPr>
            <w:tcW w:w="1835" w:type="dxa"/>
            <w:gridSpan w:val="2"/>
            <w:vAlign w:val="center"/>
          </w:tcPr>
          <w:p w14:paraId="437D75BE">
            <w:pPr>
              <w:widowControl w:val="0"/>
              <w:spacing w:line="280" w:lineRule="exact"/>
              <w:jc w:val="center"/>
              <w:rPr>
                <w:rFonts w:hint="default" w:ascii="宋体" w:hAnsi="宋体" w:eastAsia="宋体" w:cs="宋体"/>
                <w:lang w:val="en-US" w:eastAsia="zh-CN"/>
              </w:rPr>
            </w:pPr>
            <w:r>
              <w:rPr>
                <w:rFonts w:hint="eastAsia" w:ascii="宋体" w:hAnsi="宋体" w:eastAsia="宋体" w:cs="宋体"/>
                <w:lang w:eastAsia="zh-CN"/>
              </w:rPr>
              <w:t>9.</w:t>
            </w:r>
            <w:r>
              <w:rPr>
                <w:rFonts w:hint="eastAsia" w:ascii="宋体" w:hAnsi="宋体" w:eastAsia="宋体" w:cs="宋体"/>
                <w:lang w:val="en-US" w:eastAsia="zh-CN"/>
              </w:rPr>
              <w:t>22</w:t>
            </w:r>
          </w:p>
        </w:tc>
        <w:tc>
          <w:tcPr>
            <w:tcW w:w="1942" w:type="dxa"/>
            <w:gridSpan w:val="2"/>
            <w:vAlign w:val="center"/>
          </w:tcPr>
          <w:p w14:paraId="3F1ACDDE">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5.99</w:t>
            </w:r>
          </w:p>
        </w:tc>
        <w:tc>
          <w:tcPr>
            <w:tcW w:w="1909" w:type="dxa"/>
            <w:gridSpan w:val="2"/>
            <w:vAlign w:val="center"/>
          </w:tcPr>
          <w:p w14:paraId="0258A14F">
            <w:pPr>
              <w:widowControl w:val="0"/>
              <w:spacing w:line="280" w:lineRule="exact"/>
              <w:ind w:firstLine="630" w:firstLineChars="300"/>
              <w:jc w:val="center"/>
              <w:rPr>
                <w:rFonts w:hint="eastAsia" w:ascii="宋体" w:hAnsi="宋体" w:eastAsia="宋体" w:cs="宋体"/>
                <w:lang w:eastAsia="zh-CN"/>
              </w:rPr>
            </w:pPr>
            <w:r>
              <w:rPr>
                <w:rFonts w:hint="eastAsia" w:ascii="宋体" w:hAnsi="宋体" w:eastAsia="宋体" w:cs="宋体"/>
                <w:lang w:eastAsia="zh-CN"/>
              </w:rPr>
              <w:t>5.99</w:t>
            </w:r>
          </w:p>
        </w:tc>
      </w:tr>
      <w:tr w14:paraId="7E2FC8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7A85F6B2">
            <w:pPr>
              <w:pStyle w:val="24"/>
              <w:widowControl w:val="0"/>
              <w:spacing w:line="280" w:lineRule="exact"/>
              <w:ind w:right="41"/>
              <w:jc w:val="both"/>
              <w:rPr>
                <w:rFonts w:hint="eastAsia"/>
                <w:lang w:eastAsia="zh-CN"/>
              </w:rPr>
            </w:pPr>
            <w:r>
              <w:rPr>
                <w:rFonts w:hint="eastAsia"/>
                <w:spacing w:val="1"/>
                <w:lang w:eastAsia="zh-CN"/>
              </w:rPr>
              <w:t>1.公务用车购置和维护经费</w:t>
            </w:r>
          </w:p>
        </w:tc>
        <w:tc>
          <w:tcPr>
            <w:tcW w:w="1835" w:type="dxa"/>
            <w:gridSpan w:val="2"/>
            <w:vAlign w:val="center"/>
          </w:tcPr>
          <w:p w14:paraId="0055FA9C">
            <w:pPr>
              <w:widowControl w:val="0"/>
              <w:spacing w:line="280" w:lineRule="exact"/>
              <w:ind w:firstLine="630" w:firstLineChars="300"/>
              <w:jc w:val="center"/>
              <w:rPr>
                <w:rFonts w:hint="eastAsia" w:ascii="宋体" w:hAnsi="宋体" w:eastAsia="宋体" w:cs="宋体"/>
                <w:lang w:eastAsia="zh-CN"/>
              </w:rPr>
            </w:pPr>
            <w:r>
              <w:rPr>
                <w:rFonts w:hint="eastAsia" w:ascii="宋体" w:hAnsi="宋体" w:eastAsia="宋体" w:cs="宋体"/>
                <w:lang w:eastAsia="zh-CN"/>
              </w:rPr>
              <w:t>5.13</w:t>
            </w:r>
          </w:p>
        </w:tc>
        <w:tc>
          <w:tcPr>
            <w:tcW w:w="1942" w:type="dxa"/>
            <w:gridSpan w:val="2"/>
            <w:vAlign w:val="center"/>
          </w:tcPr>
          <w:p w14:paraId="7D7BF488">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5.77</w:t>
            </w:r>
          </w:p>
        </w:tc>
        <w:tc>
          <w:tcPr>
            <w:tcW w:w="1909" w:type="dxa"/>
            <w:gridSpan w:val="2"/>
            <w:vAlign w:val="center"/>
          </w:tcPr>
          <w:p w14:paraId="1760F8A6">
            <w:pPr>
              <w:widowControl w:val="0"/>
              <w:spacing w:line="280" w:lineRule="exact"/>
              <w:ind w:firstLine="630" w:firstLineChars="300"/>
              <w:jc w:val="center"/>
              <w:rPr>
                <w:rFonts w:hint="eastAsia" w:ascii="宋体" w:hAnsi="宋体" w:eastAsia="宋体" w:cs="宋体"/>
                <w:lang w:eastAsia="zh-CN"/>
              </w:rPr>
            </w:pPr>
            <w:r>
              <w:rPr>
                <w:rFonts w:hint="eastAsia" w:ascii="宋体" w:hAnsi="宋体" w:eastAsia="宋体" w:cs="宋体"/>
                <w:lang w:eastAsia="zh-CN"/>
              </w:rPr>
              <w:t>5.77</w:t>
            </w:r>
          </w:p>
        </w:tc>
      </w:tr>
      <w:tr w14:paraId="2293B3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0A1C7872">
            <w:pPr>
              <w:pStyle w:val="24"/>
              <w:widowControl w:val="0"/>
              <w:spacing w:line="280" w:lineRule="exact"/>
              <w:ind w:firstLine="412" w:firstLineChars="200"/>
              <w:rPr>
                <w:rFonts w:hint="eastAsia"/>
              </w:rPr>
            </w:pPr>
            <w:r>
              <w:rPr>
                <w:rFonts w:hint="eastAsia"/>
                <w:spacing w:val="-2"/>
              </w:rPr>
              <w:t>其中：公车购置</w:t>
            </w:r>
          </w:p>
        </w:tc>
        <w:tc>
          <w:tcPr>
            <w:tcW w:w="1835" w:type="dxa"/>
            <w:gridSpan w:val="2"/>
            <w:vAlign w:val="center"/>
          </w:tcPr>
          <w:p w14:paraId="01456F94">
            <w:pPr>
              <w:widowControl w:val="0"/>
              <w:spacing w:line="280" w:lineRule="exact"/>
              <w:jc w:val="center"/>
              <w:rPr>
                <w:rFonts w:hint="eastAsia" w:ascii="宋体" w:hAnsi="宋体" w:eastAsia="宋体" w:cs="宋体"/>
                <w:lang w:eastAsia="zh-CN"/>
              </w:rPr>
            </w:pPr>
          </w:p>
        </w:tc>
        <w:tc>
          <w:tcPr>
            <w:tcW w:w="1942" w:type="dxa"/>
            <w:gridSpan w:val="2"/>
            <w:vAlign w:val="center"/>
          </w:tcPr>
          <w:p w14:paraId="5FD64327">
            <w:pPr>
              <w:widowControl w:val="0"/>
              <w:spacing w:line="280" w:lineRule="exact"/>
              <w:jc w:val="center"/>
              <w:rPr>
                <w:rFonts w:hint="eastAsia" w:ascii="宋体" w:hAnsi="宋体" w:eastAsia="宋体" w:cs="宋体"/>
              </w:rPr>
            </w:pPr>
          </w:p>
        </w:tc>
        <w:tc>
          <w:tcPr>
            <w:tcW w:w="1909" w:type="dxa"/>
            <w:gridSpan w:val="2"/>
            <w:vAlign w:val="center"/>
          </w:tcPr>
          <w:p w14:paraId="39DB0676">
            <w:pPr>
              <w:widowControl w:val="0"/>
              <w:spacing w:line="280" w:lineRule="exact"/>
              <w:jc w:val="center"/>
              <w:rPr>
                <w:rFonts w:hint="eastAsia" w:ascii="宋体" w:hAnsi="宋体" w:eastAsia="宋体" w:cs="宋体"/>
                <w:lang w:eastAsia="zh-CN"/>
              </w:rPr>
            </w:pPr>
          </w:p>
        </w:tc>
      </w:tr>
      <w:tr w14:paraId="7BEF00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1750D561">
            <w:pPr>
              <w:pStyle w:val="24"/>
              <w:widowControl w:val="0"/>
              <w:spacing w:line="280" w:lineRule="exact"/>
              <w:ind w:firstLine="1070" w:firstLineChars="500"/>
              <w:rPr>
                <w:rFonts w:hint="eastAsia"/>
              </w:rPr>
            </w:pPr>
            <w:r>
              <w:rPr>
                <w:rFonts w:hint="eastAsia"/>
                <w:spacing w:val="2"/>
              </w:rPr>
              <w:t>公车运行维护</w:t>
            </w:r>
          </w:p>
        </w:tc>
        <w:tc>
          <w:tcPr>
            <w:tcW w:w="1835" w:type="dxa"/>
            <w:gridSpan w:val="2"/>
            <w:vAlign w:val="center"/>
          </w:tcPr>
          <w:p w14:paraId="13169B05">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5.13</w:t>
            </w:r>
          </w:p>
        </w:tc>
        <w:tc>
          <w:tcPr>
            <w:tcW w:w="1942" w:type="dxa"/>
            <w:gridSpan w:val="2"/>
            <w:vAlign w:val="center"/>
          </w:tcPr>
          <w:p w14:paraId="6545CBCE">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5.77</w:t>
            </w:r>
          </w:p>
        </w:tc>
        <w:tc>
          <w:tcPr>
            <w:tcW w:w="1909" w:type="dxa"/>
            <w:gridSpan w:val="2"/>
            <w:vAlign w:val="center"/>
          </w:tcPr>
          <w:p w14:paraId="41A8987E">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5.77</w:t>
            </w:r>
          </w:p>
        </w:tc>
      </w:tr>
      <w:tr w14:paraId="18315B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1B0168D2">
            <w:pPr>
              <w:pStyle w:val="24"/>
              <w:widowControl w:val="0"/>
              <w:spacing w:line="280" w:lineRule="exact"/>
              <w:rPr>
                <w:rFonts w:hint="eastAsia"/>
              </w:rPr>
            </w:pPr>
            <w:r>
              <w:rPr>
                <w:rFonts w:hint="eastAsia"/>
                <w:spacing w:val="3"/>
              </w:rPr>
              <w:t>2.出国经费</w:t>
            </w:r>
          </w:p>
        </w:tc>
        <w:tc>
          <w:tcPr>
            <w:tcW w:w="1835" w:type="dxa"/>
            <w:gridSpan w:val="2"/>
            <w:vAlign w:val="center"/>
          </w:tcPr>
          <w:p w14:paraId="201EF2DE">
            <w:pPr>
              <w:widowControl w:val="0"/>
              <w:spacing w:line="280" w:lineRule="exact"/>
              <w:jc w:val="center"/>
              <w:rPr>
                <w:rFonts w:hint="eastAsia" w:ascii="宋体" w:hAnsi="宋体" w:eastAsia="宋体" w:cs="宋体"/>
              </w:rPr>
            </w:pPr>
          </w:p>
        </w:tc>
        <w:tc>
          <w:tcPr>
            <w:tcW w:w="1942" w:type="dxa"/>
            <w:gridSpan w:val="2"/>
            <w:vAlign w:val="center"/>
          </w:tcPr>
          <w:p w14:paraId="5E57F96D">
            <w:pPr>
              <w:widowControl w:val="0"/>
              <w:spacing w:line="280" w:lineRule="exact"/>
              <w:jc w:val="center"/>
              <w:rPr>
                <w:rFonts w:hint="eastAsia" w:ascii="宋体" w:hAnsi="宋体" w:eastAsia="宋体" w:cs="宋体"/>
              </w:rPr>
            </w:pPr>
          </w:p>
        </w:tc>
        <w:tc>
          <w:tcPr>
            <w:tcW w:w="1909" w:type="dxa"/>
            <w:gridSpan w:val="2"/>
            <w:vAlign w:val="center"/>
          </w:tcPr>
          <w:p w14:paraId="7008AF13">
            <w:pPr>
              <w:widowControl w:val="0"/>
              <w:spacing w:line="280" w:lineRule="exact"/>
              <w:jc w:val="center"/>
              <w:rPr>
                <w:rFonts w:hint="eastAsia" w:ascii="宋体" w:hAnsi="宋体" w:eastAsia="宋体" w:cs="宋体"/>
              </w:rPr>
            </w:pPr>
          </w:p>
        </w:tc>
      </w:tr>
      <w:tr w14:paraId="15F8AD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38A31549">
            <w:pPr>
              <w:pStyle w:val="24"/>
              <w:widowControl w:val="0"/>
              <w:spacing w:line="280" w:lineRule="exact"/>
              <w:rPr>
                <w:rFonts w:hint="eastAsia"/>
              </w:rPr>
            </w:pPr>
            <w:r>
              <w:rPr>
                <w:rFonts w:hint="eastAsia"/>
                <w:spacing w:val="2"/>
              </w:rPr>
              <w:t>3.公务接待</w:t>
            </w:r>
          </w:p>
        </w:tc>
        <w:tc>
          <w:tcPr>
            <w:tcW w:w="1835" w:type="dxa"/>
            <w:gridSpan w:val="2"/>
            <w:vAlign w:val="center"/>
          </w:tcPr>
          <w:p w14:paraId="63746E94">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3.93</w:t>
            </w:r>
          </w:p>
        </w:tc>
        <w:tc>
          <w:tcPr>
            <w:tcW w:w="1942" w:type="dxa"/>
            <w:gridSpan w:val="2"/>
            <w:vAlign w:val="center"/>
          </w:tcPr>
          <w:p w14:paraId="04C31489">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0.22</w:t>
            </w:r>
          </w:p>
        </w:tc>
        <w:tc>
          <w:tcPr>
            <w:tcW w:w="1909" w:type="dxa"/>
            <w:gridSpan w:val="2"/>
            <w:vAlign w:val="center"/>
          </w:tcPr>
          <w:p w14:paraId="4AF78D68">
            <w:pPr>
              <w:widowControl w:val="0"/>
              <w:spacing w:line="280" w:lineRule="exact"/>
              <w:ind w:firstLine="630" w:firstLineChars="300"/>
              <w:jc w:val="center"/>
              <w:rPr>
                <w:rFonts w:hint="eastAsia" w:ascii="宋体" w:hAnsi="宋体" w:eastAsia="宋体" w:cs="宋体"/>
                <w:lang w:eastAsia="zh-CN"/>
              </w:rPr>
            </w:pPr>
            <w:r>
              <w:rPr>
                <w:rFonts w:hint="eastAsia" w:ascii="宋体" w:hAnsi="宋体" w:eastAsia="宋体" w:cs="宋体"/>
                <w:lang w:eastAsia="zh-CN"/>
              </w:rPr>
              <w:t>0.22</w:t>
            </w:r>
          </w:p>
        </w:tc>
      </w:tr>
      <w:tr w14:paraId="457F6A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001625AE">
            <w:pPr>
              <w:pStyle w:val="24"/>
              <w:widowControl w:val="0"/>
              <w:spacing w:line="280" w:lineRule="exact"/>
              <w:ind w:left="108"/>
              <w:rPr>
                <w:rFonts w:hint="eastAsia"/>
              </w:rPr>
            </w:pPr>
            <w:r>
              <w:rPr>
                <w:rFonts w:hint="eastAsia"/>
                <w:b/>
                <w:bCs/>
                <w:spacing w:val="2"/>
              </w:rPr>
              <w:t>项目支出</w:t>
            </w:r>
          </w:p>
        </w:tc>
        <w:tc>
          <w:tcPr>
            <w:tcW w:w="1835" w:type="dxa"/>
            <w:gridSpan w:val="2"/>
            <w:vAlign w:val="center"/>
          </w:tcPr>
          <w:p w14:paraId="6CB02627">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107.45</w:t>
            </w:r>
          </w:p>
        </w:tc>
        <w:tc>
          <w:tcPr>
            <w:tcW w:w="1942" w:type="dxa"/>
            <w:gridSpan w:val="2"/>
            <w:vAlign w:val="center"/>
          </w:tcPr>
          <w:p w14:paraId="3CB48AE0">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41.44</w:t>
            </w:r>
          </w:p>
        </w:tc>
        <w:tc>
          <w:tcPr>
            <w:tcW w:w="1909" w:type="dxa"/>
            <w:gridSpan w:val="2"/>
            <w:vAlign w:val="center"/>
          </w:tcPr>
          <w:p w14:paraId="7540796E">
            <w:pPr>
              <w:widowControl w:val="0"/>
              <w:spacing w:line="280" w:lineRule="exact"/>
              <w:ind w:firstLine="420" w:firstLineChars="200"/>
              <w:jc w:val="center"/>
              <w:rPr>
                <w:rFonts w:hint="eastAsia" w:ascii="宋体" w:hAnsi="宋体" w:eastAsia="宋体" w:cs="宋体"/>
                <w:lang w:eastAsia="zh-CN"/>
              </w:rPr>
            </w:pPr>
            <w:r>
              <w:rPr>
                <w:rFonts w:hint="eastAsia" w:ascii="宋体" w:hAnsi="宋体" w:eastAsia="宋体" w:cs="宋体"/>
                <w:lang w:eastAsia="zh-CN"/>
              </w:rPr>
              <w:t>41.44</w:t>
            </w:r>
          </w:p>
        </w:tc>
      </w:tr>
      <w:tr w14:paraId="634C08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4430D513">
            <w:pPr>
              <w:pStyle w:val="24"/>
              <w:widowControl w:val="0"/>
              <w:spacing w:line="280" w:lineRule="exact"/>
              <w:rPr>
                <w:rFonts w:hint="eastAsia"/>
              </w:rPr>
            </w:pPr>
            <w:r>
              <w:rPr>
                <w:rFonts w:hint="eastAsia"/>
                <w:spacing w:val="1"/>
              </w:rPr>
              <w:t>1.</w:t>
            </w:r>
            <w:r>
              <w:rPr>
                <w:rFonts w:hint="eastAsia"/>
                <w:spacing w:val="1"/>
                <w:lang w:eastAsia="zh-CN"/>
              </w:rPr>
              <w:t>委员经费</w:t>
            </w:r>
          </w:p>
        </w:tc>
        <w:tc>
          <w:tcPr>
            <w:tcW w:w="1835" w:type="dxa"/>
            <w:gridSpan w:val="2"/>
            <w:vAlign w:val="center"/>
          </w:tcPr>
          <w:p w14:paraId="206AFFE3">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16.11</w:t>
            </w:r>
          </w:p>
        </w:tc>
        <w:tc>
          <w:tcPr>
            <w:tcW w:w="1942" w:type="dxa"/>
            <w:gridSpan w:val="2"/>
            <w:vAlign w:val="center"/>
          </w:tcPr>
          <w:p w14:paraId="43E773F7">
            <w:pPr>
              <w:widowControl w:val="0"/>
              <w:spacing w:line="280" w:lineRule="exact"/>
              <w:ind w:firstLine="630" w:firstLineChars="300"/>
              <w:jc w:val="center"/>
              <w:rPr>
                <w:rFonts w:hint="eastAsia" w:ascii="宋体" w:hAnsi="宋体" w:eastAsia="宋体" w:cs="宋体"/>
                <w:lang w:eastAsia="zh-CN"/>
              </w:rPr>
            </w:pPr>
          </w:p>
        </w:tc>
        <w:tc>
          <w:tcPr>
            <w:tcW w:w="1909" w:type="dxa"/>
            <w:gridSpan w:val="2"/>
            <w:vAlign w:val="center"/>
          </w:tcPr>
          <w:p w14:paraId="2158B608">
            <w:pPr>
              <w:widowControl w:val="0"/>
              <w:spacing w:line="280" w:lineRule="exact"/>
              <w:ind w:firstLine="420" w:firstLineChars="200"/>
              <w:jc w:val="center"/>
              <w:rPr>
                <w:rFonts w:hint="eastAsia" w:ascii="宋体" w:hAnsi="宋体" w:eastAsia="宋体" w:cs="宋体"/>
                <w:lang w:eastAsia="zh-CN"/>
              </w:rPr>
            </w:pPr>
          </w:p>
        </w:tc>
      </w:tr>
      <w:tr w14:paraId="3F3508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76F1EE07">
            <w:pPr>
              <w:pStyle w:val="24"/>
              <w:widowControl w:val="0"/>
              <w:spacing w:line="280" w:lineRule="exact"/>
              <w:rPr>
                <w:rFonts w:hint="eastAsia"/>
                <w:lang w:eastAsia="zh-CN"/>
              </w:rPr>
            </w:pPr>
            <w:r>
              <w:rPr>
                <w:rFonts w:hint="eastAsia"/>
                <w:spacing w:val="1"/>
              </w:rPr>
              <w:t>2.</w:t>
            </w:r>
            <w:r>
              <w:rPr>
                <w:rFonts w:hint="eastAsia"/>
                <w:spacing w:val="1"/>
                <w:lang w:eastAsia="zh-CN"/>
              </w:rPr>
              <w:t>委员交通通讯补助</w:t>
            </w:r>
          </w:p>
        </w:tc>
        <w:tc>
          <w:tcPr>
            <w:tcW w:w="1835" w:type="dxa"/>
            <w:gridSpan w:val="2"/>
            <w:vAlign w:val="center"/>
          </w:tcPr>
          <w:p w14:paraId="3A4581B2">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23.4</w:t>
            </w:r>
          </w:p>
        </w:tc>
        <w:tc>
          <w:tcPr>
            <w:tcW w:w="1942" w:type="dxa"/>
            <w:gridSpan w:val="2"/>
            <w:vAlign w:val="center"/>
          </w:tcPr>
          <w:p w14:paraId="178D6CF2">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22.45</w:t>
            </w:r>
          </w:p>
        </w:tc>
        <w:tc>
          <w:tcPr>
            <w:tcW w:w="1909" w:type="dxa"/>
            <w:gridSpan w:val="2"/>
            <w:vAlign w:val="center"/>
          </w:tcPr>
          <w:p w14:paraId="27994D3E">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22.45</w:t>
            </w:r>
          </w:p>
        </w:tc>
      </w:tr>
      <w:tr w14:paraId="33BBAC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708F6EAA">
            <w:pPr>
              <w:pStyle w:val="24"/>
              <w:widowControl w:val="0"/>
              <w:spacing w:line="280" w:lineRule="exact"/>
              <w:rPr>
                <w:rFonts w:hint="eastAsia"/>
                <w:lang w:eastAsia="zh-CN"/>
              </w:rPr>
            </w:pPr>
            <w:r>
              <w:rPr>
                <w:rFonts w:hint="eastAsia"/>
                <w:lang w:eastAsia="zh-CN"/>
              </w:rPr>
              <w:t>3、其他重点工作专项资金（含委员工作室工作经费）</w:t>
            </w:r>
          </w:p>
        </w:tc>
        <w:tc>
          <w:tcPr>
            <w:tcW w:w="1835" w:type="dxa"/>
            <w:gridSpan w:val="2"/>
            <w:vAlign w:val="center"/>
          </w:tcPr>
          <w:p w14:paraId="49957282">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67.93</w:t>
            </w:r>
          </w:p>
        </w:tc>
        <w:tc>
          <w:tcPr>
            <w:tcW w:w="1942" w:type="dxa"/>
            <w:gridSpan w:val="2"/>
            <w:vAlign w:val="center"/>
          </w:tcPr>
          <w:p w14:paraId="0556BDB9">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18.99</w:t>
            </w:r>
          </w:p>
        </w:tc>
        <w:tc>
          <w:tcPr>
            <w:tcW w:w="1909" w:type="dxa"/>
            <w:gridSpan w:val="2"/>
            <w:vAlign w:val="center"/>
          </w:tcPr>
          <w:p w14:paraId="6BB9032C">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18.99</w:t>
            </w:r>
          </w:p>
        </w:tc>
      </w:tr>
      <w:tr w14:paraId="100DA7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41C99B5C">
            <w:pPr>
              <w:pStyle w:val="24"/>
              <w:widowControl w:val="0"/>
              <w:spacing w:line="280" w:lineRule="exact"/>
              <w:ind w:left="108"/>
              <w:rPr>
                <w:rFonts w:hint="eastAsia"/>
              </w:rPr>
            </w:pPr>
            <w:r>
              <w:rPr>
                <w:rFonts w:hint="eastAsia"/>
                <w:b/>
                <w:bCs/>
                <w:spacing w:val="-1"/>
              </w:rPr>
              <w:t>公用经费</w:t>
            </w:r>
          </w:p>
        </w:tc>
        <w:tc>
          <w:tcPr>
            <w:tcW w:w="1835" w:type="dxa"/>
            <w:gridSpan w:val="2"/>
            <w:vAlign w:val="center"/>
          </w:tcPr>
          <w:p w14:paraId="6E59DDCE">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84.14</w:t>
            </w:r>
          </w:p>
        </w:tc>
        <w:tc>
          <w:tcPr>
            <w:tcW w:w="1942" w:type="dxa"/>
            <w:gridSpan w:val="2"/>
            <w:vAlign w:val="center"/>
          </w:tcPr>
          <w:p w14:paraId="089F0952">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159.03</w:t>
            </w:r>
          </w:p>
        </w:tc>
        <w:tc>
          <w:tcPr>
            <w:tcW w:w="1909" w:type="dxa"/>
            <w:gridSpan w:val="2"/>
            <w:vAlign w:val="center"/>
          </w:tcPr>
          <w:p w14:paraId="58354E67">
            <w:pPr>
              <w:widowControl w:val="0"/>
              <w:spacing w:line="280" w:lineRule="exact"/>
              <w:ind w:firstLine="630" w:firstLineChars="300"/>
              <w:jc w:val="center"/>
              <w:rPr>
                <w:rFonts w:hint="eastAsia" w:ascii="宋体" w:hAnsi="宋体" w:eastAsia="宋体" w:cs="宋体"/>
                <w:lang w:eastAsia="zh-CN"/>
              </w:rPr>
            </w:pPr>
            <w:r>
              <w:rPr>
                <w:rFonts w:hint="eastAsia" w:ascii="宋体" w:hAnsi="宋体" w:eastAsia="宋体" w:cs="宋体"/>
                <w:lang w:eastAsia="zh-CN"/>
              </w:rPr>
              <w:t>159.03</w:t>
            </w:r>
          </w:p>
        </w:tc>
      </w:tr>
      <w:tr w14:paraId="6BE02D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76DCCA8D">
            <w:pPr>
              <w:pStyle w:val="24"/>
              <w:widowControl w:val="0"/>
              <w:spacing w:line="280" w:lineRule="exact"/>
              <w:rPr>
                <w:rFonts w:hint="eastAsia"/>
              </w:rPr>
            </w:pPr>
            <w:r>
              <w:rPr>
                <w:rFonts w:hint="eastAsia"/>
                <w:spacing w:val="2"/>
              </w:rPr>
              <w:t>1.办公经费</w:t>
            </w:r>
          </w:p>
        </w:tc>
        <w:tc>
          <w:tcPr>
            <w:tcW w:w="1835" w:type="dxa"/>
            <w:gridSpan w:val="2"/>
            <w:vAlign w:val="center"/>
          </w:tcPr>
          <w:p w14:paraId="0F5367C8">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16.32</w:t>
            </w:r>
          </w:p>
        </w:tc>
        <w:tc>
          <w:tcPr>
            <w:tcW w:w="1942" w:type="dxa"/>
            <w:gridSpan w:val="2"/>
            <w:vAlign w:val="center"/>
          </w:tcPr>
          <w:p w14:paraId="0DC10E25">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28.44</w:t>
            </w:r>
          </w:p>
        </w:tc>
        <w:tc>
          <w:tcPr>
            <w:tcW w:w="1909" w:type="dxa"/>
            <w:gridSpan w:val="2"/>
            <w:vAlign w:val="center"/>
          </w:tcPr>
          <w:p w14:paraId="4248548B">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28.44</w:t>
            </w:r>
          </w:p>
        </w:tc>
      </w:tr>
      <w:tr w14:paraId="649182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1245A6EF">
            <w:pPr>
              <w:pStyle w:val="24"/>
              <w:widowControl w:val="0"/>
              <w:spacing w:line="280" w:lineRule="exact"/>
              <w:rPr>
                <w:rFonts w:hint="eastAsia"/>
                <w:spacing w:val="2"/>
                <w:lang w:eastAsia="zh-CN"/>
              </w:rPr>
            </w:pPr>
            <w:r>
              <w:rPr>
                <w:rFonts w:hint="eastAsia"/>
                <w:spacing w:val="2"/>
                <w:lang w:eastAsia="zh-CN"/>
              </w:rPr>
              <w:t>2、印刷费</w:t>
            </w:r>
          </w:p>
        </w:tc>
        <w:tc>
          <w:tcPr>
            <w:tcW w:w="1835" w:type="dxa"/>
            <w:gridSpan w:val="2"/>
            <w:vAlign w:val="center"/>
          </w:tcPr>
          <w:p w14:paraId="1521EB2E">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4.15</w:t>
            </w:r>
          </w:p>
        </w:tc>
        <w:tc>
          <w:tcPr>
            <w:tcW w:w="1942" w:type="dxa"/>
            <w:gridSpan w:val="2"/>
            <w:vAlign w:val="center"/>
          </w:tcPr>
          <w:p w14:paraId="5147FAB5">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4.08</w:t>
            </w:r>
          </w:p>
        </w:tc>
        <w:tc>
          <w:tcPr>
            <w:tcW w:w="1909" w:type="dxa"/>
            <w:gridSpan w:val="2"/>
            <w:vAlign w:val="center"/>
          </w:tcPr>
          <w:p w14:paraId="5169D808">
            <w:pPr>
              <w:widowControl w:val="0"/>
              <w:spacing w:line="280" w:lineRule="exact"/>
              <w:ind w:firstLine="630" w:firstLineChars="300"/>
              <w:jc w:val="center"/>
              <w:rPr>
                <w:rFonts w:hint="eastAsia" w:ascii="宋体" w:hAnsi="宋体" w:eastAsia="宋体" w:cs="宋体"/>
                <w:lang w:eastAsia="zh-CN"/>
              </w:rPr>
            </w:pPr>
            <w:r>
              <w:rPr>
                <w:rFonts w:hint="eastAsia" w:ascii="宋体" w:hAnsi="宋体" w:eastAsia="宋体" w:cs="宋体"/>
                <w:lang w:eastAsia="zh-CN"/>
              </w:rPr>
              <w:t>4.08</w:t>
            </w:r>
          </w:p>
        </w:tc>
      </w:tr>
      <w:tr w14:paraId="4A0003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3D454911">
            <w:pPr>
              <w:pStyle w:val="24"/>
              <w:widowControl w:val="0"/>
              <w:spacing w:line="280" w:lineRule="exact"/>
              <w:rPr>
                <w:rFonts w:hint="eastAsia"/>
              </w:rPr>
            </w:pPr>
            <w:r>
              <w:rPr>
                <w:rFonts w:hint="eastAsia"/>
                <w:spacing w:val="2"/>
                <w:lang w:eastAsia="zh-CN"/>
              </w:rPr>
              <w:t>3</w:t>
            </w:r>
            <w:r>
              <w:rPr>
                <w:rFonts w:hint="eastAsia"/>
                <w:spacing w:val="2"/>
              </w:rPr>
              <w:t>.水费</w:t>
            </w:r>
          </w:p>
        </w:tc>
        <w:tc>
          <w:tcPr>
            <w:tcW w:w="1835" w:type="dxa"/>
            <w:gridSpan w:val="2"/>
            <w:vAlign w:val="center"/>
          </w:tcPr>
          <w:p w14:paraId="2610F73B">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0.47</w:t>
            </w:r>
          </w:p>
        </w:tc>
        <w:tc>
          <w:tcPr>
            <w:tcW w:w="1942" w:type="dxa"/>
            <w:gridSpan w:val="2"/>
            <w:vAlign w:val="center"/>
          </w:tcPr>
          <w:p w14:paraId="73E9550B">
            <w:pPr>
              <w:widowControl w:val="0"/>
              <w:spacing w:line="280" w:lineRule="exact"/>
              <w:ind w:firstLine="630" w:firstLineChars="300"/>
              <w:jc w:val="center"/>
              <w:rPr>
                <w:rFonts w:hint="eastAsia" w:ascii="宋体" w:hAnsi="宋体" w:eastAsia="宋体" w:cs="宋体"/>
                <w:lang w:eastAsia="zh-CN"/>
              </w:rPr>
            </w:pPr>
          </w:p>
        </w:tc>
        <w:tc>
          <w:tcPr>
            <w:tcW w:w="1909" w:type="dxa"/>
            <w:gridSpan w:val="2"/>
            <w:vAlign w:val="center"/>
          </w:tcPr>
          <w:p w14:paraId="59707331">
            <w:pPr>
              <w:widowControl w:val="0"/>
              <w:spacing w:line="280" w:lineRule="exact"/>
              <w:ind w:firstLine="630" w:firstLineChars="300"/>
              <w:jc w:val="center"/>
              <w:rPr>
                <w:rFonts w:hint="eastAsia" w:ascii="宋体" w:hAnsi="宋体" w:eastAsia="宋体" w:cs="宋体"/>
                <w:lang w:eastAsia="zh-CN"/>
              </w:rPr>
            </w:pPr>
          </w:p>
        </w:tc>
      </w:tr>
      <w:tr w14:paraId="46CAAC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7D9BEA1B">
            <w:pPr>
              <w:pStyle w:val="24"/>
              <w:widowControl w:val="0"/>
              <w:spacing w:line="280" w:lineRule="exact"/>
              <w:rPr>
                <w:rFonts w:hint="eastAsia"/>
                <w:spacing w:val="2"/>
                <w:lang w:eastAsia="zh-CN"/>
              </w:rPr>
            </w:pPr>
            <w:r>
              <w:rPr>
                <w:rFonts w:hint="eastAsia"/>
                <w:spacing w:val="2"/>
                <w:lang w:eastAsia="zh-CN"/>
              </w:rPr>
              <w:t>4、邮电费</w:t>
            </w:r>
          </w:p>
        </w:tc>
        <w:tc>
          <w:tcPr>
            <w:tcW w:w="1835" w:type="dxa"/>
            <w:gridSpan w:val="2"/>
            <w:vAlign w:val="center"/>
          </w:tcPr>
          <w:p w14:paraId="61711175">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8.6</w:t>
            </w:r>
          </w:p>
        </w:tc>
        <w:tc>
          <w:tcPr>
            <w:tcW w:w="1942" w:type="dxa"/>
            <w:gridSpan w:val="2"/>
            <w:vAlign w:val="center"/>
          </w:tcPr>
          <w:p w14:paraId="49B794E3">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8.46</w:t>
            </w:r>
          </w:p>
        </w:tc>
        <w:tc>
          <w:tcPr>
            <w:tcW w:w="1909" w:type="dxa"/>
            <w:gridSpan w:val="2"/>
            <w:vAlign w:val="center"/>
          </w:tcPr>
          <w:p w14:paraId="22D7AB13">
            <w:pPr>
              <w:widowControl w:val="0"/>
              <w:spacing w:line="280" w:lineRule="exact"/>
              <w:ind w:firstLine="630" w:firstLineChars="300"/>
              <w:jc w:val="center"/>
              <w:rPr>
                <w:rFonts w:hint="eastAsia" w:ascii="宋体" w:hAnsi="宋体" w:eastAsia="宋体" w:cs="宋体"/>
                <w:lang w:eastAsia="zh-CN"/>
              </w:rPr>
            </w:pPr>
            <w:r>
              <w:rPr>
                <w:rFonts w:hint="eastAsia" w:ascii="宋体" w:hAnsi="宋体" w:eastAsia="宋体" w:cs="宋体"/>
                <w:lang w:eastAsia="zh-CN"/>
              </w:rPr>
              <w:t>8.46</w:t>
            </w:r>
          </w:p>
        </w:tc>
      </w:tr>
      <w:tr w14:paraId="01C313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6856F752">
            <w:pPr>
              <w:pStyle w:val="24"/>
              <w:widowControl w:val="0"/>
              <w:spacing w:line="280" w:lineRule="exact"/>
              <w:rPr>
                <w:rFonts w:hint="eastAsia"/>
              </w:rPr>
            </w:pPr>
            <w:r>
              <w:rPr>
                <w:rFonts w:hint="eastAsia"/>
                <w:spacing w:val="2"/>
                <w:lang w:eastAsia="zh-CN"/>
              </w:rPr>
              <w:t>5</w:t>
            </w:r>
            <w:r>
              <w:rPr>
                <w:rFonts w:hint="eastAsia"/>
                <w:spacing w:val="2"/>
              </w:rPr>
              <w:t>.差旅费</w:t>
            </w:r>
          </w:p>
        </w:tc>
        <w:tc>
          <w:tcPr>
            <w:tcW w:w="1835" w:type="dxa"/>
            <w:gridSpan w:val="2"/>
            <w:vAlign w:val="center"/>
          </w:tcPr>
          <w:p w14:paraId="6B5AFED8">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10.77</w:t>
            </w:r>
          </w:p>
        </w:tc>
        <w:tc>
          <w:tcPr>
            <w:tcW w:w="1942" w:type="dxa"/>
            <w:gridSpan w:val="2"/>
            <w:vAlign w:val="center"/>
          </w:tcPr>
          <w:p w14:paraId="1CEFA08D">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20.83</w:t>
            </w:r>
          </w:p>
        </w:tc>
        <w:tc>
          <w:tcPr>
            <w:tcW w:w="1909" w:type="dxa"/>
            <w:gridSpan w:val="2"/>
            <w:vAlign w:val="center"/>
          </w:tcPr>
          <w:p w14:paraId="2FEF1345">
            <w:pPr>
              <w:widowControl w:val="0"/>
              <w:spacing w:line="280" w:lineRule="exact"/>
              <w:ind w:firstLine="630" w:firstLineChars="300"/>
              <w:jc w:val="center"/>
              <w:rPr>
                <w:rFonts w:hint="eastAsia" w:ascii="宋体" w:hAnsi="宋体" w:eastAsia="宋体" w:cs="宋体"/>
                <w:lang w:eastAsia="zh-CN"/>
              </w:rPr>
            </w:pPr>
            <w:r>
              <w:rPr>
                <w:rFonts w:hint="eastAsia" w:ascii="宋体" w:hAnsi="宋体" w:eastAsia="宋体" w:cs="宋体"/>
                <w:lang w:eastAsia="zh-CN"/>
              </w:rPr>
              <w:t>20.83</w:t>
            </w:r>
          </w:p>
        </w:tc>
      </w:tr>
      <w:tr w14:paraId="2D7C99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33E097CF">
            <w:pPr>
              <w:pStyle w:val="24"/>
              <w:widowControl w:val="0"/>
              <w:spacing w:line="280" w:lineRule="exact"/>
              <w:rPr>
                <w:rFonts w:hint="eastAsia"/>
              </w:rPr>
            </w:pPr>
            <w:r>
              <w:rPr>
                <w:rFonts w:hint="eastAsia"/>
                <w:spacing w:val="2"/>
                <w:lang w:eastAsia="zh-CN"/>
              </w:rPr>
              <w:t>6</w:t>
            </w:r>
            <w:r>
              <w:rPr>
                <w:rFonts w:hint="eastAsia"/>
                <w:spacing w:val="2"/>
              </w:rPr>
              <w:t>.</w:t>
            </w:r>
            <w:r>
              <w:rPr>
                <w:rFonts w:hint="eastAsia"/>
                <w:spacing w:val="2"/>
                <w:lang w:eastAsia="zh-CN"/>
              </w:rPr>
              <w:t>维修（护）</w:t>
            </w:r>
            <w:r>
              <w:rPr>
                <w:rFonts w:hint="eastAsia"/>
                <w:spacing w:val="2"/>
              </w:rPr>
              <w:t>费</w:t>
            </w:r>
          </w:p>
        </w:tc>
        <w:tc>
          <w:tcPr>
            <w:tcW w:w="1835" w:type="dxa"/>
            <w:gridSpan w:val="2"/>
            <w:vAlign w:val="center"/>
          </w:tcPr>
          <w:p w14:paraId="4A2CADD4">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0.45</w:t>
            </w:r>
          </w:p>
        </w:tc>
        <w:tc>
          <w:tcPr>
            <w:tcW w:w="1942" w:type="dxa"/>
            <w:gridSpan w:val="2"/>
            <w:vAlign w:val="center"/>
          </w:tcPr>
          <w:p w14:paraId="2F156F64">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13.68</w:t>
            </w:r>
          </w:p>
        </w:tc>
        <w:tc>
          <w:tcPr>
            <w:tcW w:w="1909" w:type="dxa"/>
            <w:gridSpan w:val="2"/>
            <w:vAlign w:val="center"/>
          </w:tcPr>
          <w:p w14:paraId="645F0CD8">
            <w:pPr>
              <w:widowControl w:val="0"/>
              <w:spacing w:line="280" w:lineRule="exact"/>
              <w:ind w:firstLine="630" w:firstLineChars="300"/>
              <w:jc w:val="center"/>
              <w:rPr>
                <w:rFonts w:hint="eastAsia" w:ascii="宋体" w:hAnsi="宋体" w:eastAsia="宋体" w:cs="宋体"/>
                <w:lang w:eastAsia="zh-CN"/>
              </w:rPr>
            </w:pPr>
            <w:r>
              <w:rPr>
                <w:rFonts w:hint="eastAsia" w:ascii="宋体" w:hAnsi="宋体" w:eastAsia="宋体" w:cs="宋体"/>
                <w:lang w:eastAsia="zh-CN"/>
              </w:rPr>
              <w:t>13.68</w:t>
            </w:r>
          </w:p>
        </w:tc>
      </w:tr>
      <w:tr w14:paraId="354443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200D43F8">
            <w:pPr>
              <w:pStyle w:val="24"/>
              <w:widowControl w:val="0"/>
              <w:spacing w:line="280" w:lineRule="exact"/>
              <w:rPr>
                <w:rFonts w:hint="eastAsia"/>
                <w:spacing w:val="2"/>
                <w:lang w:eastAsia="zh-CN"/>
              </w:rPr>
            </w:pPr>
            <w:r>
              <w:rPr>
                <w:rFonts w:hint="eastAsia"/>
                <w:spacing w:val="2"/>
                <w:lang w:eastAsia="zh-CN"/>
              </w:rPr>
              <w:t>7</w:t>
            </w:r>
            <w:r>
              <w:rPr>
                <w:rFonts w:hint="eastAsia"/>
                <w:spacing w:val="2"/>
              </w:rPr>
              <w:t>.会议费</w:t>
            </w:r>
          </w:p>
        </w:tc>
        <w:tc>
          <w:tcPr>
            <w:tcW w:w="1835" w:type="dxa"/>
            <w:gridSpan w:val="2"/>
            <w:vAlign w:val="center"/>
          </w:tcPr>
          <w:p w14:paraId="37F534CC">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0.54</w:t>
            </w:r>
          </w:p>
        </w:tc>
        <w:tc>
          <w:tcPr>
            <w:tcW w:w="1942" w:type="dxa"/>
            <w:gridSpan w:val="2"/>
            <w:vAlign w:val="center"/>
          </w:tcPr>
          <w:p w14:paraId="54F73652">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30.6</w:t>
            </w:r>
          </w:p>
        </w:tc>
        <w:tc>
          <w:tcPr>
            <w:tcW w:w="1909" w:type="dxa"/>
            <w:gridSpan w:val="2"/>
            <w:vAlign w:val="center"/>
          </w:tcPr>
          <w:p w14:paraId="2AEBDB2E">
            <w:pPr>
              <w:widowControl w:val="0"/>
              <w:spacing w:line="280" w:lineRule="exact"/>
              <w:ind w:firstLine="630" w:firstLineChars="300"/>
              <w:jc w:val="center"/>
              <w:rPr>
                <w:rFonts w:hint="eastAsia" w:ascii="宋体" w:hAnsi="宋体" w:eastAsia="宋体" w:cs="宋体"/>
                <w:lang w:eastAsia="zh-CN"/>
              </w:rPr>
            </w:pPr>
            <w:r>
              <w:rPr>
                <w:rFonts w:hint="eastAsia" w:ascii="宋体" w:hAnsi="宋体" w:eastAsia="宋体" w:cs="宋体"/>
                <w:lang w:eastAsia="zh-CN"/>
              </w:rPr>
              <w:t>30.6</w:t>
            </w:r>
          </w:p>
        </w:tc>
      </w:tr>
      <w:tr w14:paraId="4174B5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16CD7E01">
            <w:pPr>
              <w:pStyle w:val="24"/>
              <w:widowControl w:val="0"/>
              <w:spacing w:line="280" w:lineRule="exact"/>
              <w:rPr>
                <w:rFonts w:hint="eastAsia"/>
              </w:rPr>
            </w:pPr>
            <w:r>
              <w:rPr>
                <w:rFonts w:hint="eastAsia"/>
                <w:spacing w:val="2"/>
                <w:lang w:eastAsia="zh-CN"/>
              </w:rPr>
              <w:t>8</w:t>
            </w:r>
            <w:r>
              <w:rPr>
                <w:rFonts w:hint="eastAsia"/>
                <w:spacing w:val="2"/>
              </w:rPr>
              <w:t>.培训费</w:t>
            </w:r>
          </w:p>
        </w:tc>
        <w:tc>
          <w:tcPr>
            <w:tcW w:w="1835" w:type="dxa"/>
            <w:gridSpan w:val="2"/>
            <w:vAlign w:val="center"/>
          </w:tcPr>
          <w:p w14:paraId="6467A0E3">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1.24</w:t>
            </w:r>
          </w:p>
        </w:tc>
        <w:tc>
          <w:tcPr>
            <w:tcW w:w="1942" w:type="dxa"/>
            <w:gridSpan w:val="2"/>
            <w:vAlign w:val="center"/>
          </w:tcPr>
          <w:p w14:paraId="76940AF7">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1.45</w:t>
            </w:r>
          </w:p>
        </w:tc>
        <w:tc>
          <w:tcPr>
            <w:tcW w:w="1909" w:type="dxa"/>
            <w:gridSpan w:val="2"/>
            <w:vAlign w:val="center"/>
          </w:tcPr>
          <w:p w14:paraId="28759227">
            <w:pPr>
              <w:widowControl w:val="0"/>
              <w:spacing w:line="280" w:lineRule="exact"/>
              <w:ind w:firstLine="630" w:firstLineChars="300"/>
              <w:jc w:val="center"/>
              <w:rPr>
                <w:rFonts w:hint="eastAsia" w:ascii="宋体" w:hAnsi="宋体" w:eastAsia="宋体" w:cs="宋体"/>
                <w:lang w:eastAsia="zh-CN"/>
              </w:rPr>
            </w:pPr>
            <w:r>
              <w:rPr>
                <w:rFonts w:hint="eastAsia" w:ascii="宋体" w:hAnsi="宋体" w:eastAsia="宋体" w:cs="宋体"/>
                <w:lang w:eastAsia="zh-CN"/>
              </w:rPr>
              <w:t>1.45</w:t>
            </w:r>
          </w:p>
        </w:tc>
      </w:tr>
      <w:tr w14:paraId="3A4D86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356BF543">
            <w:pPr>
              <w:pStyle w:val="24"/>
              <w:widowControl w:val="0"/>
              <w:spacing w:line="280" w:lineRule="exact"/>
              <w:rPr>
                <w:rFonts w:hint="eastAsia"/>
                <w:lang w:eastAsia="zh-CN"/>
              </w:rPr>
            </w:pPr>
            <w:r>
              <w:rPr>
                <w:rFonts w:hint="eastAsia"/>
                <w:lang w:eastAsia="zh-CN"/>
              </w:rPr>
              <w:t>9、公务接待费</w:t>
            </w:r>
          </w:p>
        </w:tc>
        <w:tc>
          <w:tcPr>
            <w:tcW w:w="1835" w:type="dxa"/>
            <w:gridSpan w:val="2"/>
            <w:vAlign w:val="center"/>
          </w:tcPr>
          <w:p w14:paraId="09ACE5A2">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3.93</w:t>
            </w:r>
          </w:p>
        </w:tc>
        <w:tc>
          <w:tcPr>
            <w:tcW w:w="1942" w:type="dxa"/>
            <w:gridSpan w:val="2"/>
            <w:vAlign w:val="center"/>
          </w:tcPr>
          <w:p w14:paraId="48F2269B">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0.22</w:t>
            </w:r>
          </w:p>
        </w:tc>
        <w:tc>
          <w:tcPr>
            <w:tcW w:w="1909" w:type="dxa"/>
            <w:gridSpan w:val="2"/>
            <w:vAlign w:val="center"/>
          </w:tcPr>
          <w:p w14:paraId="0CBFEF57">
            <w:pPr>
              <w:widowControl w:val="0"/>
              <w:spacing w:line="280" w:lineRule="exact"/>
              <w:ind w:firstLine="630" w:firstLineChars="300"/>
              <w:jc w:val="center"/>
              <w:rPr>
                <w:rFonts w:hint="eastAsia" w:ascii="宋体" w:hAnsi="宋体" w:eastAsia="宋体" w:cs="宋体"/>
                <w:lang w:eastAsia="zh-CN"/>
              </w:rPr>
            </w:pPr>
            <w:r>
              <w:rPr>
                <w:rFonts w:hint="eastAsia" w:ascii="宋体" w:hAnsi="宋体" w:eastAsia="宋体" w:cs="宋体"/>
                <w:lang w:eastAsia="zh-CN"/>
              </w:rPr>
              <w:t>0.22</w:t>
            </w:r>
          </w:p>
        </w:tc>
      </w:tr>
      <w:tr w14:paraId="3653F9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4B35F777">
            <w:pPr>
              <w:pStyle w:val="24"/>
              <w:widowControl w:val="0"/>
              <w:spacing w:line="280" w:lineRule="exact"/>
              <w:rPr>
                <w:rFonts w:hint="eastAsia"/>
                <w:lang w:eastAsia="zh-CN"/>
              </w:rPr>
            </w:pPr>
            <w:r>
              <w:rPr>
                <w:rFonts w:hint="eastAsia"/>
                <w:lang w:eastAsia="zh-CN"/>
              </w:rPr>
              <w:t>10、劳务费</w:t>
            </w:r>
          </w:p>
        </w:tc>
        <w:tc>
          <w:tcPr>
            <w:tcW w:w="1835" w:type="dxa"/>
            <w:gridSpan w:val="2"/>
            <w:vAlign w:val="center"/>
          </w:tcPr>
          <w:p w14:paraId="70637A07">
            <w:pPr>
              <w:widowControl w:val="0"/>
              <w:spacing w:line="280" w:lineRule="exact"/>
              <w:jc w:val="center"/>
              <w:rPr>
                <w:rFonts w:hint="eastAsia" w:ascii="宋体" w:hAnsi="宋体" w:eastAsia="宋体" w:cs="宋体"/>
                <w:lang w:eastAsia="zh-CN"/>
              </w:rPr>
            </w:pPr>
          </w:p>
        </w:tc>
        <w:tc>
          <w:tcPr>
            <w:tcW w:w="1942" w:type="dxa"/>
            <w:gridSpan w:val="2"/>
            <w:vAlign w:val="center"/>
          </w:tcPr>
          <w:p w14:paraId="334D4AAA">
            <w:pPr>
              <w:widowControl w:val="0"/>
              <w:spacing w:line="280" w:lineRule="exact"/>
              <w:jc w:val="center"/>
              <w:rPr>
                <w:rFonts w:hint="eastAsia" w:ascii="宋体" w:hAnsi="宋体" w:eastAsia="宋体" w:cs="宋体"/>
              </w:rPr>
            </w:pPr>
          </w:p>
        </w:tc>
        <w:tc>
          <w:tcPr>
            <w:tcW w:w="1909" w:type="dxa"/>
            <w:gridSpan w:val="2"/>
            <w:vAlign w:val="center"/>
          </w:tcPr>
          <w:p w14:paraId="373639CB">
            <w:pPr>
              <w:widowControl w:val="0"/>
              <w:spacing w:line="280" w:lineRule="exact"/>
              <w:jc w:val="center"/>
              <w:rPr>
                <w:rFonts w:hint="eastAsia" w:ascii="宋体" w:hAnsi="宋体" w:eastAsia="宋体" w:cs="宋体"/>
              </w:rPr>
            </w:pPr>
          </w:p>
        </w:tc>
      </w:tr>
      <w:tr w14:paraId="4CB19C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4E84C0E1">
            <w:pPr>
              <w:pStyle w:val="24"/>
              <w:widowControl w:val="0"/>
              <w:spacing w:line="280" w:lineRule="exact"/>
              <w:rPr>
                <w:rFonts w:hint="eastAsia"/>
                <w:lang w:eastAsia="zh-CN"/>
              </w:rPr>
            </w:pPr>
            <w:r>
              <w:rPr>
                <w:rFonts w:hint="eastAsia"/>
                <w:lang w:eastAsia="zh-CN"/>
              </w:rPr>
              <w:t>11、工会经费</w:t>
            </w:r>
          </w:p>
        </w:tc>
        <w:tc>
          <w:tcPr>
            <w:tcW w:w="1835" w:type="dxa"/>
            <w:gridSpan w:val="2"/>
            <w:vAlign w:val="center"/>
          </w:tcPr>
          <w:p w14:paraId="55E85AF1">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24.51</w:t>
            </w:r>
          </w:p>
        </w:tc>
        <w:tc>
          <w:tcPr>
            <w:tcW w:w="1942" w:type="dxa"/>
            <w:gridSpan w:val="2"/>
            <w:vAlign w:val="center"/>
          </w:tcPr>
          <w:p w14:paraId="4DF5BC45">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23.81</w:t>
            </w:r>
          </w:p>
        </w:tc>
        <w:tc>
          <w:tcPr>
            <w:tcW w:w="1909" w:type="dxa"/>
            <w:gridSpan w:val="2"/>
            <w:vAlign w:val="center"/>
          </w:tcPr>
          <w:p w14:paraId="67449268">
            <w:pPr>
              <w:widowControl w:val="0"/>
              <w:spacing w:line="280" w:lineRule="exact"/>
              <w:ind w:firstLine="630" w:firstLineChars="300"/>
              <w:jc w:val="center"/>
              <w:rPr>
                <w:rFonts w:hint="eastAsia" w:ascii="宋体" w:hAnsi="宋体" w:eastAsia="宋体" w:cs="宋体"/>
                <w:lang w:eastAsia="zh-CN"/>
              </w:rPr>
            </w:pPr>
            <w:r>
              <w:rPr>
                <w:rFonts w:hint="eastAsia" w:ascii="宋体" w:hAnsi="宋体" w:eastAsia="宋体" w:cs="宋体"/>
                <w:lang w:eastAsia="zh-CN"/>
              </w:rPr>
              <w:t>23.81</w:t>
            </w:r>
          </w:p>
        </w:tc>
      </w:tr>
      <w:tr w14:paraId="27CB27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54DA9DA6">
            <w:pPr>
              <w:pStyle w:val="24"/>
              <w:widowControl w:val="0"/>
              <w:spacing w:line="280" w:lineRule="exact"/>
              <w:rPr>
                <w:rFonts w:hint="eastAsia"/>
                <w:lang w:eastAsia="zh-CN"/>
              </w:rPr>
            </w:pPr>
            <w:r>
              <w:rPr>
                <w:rFonts w:hint="eastAsia"/>
                <w:lang w:eastAsia="zh-CN"/>
              </w:rPr>
              <w:t>12、福利费</w:t>
            </w:r>
          </w:p>
        </w:tc>
        <w:tc>
          <w:tcPr>
            <w:tcW w:w="1835" w:type="dxa"/>
            <w:gridSpan w:val="2"/>
            <w:vAlign w:val="center"/>
          </w:tcPr>
          <w:p w14:paraId="61DED653">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6.95</w:t>
            </w:r>
          </w:p>
        </w:tc>
        <w:tc>
          <w:tcPr>
            <w:tcW w:w="1942" w:type="dxa"/>
            <w:gridSpan w:val="2"/>
            <w:vAlign w:val="center"/>
          </w:tcPr>
          <w:p w14:paraId="3CD11302">
            <w:pPr>
              <w:widowControl w:val="0"/>
              <w:spacing w:line="280" w:lineRule="exact"/>
              <w:ind w:firstLine="840" w:firstLineChars="400"/>
              <w:jc w:val="center"/>
              <w:rPr>
                <w:rFonts w:hint="eastAsia" w:ascii="宋体" w:hAnsi="宋体" w:eastAsia="宋体" w:cs="宋体"/>
                <w:lang w:eastAsia="zh-CN"/>
              </w:rPr>
            </w:pPr>
            <w:r>
              <w:rPr>
                <w:rFonts w:hint="eastAsia" w:ascii="宋体" w:hAnsi="宋体" w:eastAsia="宋体" w:cs="宋体"/>
                <w:lang w:eastAsia="zh-CN"/>
              </w:rPr>
              <w:t>1.21</w:t>
            </w:r>
          </w:p>
        </w:tc>
        <w:tc>
          <w:tcPr>
            <w:tcW w:w="1909" w:type="dxa"/>
            <w:gridSpan w:val="2"/>
            <w:vAlign w:val="center"/>
          </w:tcPr>
          <w:p w14:paraId="3BD2F9EF">
            <w:pPr>
              <w:widowControl w:val="0"/>
              <w:spacing w:line="280" w:lineRule="exact"/>
              <w:ind w:firstLine="630" w:firstLineChars="300"/>
              <w:jc w:val="center"/>
              <w:rPr>
                <w:rFonts w:hint="eastAsia" w:ascii="宋体" w:hAnsi="宋体" w:eastAsia="宋体" w:cs="宋体"/>
                <w:lang w:eastAsia="zh-CN"/>
              </w:rPr>
            </w:pPr>
            <w:r>
              <w:rPr>
                <w:rFonts w:hint="eastAsia" w:ascii="宋体" w:hAnsi="宋体" w:eastAsia="宋体" w:cs="宋体"/>
                <w:lang w:eastAsia="zh-CN"/>
              </w:rPr>
              <w:t>1.21</w:t>
            </w:r>
          </w:p>
        </w:tc>
      </w:tr>
      <w:tr w14:paraId="1F9062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37ACE15E">
            <w:pPr>
              <w:pStyle w:val="24"/>
              <w:widowControl w:val="0"/>
              <w:spacing w:line="280" w:lineRule="exact"/>
              <w:rPr>
                <w:rFonts w:hint="eastAsia"/>
                <w:lang w:eastAsia="zh-CN"/>
              </w:rPr>
            </w:pPr>
            <w:r>
              <w:rPr>
                <w:rFonts w:hint="eastAsia"/>
                <w:lang w:eastAsia="zh-CN"/>
              </w:rPr>
              <w:t>13、公车购置</w:t>
            </w:r>
          </w:p>
        </w:tc>
        <w:tc>
          <w:tcPr>
            <w:tcW w:w="1835" w:type="dxa"/>
            <w:gridSpan w:val="2"/>
            <w:vAlign w:val="center"/>
          </w:tcPr>
          <w:p w14:paraId="7E4EB24E">
            <w:pPr>
              <w:widowControl w:val="0"/>
              <w:spacing w:line="280" w:lineRule="exact"/>
              <w:jc w:val="center"/>
              <w:rPr>
                <w:rFonts w:hint="eastAsia" w:ascii="宋体" w:hAnsi="宋体" w:eastAsia="宋体" w:cs="宋体"/>
                <w:lang w:eastAsia="zh-CN"/>
              </w:rPr>
            </w:pPr>
          </w:p>
        </w:tc>
        <w:tc>
          <w:tcPr>
            <w:tcW w:w="1942" w:type="dxa"/>
            <w:gridSpan w:val="2"/>
            <w:vAlign w:val="center"/>
          </w:tcPr>
          <w:p w14:paraId="2C1B4E67">
            <w:pPr>
              <w:widowControl w:val="0"/>
              <w:spacing w:line="280" w:lineRule="exact"/>
              <w:jc w:val="center"/>
              <w:rPr>
                <w:rFonts w:hint="eastAsia" w:ascii="宋体" w:hAnsi="宋体" w:eastAsia="宋体" w:cs="宋体"/>
                <w:lang w:eastAsia="zh-CN"/>
              </w:rPr>
            </w:pPr>
          </w:p>
        </w:tc>
        <w:tc>
          <w:tcPr>
            <w:tcW w:w="1909" w:type="dxa"/>
            <w:gridSpan w:val="2"/>
            <w:vAlign w:val="center"/>
          </w:tcPr>
          <w:p w14:paraId="2E9B86D5">
            <w:pPr>
              <w:widowControl w:val="0"/>
              <w:spacing w:line="280" w:lineRule="exact"/>
              <w:ind w:firstLine="630" w:firstLineChars="300"/>
              <w:jc w:val="center"/>
              <w:rPr>
                <w:rFonts w:hint="eastAsia" w:ascii="宋体" w:hAnsi="宋体" w:eastAsia="宋体" w:cs="宋体"/>
                <w:lang w:eastAsia="zh-CN"/>
              </w:rPr>
            </w:pPr>
          </w:p>
        </w:tc>
      </w:tr>
      <w:tr w14:paraId="45060F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012B7958">
            <w:pPr>
              <w:pStyle w:val="24"/>
              <w:widowControl w:val="0"/>
              <w:spacing w:line="280" w:lineRule="exact"/>
              <w:rPr>
                <w:rFonts w:hint="eastAsia"/>
                <w:lang w:eastAsia="zh-CN"/>
              </w:rPr>
            </w:pPr>
            <w:r>
              <w:rPr>
                <w:rFonts w:hint="eastAsia"/>
                <w:lang w:eastAsia="zh-CN"/>
              </w:rPr>
              <w:t>13、公务用车运行维护费</w:t>
            </w:r>
          </w:p>
        </w:tc>
        <w:tc>
          <w:tcPr>
            <w:tcW w:w="1835" w:type="dxa"/>
            <w:gridSpan w:val="2"/>
            <w:vAlign w:val="center"/>
          </w:tcPr>
          <w:p w14:paraId="7BDAC5C9">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5.13</w:t>
            </w:r>
          </w:p>
        </w:tc>
        <w:tc>
          <w:tcPr>
            <w:tcW w:w="1942" w:type="dxa"/>
            <w:gridSpan w:val="2"/>
            <w:vAlign w:val="center"/>
          </w:tcPr>
          <w:p w14:paraId="12E29F4B">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5.77</w:t>
            </w:r>
          </w:p>
        </w:tc>
        <w:tc>
          <w:tcPr>
            <w:tcW w:w="1909" w:type="dxa"/>
            <w:gridSpan w:val="2"/>
            <w:vAlign w:val="center"/>
          </w:tcPr>
          <w:p w14:paraId="1B05B539">
            <w:pPr>
              <w:widowControl w:val="0"/>
              <w:spacing w:line="280" w:lineRule="exact"/>
              <w:ind w:firstLine="630" w:firstLineChars="300"/>
              <w:jc w:val="center"/>
              <w:rPr>
                <w:rFonts w:hint="eastAsia" w:ascii="宋体" w:hAnsi="宋体" w:eastAsia="宋体" w:cs="宋体"/>
                <w:lang w:eastAsia="zh-CN"/>
              </w:rPr>
            </w:pPr>
            <w:r>
              <w:rPr>
                <w:rFonts w:hint="eastAsia" w:ascii="宋体" w:hAnsi="宋体" w:eastAsia="宋体" w:cs="宋体"/>
                <w:lang w:eastAsia="zh-CN"/>
              </w:rPr>
              <w:t>5.77</w:t>
            </w:r>
          </w:p>
        </w:tc>
      </w:tr>
      <w:tr w14:paraId="5A23E8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148583F2">
            <w:pPr>
              <w:pStyle w:val="24"/>
              <w:widowControl w:val="0"/>
              <w:spacing w:line="280" w:lineRule="exact"/>
              <w:rPr>
                <w:rFonts w:hint="eastAsia"/>
                <w:lang w:eastAsia="zh-CN"/>
              </w:rPr>
            </w:pPr>
            <w:r>
              <w:rPr>
                <w:rFonts w:hint="eastAsia"/>
                <w:lang w:eastAsia="zh-CN"/>
              </w:rPr>
              <w:t>14、其他交通费用</w:t>
            </w:r>
          </w:p>
        </w:tc>
        <w:tc>
          <w:tcPr>
            <w:tcW w:w="1835" w:type="dxa"/>
            <w:gridSpan w:val="2"/>
            <w:vAlign w:val="center"/>
          </w:tcPr>
          <w:p w14:paraId="61238A44">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0.84</w:t>
            </w:r>
          </w:p>
        </w:tc>
        <w:tc>
          <w:tcPr>
            <w:tcW w:w="1942" w:type="dxa"/>
            <w:gridSpan w:val="2"/>
            <w:vAlign w:val="center"/>
          </w:tcPr>
          <w:p w14:paraId="2B7C4B1D">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2.21</w:t>
            </w:r>
          </w:p>
        </w:tc>
        <w:tc>
          <w:tcPr>
            <w:tcW w:w="1909" w:type="dxa"/>
            <w:gridSpan w:val="2"/>
            <w:vAlign w:val="center"/>
          </w:tcPr>
          <w:p w14:paraId="5A5A6D67">
            <w:pPr>
              <w:widowControl w:val="0"/>
              <w:spacing w:line="280" w:lineRule="exact"/>
              <w:ind w:firstLine="630" w:firstLineChars="300"/>
              <w:jc w:val="center"/>
              <w:rPr>
                <w:rFonts w:hint="eastAsia" w:ascii="宋体" w:hAnsi="宋体" w:eastAsia="宋体" w:cs="宋体"/>
                <w:lang w:eastAsia="zh-CN"/>
              </w:rPr>
            </w:pPr>
            <w:r>
              <w:rPr>
                <w:rFonts w:hint="eastAsia" w:ascii="宋体" w:hAnsi="宋体" w:eastAsia="宋体" w:cs="宋体"/>
                <w:lang w:eastAsia="zh-CN"/>
              </w:rPr>
              <w:t>2.21</w:t>
            </w:r>
          </w:p>
        </w:tc>
      </w:tr>
      <w:tr w14:paraId="665A52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2E97850C">
            <w:pPr>
              <w:pStyle w:val="24"/>
              <w:widowControl w:val="0"/>
              <w:spacing w:line="280" w:lineRule="exact"/>
              <w:rPr>
                <w:rFonts w:hint="eastAsia"/>
                <w:lang w:eastAsia="zh-CN"/>
              </w:rPr>
            </w:pPr>
            <w:r>
              <w:rPr>
                <w:rFonts w:hint="eastAsia"/>
                <w:lang w:eastAsia="zh-CN"/>
              </w:rPr>
              <w:t>15、其他商品和服务支出</w:t>
            </w:r>
          </w:p>
        </w:tc>
        <w:tc>
          <w:tcPr>
            <w:tcW w:w="1835" w:type="dxa"/>
            <w:gridSpan w:val="2"/>
            <w:vAlign w:val="center"/>
          </w:tcPr>
          <w:p w14:paraId="05D7D7BB">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0.23</w:t>
            </w:r>
          </w:p>
        </w:tc>
        <w:tc>
          <w:tcPr>
            <w:tcW w:w="1942" w:type="dxa"/>
            <w:gridSpan w:val="2"/>
            <w:vAlign w:val="center"/>
          </w:tcPr>
          <w:p w14:paraId="447BE784">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18.27</w:t>
            </w:r>
          </w:p>
        </w:tc>
        <w:tc>
          <w:tcPr>
            <w:tcW w:w="1909" w:type="dxa"/>
            <w:gridSpan w:val="2"/>
            <w:vAlign w:val="center"/>
          </w:tcPr>
          <w:p w14:paraId="606D90D6">
            <w:pPr>
              <w:widowControl w:val="0"/>
              <w:spacing w:line="280" w:lineRule="exact"/>
              <w:ind w:firstLine="630" w:firstLineChars="300"/>
              <w:jc w:val="center"/>
              <w:rPr>
                <w:rFonts w:hint="eastAsia" w:ascii="宋体" w:hAnsi="宋体" w:eastAsia="宋体" w:cs="宋体"/>
                <w:lang w:eastAsia="zh-CN"/>
              </w:rPr>
            </w:pPr>
            <w:r>
              <w:rPr>
                <w:rFonts w:hint="eastAsia" w:ascii="宋体" w:hAnsi="宋体" w:eastAsia="宋体" w:cs="宋体"/>
                <w:lang w:eastAsia="zh-CN"/>
              </w:rPr>
              <w:t>18.27</w:t>
            </w:r>
          </w:p>
        </w:tc>
      </w:tr>
      <w:tr w14:paraId="78C240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32194D5C">
            <w:pPr>
              <w:pStyle w:val="24"/>
              <w:widowControl w:val="0"/>
              <w:spacing w:line="280" w:lineRule="exact"/>
              <w:ind w:left="108"/>
              <w:rPr>
                <w:rFonts w:hint="eastAsia"/>
              </w:rPr>
            </w:pPr>
            <w:r>
              <w:rPr>
                <w:rFonts w:hint="eastAsia"/>
                <w:b/>
                <w:bCs/>
                <w:spacing w:val="-4"/>
              </w:rPr>
              <w:t>政府采购金额</w:t>
            </w:r>
          </w:p>
        </w:tc>
        <w:tc>
          <w:tcPr>
            <w:tcW w:w="1835" w:type="dxa"/>
            <w:gridSpan w:val="2"/>
            <w:vAlign w:val="center"/>
          </w:tcPr>
          <w:p w14:paraId="0FB97E85">
            <w:pPr>
              <w:widowControl w:val="0"/>
              <w:tabs>
                <w:tab w:val="left" w:pos="951"/>
              </w:tabs>
              <w:spacing w:line="280" w:lineRule="exact"/>
              <w:jc w:val="center"/>
              <w:rPr>
                <w:rFonts w:hint="eastAsia" w:ascii="宋体" w:hAnsi="宋体" w:eastAsia="宋体" w:cs="宋体"/>
              </w:rPr>
            </w:pPr>
          </w:p>
        </w:tc>
        <w:tc>
          <w:tcPr>
            <w:tcW w:w="1942" w:type="dxa"/>
            <w:gridSpan w:val="2"/>
            <w:vAlign w:val="center"/>
          </w:tcPr>
          <w:p w14:paraId="5A375B5A">
            <w:pPr>
              <w:widowControl w:val="0"/>
              <w:spacing w:line="280" w:lineRule="exact"/>
              <w:jc w:val="center"/>
              <w:rPr>
                <w:rFonts w:hint="eastAsia" w:ascii="宋体" w:hAnsi="宋体" w:eastAsia="宋体" w:cs="宋体"/>
              </w:rPr>
            </w:pPr>
          </w:p>
        </w:tc>
        <w:tc>
          <w:tcPr>
            <w:tcW w:w="1909" w:type="dxa"/>
            <w:gridSpan w:val="2"/>
            <w:vAlign w:val="center"/>
          </w:tcPr>
          <w:p w14:paraId="18B87DE4">
            <w:pPr>
              <w:widowControl w:val="0"/>
              <w:spacing w:line="280" w:lineRule="exact"/>
              <w:jc w:val="center"/>
              <w:rPr>
                <w:rFonts w:hint="eastAsia" w:ascii="宋体" w:hAnsi="宋体" w:eastAsia="宋体" w:cs="宋体"/>
              </w:rPr>
            </w:pPr>
          </w:p>
        </w:tc>
      </w:tr>
      <w:tr w14:paraId="1C71D5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4F2DD8E8">
            <w:pPr>
              <w:pStyle w:val="24"/>
              <w:widowControl w:val="0"/>
              <w:spacing w:line="280" w:lineRule="exact"/>
              <w:ind w:left="108"/>
              <w:rPr>
                <w:rFonts w:hint="eastAsia"/>
                <w:lang w:eastAsia="zh-CN"/>
              </w:rPr>
            </w:pPr>
            <w:r>
              <w:rPr>
                <w:rFonts w:hint="eastAsia"/>
                <w:b/>
                <w:bCs/>
                <w:spacing w:val="-4"/>
                <w:lang w:eastAsia="zh-CN"/>
              </w:rPr>
              <w:t>部门整体支出预算调整</w:t>
            </w:r>
          </w:p>
        </w:tc>
        <w:tc>
          <w:tcPr>
            <w:tcW w:w="1835" w:type="dxa"/>
            <w:gridSpan w:val="2"/>
            <w:vAlign w:val="center"/>
          </w:tcPr>
          <w:p w14:paraId="2CE71154">
            <w:pPr>
              <w:widowControl w:val="0"/>
              <w:spacing w:line="280" w:lineRule="exact"/>
              <w:jc w:val="center"/>
              <w:rPr>
                <w:rFonts w:hint="eastAsia" w:ascii="宋体" w:hAnsi="宋体" w:eastAsia="宋体" w:cs="宋体"/>
                <w:lang w:eastAsia="zh-CN"/>
              </w:rPr>
            </w:pPr>
          </w:p>
        </w:tc>
        <w:tc>
          <w:tcPr>
            <w:tcW w:w="1942" w:type="dxa"/>
            <w:gridSpan w:val="2"/>
            <w:vAlign w:val="center"/>
          </w:tcPr>
          <w:p w14:paraId="37907D36">
            <w:pPr>
              <w:widowControl w:val="0"/>
              <w:spacing w:line="280" w:lineRule="exact"/>
              <w:jc w:val="center"/>
              <w:rPr>
                <w:rFonts w:hint="eastAsia" w:ascii="宋体" w:hAnsi="宋体" w:eastAsia="宋体" w:cs="宋体"/>
                <w:lang w:eastAsia="zh-CN"/>
              </w:rPr>
            </w:pPr>
          </w:p>
        </w:tc>
        <w:tc>
          <w:tcPr>
            <w:tcW w:w="1909" w:type="dxa"/>
            <w:gridSpan w:val="2"/>
            <w:vAlign w:val="center"/>
          </w:tcPr>
          <w:p w14:paraId="3D205536">
            <w:pPr>
              <w:widowControl w:val="0"/>
              <w:spacing w:line="280" w:lineRule="exact"/>
              <w:jc w:val="center"/>
              <w:rPr>
                <w:rFonts w:hint="eastAsia" w:ascii="宋体" w:hAnsi="宋体" w:eastAsia="宋体" w:cs="宋体"/>
                <w:lang w:eastAsia="zh-CN"/>
              </w:rPr>
            </w:pPr>
          </w:p>
        </w:tc>
      </w:tr>
      <w:tr w14:paraId="5CEE09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vMerge w:val="restart"/>
            <w:tcBorders>
              <w:bottom w:val="nil"/>
            </w:tcBorders>
            <w:vAlign w:val="center"/>
          </w:tcPr>
          <w:p w14:paraId="560DFF64">
            <w:pPr>
              <w:pStyle w:val="24"/>
              <w:widowControl w:val="0"/>
              <w:spacing w:line="280" w:lineRule="exact"/>
              <w:jc w:val="center"/>
              <w:rPr>
                <w:rFonts w:hint="eastAsia"/>
                <w:b/>
                <w:bCs/>
                <w:spacing w:val="-4"/>
                <w:lang w:eastAsia="zh-CN"/>
              </w:rPr>
            </w:pPr>
            <w:r>
              <w:rPr>
                <w:rFonts w:hint="eastAsia"/>
                <w:b/>
                <w:bCs/>
                <w:spacing w:val="-4"/>
                <w:lang w:eastAsia="zh-CN"/>
              </w:rPr>
              <w:t>楼堂馆所控制情况</w:t>
            </w:r>
          </w:p>
          <w:p w14:paraId="720B79B0">
            <w:pPr>
              <w:pStyle w:val="24"/>
              <w:widowControl w:val="0"/>
              <w:spacing w:line="280" w:lineRule="exact"/>
              <w:jc w:val="center"/>
              <w:rPr>
                <w:rFonts w:hint="eastAsia"/>
                <w:lang w:eastAsia="zh-CN"/>
              </w:rPr>
            </w:pPr>
            <w:r>
              <w:rPr>
                <w:rFonts w:hint="eastAsia"/>
                <w:b/>
                <w:bCs/>
                <w:spacing w:val="1"/>
                <w:lang w:eastAsia="zh-CN"/>
              </w:rPr>
              <w:t>(2024年完工项目)</w:t>
            </w:r>
          </w:p>
        </w:tc>
        <w:tc>
          <w:tcPr>
            <w:tcW w:w="1089" w:type="dxa"/>
            <w:vAlign w:val="center"/>
          </w:tcPr>
          <w:p w14:paraId="3D485763">
            <w:pPr>
              <w:pStyle w:val="24"/>
              <w:widowControl w:val="0"/>
              <w:spacing w:line="280" w:lineRule="exact"/>
              <w:jc w:val="center"/>
              <w:rPr>
                <w:rFonts w:hint="eastAsia"/>
              </w:rPr>
            </w:pPr>
            <w:r>
              <w:rPr>
                <w:rFonts w:hint="eastAsia"/>
                <w:spacing w:val="-5"/>
              </w:rPr>
              <w:t>批复</w:t>
            </w:r>
            <w:r>
              <w:rPr>
                <w:rFonts w:hint="eastAsia"/>
                <w:spacing w:val="35"/>
              </w:rPr>
              <w:t>规模</w:t>
            </w:r>
            <w:r>
              <w:rPr>
                <w:rFonts w:hint="eastAsia"/>
                <w:spacing w:val="-10"/>
              </w:rPr>
              <w:t>(m²)</w:t>
            </w:r>
          </w:p>
        </w:tc>
        <w:tc>
          <w:tcPr>
            <w:tcW w:w="746" w:type="dxa"/>
            <w:vAlign w:val="center"/>
          </w:tcPr>
          <w:p w14:paraId="1B4D53F3">
            <w:pPr>
              <w:pStyle w:val="24"/>
              <w:widowControl w:val="0"/>
              <w:spacing w:line="280" w:lineRule="exact"/>
              <w:jc w:val="center"/>
              <w:rPr>
                <w:rFonts w:hint="eastAsia"/>
              </w:rPr>
            </w:pPr>
            <w:r>
              <w:rPr>
                <w:rFonts w:hint="eastAsia"/>
                <w:spacing w:val="5"/>
              </w:rPr>
              <w:t>实际</w:t>
            </w:r>
            <w:r>
              <w:rPr>
                <w:rFonts w:hint="eastAsia"/>
                <w:spacing w:val="35"/>
              </w:rPr>
              <w:t>规模</w:t>
            </w:r>
            <w:r>
              <w:rPr>
                <w:rFonts w:hint="eastAsia"/>
                <w:spacing w:val="-10"/>
              </w:rPr>
              <w:t>(m²)</w:t>
            </w:r>
          </w:p>
        </w:tc>
        <w:tc>
          <w:tcPr>
            <w:tcW w:w="912" w:type="dxa"/>
            <w:vAlign w:val="center"/>
          </w:tcPr>
          <w:p w14:paraId="009A42BC">
            <w:pPr>
              <w:pStyle w:val="24"/>
              <w:widowControl w:val="0"/>
              <w:spacing w:line="280" w:lineRule="exact"/>
              <w:jc w:val="center"/>
              <w:rPr>
                <w:rFonts w:hint="eastAsia"/>
              </w:rPr>
            </w:pPr>
            <w:r>
              <w:rPr>
                <w:rFonts w:hint="eastAsia"/>
                <w:spacing w:val="5"/>
              </w:rPr>
              <w:t>规模</w:t>
            </w:r>
          </w:p>
          <w:p w14:paraId="38FED547">
            <w:pPr>
              <w:pStyle w:val="24"/>
              <w:widowControl w:val="0"/>
              <w:spacing w:line="280" w:lineRule="exact"/>
              <w:jc w:val="center"/>
              <w:rPr>
                <w:rFonts w:hint="eastAsia"/>
              </w:rPr>
            </w:pPr>
            <w:r>
              <w:rPr>
                <w:rFonts w:hint="eastAsia"/>
                <w:spacing w:val="10"/>
              </w:rPr>
              <w:t>控制</w:t>
            </w:r>
            <w:r>
              <w:rPr>
                <w:rFonts w:hint="eastAsia"/>
              </w:rPr>
              <w:t>率</w:t>
            </w:r>
          </w:p>
        </w:tc>
        <w:tc>
          <w:tcPr>
            <w:tcW w:w="1030" w:type="dxa"/>
            <w:vAlign w:val="center"/>
          </w:tcPr>
          <w:p w14:paraId="2348DA5D">
            <w:pPr>
              <w:pStyle w:val="24"/>
              <w:widowControl w:val="0"/>
              <w:spacing w:line="280" w:lineRule="exact"/>
              <w:jc w:val="center"/>
              <w:rPr>
                <w:rFonts w:hint="eastAsia"/>
              </w:rPr>
            </w:pPr>
            <w:r>
              <w:rPr>
                <w:rFonts w:hint="eastAsia"/>
                <w:spacing w:val="5"/>
              </w:rPr>
              <w:t>预算</w:t>
            </w:r>
          </w:p>
          <w:p w14:paraId="3CEDF15C">
            <w:pPr>
              <w:pStyle w:val="24"/>
              <w:widowControl w:val="0"/>
              <w:spacing w:line="280" w:lineRule="exact"/>
              <w:jc w:val="center"/>
              <w:rPr>
                <w:rFonts w:hint="eastAsia"/>
              </w:rPr>
            </w:pPr>
            <w:r>
              <w:rPr>
                <w:rFonts w:hint="eastAsia"/>
                <w:spacing w:val="8"/>
              </w:rPr>
              <w:t>投资</w:t>
            </w:r>
          </w:p>
          <w:p w14:paraId="0F512C85">
            <w:pPr>
              <w:pStyle w:val="24"/>
              <w:widowControl w:val="0"/>
              <w:spacing w:line="280" w:lineRule="exact"/>
              <w:jc w:val="center"/>
              <w:rPr>
                <w:rFonts w:hint="eastAsia"/>
              </w:rPr>
            </w:pPr>
            <w:r>
              <w:rPr>
                <w:rFonts w:hint="eastAsia"/>
                <w:spacing w:val="13"/>
              </w:rPr>
              <w:t>(万元)</w:t>
            </w:r>
          </w:p>
        </w:tc>
        <w:tc>
          <w:tcPr>
            <w:tcW w:w="991" w:type="dxa"/>
            <w:vAlign w:val="center"/>
          </w:tcPr>
          <w:p w14:paraId="3825927B">
            <w:pPr>
              <w:pStyle w:val="24"/>
              <w:widowControl w:val="0"/>
              <w:spacing w:line="280" w:lineRule="exact"/>
              <w:jc w:val="center"/>
              <w:rPr>
                <w:rFonts w:hint="eastAsia"/>
              </w:rPr>
            </w:pPr>
            <w:r>
              <w:rPr>
                <w:rFonts w:hint="eastAsia"/>
                <w:spacing w:val="5"/>
              </w:rPr>
              <w:t>实际</w:t>
            </w:r>
          </w:p>
          <w:p w14:paraId="147139F3">
            <w:pPr>
              <w:pStyle w:val="24"/>
              <w:widowControl w:val="0"/>
              <w:spacing w:line="280" w:lineRule="exact"/>
              <w:jc w:val="center"/>
              <w:rPr>
                <w:rFonts w:hint="eastAsia"/>
              </w:rPr>
            </w:pPr>
            <w:r>
              <w:rPr>
                <w:rFonts w:hint="eastAsia"/>
                <w:spacing w:val="8"/>
              </w:rPr>
              <w:t>投资</w:t>
            </w:r>
          </w:p>
          <w:p w14:paraId="56C8DAC5">
            <w:pPr>
              <w:pStyle w:val="24"/>
              <w:widowControl w:val="0"/>
              <w:spacing w:line="280" w:lineRule="exact"/>
              <w:jc w:val="center"/>
              <w:rPr>
                <w:rFonts w:hint="eastAsia"/>
              </w:rPr>
            </w:pPr>
            <w:r>
              <w:rPr>
                <w:rFonts w:hint="eastAsia"/>
                <w:spacing w:val="13"/>
              </w:rPr>
              <w:t>(万元)</w:t>
            </w:r>
          </w:p>
        </w:tc>
        <w:tc>
          <w:tcPr>
            <w:tcW w:w="918" w:type="dxa"/>
            <w:vAlign w:val="center"/>
          </w:tcPr>
          <w:p w14:paraId="727D99F2">
            <w:pPr>
              <w:pStyle w:val="24"/>
              <w:widowControl w:val="0"/>
              <w:spacing w:line="280" w:lineRule="exact"/>
              <w:jc w:val="center"/>
              <w:rPr>
                <w:rFonts w:hint="eastAsia"/>
              </w:rPr>
            </w:pPr>
            <w:r>
              <w:rPr>
                <w:rFonts w:hint="eastAsia"/>
                <w:spacing w:val="8"/>
              </w:rPr>
              <w:t>投资</w:t>
            </w:r>
          </w:p>
          <w:p w14:paraId="5787C5B5">
            <w:pPr>
              <w:pStyle w:val="24"/>
              <w:widowControl w:val="0"/>
              <w:spacing w:line="280" w:lineRule="exact"/>
              <w:jc w:val="center"/>
              <w:rPr>
                <w:rFonts w:hint="eastAsia"/>
              </w:rPr>
            </w:pPr>
            <w:r>
              <w:rPr>
                <w:rFonts w:hint="eastAsia"/>
                <w:spacing w:val="5"/>
              </w:rPr>
              <w:t>概算</w:t>
            </w:r>
          </w:p>
          <w:p w14:paraId="0EB8A712">
            <w:pPr>
              <w:pStyle w:val="24"/>
              <w:widowControl w:val="0"/>
              <w:spacing w:line="280" w:lineRule="exact"/>
              <w:jc w:val="center"/>
              <w:rPr>
                <w:rFonts w:hint="eastAsia"/>
              </w:rPr>
            </w:pPr>
            <w:r>
              <w:rPr>
                <w:rFonts w:hint="eastAsia"/>
                <w:spacing w:val="-2"/>
              </w:rPr>
              <w:t>控制率</w:t>
            </w:r>
          </w:p>
        </w:tc>
      </w:tr>
      <w:tr w14:paraId="694FC5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vMerge w:val="continue"/>
            <w:tcBorders>
              <w:top w:val="nil"/>
            </w:tcBorders>
          </w:tcPr>
          <w:p w14:paraId="32F8C4AC">
            <w:pPr>
              <w:widowControl w:val="0"/>
              <w:spacing w:line="280" w:lineRule="exact"/>
              <w:rPr>
                <w:rFonts w:hint="eastAsia" w:ascii="宋体" w:hAnsi="宋体" w:eastAsia="宋体" w:cs="宋体"/>
              </w:rPr>
            </w:pPr>
          </w:p>
        </w:tc>
        <w:tc>
          <w:tcPr>
            <w:tcW w:w="1089" w:type="dxa"/>
            <w:vAlign w:val="center"/>
          </w:tcPr>
          <w:p w14:paraId="0C9DBDA0">
            <w:pPr>
              <w:widowControl w:val="0"/>
              <w:spacing w:line="280" w:lineRule="exact"/>
              <w:jc w:val="center"/>
              <w:rPr>
                <w:rFonts w:hint="eastAsia" w:ascii="宋体" w:hAnsi="宋体" w:eastAsia="宋体" w:cs="宋体"/>
              </w:rPr>
            </w:pPr>
          </w:p>
        </w:tc>
        <w:tc>
          <w:tcPr>
            <w:tcW w:w="746" w:type="dxa"/>
            <w:vAlign w:val="center"/>
          </w:tcPr>
          <w:p w14:paraId="1A804D03">
            <w:pPr>
              <w:widowControl w:val="0"/>
              <w:spacing w:line="280" w:lineRule="exact"/>
              <w:jc w:val="center"/>
              <w:rPr>
                <w:rFonts w:hint="eastAsia" w:ascii="宋体" w:hAnsi="宋体" w:eastAsia="宋体" w:cs="宋体"/>
              </w:rPr>
            </w:pPr>
          </w:p>
        </w:tc>
        <w:tc>
          <w:tcPr>
            <w:tcW w:w="912" w:type="dxa"/>
            <w:vAlign w:val="center"/>
          </w:tcPr>
          <w:p w14:paraId="4717342C">
            <w:pPr>
              <w:widowControl w:val="0"/>
              <w:spacing w:line="280" w:lineRule="exact"/>
              <w:jc w:val="center"/>
              <w:rPr>
                <w:rFonts w:hint="eastAsia" w:ascii="宋体" w:hAnsi="宋体" w:eastAsia="宋体" w:cs="宋体"/>
              </w:rPr>
            </w:pPr>
          </w:p>
        </w:tc>
        <w:tc>
          <w:tcPr>
            <w:tcW w:w="1030" w:type="dxa"/>
            <w:vAlign w:val="center"/>
          </w:tcPr>
          <w:p w14:paraId="60394BC8">
            <w:pPr>
              <w:widowControl w:val="0"/>
              <w:spacing w:line="280" w:lineRule="exact"/>
              <w:jc w:val="center"/>
              <w:rPr>
                <w:rFonts w:hint="eastAsia" w:ascii="宋体" w:hAnsi="宋体" w:eastAsia="宋体" w:cs="宋体"/>
              </w:rPr>
            </w:pPr>
          </w:p>
        </w:tc>
        <w:tc>
          <w:tcPr>
            <w:tcW w:w="991" w:type="dxa"/>
            <w:vAlign w:val="center"/>
          </w:tcPr>
          <w:p w14:paraId="111D22A8">
            <w:pPr>
              <w:widowControl w:val="0"/>
              <w:spacing w:line="280" w:lineRule="exact"/>
              <w:jc w:val="center"/>
              <w:rPr>
                <w:rFonts w:hint="eastAsia" w:ascii="宋体" w:hAnsi="宋体" w:eastAsia="宋体" w:cs="宋体"/>
              </w:rPr>
            </w:pPr>
          </w:p>
        </w:tc>
        <w:tc>
          <w:tcPr>
            <w:tcW w:w="918" w:type="dxa"/>
            <w:vAlign w:val="center"/>
          </w:tcPr>
          <w:p w14:paraId="25C74932">
            <w:pPr>
              <w:widowControl w:val="0"/>
              <w:spacing w:line="280" w:lineRule="exact"/>
              <w:jc w:val="center"/>
              <w:rPr>
                <w:rFonts w:hint="eastAsia" w:ascii="宋体" w:hAnsi="宋体" w:eastAsia="宋体" w:cs="宋体"/>
              </w:rPr>
            </w:pPr>
          </w:p>
        </w:tc>
      </w:tr>
      <w:tr w14:paraId="74EA45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vAlign w:val="center"/>
          </w:tcPr>
          <w:p w14:paraId="345A8984">
            <w:pPr>
              <w:pStyle w:val="24"/>
              <w:widowControl w:val="0"/>
              <w:spacing w:line="280" w:lineRule="exact"/>
              <w:jc w:val="center"/>
              <w:rPr>
                <w:rFonts w:hint="eastAsia"/>
              </w:rPr>
            </w:pPr>
            <w:r>
              <w:rPr>
                <w:rFonts w:hint="eastAsia"/>
                <w:b/>
                <w:bCs/>
                <w:spacing w:val="-5"/>
              </w:rPr>
              <w:t>厉行节约保障措施</w:t>
            </w:r>
          </w:p>
        </w:tc>
        <w:tc>
          <w:tcPr>
            <w:tcW w:w="5686" w:type="dxa"/>
            <w:gridSpan w:val="6"/>
            <w:vAlign w:val="center"/>
          </w:tcPr>
          <w:p w14:paraId="105A57E2">
            <w:pPr>
              <w:widowControl w:val="0"/>
              <w:spacing w:line="280" w:lineRule="exact"/>
              <w:jc w:val="center"/>
              <w:rPr>
                <w:rFonts w:hint="eastAsia" w:ascii="宋体" w:hAnsi="宋体" w:eastAsia="宋体" w:cs="宋体"/>
              </w:rPr>
            </w:pPr>
          </w:p>
        </w:tc>
      </w:tr>
    </w:tbl>
    <w:p w14:paraId="5A6BD104">
      <w:pPr>
        <w:pStyle w:val="4"/>
        <w:spacing w:line="340" w:lineRule="exact"/>
        <w:rPr>
          <w:rFonts w:hint="eastAsia" w:ascii="宋体" w:hAnsi="宋体" w:eastAsia="宋体" w:cs="宋体"/>
          <w:sz w:val="22"/>
          <w:szCs w:val="22"/>
          <w:lang w:eastAsia="zh-CN"/>
        </w:rPr>
        <w:sectPr>
          <w:footerReference r:id="rId8" w:type="default"/>
          <w:pgSz w:w="12020" w:h="16960"/>
          <w:pgMar w:top="2041" w:right="1531" w:bottom="1758" w:left="1531" w:header="0" w:footer="1304" w:gutter="0"/>
          <w:pgNumType w:fmt="numberInDash"/>
          <w:cols w:space="720" w:num="1"/>
          <w:docGrid w:linePitch="286" w:charSpace="0"/>
        </w:sectPr>
      </w:pPr>
      <w:r>
        <w:rPr>
          <w:rFonts w:hint="eastAsia" w:ascii="宋体" w:hAnsi="宋体" w:eastAsia="宋体" w:cs="宋体"/>
          <w:snapToGrid/>
          <w:sz w:val="24"/>
          <w:szCs w:val="24"/>
          <w:lang w:eastAsia="zh-CN" w:bidi="ar"/>
        </w:rPr>
        <w:t>说明：“项目支出”需要填报所有项目情况，包括业务工作项目、运行维护项目等；“公用经费”填报基本支出中的一般商品和服务支出</w:t>
      </w:r>
      <w:r>
        <w:rPr>
          <w:rFonts w:hint="eastAsia" w:ascii="宋体" w:hAnsi="宋体" w:eastAsia="宋体" w:cs="宋体"/>
          <w:snapToGrid/>
          <w:sz w:val="32"/>
          <w:szCs w:val="32"/>
          <w:lang w:eastAsia="zh-CN" w:bidi="ar"/>
        </w:rPr>
        <w:t>。</w:t>
      </w:r>
    </w:p>
    <w:p w14:paraId="468830D7">
      <w:pPr>
        <w:kinsoku/>
        <w:autoSpaceDE/>
        <w:autoSpaceDN/>
        <w:adjustRightInd/>
        <w:snapToGrid/>
        <w:textAlignment w:val="auto"/>
        <w:rPr>
          <w:rFonts w:hint="eastAsia" w:ascii="黑体" w:hAnsi="黑体" w:eastAsia="黑体" w:cs="宋体"/>
          <w:snapToGrid/>
          <w:sz w:val="32"/>
          <w:szCs w:val="32"/>
          <w:lang w:eastAsia="zh-CN" w:bidi="ar"/>
        </w:rPr>
      </w:pPr>
      <w:r>
        <w:rPr>
          <w:rFonts w:hint="eastAsia" w:ascii="黑体" w:hAnsi="黑体" w:eastAsia="黑体" w:cs="宋体"/>
          <w:snapToGrid/>
          <w:sz w:val="32"/>
          <w:szCs w:val="32"/>
          <w:lang w:eastAsia="zh-CN" w:bidi="ar"/>
        </w:rPr>
        <w:t>附件2</w:t>
      </w:r>
    </w:p>
    <w:p w14:paraId="795C3CBD">
      <w:pPr>
        <w:kinsoku/>
        <w:autoSpaceDE/>
        <w:autoSpaceDN/>
        <w:adjustRightInd/>
        <w:snapToGrid/>
        <w:jc w:val="center"/>
        <w:textAlignment w:val="auto"/>
        <w:rPr>
          <w:rFonts w:hint="eastAsia" w:ascii="宋体" w:hAnsi="宋体" w:eastAsia="宋体" w:cs="宋体"/>
          <w:b/>
          <w:bCs/>
          <w:snapToGrid/>
          <w:sz w:val="44"/>
          <w:szCs w:val="44"/>
          <w:lang w:eastAsia="zh-CN" w:bidi="ar"/>
        </w:rPr>
      </w:pPr>
      <w:r>
        <w:rPr>
          <w:rFonts w:hint="eastAsia" w:ascii="宋体" w:hAnsi="宋体" w:eastAsia="宋体" w:cs="宋体"/>
          <w:b/>
          <w:bCs/>
          <w:snapToGrid/>
          <w:sz w:val="44"/>
          <w:szCs w:val="44"/>
          <w:lang w:eastAsia="zh-CN" w:bidi="ar"/>
        </w:rPr>
        <w:t>部门整体支出绩效自评表</w:t>
      </w:r>
    </w:p>
    <w:p w14:paraId="6293047C">
      <w:pPr>
        <w:spacing w:before="240" w:after="120" w:afterLines="50" w:line="219" w:lineRule="auto"/>
        <w:jc w:val="center"/>
        <w:rPr>
          <w:rFonts w:hint="eastAsia" w:ascii="宋体" w:hAnsi="宋体" w:eastAsia="宋体" w:cs="宋体"/>
          <w:sz w:val="32"/>
          <w:szCs w:val="32"/>
        </w:rPr>
      </w:pPr>
      <w:r>
        <w:rPr>
          <w:rFonts w:hint="eastAsia" w:ascii="宋体" w:hAnsi="宋体" w:eastAsia="宋体" w:cs="宋体"/>
          <w:spacing w:val="-7"/>
          <w:sz w:val="32"/>
          <w:szCs w:val="32"/>
        </w:rPr>
        <w:t>(</w:t>
      </w:r>
      <w:r>
        <w:rPr>
          <w:rFonts w:hint="eastAsia" w:ascii="宋体" w:hAnsi="宋体" w:eastAsia="宋体" w:cs="宋体"/>
          <w:spacing w:val="-7"/>
          <w:sz w:val="32"/>
          <w:szCs w:val="32"/>
          <w:lang w:eastAsia="zh-CN"/>
        </w:rPr>
        <w:t>2025</w:t>
      </w:r>
      <w:r>
        <w:rPr>
          <w:rFonts w:hint="eastAsia" w:ascii="宋体" w:hAnsi="宋体" w:eastAsia="宋体" w:cs="宋体"/>
          <w:spacing w:val="-7"/>
          <w:sz w:val="32"/>
          <w:szCs w:val="32"/>
        </w:rPr>
        <w:t>年度)</w:t>
      </w:r>
    </w:p>
    <w:p w14:paraId="3D20038E">
      <w:pPr>
        <w:spacing w:line="72" w:lineRule="auto"/>
        <w:rPr>
          <w:rFonts w:hint="eastAsia" w:ascii="宋体" w:hAnsi="宋体" w:eastAsia="宋体" w:cs="宋体"/>
          <w:sz w:val="2"/>
        </w:rPr>
      </w:pPr>
    </w:p>
    <w:tbl>
      <w:tblPr>
        <w:tblStyle w:val="25"/>
        <w:tblW w:w="967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69"/>
        <w:gridCol w:w="1080"/>
        <w:gridCol w:w="1150"/>
        <w:gridCol w:w="1506"/>
        <w:gridCol w:w="25"/>
        <w:gridCol w:w="975"/>
        <w:gridCol w:w="1033"/>
        <w:gridCol w:w="623"/>
        <w:gridCol w:w="750"/>
        <w:gridCol w:w="1666"/>
      </w:tblGrid>
      <w:tr w14:paraId="3B74AB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794" w:hRule="atLeast"/>
          <w:jc w:val="center"/>
        </w:trPr>
        <w:tc>
          <w:tcPr>
            <w:tcW w:w="869" w:type="dxa"/>
            <w:vAlign w:val="center"/>
          </w:tcPr>
          <w:p w14:paraId="103537C1">
            <w:pPr>
              <w:pStyle w:val="24"/>
              <w:kinsoku/>
              <w:topLinePunct/>
              <w:autoSpaceDE/>
              <w:autoSpaceDN/>
              <w:spacing w:before="53" w:line="219" w:lineRule="auto"/>
              <w:jc w:val="center"/>
              <w:rPr>
                <w:rFonts w:hint="eastAsia"/>
              </w:rPr>
            </w:pPr>
            <w:r>
              <w:rPr>
                <w:rFonts w:hint="eastAsia"/>
                <w:spacing w:val="3"/>
              </w:rPr>
              <w:t>预算部</w:t>
            </w:r>
          </w:p>
          <w:p w14:paraId="64A8A06E">
            <w:pPr>
              <w:pStyle w:val="24"/>
              <w:kinsoku/>
              <w:topLinePunct/>
              <w:autoSpaceDE/>
              <w:autoSpaceDN/>
              <w:spacing w:before="93" w:line="200" w:lineRule="auto"/>
              <w:jc w:val="center"/>
              <w:rPr>
                <w:rFonts w:hint="eastAsia"/>
              </w:rPr>
            </w:pPr>
            <w:r>
              <w:rPr>
                <w:rFonts w:hint="eastAsia"/>
                <w:spacing w:val="3"/>
              </w:rPr>
              <w:t>门名称</w:t>
            </w:r>
          </w:p>
        </w:tc>
        <w:tc>
          <w:tcPr>
            <w:tcW w:w="8808" w:type="dxa"/>
            <w:gridSpan w:val="9"/>
            <w:vAlign w:val="center"/>
          </w:tcPr>
          <w:p w14:paraId="341F9A71">
            <w:pPr>
              <w:kinsoku/>
              <w:topLinePunct/>
              <w:autoSpaceDE/>
              <w:autoSpaceDN/>
              <w:ind w:firstLine="2100" w:firstLineChars="1000"/>
              <w:jc w:val="both"/>
              <w:rPr>
                <w:rFonts w:hint="default" w:ascii="宋体" w:hAnsi="宋体" w:eastAsia="宋体" w:cs="宋体"/>
                <w:lang w:val="en-US" w:eastAsia="zh-CN"/>
              </w:rPr>
            </w:pPr>
            <w:r>
              <w:rPr>
                <w:rFonts w:hint="eastAsia" w:ascii="宋体" w:hAnsi="宋体" w:eastAsia="宋体" w:cs="宋体"/>
                <w:lang w:val="en-US" w:eastAsia="zh-CN"/>
              </w:rPr>
              <w:t>中国人民政治协商会议湖南省会同县委员会办公室</w:t>
            </w:r>
          </w:p>
        </w:tc>
      </w:tr>
      <w:tr w14:paraId="51BF8F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794" w:hRule="atLeast"/>
          <w:jc w:val="center"/>
        </w:trPr>
        <w:tc>
          <w:tcPr>
            <w:tcW w:w="869" w:type="dxa"/>
            <w:vMerge w:val="restart"/>
            <w:tcBorders>
              <w:bottom w:val="nil"/>
            </w:tcBorders>
            <w:vAlign w:val="center"/>
          </w:tcPr>
          <w:p w14:paraId="05F3A85E">
            <w:pPr>
              <w:pStyle w:val="24"/>
              <w:kinsoku/>
              <w:topLinePunct/>
              <w:autoSpaceDE/>
              <w:autoSpaceDN/>
              <w:jc w:val="center"/>
              <w:rPr>
                <w:rFonts w:hint="eastAsia"/>
                <w:spacing w:val="-4"/>
              </w:rPr>
            </w:pPr>
            <w:r>
              <w:rPr>
                <w:rFonts w:hint="eastAsia"/>
                <w:spacing w:val="-4"/>
              </w:rPr>
              <w:t>年度预算申请</w:t>
            </w:r>
          </w:p>
          <w:p w14:paraId="6F8EE3C1">
            <w:pPr>
              <w:pStyle w:val="24"/>
              <w:kinsoku/>
              <w:topLinePunct/>
              <w:autoSpaceDE/>
              <w:autoSpaceDN/>
              <w:jc w:val="center"/>
              <w:rPr>
                <w:rFonts w:hint="eastAsia"/>
              </w:rPr>
            </w:pPr>
            <w:r>
              <w:rPr>
                <w:rFonts w:hint="eastAsia"/>
                <w:spacing w:val="21"/>
              </w:rPr>
              <w:t>(万元)</w:t>
            </w:r>
          </w:p>
        </w:tc>
        <w:tc>
          <w:tcPr>
            <w:tcW w:w="2230" w:type="dxa"/>
            <w:gridSpan w:val="2"/>
            <w:vAlign w:val="center"/>
          </w:tcPr>
          <w:p w14:paraId="57C45980">
            <w:pPr>
              <w:kinsoku/>
              <w:topLinePunct/>
              <w:autoSpaceDE/>
              <w:autoSpaceDN/>
              <w:jc w:val="center"/>
              <w:rPr>
                <w:rFonts w:hint="eastAsia" w:ascii="宋体" w:hAnsi="宋体" w:eastAsia="宋体" w:cs="宋体"/>
              </w:rPr>
            </w:pPr>
          </w:p>
        </w:tc>
        <w:tc>
          <w:tcPr>
            <w:tcW w:w="1531" w:type="dxa"/>
            <w:gridSpan w:val="2"/>
            <w:vAlign w:val="center"/>
          </w:tcPr>
          <w:p w14:paraId="22AA5D0B">
            <w:pPr>
              <w:pStyle w:val="24"/>
              <w:kinsoku/>
              <w:topLinePunct/>
              <w:autoSpaceDE/>
              <w:autoSpaceDN/>
              <w:jc w:val="center"/>
              <w:rPr>
                <w:rFonts w:hint="eastAsia"/>
              </w:rPr>
            </w:pPr>
            <w:r>
              <w:rPr>
                <w:rFonts w:hint="eastAsia"/>
                <w:spacing w:val="5"/>
              </w:rPr>
              <w:t>年初</w:t>
            </w:r>
            <w:r>
              <w:rPr>
                <w:rFonts w:hint="eastAsia"/>
                <w:spacing w:val="-4"/>
              </w:rPr>
              <w:t>预算数</w:t>
            </w:r>
          </w:p>
        </w:tc>
        <w:tc>
          <w:tcPr>
            <w:tcW w:w="975" w:type="dxa"/>
            <w:vAlign w:val="center"/>
          </w:tcPr>
          <w:p w14:paraId="7CC024CB">
            <w:pPr>
              <w:pStyle w:val="24"/>
              <w:kinsoku/>
              <w:topLinePunct/>
              <w:autoSpaceDE/>
              <w:autoSpaceDN/>
              <w:jc w:val="center"/>
              <w:rPr>
                <w:rFonts w:hint="eastAsia"/>
              </w:rPr>
            </w:pPr>
            <w:r>
              <w:rPr>
                <w:rFonts w:hint="eastAsia"/>
                <w:spacing w:val="-3"/>
              </w:rPr>
              <w:t>全年预算数</w:t>
            </w:r>
          </w:p>
        </w:tc>
        <w:tc>
          <w:tcPr>
            <w:tcW w:w="1033" w:type="dxa"/>
            <w:vAlign w:val="center"/>
          </w:tcPr>
          <w:p w14:paraId="7250699E">
            <w:pPr>
              <w:pStyle w:val="24"/>
              <w:kinsoku/>
              <w:topLinePunct/>
              <w:autoSpaceDE/>
              <w:autoSpaceDN/>
              <w:jc w:val="center"/>
              <w:rPr>
                <w:rFonts w:hint="eastAsia"/>
              </w:rPr>
            </w:pPr>
            <w:r>
              <w:rPr>
                <w:rFonts w:hint="eastAsia"/>
                <w:spacing w:val="-5"/>
              </w:rPr>
              <w:t>全年</w:t>
            </w:r>
            <w:r>
              <w:rPr>
                <w:rFonts w:hint="eastAsia"/>
                <w:spacing w:val="-3"/>
              </w:rPr>
              <w:t>执行数</w:t>
            </w:r>
          </w:p>
        </w:tc>
        <w:tc>
          <w:tcPr>
            <w:tcW w:w="623" w:type="dxa"/>
            <w:vAlign w:val="center"/>
          </w:tcPr>
          <w:p w14:paraId="11F0C591">
            <w:pPr>
              <w:pStyle w:val="24"/>
              <w:kinsoku/>
              <w:topLinePunct/>
              <w:autoSpaceDE/>
              <w:autoSpaceDN/>
              <w:jc w:val="center"/>
              <w:rPr>
                <w:rFonts w:hint="eastAsia"/>
              </w:rPr>
            </w:pPr>
            <w:r>
              <w:rPr>
                <w:rFonts w:hint="eastAsia"/>
                <w:spacing w:val="-3"/>
              </w:rPr>
              <w:t>分值</w:t>
            </w:r>
          </w:p>
        </w:tc>
        <w:tc>
          <w:tcPr>
            <w:tcW w:w="750" w:type="dxa"/>
            <w:vAlign w:val="center"/>
          </w:tcPr>
          <w:p w14:paraId="5CD80631">
            <w:pPr>
              <w:pStyle w:val="24"/>
              <w:kinsoku/>
              <w:topLinePunct/>
              <w:autoSpaceDE/>
              <w:autoSpaceDN/>
              <w:jc w:val="center"/>
              <w:rPr>
                <w:rFonts w:hint="eastAsia"/>
              </w:rPr>
            </w:pPr>
            <w:r>
              <w:rPr>
                <w:rFonts w:hint="eastAsia"/>
                <w:spacing w:val="-2"/>
              </w:rPr>
              <w:t>执行率</w:t>
            </w:r>
          </w:p>
        </w:tc>
        <w:tc>
          <w:tcPr>
            <w:tcW w:w="1666" w:type="dxa"/>
            <w:vAlign w:val="center"/>
          </w:tcPr>
          <w:p w14:paraId="667280AE">
            <w:pPr>
              <w:pStyle w:val="24"/>
              <w:kinsoku/>
              <w:topLinePunct/>
              <w:autoSpaceDE/>
              <w:autoSpaceDN/>
              <w:jc w:val="center"/>
              <w:rPr>
                <w:rFonts w:hint="eastAsia"/>
              </w:rPr>
            </w:pPr>
            <w:r>
              <w:rPr>
                <w:rFonts w:hint="eastAsia"/>
                <w:spacing w:val="-3"/>
              </w:rPr>
              <w:t>得分</w:t>
            </w:r>
          </w:p>
        </w:tc>
      </w:tr>
      <w:tr w14:paraId="00E430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794" w:hRule="atLeast"/>
          <w:jc w:val="center"/>
        </w:trPr>
        <w:tc>
          <w:tcPr>
            <w:tcW w:w="869" w:type="dxa"/>
            <w:vMerge w:val="continue"/>
            <w:tcBorders>
              <w:top w:val="nil"/>
              <w:bottom w:val="nil"/>
            </w:tcBorders>
            <w:vAlign w:val="center"/>
          </w:tcPr>
          <w:p w14:paraId="3CE6226C">
            <w:pPr>
              <w:kinsoku/>
              <w:topLinePunct/>
              <w:autoSpaceDE/>
              <w:autoSpaceDN/>
              <w:jc w:val="center"/>
              <w:rPr>
                <w:rFonts w:hint="eastAsia" w:ascii="宋体" w:hAnsi="宋体" w:eastAsia="宋体" w:cs="宋体"/>
              </w:rPr>
            </w:pPr>
          </w:p>
        </w:tc>
        <w:tc>
          <w:tcPr>
            <w:tcW w:w="2230" w:type="dxa"/>
            <w:gridSpan w:val="2"/>
            <w:vAlign w:val="center"/>
          </w:tcPr>
          <w:p w14:paraId="63C36339">
            <w:pPr>
              <w:pStyle w:val="24"/>
              <w:kinsoku/>
              <w:topLinePunct/>
              <w:autoSpaceDE/>
              <w:autoSpaceDN/>
              <w:jc w:val="center"/>
              <w:rPr>
                <w:rFonts w:hint="eastAsia"/>
              </w:rPr>
            </w:pPr>
            <w:r>
              <w:rPr>
                <w:rFonts w:hint="eastAsia"/>
                <w:spacing w:val="-2"/>
              </w:rPr>
              <w:t>年度资金总额</w:t>
            </w:r>
          </w:p>
        </w:tc>
        <w:tc>
          <w:tcPr>
            <w:tcW w:w="1531" w:type="dxa"/>
            <w:gridSpan w:val="2"/>
            <w:vAlign w:val="center"/>
          </w:tcPr>
          <w:p w14:paraId="59C26150">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589.49</w:t>
            </w:r>
          </w:p>
        </w:tc>
        <w:tc>
          <w:tcPr>
            <w:tcW w:w="975" w:type="dxa"/>
            <w:vAlign w:val="center"/>
          </w:tcPr>
          <w:p w14:paraId="111C3194">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720.61</w:t>
            </w:r>
          </w:p>
        </w:tc>
        <w:tc>
          <w:tcPr>
            <w:tcW w:w="1033" w:type="dxa"/>
            <w:vAlign w:val="center"/>
          </w:tcPr>
          <w:p w14:paraId="01A6A362">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720.61</w:t>
            </w:r>
          </w:p>
        </w:tc>
        <w:tc>
          <w:tcPr>
            <w:tcW w:w="623" w:type="dxa"/>
            <w:vAlign w:val="center"/>
          </w:tcPr>
          <w:p w14:paraId="70D684F2">
            <w:pPr>
              <w:pStyle w:val="24"/>
              <w:kinsoku/>
              <w:topLinePunct/>
              <w:autoSpaceDE/>
              <w:autoSpaceDN/>
              <w:jc w:val="center"/>
              <w:rPr>
                <w:rFonts w:hint="eastAsia"/>
              </w:rPr>
            </w:pPr>
            <w:r>
              <w:rPr>
                <w:rFonts w:hint="eastAsia"/>
                <w:spacing w:val="-6"/>
              </w:rPr>
              <w:t>10</w:t>
            </w:r>
          </w:p>
        </w:tc>
        <w:tc>
          <w:tcPr>
            <w:tcW w:w="750" w:type="dxa"/>
            <w:vAlign w:val="center"/>
          </w:tcPr>
          <w:p w14:paraId="70B72768">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100%</w:t>
            </w:r>
          </w:p>
        </w:tc>
        <w:tc>
          <w:tcPr>
            <w:tcW w:w="1666" w:type="dxa"/>
            <w:vAlign w:val="center"/>
          </w:tcPr>
          <w:p w14:paraId="3D6FB0F3">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99</w:t>
            </w:r>
          </w:p>
        </w:tc>
      </w:tr>
      <w:tr w14:paraId="79AF63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794" w:hRule="atLeast"/>
          <w:jc w:val="center"/>
        </w:trPr>
        <w:tc>
          <w:tcPr>
            <w:tcW w:w="869" w:type="dxa"/>
            <w:vMerge w:val="continue"/>
            <w:tcBorders>
              <w:top w:val="nil"/>
              <w:bottom w:val="nil"/>
            </w:tcBorders>
            <w:vAlign w:val="center"/>
          </w:tcPr>
          <w:p w14:paraId="4D377A00">
            <w:pPr>
              <w:kinsoku/>
              <w:topLinePunct/>
              <w:autoSpaceDE/>
              <w:autoSpaceDN/>
              <w:jc w:val="center"/>
              <w:rPr>
                <w:rFonts w:hint="eastAsia" w:ascii="宋体" w:hAnsi="宋体" w:eastAsia="宋体" w:cs="宋体"/>
              </w:rPr>
            </w:pPr>
          </w:p>
        </w:tc>
        <w:tc>
          <w:tcPr>
            <w:tcW w:w="4736" w:type="dxa"/>
            <w:gridSpan w:val="5"/>
            <w:vAlign w:val="center"/>
          </w:tcPr>
          <w:p w14:paraId="64503F05">
            <w:pPr>
              <w:pStyle w:val="24"/>
              <w:kinsoku/>
              <w:topLinePunct/>
              <w:autoSpaceDE/>
              <w:autoSpaceDN/>
              <w:spacing w:before="71" w:line="219" w:lineRule="auto"/>
              <w:jc w:val="center"/>
              <w:rPr>
                <w:rFonts w:hint="eastAsia"/>
                <w:lang w:eastAsia="zh-CN"/>
              </w:rPr>
            </w:pPr>
            <w:r>
              <w:rPr>
                <w:rFonts w:hint="eastAsia"/>
                <w:spacing w:val="-1"/>
              </w:rPr>
              <w:t>按收入性质分：</w:t>
            </w:r>
            <w:r>
              <w:rPr>
                <w:rFonts w:hint="eastAsia"/>
                <w:spacing w:val="-1"/>
                <w:lang w:eastAsia="zh-CN"/>
              </w:rPr>
              <w:t>720.61</w:t>
            </w:r>
          </w:p>
        </w:tc>
        <w:tc>
          <w:tcPr>
            <w:tcW w:w="4072" w:type="dxa"/>
            <w:gridSpan w:val="4"/>
            <w:vAlign w:val="center"/>
          </w:tcPr>
          <w:p w14:paraId="758E9322">
            <w:pPr>
              <w:pStyle w:val="24"/>
              <w:kinsoku/>
              <w:topLinePunct/>
              <w:autoSpaceDE/>
              <w:autoSpaceDN/>
              <w:spacing w:before="71" w:line="219" w:lineRule="auto"/>
              <w:jc w:val="center"/>
              <w:rPr>
                <w:rFonts w:hint="eastAsia"/>
                <w:lang w:eastAsia="zh-CN"/>
              </w:rPr>
            </w:pPr>
            <w:r>
              <w:rPr>
                <w:rFonts w:hint="eastAsia"/>
              </w:rPr>
              <w:t>按支出性质分：</w:t>
            </w:r>
            <w:r>
              <w:rPr>
                <w:rFonts w:hint="eastAsia"/>
                <w:lang w:eastAsia="zh-CN"/>
              </w:rPr>
              <w:t>720.61</w:t>
            </w:r>
          </w:p>
        </w:tc>
      </w:tr>
      <w:tr w14:paraId="04B62E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794" w:hRule="atLeast"/>
          <w:jc w:val="center"/>
        </w:trPr>
        <w:tc>
          <w:tcPr>
            <w:tcW w:w="869" w:type="dxa"/>
            <w:vMerge w:val="continue"/>
            <w:tcBorders>
              <w:top w:val="nil"/>
              <w:bottom w:val="nil"/>
            </w:tcBorders>
            <w:vAlign w:val="center"/>
          </w:tcPr>
          <w:p w14:paraId="58988C21">
            <w:pPr>
              <w:kinsoku/>
              <w:topLinePunct/>
              <w:autoSpaceDE/>
              <w:autoSpaceDN/>
              <w:jc w:val="center"/>
              <w:rPr>
                <w:rFonts w:hint="eastAsia" w:ascii="宋体" w:hAnsi="宋体" w:eastAsia="宋体" w:cs="宋体"/>
              </w:rPr>
            </w:pPr>
          </w:p>
        </w:tc>
        <w:tc>
          <w:tcPr>
            <w:tcW w:w="4736" w:type="dxa"/>
            <w:gridSpan w:val="5"/>
            <w:vAlign w:val="center"/>
          </w:tcPr>
          <w:p w14:paraId="6F44A786">
            <w:pPr>
              <w:pStyle w:val="24"/>
              <w:kinsoku/>
              <w:topLinePunct/>
              <w:autoSpaceDE/>
              <w:autoSpaceDN/>
              <w:spacing w:before="71" w:line="219" w:lineRule="auto"/>
              <w:jc w:val="center"/>
              <w:rPr>
                <w:rFonts w:hint="eastAsia"/>
                <w:lang w:eastAsia="zh-CN"/>
              </w:rPr>
            </w:pPr>
            <w:r>
              <w:rPr>
                <w:rFonts w:hint="eastAsia"/>
                <w:spacing w:val="-3"/>
                <w:lang w:eastAsia="zh-CN"/>
              </w:rPr>
              <w:t>其中：一般公共预算：720.61</w:t>
            </w:r>
          </w:p>
        </w:tc>
        <w:tc>
          <w:tcPr>
            <w:tcW w:w="4072" w:type="dxa"/>
            <w:gridSpan w:val="4"/>
            <w:vAlign w:val="center"/>
          </w:tcPr>
          <w:p w14:paraId="37DBC235">
            <w:pPr>
              <w:pStyle w:val="24"/>
              <w:kinsoku/>
              <w:topLinePunct/>
              <w:autoSpaceDE/>
              <w:autoSpaceDN/>
              <w:spacing w:before="70" w:line="219" w:lineRule="auto"/>
              <w:jc w:val="center"/>
              <w:rPr>
                <w:rFonts w:hint="eastAsia"/>
                <w:lang w:eastAsia="zh-CN"/>
              </w:rPr>
            </w:pPr>
            <w:r>
              <w:rPr>
                <w:rFonts w:hint="eastAsia"/>
              </w:rPr>
              <w:t>其中：基本支出：</w:t>
            </w:r>
            <w:r>
              <w:rPr>
                <w:rFonts w:hint="eastAsia"/>
                <w:lang w:eastAsia="zh-CN"/>
              </w:rPr>
              <w:t>679.16</w:t>
            </w:r>
          </w:p>
        </w:tc>
      </w:tr>
      <w:tr w14:paraId="13F65A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794" w:hRule="atLeast"/>
          <w:jc w:val="center"/>
        </w:trPr>
        <w:tc>
          <w:tcPr>
            <w:tcW w:w="869" w:type="dxa"/>
            <w:vMerge w:val="continue"/>
            <w:tcBorders>
              <w:top w:val="nil"/>
              <w:bottom w:val="nil"/>
            </w:tcBorders>
            <w:vAlign w:val="center"/>
          </w:tcPr>
          <w:p w14:paraId="5C32A1AB">
            <w:pPr>
              <w:kinsoku/>
              <w:topLinePunct/>
              <w:autoSpaceDE/>
              <w:autoSpaceDN/>
              <w:jc w:val="center"/>
              <w:rPr>
                <w:rFonts w:hint="eastAsia" w:ascii="宋体" w:hAnsi="宋体" w:eastAsia="宋体" w:cs="宋体"/>
              </w:rPr>
            </w:pPr>
          </w:p>
        </w:tc>
        <w:tc>
          <w:tcPr>
            <w:tcW w:w="4736" w:type="dxa"/>
            <w:gridSpan w:val="5"/>
            <w:vAlign w:val="center"/>
          </w:tcPr>
          <w:p w14:paraId="1D711515">
            <w:pPr>
              <w:pStyle w:val="24"/>
              <w:kinsoku/>
              <w:topLinePunct/>
              <w:autoSpaceDE/>
              <w:autoSpaceDN/>
              <w:spacing w:before="70" w:line="219" w:lineRule="auto"/>
              <w:jc w:val="center"/>
              <w:rPr>
                <w:rFonts w:hint="eastAsia"/>
              </w:rPr>
            </w:pPr>
            <w:r>
              <w:rPr>
                <w:rFonts w:hint="eastAsia"/>
              </w:rPr>
              <w:t>政府性基金拨款：</w:t>
            </w:r>
          </w:p>
        </w:tc>
        <w:tc>
          <w:tcPr>
            <w:tcW w:w="4072" w:type="dxa"/>
            <w:gridSpan w:val="4"/>
            <w:vAlign w:val="center"/>
          </w:tcPr>
          <w:p w14:paraId="1642990E">
            <w:pPr>
              <w:pStyle w:val="24"/>
              <w:kinsoku/>
              <w:topLinePunct/>
              <w:autoSpaceDE/>
              <w:autoSpaceDN/>
              <w:spacing w:before="72" w:line="220" w:lineRule="auto"/>
              <w:jc w:val="center"/>
              <w:rPr>
                <w:rFonts w:hint="eastAsia"/>
                <w:lang w:eastAsia="zh-CN"/>
              </w:rPr>
            </w:pPr>
            <w:r>
              <w:rPr>
                <w:rFonts w:hint="eastAsia"/>
                <w:spacing w:val="-1"/>
              </w:rPr>
              <w:t>项目支出：</w:t>
            </w:r>
            <w:r>
              <w:rPr>
                <w:rFonts w:hint="eastAsia"/>
                <w:spacing w:val="-1"/>
                <w:lang w:eastAsia="zh-CN"/>
              </w:rPr>
              <w:t>41.45</w:t>
            </w:r>
          </w:p>
        </w:tc>
      </w:tr>
      <w:tr w14:paraId="70E9A4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794" w:hRule="atLeast"/>
          <w:jc w:val="center"/>
        </w:trPr>
        <w:tc>
          <w:tcPr>
            <w:tcW w:w="869" w:type="dxa"/>
            <w:vMerge w:val="continue"/>
            <w:tcBorders>
              <w:top w:val="nil"/>
              <w:bottom w:val="nil"/>
            </w:tcBorders>
            <w:vAlign w:val="center"/>
          </w:tcPr>
          <w:p w14:paraId="6CEA2FEA">
            <w:pPr>
              <w:kinsoku/>
              <w:topLinePunct/>
              <w:autoSpaceDE/>
              <w:autoSpaceDN/>
              <w:jc w:val="center"/>
              <w:rPr>
                <w:rFonts w:hint="eastAsia" w:ascii="宋体" w:hAnsi="宋体" w:eastAsia="宋体" w:cs="宋体"/>
              </w:rPr>
            </w:pPr>
          </w:p>
        </w:tc>
        <w:tc>
          <w:tcPr>
            <w:tcW w:w="4736" w:type="dxa"/>
            <w:gridSpan w:val="5"/>
            <w:vAlign w:val="center"/>
          </w:tcPr>
          <w:p w14:paraId="6F3D19DE">
            <w:pPr>
              <w:pStyle w:val="24"/>
              <w:kinsoku/>
              <w:topLinePunct/>
              <w:autoSpaceDE/>
              <w:autoSpaceDN/>
              <w:spacing w:before="72" w:line="219" w:lineRule="auto"/>
              <w:jc w:val="center"/>
              <w:rPr>
                <w:rFonts w:hint="eastAsia"/>
                <w:lang w:eastAsia="zh-CN"/>
              </w:rPr>
            </w:pPr>
            <w:r>
              <w:rPr>
                <w:rFonts w:hint="eastAsia"/>
                <w:spacing w:val="-1"/>
                <w:lang w:eastAsia="zh-CN"/>
              </w:rPr>
              <w:t>纳入专户管理的非税收入拨款：</w:t>
            </w:r>
          </w:p>
        </w:tc>
        <w:tc>
          <w:tcPr>
            <w:tcW w:w="4072" w:type="dxa"/>
            <w:gridSpan w:val="4"/>
            <w:vAlign w:val="center"/>
          </w:tcPr>
          <w:p w14:paraId="16164F37">
            <w:pPr>
              <w:kinsoku/>
              <w:topLinePunct/>
              <w:autoSpaceDE/>
              <w:autoSpaceDN/>
              <w:jc w:val="center"/>
              <w:rPr>
                <w:rFonts w:hint="eastAsia" w:ascii="宋体" w:hAnsi="宋体" w:eastAsia="宋体" w:cs="宋体"/>
                <w:lang w:eastAsia="zh-CN"/>
              </w:rPr>
            </w:pPr>
          </w:p>
        </w:tc>
      </w:tr>
      <w:tr w14:paraId="041CF6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794" w:hRule="atLeast"/>
          <w:jc w:val="center"/>
        </w:trPr>
        <w:tc>
          <w:tcPr>
            <w:tcW w:w="869" w:type="dxa"/>
            <w:vMerge w:val="continue"/>
            <w:tcBorders>
              <w:top w:val="nil"/>
            </w:tcBorders>
            <w:vAlign w:val="center"/>
          </w:tcPr>
          <w:p w14:paraId="4E512E6F">
            <w:pPr>
              <w:kinsoku/>
              <w:topLinePunct/>
              <w:autoSpaceDE/>
              <w:autoSpaceDN/>
              <w:jc w:val="center"/>
              <w:rPr>
                <w:rFonts w:hint="eastAsia" w:ascii="宋体" w:hAnsi="宋体" w:eastAsia="宋体" w:cs="宋体"/>
                <w:lang w:eastAsia="zh-CN"/>
              </w:rPr>
            </w:pPr>
          </w:p>
        </w:tc>
        <w:tc>
          <w:tcPr>
            <w:tcW w:w="4736" w:type="dxa"/>
            <w:gridSpan w:val="5"/>
            <w:vAlign w:val="center"/>
          </w:tcPr>
          <w:p w14:paraId="1B6F39F5">
            <w:pPr>
              <w:pStyle w:val="24"/>
              <w:kinsoku/>
              <w:topLinePunct/>
              <w:autoSpaceDE/>
              <w:autoSpaceDN/>
              <w:spacing w:before="73" w:line="220" w:lineRule="auto"/>
              <w:jc w:val="center"/>
              <w:rPr>
                <w:rFonts w:hint="eastAsia"/>
              </w:rPr>
            </w:pPr>
            <w:r>
              <w:rPr>
                <w:rFonts w:hint="eastAsia"/>
                <w:spacing w:val="-1"/>
              </w:rPr>
              <w:t>其他资金：</w:t>
            </w:r>
          </w:p>
        </w:tc>
        <w:tc>
          <w:tcPr>
            <w:tcW w:w="4072" w:type="dxa"/>
            <w:gridSpan w:val="4"/>
            <w:vAlign w:val="center"/>
          </w:tcPr>
          <w:p w14:paraId="150F397C">
            <w:pPr>
              <w:kinsoku/>
              <w:topLinePunct/>
              <w:autoSpaceDE/>
              <w:autoSpaceDN/>
              <w:jc w:val="center"/>
              <w:rPr>
                <w:rFonts w:hint="eastAsia" w:ascii="宋体" w:hAnsi="宋体" w:eastAsia="宋体" w:cs="宋体"/>
              </w:rPr>
            </w:pPr>
          </w:p>
        </w:tc>
      </w:tr>
      <w:tr w14:paraId="3AB11E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794" w:hRule="atLeast"/>
          <w:jc w:val="center"/>
        </w:trPr>
        <w:tc>
          <w:tcPr>
            <w:tcW w:w="869" w:type="dxa"/>
            <w:vMerge w:val="restart"/>
            <w:tcBorders>
              <w:bottom w:val="nil"/>
            </w:tcBorders>
            <w:vAlign w:val="center"/>
          </w:tcPr>
          <w:p w14:paraId="66289B82">
            <w:pPr>
              <w:pStyle w:val="24"/>
              <w:kinsoku/>
              <w:topLinePunct/>
              <w:autoSpaceDE/>
              <w:autoSpaceDN/>
              <w:spacing w:before="112" w:line="258" w:lineRule="auto"/>
              <w:jc w:val="center"/>
              <w:rPr>
                <w:rFonts w:hint="eastAsia"/>
              </w:rPr>
            </w:pPr>
            <w:r>
              <w:rPr>
                <w:rFonts w:hint="eastAsia"/>
                <w:spacing w:val="5"/>
              </w:rPr>
              <w:t>年度总</w:t>
            </w:r>
            <w:r>
              <w:rPr>
                <w:rFonts w:hint="eastAsia"/>
                <w:spacing w:val="-2"/>
              </w:rPr>
              <w:t>体目标</w:t>
            </w:r>
          </w:p>
        </w:tc>
        <w:tc>
          <w:tcPr>
            <w:tcW w:w="4736" w:type="dxa"/>
            <w:gridSpan w:val="5"/>
            <w:vAlign w:val="center"/>
          </w:tcPr>
          <w:p w14:paraId="3EE2A75D">
            <w:pPr>
              <w:pStyle w:val="24"/>
              <w:kinsoku/>
              <w:topLinePunct/>
              <w:autoSpaceDE/>
              <w:autoSpaceDN/>
              <w:spacing w:before="73" w:line="220" w:lineRule="auto"/>
              <w:jc w:val="center"/>
              <w:rPr>
                <w:rFonts w:hint="eastAsia"/>
              </w:rPr>
            </w:pPr>
            <w:r>
              <w:rPr>
                <w:rFonts w:hint="eastAsia"/>
                <w:spacing w:val="-2"/>
              </w:rPr>
              <w:t>预期目标</w:t>
            </w:r>
          </w:p>
        </w:tc>
        <w:tc>
          <w:tcPr>
            <w:tcW w:w="4072" w:type="dxa"/>
            <w:gridSpan w:val="4"/>
            <w:vAlign w:val="center"/>
          </w:tcPr>
          <w:p w14:paraId="183B6C29">
            <w:pPr>
              <w:pStyle w:val="24"/>
              <w:kinsoku/>
              <w:topLinePunct/>
              <w:autoSpaceDE/>
              <w:autoSpaceDN/>
              <w:spacing w:before="72" w:line="219" w:lineRule="auto"/>
              <w:jc w:val="center"/>
              <w:rPr>
                <w:rFonts w:hint="eastAsia"/>
              </w:rPr>
            </w:pPr>
            <w:r>
              <w:rPr>
                <w:rFonts w:hint="eastAsia"/>
                <w:spacing w:val="1"/>
              </w:rPr>
              <w:t>实际完成情况</w:t>
            </w:r>
          </w:p>
        </w:tc>
      </w:tr>
      <w:tr w14:paraId="44774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69" w:hRule="atLeast"/>
          <w:jc w:val="center"/>
        </w:trPr>
        <w:tc>
          <w:tcPr>
            <w:tcW w:w="869" w:type="dxa"/>
            <w:vMerge w:val="continue"/>
            <w:tcBorders>
              <w:top w:val="nil"/>
            </w:tcBorders>
            <w:vAlign w:val="center"/>
          </w:tcPr>
          <w:p w14:paraId="37E880DB">
            <w:pPr>
              <w:kinsoku/>
              <w:topLinePunct/>
              <w:autoSpaceDE/>
              <w:autoSpaceDN/>
              <w:jc w:val="center"/>
              <w:rPr>
                <w:rFonts w:hint="eastAsia" w:ascii="宋体" w:hAnsi="宋体" w:eastAsia="宋体" w:cs="宋体"/>
              </w:rPr>
            </w:pPr>
          </w:p>
        </w:tc>
        <w:tc>
          <w:tcPr>
            <w:tcW w:w="4736" w:type="dxa"/>
            <w:gridSpan w:val="5"/>
            <w:vAlign w:val="center"/>
          </w:tcPr>
          <w:p w14:paraId="6DA41BCF">
            <w:pPr>
              <w:kinsoku/>
              <w:topLinePunct/>
              <w:autoSpaceDE/>
              <w:autoSpaceDN/>
              <w:ind w:left="105" w:leftChars="50" w:right="105" w:rightChars="50"/>
              <w:jc w:val="both"/>
              <w:rPr>
                <w:rFonts w:hint="eastAsia" w:ascii="宋体" w:hAnsi="宋体" w:eastAsia="宋体" w:cs="宋体"/>
                <w:lang w:eastAsia="zh-CN"/>
              </w:rPr>
            </w:pPr>
            <w:r>
              <w:rPr>
                <w:rFonts w:hint="eastAsia" w:ascii="宋体" w:hAnsi="宋体" w:eastAsia="宋体" w:cs="宋体"/>
                <w:lang w:eastAsia="zh-CN"/>
              </w:rPr>
              <w:t>１、更好的发挥政协职能；；</w:t>
            </w:r>
          </w:p>
          <w:p w14:paraId="4BCBD4A0">
            <w:pPr>
              <w:kinsoku/>
              <w:topLinePunct/>
              <w:autoSpaceDE/>
              <w:autoSpaceDN/>
              <w:ind w:left="105" w:leftChars="50" w:right="105" w:rightChars="50"/>
              <w:jc w:val="both"/>
              <w:rPr>
                <w:rFonts w:hint="eastAsia" w:ascii="宋体" w:hAnsi="宋体" w:eastAsia="宋体" w:cs="宋体"/>
                <w:lang w:eastAsia="zh-CN"/>
              </w:rPr>
            </w:pPr>
            <w:r>
              <w:rPr>
                <w:rFonts w:hint="eastAsia" w:ascii="宋体" w:hAnsi="宋体" w:eastAsia="宋体" w:cs="宋体"/>
                <w:lang w:eastAsia="zh-CN"/>
              </w:rPr>
              <w:t>２、抓好民生服务活动，拓展群众参政渠道；</w:t>
            </w:r>
          </w:p>
          <w:p w14:paraId="65A8E4DA">
            <w:pPr>
              <w:kinsoku/>
              <w:topLinePunct/>
              <w:autoSpaceDE/>
              <w:autoSpaceDN/>
              <w:ind w:left="105" w:leftChars="50" w:right="105" w:rightChars="50"/>
              <w:jc w:val="both"/>
              <w:rPr>
                <w:rFonts w:hint="eastAsia" w:ascii="宋体" w:hAnsi="宋体" w:eastAsia="宋体" w:cs="宋体"/>
                <w:lang w:eastAsia="zh-CN"/>
              </w:rPr>
            </w:pPr>
            <w:r>
              <w:rPr>
                <w:rFonts w:hint="eastAsia" w:ascii="宋体" w:hAnsi="宋体" w:eastAsia="宋体" w:cs="宋体"/>
                <w:lang w:eastAsia="zh-CN"/>
              </w:rPr>
              <w:t>３、提高政协委员履职水平及政协工作者的业务水平；</w:t>
            </w:r>
          </w:p>
          <w:p w14:paraId="1B605A29">
            <w:pPr>
              <w:kinsoku/>
              <w:topLinePunct/>
              <w:autoSpaceDE/>
              <w:autoSpaceDN/>
              <w:ind w:left="105" w:leftChars="50" w:right="105" w:rightChars="50"/>
              <w:jc w:val="both"/>
              <w:rPr>
                <w:rFonts w:hint="eastAsia" w:ascii="宋体" w:hAnsi="宋体" w:eastAsia="宋体" w:cs="宋体"/>
                <w:lang w:eastAsia="zh-CN"/>
              </w:rPr>
            </w:pPr>
            <w:r>
              <w:rPr>
                <w:rFonts w:hint="eastAsia" w:ascii="宋体" w:hAnsi="宋体" w:eastAsia="宋体" w:cs="宋体"/>
                <w:lang w:eastAsia="zh-CN"/>
              </w:rPr>
              <w:t>４、认真开展专题协商、对口协商，积极开展调研视察；聚焦社会民生领域热点难点问题开展监督。</w:t>
            </w:r>
          </w:p>
          <w:p w14:paraId="5A6F9E00">
            <w:pPr>
              <w:kinsoku/>
              <w:topLinePunct/>
              <w:autoSpaceDE/>
              <w:autoSpaceDN/>
              <w:ind w:left="105" w:leftChars="50" w:right="105" w:rightChars="50"/>
              <w:jc w:val="both"/>
              <w:rPr>
                <w:rFonts w:hint="eastAsia" w:ascii="宋体" w:hAnsi="宋体" w:eastAsia="宋体" w:cs="宋体"/>
                <w:lang w:eastAsia="zh-CN"/>
              </w:rPr>
            </w:pPr>
            <w:r>
              <w:rPr>
                <w:rFonts w:hint="eastAsia" w:ascii="宋体" w:hAnsi="宋体" w:eastAsia="宋体" w:cs="宋体"/>
                <w:lang w:eastAsia="zh-CN"/>
              </w:rPr>
              <w:t>５、开展好委员走访调研视察等履职工作，充分应用好“政协云”。</w:t>
            </w:r>
          </w:p>
        </w:tc>
        <w:tc>
          <w:tcPr>
            <w:tcW w:w="4072" w:type="dxa"/>
            <w:gridSpan w:val="4"/>
            <w:vAlign w:val="center"/>
          </w:tcPr>
          <w:p w14:paraId="070D4E4E">
            <w:pPr>
              <w:kinsoku/>
              <w:topLinePunct/>
              <w:autoSpaceDE/>
              <w:autoSpaceDN/>
              <w:ind w:left="105" w:leftChars="50" w:right="105" w:rightChars="50"/>
              <w:jc w:val="both"/>
              <w:rPr>
                <w:rFonts w:hint="eastAsia" w:ascii="宋体" w:hAnsi="宋体" w:eastAsia="宋体" w:cs="宋体"/>
                <w:lang w:eastAsia="zh-CN"/>
              </w:rPr>
            </w:pPr>
            <w:r>
              <w:rPr>
                <w:rFonts w:hint="eastAsia" w:ascii="宋体" w:hAnsi="宋体" w:eastAsia="宋体" w:cs="宋体"/>
                <w:lang w:eastAsia="zh-CN"/>
              </w:rPr>
              <w:t>１、更好的发挥政协职能；；</w:t>
            </w:r>
          </w:p>
          <w:p w14:paraId="2481B3D2">
            <w:pPr>
              <w:kinsoku/>
              <w:topLinePunct/>
              <w:autoSpaceDE/>
              <w:autoSpaceDN/>
              <w:ind w:left="105" w:leftChars="50" w:right="105" w:rightChars="50"/>
              <w:jc w:val="both"/>
              <w:rPr>
                <w:rFonts w:hint="eastAsia" w:ascii="宋体" w:hAnsi="宋体" w:eastAsia="宋体" w:cs="宋体"/>
                <w:lang w:eastAsia="zh-CN"/>
              </w:rPr>
            </w:pPr>
            <w:r>
              <w:rPr>
                <w:rFonts w:hint="eastAsia" w:ascii="宋体" w:hAnsi="宋体" w:eastAsia="宋体" w:cs="宋体"/>
                <w:lang w:eastAsia="zh-CN"/>
              </w:rPr>
              <w:t>２、抓好民生服务活动，拓展群众参政渠道；</w:t>
            </w:r>
          </w:p>
          <w:p w14:paraId="266A0226">
            <w:pPr>
              <w:kinsoku/>
              <w:topLinePunct/>
              <w:autoSpaceDE/>
              <w:autoSpaceDN/>
              <w:ind w:left="105" w:leftChars="50" w:right="105" w:rightChars="50"/>
              <w:jc w:val="both"/>
              <w:rPr>
                <w:rFonts w:ascii="宋体" w:hAnsi="宋体" w:eastAsia="宋体" w:cs="宋体"/>
                <w:lang w:eastAsia="zh-CN"/>
              </w:rPr>
            </w:pPr>
            <w:r>
              <w:rPr>
                <w:rFonts w:hint="eastAsia" w:ascii="宋体" w:hAnsi="宋体" w:eastAsia="宋体" w:cs="宋体"/>
                <w:lang w:eastAsia="zh-CN"/>
              </w:rPr>
              <w:t>３、提高政协委员履职水平及政协工作者的业务水平</w:t>
            </w:r>
          </w:p>
          <w:p w14:paraId="1EDC3C95">
            <w:pPr>
              <w:kinsoku/>
              <w:topLinePunct/>
              <w:autoSpaceDE/>
              <w:autoSpaceDN/>
              <w:ind w:left="105" w:leftChars="50" w:right="105" w:rightChars="50"/>
              <w:jc w:val="both"/>
              <w:rPr>
                <w:rFonts w:hint="eastAsia" w:ascii="宋体" w:hAnsi="宋体" w:eastAsia="宋体" w:cs="宋体"/>
                <w:lang w:eastAsia="zh-CN"/>
              </w:rPr>
            </w:pPr>
            <w:r>
              <w:rPr>
                <w:rFonts w:hint="eastAsia" w:ascii="宋体" w:hAnsi="宋体" w:eastAsia="宋体" w:cs="宋体"/>
                <w:lang w:eastAsia="zh-CN"/>
              </w:rPr>
              <w:t>４、认真开展专题协商、对口协商，积极开展调研视察；聚焦社会民生领域热点难点问题开展监督。</w:t>
            </w:r>
          </w:p>
          <w:p w14:paraId="020CE9F0">
            <w:pPr>
              <w:kinsoku/>
              <w:topLinePunct/>
              <w:autoSpaceDE/>
              <w:autoSpaceDN/>
              <w:ind w:left="105" w:leftChars="50" w:right="105" w:rightChars="50"/>
              <w:jc w:val="both"/>
              <w:rPr>
                <w:rFonts w:hint="eastAsia" w:ascii="宋体" w:hAnsi="宋体" w:eastAsia="宋体" w:cs="宋体"/>
                <w:lang w:eastAsia="zh-CN"/>
              </w:rPr>
            </w:pPr>
            <w:r>
              <w:rPr>
                <w:rFonts w:hint="eastAsia" w:ascii="宋体" w:hAnsi="宋体" w:eastAsia="宋体" w:cs="宋体"/>
                <w:lang w:eastAsia="zh-CN"/>
              </w:rPr>
              <w:t>５、开展好委员走访调研视察等履职工作，充分应用好“政协云”。</w:t>
            </w:r>
          </w:p>
        </w:tc>
      </w:tr>
      <w:tr w14:paraId="4C272B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restart"/>
            <w:tcBorders>
              <w:bottom w:val="nil"/>
            </w:tcBorders>
            <w:textDirection w:val="tbRlV"/>
            <w:vAlign w:val="center"/>
          </w:tcPr>
          <w:p w14:paraId="2FBC63FF">
            <w:pPr>
              <w:pStyle w:val="24"/>
              <w:kinsoku/>
              <w:topLinePunct/>
              <w:autoSpaceDE/>
              <w:autoSpaceDN/>
              <w:spacing w:before="70" w:line="202" w:lineRule="auto"/>
              <w:jc w:val="center"/>
              <w:rPr>
                <w:rFonts w:hint="eastAsia"/>
              </w:rPr>
            </w:pPr>
            <w:r>
              <w:rPr>
                <w:rFonts w:hint="eastAsia"/>
                <w:spacing w:val="5"/>
              </w:rPr>
              <w:t>绩效指标</w:t>
            </w:r>
          </w:p>
        </w:tc>
        <w:tc>
          <w:tcPr>
            <w:tcW w:w="1080" w:type="dxa"/>
            <w:vAlign w:val="center"/>
          </w:tcPr>
          <w:p w14:paraId="6954E90D">
            <w:pPr>
              <w:pStyle w:val="24"/>
              <w:kinsoku/>
              <w:topLinePunct/>
              <w:autoSpaceDE/>
              <w:autoSpaceDN/>
              <w:jc w:val="center"/>
              <w:rPr>
                <w:rFonts w:hint="eastAsia"/>
              </w:rPr>
            </w:pPr>
            <w:r>
              <w:rPr>
                <w:rFonts w:hint="eastAsia"/>
                <w:spacing w:val="-3"/>
              </w:rPr>
              <w:t>一级指标</w:t>
            </w:r>
          </w:p>
        </w:tc>
        <w:tc>
          <w:tcPr>
            <w:tcW w:w="1150" w:type="dxa"/>
            <w:vAlign w:val="center"/>
          </w:tcPr>
          <w:p w14:paraId="797D997F">
            <w:pPr>
              <w:pStyle w:val="24"/>
              <w:kinsoku/>
              <w:topLinePunct/>
              <w:autoSpaceDE/>
              <w:autoSpaceDN/>
              <w:jc w:val="center"/>
              <w:rPr>
                <w:rFonts w:hint="eastAsia"/>
              </w:rPr>
            </w:pPr>
            <w:r>
              <w:rPr>
                <w:rFonts w:hint="eastAsia"/>
                <w:spacing w:val="-3"/>
              </w:rPr>
              <w:t>二级指标</w:t>
            </w:r>
          </w:p>
        </w:tc>
        <w:tc>
          <w:tcPr>
            <w:tcW w:w="1506" w:type="dxa"/>
            <w:vAlign w:val="center"/>
          </w:tcPr>
          <w:p w14:paraId="62768E0D">
            <w:pPr>
              <w:pStyle w:val="24"/>
              <w:kinsoku/>
              <w:topLinePunct/>
              <w:autoSpaceDE/>
              <w:autoSpaceDN/>
              <w:jc w:val="center"/>
              <w:rPr>
                <w:rFonts w:hint="eastAsia"/>
              </w:rPr>
            </w:pPr>
            <w:r>
              <w:rPr>
                <w:rFonts w:hint="eastAsia"/>
                <w:spacing w:val="6"/>
              </w:rPr>
              <w:t>三级</w:t>
            </w:r>
            <w:r>
              <w:rPr>
                <w:rFonts w:hint="eastAsia"/>
                <w:spacing w:val="-3"/>
              </w:rPr>
              <w:t>指标</w:t>
            </w:r>
          </w:p>
        </w:tc>
        <w:tc>
          <w:tcPr>
            <w:tcW w:w="1000" w:type="dxa"/>
            <w:gridSpan w:val="2"/>
            <w:vAlign w:val="center"/>
          </w:tcPr>
          <w:p w14:paraId="79347EBB">
            <w:pPr>
              <w:pStyle w:val="24"/>
              <w:kinsoku/>
              <w:topLinePunct/>
              <w:autoSpaceDE/>
              <w:autoSpaceDN/>
              <w:jc w:val="center"/>
              <w:rPr>
                <w:rFonts w:hint="eastAsia"/>
              </w:rPr>
            </w:pPr>
            <w:r>
              <w:rPr>
                <w:rFonts w:hint="eastAsia"/>
                <w:spacing w:val="6"/>
              </w:rPr>
              <w:t>年度</w:t>
            </w:r>
            <w:r>
              <w:rPr>
                <w:rFonts w:hint="eastAsia"/>
                <w:spacing w:val="-4"/>
              </w:rPr>
              <w:t>指标值</w:t>
            </w:r>
          </w:p>
        </w:tc>
        <w:tc>
          <w:tcPr>
            <w:tcW w:w="1033" w:type="dxa"/>
            <w:vAlign w:val="center"/>
          </w:tcPr>
          <w:p w14:paraId="6DEECF5B">
            <w:pPr>
              <w:pStyle w:val="24"/>
              <w:kinsoku/>
              <w:topLinePunct/>
              <w:autoSpaceDE/>
              <w:autoSpaceDN/>
              <w:jc w:val="center"/>
              <w:rPr>
                <w:rFonts w:hint="eastAsia"/>
              </w:rPr>
            </w:pPr>
            <w:r>
              <w:rPr>
                <w:rFonts w:hint="eastAsia"/>
                <w:spacing w:val="4"/>
              </w:rPr>
              <w:t>实际</w:t>
            </w:r>
            <w:r>
              <w:rPr>
                <w:rFonts w:hint="eastAsia"/>
                <w:spacing w:val="-4"/>
              </w:rPr>
              <w:t>完成值</w:t>
            </w:r>
          </w:p>
        </w:tc>
        <w:tc>
          <w:tcPr>
            <w:tcW w:w="623" w:type="dxa"/>
            <w:vAlign w:val="center"/>
          </w:tcPr>
          <w:p w14:paraId="7D95C6F9">
            <w:pPr>
              <w:pStyle w:val="24"/>
              <w:kinsoku/>
              <w:topLinePunct/>
              <w:autoSpaceDE/>
              <w:autoSpaceDN/>
              <w:jc w:val="center"/>
              <w:rPr>
                <w:rFonts w:hint="eastAsia"/>
              </w:rPr>
            </w:pPr>
            <w:r>
              <w:rPr>
                <w:rFonts w:hint="eastAsia"/>
                <w:spacing w:val="-3"/>
              </w:rPr>
              <w:t>分值</w:t>
            </w:r>
          </w:p>
        </w:tc>
        <w:tc>
          <w:tcPr>
            <w:tcW w:w="750" w:type="dxa"/>
            <w:vAlign w:val="center"/>
          </w:tcPr>
          <w:p w14:paraId="75FF3477">
            <w:pPr>
              <w:pStyle w:val="24"/>
              <w:kinsoku/>
              <w:topLinePunct/>
              <w:autoSpaceDE/>
              <w:autoSpaceDN/>
              <w:jc w:val="center"/>
              <w:rPr>
                <w:rFonts w:hint="eastAsia"/>
              </w:rPr>
            </w:pPr>
            <w:r>
              <w:rPr>
                <w:rFonts w:hint="eastAsia"/>
                <w:spacing w:val="-3"/>
              </w:rPr>
              <w:t>得分</w:t>
            </w:r>
          </w:p>
        </w:tc>
        <w:tc>
          <w:tcPr>
            <w:tcW w:w="1666" w:type="dxa"/>
            <w:vAlign w:val="center"/>
          </w:tcPr>
          <w:p w14:paraId="5A8CBCBA">
            <w:pPr>
              <w:pStyle w:val="24"/>
              <w:kinsoku/>
              <w:topLinePunct/>
              <w:autoSpaceDE/>
              <w:autoSpaceDN/>
              <w:jc w:val="center"/>
              <w:rPr>
                <w:rFonts w:hint="eastAsia"/>
                <w:spacing w:val="2"/>
                <w:lang w:eastAsia="zh-CN"/>
              </w:rPr>
            </w:pPr>
            <w:r>
              <w:rPr>
                <w:rFonts w:hint="eastAsia"/>
                <w:spacing w:val="-2"/>
                <w:lang w:eastAsia="zh-CN"/>
              </w:rPr>
              <w:t>偏差原因分</w:t>
            </w:r>
            <w:r>
              <w:rPr>
                <w:rFonts w:hint="eastAsia"/>
                <w:spacing w:val="2"/>
                <w:lang w:eastAsia="zh-CN"/>
              </w:rPr>
              <w:t>析</w:t>
            </w:r>
          </w:p>
          <w:p w14:paraId="64312361">
            <w:pPr>
              <w:pStyle w:val="24"/>
              <w:kinsoku/>
              <w:topLinePunct/>
              <w:autoSpaceDE/>
              <w:autoSpaceDN/>
              <w:jc w:val="center"/>
              <w:rPr>
                <w:rFonts w:hint="eastAsia"/>
                <w:lang w:eastAsia="zh-CN"/>
              </w:rPr>
            </w:pPr>
            <w:r>
              <w:rPr>
                <w:rFonts w:hint="eastAsia"/>
                <w:spacing w:val="2"/>
                <w:lang w:eastAsia="zh-CN"/>
              </w:rPr>
              <w:t>及改进措</w:t>
            </w:r>
            <w:r>
              <w:rPr>
                <w:rFonts w:hint="eastAsia"/>
                <w:lang w:eastAsia="zh-CN"/>
              </w:rPr>
              <w:t>施</w:t>
            </w:r>
          </w:p>
        </w:tc>
      </w:tr>
      <w:tr w14:paraId="3F2B62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continue"/>
            <w:tcBorders>
              <w:top w:val="nil"/>
              <w:bottom w:val="nil"/>
            </w:tcBorders>
            <w:textDirection w:val="tbRlV"/>
            <w:vAlign w:val="center"/>
          </w:tcPr>
          <w:p w14:paraId="15ACC595">
            <w:pPr>
              <w:kinsoku/>
              <w:topLinePunct/>
              <w:autoSpaceDE/>
              <w:autoSpaceDN/>
              <w:jc w:val="center"/>
              <w:rPr>
                <w:rFonts w:hint="eastAsia" w:ascii="宋体" w:hAnsi="宋体" w:eastAsia="宋体" w:cs="宋体"/>
                <w:lang w:eastAsia="zh-CN"/>
              </w:rPr>
            </w:pPr>
          </w:p>
        </w:tc>
        <w:tc>
          <w:tcPr>
            <w:tcW w:w="1080" w:type="dxa"/>
            <w:vAlign w:val="center"/>
          </w:tcPr>
          <w:p w14:paraId="2024AFC2">
            <w:pPr>
              <w:pStyle w:val="24"/>
              <w:kinsoku/>
              <w:topLinePunct/>
              <w:autoSpaceDE/>
              <w:autoSpaceDN/>
              <w:jc w:val="center"/>
              <w:rPr>
                <w:rFonts w:hint="eastAsia"/>
                <w:spacing w:val="9"/>
              </w:rPr>
            </w:pPr>
            <w:r>
              <w:rPr>
                <w:rFonts w:hint="eastAsia"/>
                <w:spacing w:val="9"/>
              </w:rPr>
              <w:t>投入指标</w:t>
            </w:r>
            <w:r>
              <w:rPr>
                <w:rFonts w:hint="eastAsia"/>
                <w:spacing w:val="9"/>
                <w:lang w:eastAsia="zh-CN"/>
              </w:rPr>
              <w:t xml:space="preserve"> </w:t>
            </w:r>
            <w:r>
              <w:rPr>
                <w:rFonts w:hint="eastAsia"/>
                <w:spacing w:val="9"/>
              </w:rPr>
              <w:t>（10分）</w:t>
            </w:r>
          </w:p>
        </w:tc>
        <w:tc>
          <w:tcPr>
            <w:tcW w:w="1150" w:type="dxa"/>
            <w:tcBorders>
              <w:bottom w:val="nil"/>
            </w:tcBorders>
            <w:vAlign w:val="center"/>
          </w:tcPr>
          <w:p w14:paraId="3A777C05">
            <w:pPr>
              <w:pStyle w:val="24"/>
              <w:kinsoku/>
              <w:topLinePunct/>
              <w:autoSpaceDE/>
              <w:autoSpaceDN/>
              <w:jc w:val="center"/>
              <w:rPr>
                <w:rFonts w:hint="eastAsia"/>
                <w:spacing w:val="-3"/>
              </w:rPr>
            </w:pPr>
            <w:r>
              <w:rPr>
                <w:rFonts w:hint="eastAsia"/>
                <w:spacing w:val="-3"/>
              </w:rPr>
              <w:t>预算管理</w:t>
            </w:r>
          </w:p>
          <w:p w14:paraId="14DD9DCA">
            <w:pPr>
              <w:pStyle w:val="24"/>
              <w:kinsoku/>
              <w:topLinePunct/>
              <w:autoSpaceDE/>
              <w:autoSpaceDN/>
              <w:jc w:val="center"/>
              <w:rPr>
                <w:rFonts w:hint="eastAsia"/>
                <w:spacing w:val="-3"/>
              </w:rPr>
            </w:pPr>
            <w:r>
              <w:rPr>
                <w:rFonts w:hint="eastAsia"/>
                <w:spacing w:val="-3"/>
              </w:rPr>
              <w:t>（10分）</w:t>
            </w:r>
          </w:p>
        </w:tc>
        <w:tc>
          <w:tcPr>
            <w:tcW w:w="1506" w:type="dxa"/>
            <w:vAlign w:val="center"/>
          </w:tcPr>
          <w:p w14:paraId="14FB1D49">
            <w:pPr>
              <w:kinsoku/>
              <w:topLinePunct/>
              <w:autoSpaceDE/>
              <w:autoSpaceDN/>
              <w:adjustRightInd/>
              <w:snapToGrid/>
              <w:spacing w:line="240" w:lineRule="exact"/>
              <w:jc w:val="center"/>
              <w:textAlignment w:val="auto"/>
              <w:rPr>
                <w:rFonts w:hint="eastAsia" w:ascii="宋体" w:hAnsi="宋体" w:eastAsia="宋体" w:cs="宋体"/>
              </w:rPr>
            </w:pPr>
            <w:r>
              <w:rPr>
                <w:rFonts w:hint="eastAsia" w:ascii="宋体" w:hAnsi="宋体" w:eastAsia="宋体" w:cs="宋体"/>
              </w:rPr>
              <w:t>预算执行率</w:t>
            </w:r>
          </w:p>
        </w:tc>
        <w:tc>
          <w:tcPr>
            <w:tcW w:w="1000" w:type="dxa"/>
            <w:gridSpan w:val="2"/>
            <w:vAlign w:val="center"/>
          </w:tcPr>
          <w:p w14:paraId="009F3744">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100%</w:t>
            </w:r>
          </w:p>
        </w:tc>
        <w:tc>
          <w:tcPr>
            <w:tcW w:w="1033" w:type="dxa"/>
            <w:vAlign w:val="center"/>
          </w:tcPr>
          <w:p w14:paraId="7717D296">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100%</w:t>
            </w:r>
          </w:p>
        </w:tc>
        <w:tc>
          <w:tcPr>
            <w:tcW w:w="623" w:type="dxa"/>
            <w:vAlign w:val="center"/>
          </w:tcPr>
          <w:p w14:paraId="67F6CF1C">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10</w:t>
            </w:r>
          </w:p>
        </w:tc>
        <w:tc>
          <w:tcPr>
            <w:tcW w:w="750" w:type="dxa"/>
            <w:vAlign w:val="center"/>
          </w:tcPr>
          <w:p w14:paraId="02744BE7">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10</w:t>
            </w:r>
          </w:p>
        </w:tc>
        <w:tc>
          <w:tcPr>
            <w:tcW w:w="1666" w:type="dxa"/>
            <w:vAlign w:val="center"/>
          </w:tcPr>
          <w:p w14:paraId="42909185">
            <w:pPr>
              <w:kinsoku/>
              <w:topLinePunct/>
              <w:autoSpaceDE/>
              <w:autoSpaceDN/>
              <w:jc w:val="center"/>
              <w:rPr>
                <w:rFonts w:hint="eastAsia" w:ascii="宋体" w:hAnsi="宋体" w:eastAsia="宋体" w:cs="宋体"/>
              </w:rPr>
            </w:pPr>
          </w:p>
        </w:tc>
      </w:tr>
      <w:tr w14:paraId="3BBF63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continue"/>
            <w:tcBorders>
              <w:top w:val="nil"/>
              <w:bottom w:val="nil"/>
            </w:tcBorders>
            <w:textDirection w:val="tbRlV"/>
            <w:vAlign w:val="center"/>
          </w:tcPr>
          <w:p w14:paraId="7E6BC889">
            <w:pPr>
              <w:kinsoku/>
              <w:topLinePunct/>
              <w:autoSpaceDE/>
              <w:autoSpaceDN/>
              <w:jc w:val="center"/>
              <w:rPr>
                <w:rFonts w:hint="eastAsia" w:ascii="宋体" w:hAnsi="宋体" w:eastAsia="宋体" w:cs="宋体"/>
              </w:rPr>
            </w:pPr>
          </w:p>
        </w:tc>
        <w:tc>
          <w:tcPr>
            <w:tcW w:w="1080" w:type="dxa"/>
            <w:vMerge w:val="restart"/>
            <w:vAlign w:val="center"/>
          </w:tcPr>
          <w:p w14:paraId="07F920EA">
            <w:pPr>
              <w:pStyle w:val="24"/>
              <w:kinsoku/>
              <w:topLinePunct/>
              <w:autoSpaceDE/>
              <w:autoSpaceDN/>
              <w:jc w:val="center"/>
              <w:rPr>
                <w:rFonts w:hint="eastAsia"/>
              </w:rPr>
            </w:pPr>
            <w:r>
              <w:rPr>
                <w:rFonts w:hint="eastAsia"/>
                <w:spacing w:val="-2"/>
              </w:rPr>
              <w:t>产出指标</w:t>
            </w:r>
          </w:p>
          <w:p w14:paraId="7B706F45">
            <w:pPr>
              <w:pStyle w:val="24"/>
              <w:kinsoku/>
              <w:topLinePunct/>
              <w:autoSpaceDE/>
              <w:autoSpaceDN/>
              <w:jc w:val="center"/>
              <w:rPr>
                <w:rFonts w:hint="eastAsia"/>
              </w:rPr>
            </w:pPr>
            <w:r>
              <w:rPr>
                <w:rFonts w:hint="eastAsia"/>
                <w:spacing w:val="9"/>
              </w:rPr>
              <w:t>(50分)</w:t>
            </w:r>
          </w:p>
        </w:tc>
        <w:tc>
          <w:tcPr>
            <w:tcW w:w="1150" w:type="dxa"/>
            <w:vMerge w:val="restart"/>
            <w:tcBorders>
              <w:bottom w:val="nil"/>
            </w:tcBorders>
            <w:vAlign w:val="center"/>
          </w:tcPr>
          <w:p w14:paraId="2369A819">
            <w:pPr>
              <w:pStyle w:val="24"/>
              <w:kinsoku/>
              <w:topLinePunct/>
              <w:autoSpaceDE/>
              <w:autoSpaceDN/>
              <w:jc w:val="center"/>
              <w:rPr>
                <w:rFonts w:hint="eastAsia"/>
              </w:rPr>
            </w:pPr>
            <w:r>
              <w:rPr>
                <w:rFonts w:hint="eastAsia"/>
                <w:spacing w:val="-3"/>
              </w:rPr>
              <w:t>数量</w:t>
            </w:r>
          </w:p>
          <w:p w14:paraId="27628EA4">
            <w:pPr>
              <w:pStyle w:val="24"/>
              <w:kinsoku/>
              <w:topLinePunct/>
              <w:autoSpaceDE/>
              <w:autoSpaceDN/>
              <w:jc w:val="center"/>
              <w:rPr>
                <w:rFonts w:hint="eastAsia"/>
              </w:rPr>
            </w:pPr>
            <w:r>
              <w:rPr>
                <w:rFonts w:hint="eastAsia"/>
                <w:spacing w:val="-3"/>
              </w:rPr>
              <w:t>指标</w:t>
            </w:r>
          </w:p>
        </w:tc>
        <w:tc>
          <w:tcPr>
            <w:tcW w:w="1506" w:type="dxa"/>
            <w:vAlign w:val="center"/>
          </w:tcPr>
          <w:p w14:paraId="0B06EEF7">
            <w:pPr>
              <w:kinsoku/>
              <w:topLinePunct/>
              <w:autoSpaceDE/>
              <w:autoSpaceDN/>
              <w:adjustRightInd/>
              <w:snapToGrid/>
              <w:spacing w:line="240" w:lineRule="exact"/>
              <w:jc w:val="center"/>
              <w:textAlignment w:val="auto"/>
              <w:rPr>
                <w:rFonts w:hint="eastAsia" w:ascii="宋体" w:hAnsi="宋体" w:eastAsia="宋体" w:cs="宋体"/>
              </w:rPr>
            </w:pPr>
            <w:r>
              <w:rPr>
                <w:rFonts w:hint="eastAsia" w:ascii="宋体" w:hAnsi="宋体" w:eastAsia="宋体" w:cs="宋体"/>
              </w:rPr>
              <w:t>召开</w:t>
            </w:r>
            <w:r>
              <w:rPr>
                <w:rFonts w:hint="eastAsia" w:ascii="宋体" w:hAnsi="宋体" w:eastAsia="宋体" w:cs="宋体"/>
                <w:lang w:eastAsia="zh-CN"/>
              </w:rPr>
              <w:t>全</w:t>
            </w:r>
            <w:r>
              <w:rPr>
                <w:rFonts w:hint="eastAsia" w:ascii="宋体" w:hAnsi="宋体" w:eastAsia="宋体" w:cs="宋体"/>
              </w:rPr>
              <w:t>会</w:t>
            </w:r>
          </w:p>
        </w:tc>
        <w:tc>
          <w:tcPr>
            <w:tcW w:w="1000" w:type="dxa"/>
            <w:gridSpan w:val="2"/>
            <w:vAlign w:val="center"/>
          </w:tcPr>
          <w:p w14:paraId="240A34DA">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1033" w:type="dxa"/>
            <w:vAlign w:val="center"/>
          </w:tcPr>
          <w:p w14:paraId="369A4EBC">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623" w:type="dxa"/>
            <w:vAlign w:val="center"/>
          </w:tcPr>
          <w:p w14:paraId="58CB5D55">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750" w:type="dxa"/>
            <w:vAlign w:val="center"/>
          </w:tcPr>
          <w:p w14:paraId="0CC87A52">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1666" w:type="dxa"/>
            <w:vAlign w:val="center"/>
          </w:tcPr>
          <w:p w14:paraId="0209599C">
            <w:pPr>
              <w:kinsoku/>
              <w:topLinePunct/>
              <w:autoSpaceDE/>
              <w:autoSpaceDN/>
              <w:jc w:val="center"/>
              <w:rPr>
                <w:rFonts w:hint="eastAsia" w:ascii="宋体" w:hAnsi="宋体" w:eastAsia="宋体" w:cs="宋体"/>
              </w:rPr>
            </w:pPr>
          </w:p>
        </w:tc>
      </w:tr>
      <w:tr w14:paraId="7022AC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continue"/>
            <w:tcBorders>
              <w:top w:val="nil"/>
              <w:bottom w:val="nil"/>
            </w:tcBorders>
            <w:textDirection w:val="tbRlV"/>
            <w:vAlign w:val="center"/>
          </w:tcPr>
          <w:p w14:paraId="385A122E">
            <w:pPr>
              <w:kinsoku/>
              <w:topLinePunct/>
              <w:autoSpaceDE/>
              <w:autoSpaceDN/>
              <w:jc w:val="center"/>
              <w:rPr>
                <w:rFonts w:hint="eastAsia" w:ascii="宋体" w:hAnsi="宋体" w:eastAsia="宋体" w:cs="宋体"/>
              </w:rPr>
            </w:pPr>
          </w:p>
        </w:tc>
        <w:tc>
          <w:tcPr>
            <w:tcW w:w="1080" w:type="dxa"/>
            <w:vMerge w:val="continue"/>
            <w:vAlign w:val="center"/>
          </w:tcPr>
          <w:p w14:paraId="72783AE9">
            <w:pPr>
              <w:pStyle w:val="24"/>
              <w:kinsoku/>
              <w:topLinePunct/>
              <w:autoSpaceDE/>
              <w:autoSpaceDN/>
              <w:jc w:val="center"/>
              <w:rPr>
                <w:rFonts w:hint="eastAsia"/>
                <w:spacing w:val="9"/>
              </w:rPr>
            </w:pPr>
          </w:p>
        </w:tc>
        <w:tc>
          <w:tcPr>
            <w:tcW w:w="1150" w:type="dxa"/>
            <w:vMerge w:val="continue"/>
            <w:vAlign w:val="center"/>
          </w:tcPr>
          <w:p w14:paraId="0978F26F">
            <w:pPr>
              <w:pStyle w:val="24"/>
              <w:kinsoku/>
              <w:topLinePunct/>
              <w:autoSpaceDE/>
              <w:autoSpaceDN/>
              <w:jc w:val="center"/>
              <w:rPr>
                <w:rFonts w:hint="eastAsia"/>
                <w:spacing w:val="-3"/>
              </w:rPr>
            </w:pPr>
          </w:p>
        </w:tc>
        <w:tc>
          <w:tcPr>
            <w:tcW w:w="1506" w:type="dxa"/>
            <w:vAlign w:val="center"/>
          </w:tcPr>
          <w:p w14:paraId="7FF9547A">
            <w:pPr>
              <w:kinsoku/>
              <w:topLinePunct/>
              <w:autoSpaceDE/>
              <w:autoSpaceDN/>
              <w:adjustRightInd/>
              <w:snapToGrid/>
              <w:spacing w:line="240" w:lineRule="exact"/>
              <w:jc w:val="center"/>
              <w:textAlignment w:val="auto"/>
              <w:rPr>
                <w:rFonts w:hint="eastAsia" w:ascii="宋体" w:hAnsi="宋体" w:eastAsia="宋体" w:cs="宋体"/>
              </w:rPr>
            </w:pPr>
            <w:r>
              <w:rPr>
                <w:rFonts w:hint="eastAsia" w:ascii="宋体" w:hAnsi="宋体" w:eastAsia="宋体" w:cs="宋体"/>
              </w:rPr>
              <w:t>召开常委会</w:t>
            </w:r>
          </w:p>
        </w:tc>
        <w:tc>
          <w:tcPr>
            <w:tcW w:w="1000" w:type="dxa"/>
            <w:gridSpan w:val="2"/>
            <w:vAlign w:val="center"/>
          </w:tcPr>
          <w:p w14:paraId="1B2AC974">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4</w:t>
            </w:r>
          </w:p>
        </w:tc>
        <w:tc>
          <w:tcPr>
            <w:tcW w:w="1033" w:type="dxa"/>
            <w:vAlign w:val="center"/>
          </w:tcPr>
          <w:p w14:paraId="537F27CE">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5</w:t>
            </w:r>
          </w:p>
        </w:tc>
        <w:tc>
          <w:tcPr>
            <w:tcW w:w="623" w:type="dxa"/>
            <w:vAlign w:val="center"/>
          </w:tcPr>
          <w:p w14:paraId="5026DA4F">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750" w:type="dxa"/>
            <w:vAlign w:val="center"/>
          </w:tcPr>
          <w:p w14:paraId="7D91E5AF">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1666" w:type="dxa"/>
            <w:vAlign w:val="center"/>
          </w:tcPr>
          <w:p w14:paraId="6125545F">
            <w:pPr>
              <w:kinsoku/>
              <w:topLinePunct/>
              <w:autoSpaceDE/>
              <w:autoSpaceDN/>
              <w:jc w:val="center"/>
              <w:rPr>
                <w:rFonts w:hint="eastAsia" w:ascii="宋体" w:hAnsi="宋体" w:eastAsia="宋体" w:cs="宋体"/>
              </w:rPr>
            </w:pPr>
          </w:p>
        </w:tc>
      </w:tr>
      <w:tr w14:paraId="0299F5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continue"/>
            <w:tcBorders>
              <w:top w:val="nil"/>
              <w:bottom w:val="nil"/>
            </w:tcBorders>
            <w:textDirection w:val="tbRlV"/>
            <w:vAlign w:val="center"/>
          </w:tcPr>
          <w:p w14:paraId="7D45A0CF">
            <w:pPr>
              <w:kinsoku/>
              <w:topLinePunct/>
              <w:autoSpaceDE/>
              <w:autoSpaceDN/>
              <w:jc w:val="center"/>
              <w:rPr>
                <w:rFonts w:hint="eastAsia" w:ascii="宋体" w:hAnsi="宋体" w:eastAsia="宋体" w:cs="宋体"/>
              </w:rPr>
            </w:pPr>
          </w:p>
        </w:tc>
        <w:tc>
          <w:tcPr>
            <w:tcW w:w="1080" w:type="dxa"/>
            <w:vMerge w:val="continue"/>
            <w:vAlign w:val="center"/>
          </w:tcPr>
          <w:p w14:paraId="73371D02">
            <w:pPr>
              <w:pStyle w:val="24"/>
              <w:kinsoku/>
              <w:topLinePunct/>
              <w:autoSpaceDE/>
              <w:autoSpaceDN/>
              <w:jc w:val="center"/>
              <w:rPr>
                <w:rFonts w:hint="eastAsia"/>
                <w:spacing w:val="9"/>
              </w:rPr>
            </w:pPr>
          </w:p>
        </w:tc>
        <w:tc>
          <w:tcPr>
            <w:tcW w:w="1150" w:type="dxa"/>
            <w:vMerge w:val="continue"/>
            <w:vAlign w:val="center"/>
          </w:tcPr>
          <w:p w14:paraId="2460C0A7">
            <w:pPr>
              <w:pStyle w:val="24"/>
              <w:kinsoku/>
              <w:topLinePunct/>
              <w:autoSpaceDE/>
              <w:autoSpaceDN/>
              <w:jc w:val="center"/>
              <w:rPr>
                <w:rFonts w:hint="eastAsia"/>
                <w:spacing w:val="-3"/>
              </w:rPr>
            </w:pPr>
          </w:p>
        </w:tc>
        <w:tc>
          <w:tcPr>
            <w:tcW w:w="1506" w:type="dxa"/>
            <w:vAlign w:val="center"/>
          </w:tcPr>
          <w:p w14:paraId="2ECB81F0">
            <w:pPr>
              <w:kinsoku/>
              <w:topLinePunct/>
              <w:autoSpaceDE/>
              <w:autoSpaceDN/>
              <w:jc w:val="center"/>
              <w:textAlignment w:val="center"/>
              <w:rPr>
                <w:rFonts w:hint="eastAsia" w:ascii="宋体" w:hAnsi="宋体" w:eastAsia="宋体" w:cs="宋体"/>
              </w:rPr>
            </w:pPr>
            <w:r>
              <w:rPr>
                <w:rFonts w:hint="eastAsia" w:ascii="宋体" w:hAnsi="宋体" w:eastAsia="宋体" w:cs="宋体"/>
                <w:lang w:eastAsia="zh-CN" w:bidi="ar"/>
              </w:rPr>
              <w:t>召开主席会</w:t>
            </w:r>
          </w:p>
        </w:tc>
        <w:tc>
          <w:tcPr>
            <w:tcW w:w="1000" w:type="dxa"/>
            <w:gridSpan w:val="2"/>
            <w:vAlign w:val="center"/>
          </w:tcPr>
          <w:p w14:paraId="5044A1AA">
            <w:pPr>
              <w:kinsoku/>
              <w:topLinePunct/>
              <w:autoSpaceDE/>
              <w:autoSpaceDN/>
              <w:jc w:val="center"/>
              <w:textAlignment w:val="center"/>
              <w:rPr>
                <w:rFonts w:hint="eastAsia" w:ascii="宋体" w:hAnsi="宋体" w:eastAsia="宋体" w:cs="宋体"/>
                <w:lang w:eastAsia="zh-CN"/>
              </w:rPr>
            </w:pPr>
            <w:r>
              <w:rPr>
                <w:rFonts w:hint="eastAsia" w:ascii="宋体" w:hAnsi="宋体" w:eastAsia="宋体" w:cs="宋体"/>
                <w:lang w:eastAsia="zh-CN" w:bidi="ar"/>
              </w:rPr>
              <w:t>12</w:t>
            </w:r>
          </w:p>
        </w:tc>
        <w:tc>
          <w:tcPr>
            <w:tcW w:w="1033" w:type="dxa"/>
            <w:vAlign w:val="center"/>
          </w:tcPr>
          <w:p w14:paraId="73FAC98D">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12</w:t>
            </w:r>
          </w:p>
        </w:tc>
        <w:tc>
          <w:tcPr>
            <w:tcW w:w="623" w:type="dxa"/>
            <w:vAlign w:val="center"/>
          </w:tcPr>
          <w:p w14:paraId="77131B68">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750" w:type="dxa"/>
            <w:vAlign w:val="center"/>
          </w:tcPr>
          <w:p w14:paraId="330F6848">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1666" w:type="dxa"/>
            <w:vAlign w:val="center"/>
          </w:tcPr>
          <w:p w14:paraId="7120639A">
            <w:pPr>
              <w:kinsoku/>
              <w:topLinePunct/>
              <w:autoSpaceDE/>
              <w:autoSpaceDN/>
              <w:jc w:val="center"/>
              <w:rPr>
                <w:rFonts w:hint="eastAsia" w:ascii="宋体" w:hAnsi="宋体" w:eastAsia="宋体" w:cs="宋体"/>
              </w:rPr>
            </w:pPr>
          </w:p>
        </w:tc>
      </w:tr>
      <w:tr w14:paraId="23927F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continue"/>
            <w:tcBorders>
              <w:top w:val="nil"/>
              <w:bottom w:val="nil"/>
            </w:tcBorders>
            <w:textDirection w:val="tbRlV"/>
            <w:vAlign w:val="center"/>
          </w:tcPr>
          <w:p w14:paraId="6777477B">
            <w:pPr>
              <w:kinsoku/>
              <w:topLinePunct/>
              <w:autoSpaceDE/>
              <w:autoSpaceDN/>
              <w:jc w:val="center"/>
              <w:rPr>
                <w:rFonts w:hint="eastAsia" w:ascii="宋体" w:hAnsi="宋体" w:eastAsia="宋体" w:cs="宋体"/>
              </w:rPr>
            </w:pPr>
          </w:p>
        </w:tc>
        <w:tc>
          <w:tcPr>
            <w:tcW w:w="1080" w:type="dxa"/>
            <w:vMerge w:val="continue"/>
            <w:vAlign w:val="center"/>
          </w:tcPr>
          <w:p w14:paraId="65FE389D">
            <w:pPr>
              <w:pStyle w:val="24"/>
              <w:kinsoku/>
              <w:topLinePunct/>
              <w:autoSpaceDE/>
              <w:autoSpaceDN/>
              <w:jc w:val="center"/>
              <w:rPr>
                <w:rFonts w:hint="eastAsia"/>
                <w:spacing w:val="9"/>
              </w:rPr>
            </w:pPr>
          </w:p>
        </w:tc>
        <w:tc>
          <w:tcPr>
            <w:tcW w:w="1150" w:type="dxa"/>
            <w:vMerge w:val="continue"/>
            <w:vAlign w:val="center"/>
          </w:tcPr>
          <w:p w14:paraId="64CEC456">
            <w:pPr>
              <w:pStyle w:val="24"/>
              <w:kinsoku/>
              <w:topLinePunct/>
              <w:autoSpaceDE/>
              <w:autoSpaceDN/>
              <w:jc w:val="center"/>
              <w:rPr>
                <w:rFonts w:hint="eastAsia"/>
                <w:spacing w:val="-3"/>
              </w:rPr>
            </w:pPr>
          </w:p>
        </w:tc>
        <w:tc>
          <w:tcPr>
            <w:tcW w:w="1506" w:type="dxa"/>
            <w:vAlign w:val="center"/>
          </w:tcPr>
          <w:p w14:paraId="6B4F0742">
            <w:pPr>
              <w:kinsoku/>
              <w:topLinePunct/>
              <w:autoSpaceDE/>
              <w:autoSpaceDN/>
              <w:jc w:val="center"/>
              <w:textAlignment w:val="center"/>
              <w:rPr>
                <w:rFonts w:hint="eastAsia" w:ascii="宋体" w:hAnsi="宋体" w:eastAsia="宋体" w:cs="宋体"/>
              </w:rPr>
            </w:pPr>
            <w:r>
              <w:rPr>
                <w:rFonts w:hint="eastAsia" w:ascii="宋体" w:hAnsi="宋体" w:eastAsia="宋体" w:cs="宋体"/>
                <w:lang w:eastAsia="zh-CN" w:bidi="ar"/>
              </w:rPr>
              <w:t>召开专委会</w:t>
            </w:r>
          </w:p>
        </w:tc>
        <w:tc>
          <w:tcPr>
            <w:tcW w:w="1000" w:type="dxa"/>
            <w:gridSpan w:val="2"/>
            <w:vAlign w:val="center"/>
          </w:tcPr>
          <w:p w14:paraId="51D65E05">
            <w:pPr>
              <w:kinsoku/>
              <w:topLinePunct/>
              <w:autoSpaceDE/>
              <w:autoSpaceDN/>
              <w:jc w:val="center"/>
              <w:textAlignment w:val="center"/>
              <w:rPr>
                <w:rFonts w:hint="eastAsia" w:ascii="宋体" w:hAnsi="宋体" w:eastAsia="宋体" w:cs="宋体"/>
                <w:lang w:eastAsia="zh-CN"/>
              </w:rPr>
            </w:pPr>
            <w:r>
              <w:rPr>
                <w:rFonts w:hint="eastAsia" w:ascii="宋体" w:hAnsi="宋体" w:eastAsia="宋体" w:cs="宋体"/>
                <w:lang w:eastAsia="zh-CN" w:bidi="ar"/>
              </w:rPr>
              <w:t>5</w:t>
            </w:r>
          </w:p>
        </w:tc>
        <w:tc>
          <w:tcPr>
            <w:tcW w:w="1033" w:type="dxa"/>
            <w:vAlign w:val="center"/>
          </w:tcPr>
          <w:p w14:paraId="27E1C726">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5</w:t>
            </w:r>
          </w:p>
        </w:tc>
        <w:tc>
          <w:tcPr>
            <w:tcW w:w="623" w:type="dxa"/>
            <w:vAlign w:val="center"/>
          </w:tcPr>
          <w:p w14:paraId="1BA1D4C6">
            <w:pPr>
              <w:tabs>
                <w:tab w:val="left" w:pos="297"/>
              </w:tabs>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750" w:type="dxa"/>
            <w:vAlign w:val="center"/>
          </w:tcPr>
          <w:p w14:paraId="2A6C6CD9">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1666" w:type="dxa"/>
            <w:vAlign w:val="center"/>
          </w:tcPr>
          <w:p w14:paraId="1C988E29">
            <w:pPr>
              <w:kinsoku/>
              <w:topLinePunct/>
              <w:autoSpaceDE/>
              <w:autoSpaceDN/>
              <w:jc w:val="center"/>
              <w:rPr>
                <w:rFonts w:hint="eastAsia" w:ascii="宋体" w:hAnsi="宋体" w:eastAsia="宋体" w:cs="宋体"/>
              </w:rPr>
            </w:pPr>
          </w:p>
        </w:tc>
      </w:tr>
      <w:tr w14:paraId="43AA79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continue"/>
            <w:tcBorders>
              <w:top w:val="nil"/>
              <w:bottom w:val="nil"/>
            </w:tcBorders>
            <w:textDirection w:val="tbRlV"/>
            <w:vAlign w:val="center"/>
          </w:tcPr>
          <w:p w14:paraId="463BE62E">
            <w:pPr>
              <w:kinsoku/>
              <w:topLinePunct/>
              <w:autoSpaceDE/>
              <w:autoSpaceDN/>
              <w:jc w:val="center"/>
              <w:rPr>
                <w:rFonts w:hint="eastAsia" w:ascii="宋体" w:hAnsi="宋体" w:eastAsia="宋体" w:cs="宋体"/>
              </w:rPr>
            </w:pPr>
          </w:p>
        </w:tc>
        <w:tc>
          <w:tcPr>
            <w:tcW w:w="1080" w:type="dxa"/>
            <w:vMerge w:val="continue"/>
            <w:vAlign w:val="center"/>
          </w:tcPr>
          <w:p w14:paraId="02FA4F1A">
            <w:pPr>
              <w:pStyle w:val="24"/>
              <w:kinsoku/>
              <w:topLinePunct/>
              <w:autoSpaceDE/>
              <w:autoSpaceDN/>
              <w:jc w:val="center"/>
              <w:rPr>
                <w:rFonts w:hint="eastAsia"/>
                <w:spacing w:val="9"/>
              </w:rPr>
            </w:pPr>
          </w:p>
        </w:tc>
        <w:tc>
          <w:tcPr>
            <w:tcW w:w="1150" w:type="dxa"/>
            <w:vMerge w:val="continue"/>
            <w:vAlign w:val="center"/>
          </w:tcPr>
          <w:p w14:paraId="57B94A7F">
            <w:pPr>
              <w:pStyle w:val="24"/>
              <w:kinsoku/>
              <w:topLinePunct/>
              <w:autoSpaceDE/>
              <w:autoSpaceDN/>
              <w:jc w:val="center"/>
              <w:rPr>
                <w:rFonts w:hint="eastAsia"/>
                <w:spacing w:val="-3"/>
              </w:rPr>
            </w:pPr>
          </w:p>
        </w:tc>
        <w:tc>
          <w:tcPr>
            <w:tcW w:w="1506" w:type="dxa"/>
            <w:vAlign w:val="center"/>
          </w:tcPr>
          <w:p w14:paraId="7A6BD0DD">
            <w:pPr>
              <w:kinsoku/>
              <w:topLinePunct/>
              <w:autoSpaceDE/>
              <w:autoSpaceDN/>
              <w:jc w:val="center"/>
              <w:textAlignment w:val="center"/>
              <w:rPr>
                <w:rFonts w:hint="eastAsia" w:ascii="宋体" w:hAnsi="宋体" w:eastAsia="宋体" w:cs="宋体"/>
                <w:lang w:eastAsia="zh-CN"/>
              </w:rPr>
            </w:pPr>
            <w:r>
              <w:rPr>
                <w:rFonts w:hint="eastAsia" w:ascii="宋体" w:hAnsi="宋体" w:eastAsia="宋体" w:cs="宋体"/>
                <w:lang w:eastAsia="zh-CN" w:bidi="ar"/>
              </w:rPr>
              <w:t>召开民主评议动员会、集中评议大会</w:t>
            </w:r>
          </w:p>
        </w:tc>
        <w:tc>
          <w:tcPr>
            <w:tcW w:w="1000" w:type="dxa"/>
            <w:gridSpan w:val="2"/>
            <w:vAlign w:val="center"/>
          </w:tcPr>
          <w:p w14:paraId="1538A041">
            <w:pPr>
              <w:kinsoku/>
              <w:topLinePunct/>
              <w:autoSpaceDE/>
              <w:autoSpaceDN/>
              <w:jc w:val="center"/>
              <w:textAlignment w:val="center"/>
              <w:rPr>
                <w:rFonts w:hint="eastAsia" w:ascii="宋体" w:hAnsi="宋体" w:eastAsia="宋体" w:cs="宋体"/>
                <w:lang w:eastAsia="zh-CN"/>
              </w:rPr>
            </w:pPr>
            <w:r>
              <w:rPr>
                <w:rFonts w:hint="eastAsia" w:ascii="宋体" w:hAnsi="宋体" w:eastAsia="宋体" w:cs="宋体"/>
                <w:lang w:eastAsia="zh-CN" w:bidi="ar"/>
              </w:rPr>
              <w:t>2</w:t>
            </w:r>
          </w:p>
        </w:tc>
        <w:tc>
          <w:tcPr>
            <w:tcW w:w="1033" w:type="dxa"/>
            <w:vAlign w:val="center"/>
          </w:tcPr>
          <w:p w14:paraId="38689BBB">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2</w:t>
            </w:r>
          </w:p>
        </w:tc>
        <w:tc>
          <w:tcPr>
            <w:tcW w:w="623" w:type="dxa"/>
            <w:vAlign w:val="center"/>
          </w:tcPr>
          <w:p w14:paraId="202B1EAA">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750" w:type="dxa"/>
            <w:vAlign w:val="center"/>
          </w:tcPr>
          <w:p w14:paraId="31442F68">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1666" w:type="dxa"/>
            <w:vAlign w:val="center"/>
          </w:tcPr>
          <w:p w14:paraId="1FDB85D8">
            <w:pPr>
              <w:kinsoku/>
              <w:topLinePunct/>
              <w:autoSpaceDE/>
              <w:autoSpaceDN/>
              <w:jc w:val="center"/>
              <w:rPr>
                <w:rFonts w:hint="eastAsia" w:ascii="宋体" w:hAnsi="宋体" w:eastAsia="宋体" w:cs="宋体"/>
              </w:rPr>
            </w:pPr>
          </w:p>
        </w:tc>
      </w:tr>
      <w:tr w14:paraId="3D9766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continue"/>
            <w:tcBorders>
              <w:top w:val="nil"/>
              <w:bottom w:val="nil"/>
            </w:tcBorders>
            <w:textDirection w:val="tbRlV"/>
            <w:vAlign w:val="center"/>
          </w:tcPr>
          <w:p w14:paraId="7E124802">
            <w:pPr>
              <w:kinsoku/>
              <w:topLinePunct/>
              <w:autoSpaceDE/>
              <w:autoSpaceDN/>
              <w:jc w:val="center"/>
              <w:rPr>
                <w:rFonts w:hint="eastAsia" w:ascii="宋体" w:hAnsi="宋体" w:eastAsia="宋体" w:cs="宋体"/>
              </w:rPr>
            </w:pPr>
          </w:p>
        </w:tc>
        <w:tc>
          <w:tcPr>
            <w:tcW w:w="1080" w:type="dxa"/>
            <w:vMerge w:val="continue"/>
            <w:vAlign w:val="center"/>
          </w:tcPr>
          <w:p w14:paraId="1E61796D">
            <w:pPr>
              <w:pStyle w:val="24"/>
              <w:kinsoku/>
              <w:topLinePunct/>
              <w:autoSpaceDE/>
              <w:autoSpaceDN/>
              <w:jc w:val="center"/>
              <w:rPr>
                <w:rFonts w:hint="eastAsia"/>
                <w:spacing w:val="9"/>
              </w:rPr>
            </w:pPr>
          </w:p>
        </w:tc>
        <w:tc>
          <w:tcPr>
            <w:tcW w:w="1150" w:type="dxa"/>
            <w:vMerge w:val="continue"/>
            <w:vAlign w:val="center"/>
          </w:tcPr>
          <w:p w14:paraId="1C7C1873">
            <w:pPr>
              <w:pStyle w:val="24"/>
              <w:kinsoku/>
              <w:topLinePunct/>
              <w:autoSpaceDE/>
              <w:autoSpaceDN/>
              <w:jc w:val="center"/>
              <w:rPr>
                <w:rFonts w:hint="eastAsia"/>
                <w:spacing w:val="-3"/>
              </w:rPr>
            </w:pPr>
          </w:p>
        </w:tc>
        <w:tc>
          <w:tcPr>
            <w:tcW w:w="1506" w:type="dxa"/>
            <w:vAlign w:val="center"/>
          </w:tcPr>
          <w:p w14:paraId="5FC2C30D">
            <w:pPr>
              <w:kinsoku/>
              <w:topLinePunct/>
              <w:autoSpaceDE/>
              <w:autoSpaceDN/>
              <w:jc w:val="center"/>
              <w:textAlignment w:val="center"/>
              <w:rPr>
                <w:rFonts w:hint="eastAsia" w:ascii="宋体" w:hAnsi="宋体" w:eastAsia="宋体" w:cs="宋体"/>
              </w:rPr>
            </w:pPr>
            <w:r>
              <w:rPr>
                <w:rFonts w:hint="eastAsia" w:ascii="宋体" w:hAnsi="宋体" w:eastAsia="宋体" w:cs="宋体"/>
                <w:lang w:eastAsia="zh-CN" w:bidi="ar"/>
              </w:rPr>
              <w:t>召开协商会</w:t>
            </w:r>
          </w:p>
        </w:tc>
        <w:tc>
          <w:tcPr>
            <w:tcW w:w="1000" w:type="dxa"/>
            <w:gridSpan w:val="2"/>
            <w:vAlign w:val="center"/>
          </w:tcPr>
          <w:p w14:paraId="4DC1AA4E">
            <w:pPr>
              <w:kinsoku/>
              <w:topLinePunct/>
              <w:autoSpaceDE/>
              <w:autoSpaceDN/>
              <w:jc w:val="center"/>
              <w:textAlignment w:val="center"/>
              <w:rPr>
                <w:rFonts w:hint="eastAsia" w:ascii="宋体" w:hAnsi="宋体" w:eastAsia="宋体" w:cs="宋体"/>
                <w:lang w:eastAsia="zh-CN"/>
              </w:rPr>
            </w:pPr>
            <w:r>
              <w:rPr>
                <w:rFonts w:hint="eastAsia" w:ascii="宋体" w:hAnsi="宋体" w:eastAsia="宋体" w:cs="宋体"/>
                <w:lang w:eastAsia="zh-CN" w:bidi="ar"/>
              </w:rPr>
              <w:t>9</w:t>
            </w:r>
          </w:p>
        </w:tc>
        <w:tc>
          <w:tcPr>
            <w:tcW w:w="1033" w:type="dxa"/>
            <w:vAlign w:val="center"/>
          </w:tcPr>
          <w:p w14:paraId="19AF5159">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9</w:t>
            </w:r>
          </w:p>
        </w:tc>
        <w:tc>
          <w:tcPr>
            <w:tcW w:w="623" w:type="dxa"/>
            <w:vAlign w:val="center"/>
          </w:tcPr>
          <w:p w14:paraId="75D08318">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750" w:type="dxa"/>
            <w:vAlign w:val="center"/>
          </w:tcPr>
          <w:p w14:paraId="5B421FA9">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1666" w:type="dxa"/>
            <w:vAlign w:val="center"/>
          </w:tcPr>
          <w:p w14:paraId="12C57E9F">
            <w:pPr>
              <w:kinsoku/>
              <w:topLinePunct/>
              <w:autoSpaceDE/>
              <w:autoSpaceDN/>
              <w:jc w:val="center"/>
              <w:rPr>
                <w:rFonts w:hint="eastAsia" w:ascii="宋体" w:hAnsi="宋体" w:eastAsia="宋体" w:cs="宋体"/>
              </w:rPr>
            </w:pPr>
          </w:p>
        </w:tc>
      </w:tr>
      <w:tr w14:paraId="1E39BC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continue"/>
            <w:tcBorders>
              <w:top w:val="nil"/>
              <w:bottom w:val="nil"/>
            </w:tcBorders>
            <w:textDirection w:val="tbRlV"/>
            <w:vAlign w:val="center"/>
          </w:tcPr>
          <w:p w14:paraId="744962FD">
            <w:pPr>
              <w:kinsoku/>
              <w:topLinePunct/>
              <w:autoSpaceDE/>
              <w:autoSpaceDN/>
              <w:jc w:val="center"/>
              <w:rPr>
                <w:rFonts w:hint="eastAsia" w:ascii="宋体" w:hAnsi="宋体" w:eastAsia="宋体" w:cs="宋体"/>
              </w:rPr>
            </w:pPr>
          </w:p>
        </w:tc>
        <w:tc>
          <w:tcPr>
            <w:tcW w:w="1080" w:type="dxa"/>
            <w:vMerge w:val="continue"/>
            <w:vAlign w:val="center"/>
          </w:tcPr>
          <w:p w14:paraId="3E6773B4">
            <w:pPr>
              <w:pStyle w:val="24"/>
              <w:kinsoku/>
              <w:topLinePunct/>
              <w:autoSpaceDE/>
              <w:autoSpaceDN/>
              <w:jc w:val="center"/>
              <w:rPr>
                <w:rFonts w:hint="eastAsia"/>
                <w:spacing w:val="9"/>
              </w:rPr>
            </w:pPr>
          </w:p>
        </w:tc>
        <w:tc>
          <w:tcPr>
            <w:tcW w:w="1150" w:type="dxa"/>
            <w:vMerge w:val="continue"/>
            <w:vAlign w:val="center"/>
          </w:tcPr>
          <w:p w14:paraId="21CE9A88">
            <w:pPr>
              <w:pStyle w:val="24"/>
              <w:kinsoku/>
              <w:topLinePunct/>
              <w:autoSpaceDE/>
              <w:autoSpaceDN/>
              <w:jc w:val="center"/>
              <w:rPr>
                <w:rFonts w:hint="eastAsia"/>
                <w:spacing w:val="-3"/>
              </w:rPr>
            </w:pPr>
          </w:p>
        </w:tc>
        <w:tc>
          <w:tcPr>
            <w:tcW w:w="1506" w:type="dxa"/>
            <w:vAlign w:val="center"/>
          </w:tcPr>
          <w:p w14:paraId="0E0B1A97">
            <w:pPr>
              <w:kinsoku/>
              <w:topLinePunct/>
              <w:autoSpaceDE/>
              <w:autoSpaceDN/>
              <w:jc w:val="center"/>
              <w:textAlignment w:val="center"/>
              <w:rPr>
                <w:rFonts w:hint="eastAsia" w:ascii="宋体" w:hAnsi="宋体" w:eastAsia="宋体" w:cs="宋体"/>
                <w:lang w:eastAsia="zh-CN"/>
              </w:rPr>
            </w:pPr>
            <w:r>
              <w:rPr>
                <w:rFonts w:hint="eastAsia" w:ascii="宋体" w:hAnsi="宋体" w:eastAsia="宋体" w:cs="宋体"/>
                <w:lang w:eastAsia="zh-CN" w:bidi="ar"/>
              </w:rPr>
              <w:t>组织开展委员主题活动</w:t>
            </w:r>
          </w:p>
        </w:tc>
        <w:tc>
          <w:tcPr>
            <w:tcW w:w="1000" w:type="dxa"/>
            <w:gridSpan w:val="2"/>
            <w:vAlign w:val="center"/>
          </w:tcPr>
          <w:p w14:paraId="5B07DBC2">
            <w:pPr>
              <w:kinsoku/>
              <w:topLinePunct/>
              <w:autoSpaceDE/>
              <w:autoSpaceDN/>
              <w:jc w:val="center"/>
              <w:textAlignment w:val="center"/>
              <w:rPr>
                <w:rFonts w:hint="eastAsia" w:ascii="宋体" w:hAnsi="宋体" w:eastAsia="宋体" w:cs="宋体"/>
                <w:lang w:eastAsia="zh-CN"/>
              </w:rPr>
            </w:pPr>
            <w:r>
              <w:rPr>
                <w:rFonts w:hint="eastAsia" w:ascii="宋体" w:hAnsi="宋体" w:eastAsia="宋体" w:cs="宋体"/>
                <w:lang w:eastAsia="zh-CN" w:bidi="ar"/>
              </w:rPr>
              <w:t>1</w:t>
            </w:r>
          </w:p>
        </w:tc>
        <w:tc>
          <w:tcPr>
            <w:tcW w:w="1033" w:type="dxa"/>
            <w:vAlign w:val="center"/>
          </w:tcPr>
          <w:p w14:paraId="57869790">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623" w:type="dxa"/>
            <w:vAlign w:val="center"/>
          </w:tcPr>
          <w:p w14:paraId="61715357">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750" w:type="dxa"/>
            <w:vAlign w:val="center"/>
          </w:tcPr>
          <w:p w14:paraId="53971D40">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1666" w:type="dxa"/>
            <w:vAlign w:val="center"/>
          </w:tcPr>
          <w:p w14:paraId="674A089F">
            <w:pPr>
              <w:kinsoku/>
              <w:topLinePunct/>
              <w:autoSpaceDE/>
              <w:autoSpaceDN/>
              <w:jc w:val="center"/>
              <w:rPr>
                <w:rFonts w:hint="eastAsia" w:ascii="宋体" w:hAnsi="宋体" w:eastAsia="宋体" w:cs="宋体"/>
              </w:rPr>
            </w:pPr>
          </w:p>
        </w:tc>
      </w:tr>
      <w:tr w14:paraId="319F2C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continue"/>
            <w:tcBorders>
              <w:top w:val="nil"/>
              <w:bottom w:val="nil"/>
            </w:tcBorders>
            <w:textDirection w:val="tbRlV"/>
            <w:vAlign w:val="center"/>
          </w:tcPr>
          <w:p w14:paraId="281222B9">
            <w:pPr>
              <w:kinsoku/>
              <w:topLinePunct/>
              <w:autoSpaceDE/>
              <w:autoSpaceDN/>
              <w:jc w:val="center"/>
              <w:rPr>
                <w:rFonts w:hint="eastAsia" w:ascii="宋体" w:hAnsi="宋体" w:eastAsia="宋体" w:cs="宋体"/>
              </w:rPr>
            </w:pPr>
          </w:p>
        </w:tc>
        <w:tc>
          <w:tcPr>
            <w:tcW w:w="1080" w:type="dxa"/>
            <w:vMerge w:val="continue"/>
            <w:vAlign w:val="center"/>
          </w:tcPr>
          <w:p w14:paraId="5ACADD62">
            <w:pPr>
              <w:pStyle w:val="24"/>
              <w:kinsoku/>
              <w:topLinePunct/>
              <w:autoSpaceDE/>
              <w:autoSpaceDN/>
              <w:jc w:val="center"/>
              <w:rPr>
                <w:rFonts w:hint="eastAsia"/>
                <w:spacing w:val="9"/>
              </w:rPr>
            </w:pPr>
          </w:p>
        </w:tc>
        <w:tc>
          <w:tcPr>
            <w:tcW w:w="1150" w:type="dxa"/>
            <w:vMerge w:val="continue"/>
            <w:vAlign w:val="center"/>
          </w:tcPr>
          <w:p w14:paraId="339BF210">
            <w:pPr>
              <w:pStyle w:val="24"/>
              <w:kinsoku/>
              <w:topLinePunct/>
              <w:autoSpaceDE/>
              <w:autoSpaceDN/>
              <w:jc w:val="center"/>
              <w:rPr>
                <w:rFonts w:hint="eastAsia"/>
                <w:spacing w:val="-3"/>
              </w:rPr>
            </w:pPr>
          </w:p>
        </w:tc>
        <w:tc>
          <w:tcPr>
            <w:tcW w:w="1506" w:type="dxa"/>
            <w:vAlign w:val="center"/>
          </w:tcPr>
          <w:p w14:paraId="00A21427">
            <w:pPr>
              <w:kinsoku/>
              <w:topLinePunct/>
              <w:autoSpaceDE/>
              <w:autoSpaceDN/>
              <w:jc w:val="center"/>
              <w:textAlignment w:val="center"/>
              <w:rPr>
                <w:rFonts w:hint="eastAsia" w:ascii="宋体" w:hAnsi="宋体" w:eastAsia="宋体" w:cs="宋体"/>
                <w:lang w:eastAsia="zh-CN"/>
              </w:rPr>
            </w:pPr>
            <w:r>
              <w:rPr>
                <w:rFonts w:hint="eastAsia" w:ascii="宋体" w:hAnsi="宋体" w:eastAsia="宋体" w:cs="宋体"/>
                <w:lang w:eastAsia="zh-CN" w:bidi="ar"/>
              </w:rPr>
              <w:t>组织干部职工、委员开展培训</w:t>
            </w:r>
          </w:p>
        </w:tc>
        <w:tc>
          <w:tcPr>
            <w:tcW w:w="1000" w:type="dxa"/>
            <w:gridSpan w:val="2"/>
            <w:vAlign w:val="center"/>
          </w:tcPr>
          <w:p w14:paraId="64EBC274">
            <w:pPr>
              <w:kinsoku/>
              <w:topLinePunct/>
              <w:autoSpaceDE/>
              <w:autoSpaceDN/>
              <w:jc w:val="center"/>
              <w:textAlignment w:val="center"/>
              <w:rPr>
                <w:rFonts w:hint="eastAsia" w:ascii="宋体" w:hAnsi="宋体" w:eastAsia="宋体" w:cs="宋体"/>
                <w:lang w:eastAsia="zh-CN"/>
              </w:rPr>
            </w:pPr>
            <w:r>
              <w:rPr>
                <w:rFonts w:hint="eastAsia" w:ascii="宋体" w:hAnsi="宋体" w:eastAsia="宋体" w:cs="宋体"/>
                <w:lang w:eastAsia="zh-CN" w:bidi="ar"/>
              </w:rPr>
              <w:t>1</w:t>
            </w:r>
          </w:p>
        </w:tc>
        <w:tc>
          <w:tcPr>
            <w:tcW w:w="1033" w:type="dxa"/>
            <w:vAlign w:val="center"/>
          </w:tcPr>
          <w:p w14:paraId="438FD560">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623" w:type="dxa"/>
            <w:vAlign w:val="center"/>
          </w:tcPr>
          <w:p w14:paraId="7FF9A521">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750" w:type="dxa"/>
            <w:vAlign w:val="center"/>
          </w:tcPr>
          <w:p w14:paraId="2740DA5A">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1666" w:type="dxa"/>
            <w:vAlign w:val="center"/>
          </w:tcPr>
          <w:p w14:paraId="7E056FCE">
            <w:pPr>
              <w:kinsoku/>
              <w:topLinePunct/>
              <w:autoSpaceDE/>
              <w:autoSpaceDN/>
              <w:jc w:val="center"/>
              <w:rPr>
                <w:rFonts w:hint="eastAsia" w:ascii="宋体" w:hAnsi="宋体" w:eastAsia="宋体" w:cs="宋体"/>
              </w:rPr>
            </w:pPr>
          </w:p>
        </w:tc>
      </w:tr>
      <w:tr w14:paraId="1D1E83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continue"/>
            <w:tcBorders>
              <w:top w:val="nil"/>
              <w:bottom w:val="nil"/>
            </w:tcBorders>
            <w:textDirection w:val="tbRlV"/>
            <w:vAlign w:val="center"/>
          </w:tcPr>
          <w:p w14:paraId="426C6586">
            <w:pPr>
              <w:kinsoku/>
              <w:topLinePunct/>
              <w:autoSpaceDE/>
              <w:autoSpaceDN/>
              <w:jc w:val="center"/>
              <w:rPr>
                <w:rFonts w:hint="eastAsia" w:ascii="宋体" w:hAnsi="宋体" w:eastAsia="宋体" w:cs="宋体"/>
              </w:rPr>
            </w:pPr>
          </w:p>
        </w:tc>
        <w:tc>
          <w:tcPr>
            <w:tcW w:w="1080" w:type="dxa"/>
            <w:vMerge w:val="continue"/>
            <w:vAlign w:val="center"/>
          </w:tcPr>
          <w:p w14:paraId="537F8B5D">
            <w:pPr>
              <w:pStyle w:val="24"/>
              <w:kinsoku/>
              <w:topLinePunct/>
              <w:autoSpaceDE/>
              <w:autoSpaceDN/>
              <w:jc w:val="center"/>
              <w:rPr>
                <w:rFonts w:hint="eastAsia"/>
                <w:spacing w:val="9"/>
              </w:rPr>
            </w:pPr>
          </w:p>
        </w:tc>
        <w:tc>
          <w:tcPr>
            <w:tcW w:w="1150" w:type="dxa"/>
            <w:vMerge w:val="continue"/>
            <w:vAlign w:val="center"/>
          </w:tcPr>
          <w:p w14:paraId="5F1245C6">
            <w:pPr>
              <w:pStyle w:val="24"/>
              <w:kinsoku/>
              <w:topLinePunct/>
              <w:autoSpaceDE/>
              <w:autoSpaceDN/>
              <w:jc w:val="center"/>
              <w:rPr>
                <w:rFonts w:hint="eastAsia"/>
                <w:spacing w:val="-3"/>
              </w:rPr>
            </w:pPr>
          </w:p>
        </w:tc>
        <w:tc>
          <w:tcPr>
            <w:tcW w:w="1506" w:type="dxa"/>
            <w:vAlign w:val="center"/>
          </w:tcPr>
          <w:p w14:paraId="5B0BB8B6">
            <w:pPr>
              <w:kinsoku/>
              <w:topLinePunct/>
              <w:autoSpaceDE/>
              <w:autoSpaceDN/>
              <w:jc w:val="center"/>
              <w:textAlignment w:val="center"/>
              <w:rPr>
                <w:rFonts w:hint="eastAsia" w:ascii="宋体" w:hAnsi="宋体" w:eastAsia="宋体" w:cs="宋体"/>
                <w:lang w:eastAsia="zh-CN"/>
              </w:rPr>
            </w:pPr>
            <w:r>
              <w:rPr>
                <w:rFonts w:hint="eastAsia" w:ascii="宋体" w:hAnsi="宋体" w:eastAsia="宋体" w:cs="宋体"/>
                <w:lang w:eastAsia="zh-CN" w:bidi="ar"/>
              </w:rPr>
              <w:t>对县直部门开展民主评议</w:t>
            </w:r>
          </w:p>
        </w:tc>
        <w:tc>
          <w:tcPr>
            <w:tcW w:w="1000" w:type="dxa"/>
            <w:gridSpan w:val="2"/>
            <w:vAlign w:val="center"/>
          </w:tcPr>
          <w:p w14:paraId="6BB9FAA7">
            <w:pPr>
              <w:kinsoku/>
              <w:topLinePunct/>
              <w:autoSpaceDE/>
              <w:autoSpaceDN/>
              <w:jc w:val="center"/>
              <w:textAlignment w:val="center"/>
              <w:rPr>
                <w:rFonts w:hint="eastAsia" w:ascii="宋体" w:hAnsi="宋体" w:eastAsia="宋体" w:cs="宋体"/>
                <w:lang w:eastAsia="zh-CN"/>
              </w:rPr>
            </w:pPr>
            <w:r>
              <w:rPr>
                <w:rFonts w:hint="eastAsia" w:ascii="宋体" w:hAnsi="宋体" w:eastAsia="宋体" w:cs="宋体"/>
                <w:lang w:eastAsia="zh-CN" w:bidi="ar"/>
              </w:rPr>
              <w:t>1</w:t>
            </w:r>
          </w:p>
        </w:tc>
        <w:tc>
          <w:tcPr>
            <w:tcW w:w="1033" w:type="dxa"/>
            <w:vAlign w:val="center"/>
          </w:tcPr>
          <w:p w14:paraId="58D1BF05">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623" w:type="dxa"/>
            <w:vAlign w:val="center"/>
          </w:tcPr>
          <w:p w14:paraId="019A0174">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750" w:type="dxa"/>
            <w:vAlign w:val="center"/>
          </w:tcPr>
          <w:p w14:paraId="0C36826E">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1666" w:type="dxa"/>
            <w:vAlign w:val="center"/>
          </w:tcPr>
          <w:p w14:paraId="22366DC9">
            <w:pPr>
              <w:kinsoku/>
              <w:topLinePunct/>
              <w:autoSpaceDE/>
              <w:autoSpaceDN/>
              <w:jc w:val="center"/>
              <w:rPr>
                <w:rFonts w:hint="eastAsia" w:ascii="宋体" w:hAnsi="宋体" w:eastAsia="宋体" w:cs="宋体"/>
              </w:rPr>
            </w:pPr>
          </w:p>
        </w:tc>
      </w:tr>
      <w:tr w14:paraId="37AB03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continue"/>
            <w:tcBorders>
              <w:top w:val="nil"/>
              <w:bottom w:val="nil"/>
            </w:tcBorders>
            <w:textDirection w:val="tbRlV"/>
            <w:vAlign w:val="center"/>
          </w:tcPr>
          <w:p w14:paraId="36A23F9F">
            <w:pPr>
              <w:kinsoku/>
              <w:topLinePunct/>
              <w:autoSpaceDE/>
              <w:autoSpaceDN/>
              <w:jc w:val="center"/>
              <w:rPr>
                <w:rFonts w:hint="eastAsia" w:ascii="宋体" w:hAnsi="宋体" w:eastAsia="宋体" w:cs="宋体"/>
              </w:rPr>
            </w:pPr>
          </w:p>
        </w:tc>
        <w:tc>
          <w:tcPr>
            <w:tcW w:w="1080" w:type="dxa"/>
            <w:vMerge w:val="continue"/>
            <w:vAlign w:val="center"/>
          </w:tcPr>
          <w:p w14:paraId="096F74C5">
            <w:pPr>
              <w:pStyle w:val="24"/>
              <w:kinsoku/>
              <w:topLinePunct/>
              <w:autoSpaceDE/>
              <w:autoSpaceDN/>
              <w:jc w:val="center"/>
              <w:rPr>
                <w:rFonts w:hint="eastAsia"/>
                <w:spacing w:val="9"/>
              </w:rPr>
            </w:pPr>
          </w:p>
        </w:tc>
        <w:tc>
          <w:tcPr>
            <w:tcW w:w="1150" w:type="dxa"/>
            <w:vMerge w:val="continue"/>
            <w:vAlign w:val="center"/>
          </w:tcPr>
          <w:p w14:paraId="13DF55A1">
            <w:pPr>
              <w:pStyle w:val="24"/>
              <w:kinsoku/>
              <w:topLinePunct/>
              <w:autoSpaceDE/>
              <w:autoSpaceDN/>
              <w:jc w:val="center"/>
              <w:rPr>
                <w:rFonts w:hint="eastAsia"/>
                <w:spacing w:val="-3"/>
              </w:rPr>
            </w:pPr>
          </w:p>
        </w:tc>
        <w:tc>
          <w:tcPr>
            <w:tcW w:w="1506" w:type="dxa"/>
            <w:vAlign w:val="center"/>
          </w:tcPr>
          <w:p w14:paraId="79E4AD78">
            <w:pPr>
              <w:kinsoku/>
              <w:topLinePunct/>
              <w:autoSpaceDE/>
              <w:autoSpaceDN/>
              <w:jc w:val="center"/>
              <w:textAlignment w:val="center"/>
              <w:rPr>
                <w:rFonts w:hint="eastAsia" w:ascii="宋体" w:hAnsi="宋体" w:eastAsia="宋体" w:cs="宋体"/>
              </w:rPr>
            </w:pPr>
            <w:r>
              <w:rPr>
                <w:rFonts w:hint="eastAsia" w:ascii="宋体" w:hAnsi="宋体" w:eastAsia="宋体" w:cs="宋体"/>
                <w:lang w:eastAsia="zh-CN" w:bidi="ar"/>
              </w:rPr>
              <w:t>收集社情民意</w:t>
            </w:r>
          </w:p>
        </w:tc>
        <w:tc>
          <w:tcPr>
            <w:tcW w:w="1000" w:type="dxa"/>
            <w:gridSpan w:val="2"/>
            <w:vAlign w:val="center"/>
          </w:tcPr>
          <w:p w14:paraId="54DFC655">
            <w:pPr>
              <w:kinsoku/>
              <w:topLinePunct/>
              <w:autoSpaceDE/>
              <w:autoSpaceDN/>
              <w:jc w:val="center"/>
              <w:textAlignment w:val="center"/>
              <w:rPr>
                <w:rFonts w:hint="eastAsia" w:ascii="宋体" w:hAnsi="宋体" w:eastAsia="宋体" w:cs="宋体"/>
                <w:lang w:eastAsia="zh-CN"/>
              </w:rPr>
            </w:pPr>
            <w:r>
              <w:rPr>
                <w:rFonts w:hint="eastAsia" w:ascii="宋体" w:hAnsi="宋体" w:eastAsia="宋体" w:cs="宋体"/>
                <w:lang w:eastAsia="zh-CN" w:bidi="ar"/>
              </w:rPr>
              <w:t>15</w:t>
            </w:r>
          </w:p>
        </w:tc>
        <w:tc>
          <w:tcPr>
            <w:tcW w:w="1033" w:type="dxa"/>
            <w:vAlign w:val="center"/>
          </w:tcPr>
          <w:p w14:paraId="27C8A0E5">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59</w:t>
            </w:r>
          </w:p>
        </w:tc>
        <w:tc>
          <w:tcPr>
            <w:tcW w:w="623" w:type="dxa"/>
            <w:vAlign w:val="center"/>
          </w:tcPr>
          <w:p w14:paraId="56D127E3">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750" w:type="dxa"/>
            <w:vAlign w:val="center"/>
          </w:tcPr>
          <w:p w14:paraId="30F4203C">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1666" w:type="dxa"/>
            <w:vAlign w:val="center"/>
          </w:tcPr>
          <w:p w14:paraId="20855F70">
            <w:pPr>
              <w:kinsoku/>
              <w:topLinePunct/>
              <w:autoSpaceDE/>
              <w:autoSpaceDN/>
              <w:jc w:val="center"/>
              <w:rPr>
                <w:rFonts w:hint="eastAsia" w:ascii="宋体" w:hAnsi="宋体" w:eastAsia="宋体" w:cs="宋体"/>
              </w:rPr>
            </w:pPr>
          </w:p>
        </w:tc>
      </w:tr>
      <w:tr w14:paraId="775141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continue"/>
            <w:tcBorders>
              <w:top w:val="nil"/>
              <w:bottom w:val="nil"/>
            </w:tcBorders>
            <w:textDirection w:val="tbRlV"/>
            <w:vAlign w:val="center"/>
          </w:tcPr>
          <w:p w14:paraId="36B8382C">
            <w:pPr>
              <w:kinsoku/>
              <w:topLinePunct/>
              <w:autoSpaceDE/>
              <w:autoSpaceDN/>
              <w:jc w:val="center"/>
              <w:rPr>
                <w:rFonts w:hint="eastAsia" w:ascii="宋体" w:hAnsi="宋体" w:eastAsia="宋体" w:cs="宋体"/>
              </w:rPr>
            </w:pPr>
          </w:p>
        </w:tc>
        <w:tc>
          <w:tcPr>
            <w:tcW w:w="1080" w:type="dxa"/>
            <w:vMerge w:val="continue"/>
            <w:vAlign w:val="center"/>
          </w:tcPr>
          <w:p w14:paraId="544FB84A">
            <w:pPr>
              <w:kinsoku/>
              <w:topLinePunct/>
              <w:autoSpaceDE/>
              <w:autoSpaceDN/>
              <w:jc w:val="center"/>
              <w:rPr>
                <w:rFonts w:hint="eastAsia" w:ascii="宋体" w:hAnsi="宋体" w:eastAsia="宋体" w:cs="宋体"/>
              </w:rPr>
            </w:pPr>
          </w:p>
        </w:tc>
        <w:tc>
          <w:tcPr>
            <w:tcW w:w="1150" w:type="dxa"/>
            <w:vMerge w:val="restart"/>
            <w:vAlign w:val="center"/>
          </w:tcPr>
          <w:p w14:paraId="115DD397">
            <w:pPr>
              <w:pStyle w:val="24"/>
              <w:kinsoku/>
              <w:topLinePunct/>
              <w:autoSpaceDE/>
              <w:autoSpaceDN/>
              <w:jc w:val="center"/>
              <w:rPr>
                <w:rFonts w:hint="eastAsia"/>
              </w:rPr>
            </w:pPr>
            <w:r>
              <w:rPr>
                <w:rFonts w:hint="eastAsia"/>
                <w:spacing w:val="-3"/>
              </w:rPr>
              <w:t>质量</w:t>
            </w:r>
          </w:p>
          <w:p w14:paraId="578B0020">
            <w:pPr>
              <w:pStyle w:val="24"/>
              <w:kinsoku/>
              <w:topLinePunct/>
              <w:autoSpaceDE/>
              <w:autoSpaceDN/>
              <w:jc w:val="center"/>
              <w:rPr>
                <w:rFonts w:hint="eastAsia"/>
              </w:rPr>
            </w:pPr>
            <w:r>
              <w:rPr>
                <w:rFonts w:hint="eastAsia"/>
                <w:spacing w:val="-3"/>
              </w:rPr>
              <w:t>指标</w:t>
            </w:r>
          </w:p>
        </w:tc>
        <w:tc>
          <w:tcPr>
            <w:tcW w:w="1506" w:type="dxa"/>
            <w:vAlign w:val="center"/>
          </w:tcPr>
          <w:p w14:paraId="0A90B547">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提案办复率</w:t>
            </w:r>
          </w:p>
        </w:tc>
        <w:tc>
          <w:tcPr>
            <w:tcW w:w="1000" w:type="dxa"/>
            <w:gridSpan w:val="2"/>
            <w:vAlign w:val="center"/>
          </w:tcPr>
          <w:p w14:paraId="6C871C9D">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100%</w:t>
            </w:r>
          </w:p>
        </w:tc>
        <w:tc>
          <w:tcPr>
            <w:tcW w:w="1033" w:type="dxa"/>
            <w:vAlign w:val="center"/>
          </w:tcPr>
          <w:p w14:paraId="1661993D">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100%</w:t>
            </w:r>
          </w:p>
        </w:tc>
        <w:tc>
          <w:tcPr>
            <w:tcW w:w="623" w:type="dxa"/>
            <w:vAlign w:val="center"/>
          </w:tcPr>
          <w:p w14:paraId="394089B5">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5</w:t>
            </w:r>
          </w:p>
        </w:tc>
        <w:tc>
          <w:tcPr>
            <w:tcW w:w="750" w:type="dxa"/>
            <w:vAlign w:val="center"/>
          </w:tcPr>
          <w:p w14:paraId="7BEFC8B4">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5</w:t>
            </w:r>
          </w:p>
        </w:tc>
        <w:tc>
          <w:tcPr>
            <w:tcW w:w="1666" w:type="dxa"/>
            <w:vAlign w:val="center"/>
          </w:tcPr>
          <w:p w14:paraId="38F3AD6F">
            <w:pPr>
              <w:kinsoku/>
              <w:topLinePunct/>
              <w:autoSpaceDE/>
              <w:autoSpaceDN/>
              <w:jc w:val="center"/>
              <w:rPr>
                <w:rFonts w:hint="eastAsia" w:ascii="宋体" w:hAnsi="宋体" w:eastAsia="宋体" w:cs="宋体"/>
              </w:rPr>
            </w:pPr>
          </w:p>
        </w:tc>
      </w:tr>
      <w:tr w14:paraId="131B6E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continue"/>
            <w:tcBorders>
              <w:top w:val="nil"/>
              <w:bottom w:val="nil"/>
            </w:tcBorders>
            <w:textDirection w:val="tbRlV"/>
            <w:vAlign w:val="center"/>
          </w:tcPr>
          <w:p w14:paraId="034BDFD1">
            <w:pPr>
              <w:kinsoku/>
              <w:topLinePunct/>
              <w:autoSpaceDE/>
              <w:autoSpaceDN/>
              <w:jc w:val="center"/>
              <w:rPr>
                <w:rFonts w:hint="eastAsia" w:ascii="宋体" w:hAnsi="宋体" w:eastAsia="宋体" w:cs="宋体"/>
              </w:rPr>
            </w:pPr>
          </w:p>
        </w:tc>
        <w:tc>
          <w:tcPr>
            <w:tcW w:w="1080" w:type="dxa"/>
            <w:vMerge w:val="continue"/>
            <w:vAlign w:val="center"/>
          </w:tcPr>
          <w:p w14:paraId="10D60D80">
            <w:pPr>
              <w:kinsoku/>
              <w:topLinePunct/>
              <w:autoSpaceDE/>
              <w:autoSpaceDN/>
              <w:jc w:val="center"/>
              <w:rPr>
                <w:rFonts w:hint="eastAsia" w:ascii="宋体" w:hAnsi="宋体" w:eastAsia="宋体" w:cs="宋体"/>
              </w:rPr>
            </w:pPr>
          </w:p>
        </w:tc>
        <w:tc>
          <w:tcPr>
            <w:tcW w:w="1150" w:type="dxa"/>
            <w:vMerge w:val="continue"/>
            <w:tcBorders>
              <w:bottom w:val="nil"/>
            </w:tcBorders>
            <w:vAlign w:val="center"/>
          </w:tcPr>
          <w:p w14:paraId="7ED0A04B">
            <w:pPr>
              <w:pStyle w:val="24"/>
              <w:kinsoku/>
              <w:topLinePunct/>
              <w:autoSpaceDE/>
              <w:autoSpaceDN/>
              <w:jc w:val="center"/>
              <w:rPr>
                <w:rFonts w:hint="eastAsia"/>
              </w:rPr>
            </w:pPr>
          </w:p>
        </w:tc>
        <w:tc>
          <w:tcPr>
            <w:tcW w:w="1506" w:type="dxa"/>
            <w:vAlign w:val="center"/>
          </w:tcPr>
          <w:p w14:paraId="24A26851">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工作顺利开展率</w:t>
            </w:r>
          </w:p>
        </w:tc>
        <w:tc>
          <w:tcPr>
            <w:tcW w:w="1000" w:type="dxa"/>
            <w:gridSpan w:val="2"/>
            <w:vAlign w:val="center"/>
          </w:tcPr>
          <w:p w14:paraId="0588A3B3">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100%</w:t>
            </w:r>
          </w:p>
        </w:tc>
        <w:tc>
          <w:tcPr>
            <w:tcW w:w="1033" w:type="dxa"/>
            <w:vAlign w:val="center"/>
          </w:tcPr>
          <w:p w14:paraId="65FCCD50">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100%</w:t>
            </w:r>
          </w:p>
        </w:tc>
        <w:tc>
          <w:tcPr>
            <w:tcW w:w="623" w:type="dxa"/>
            <w:vAlign w:val="center"/>
          </w:tcPr>
          <w:p w14:paraId="2E5D5440">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5</w:t>
            </w:r>
          </w:p>
        </w:tc>
        <w:tc>
          <w:tcPr>
            <w:tcW w:w="750" w:type="dxa"/>
            <w:vAlign w:val="center"/>
          </w:tcPr>
          <w:p w14:paraId="4D75DB17">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5</w:t>
            </w:r>
          </w:p>
        </w:tc>
        <w:tc>
          <w:tcPr>
            <w:tcW w:w="1666" w:type="dxa"/>
            <w:vAlign w:val="center"/>
          </w:tcPr>
          <w:p w14:paraId="3D62D1E7">
            <w:pPr>
              <w:kinsoku/>
              <w:topLinePunct/>
              <w:autoSpaceDE/>
              <w:autoSpaceDN/>
              <w:jc w:val="center"/>
              <w:rPr>
                <w:rFonts w:hint="eastAsia" w:ascii="宋体" w:hAnsi="宋体" w:eastAsia="宋体" w:cs="宋体"/>
              </w:rPr>
            </w:pPr>
          </w:p>
        </w:tc>
      </w:tr>
      <w:tr w14:paraId="5E86AB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continue"/>
            <w:tcBorders>
              <w:top w:val="nil"/>
              <w:bottom w:val="nil"/>
            </w:tcBorders>
            <w:textDirection w:val="tbRlV"/>
            <w:vAlign w:val="center"/>
          </w:tcPr>
          <w:p w14:paraId="1E7946B1">
            <w:pPr>
              <w:kinsoku/>
              <w:topLinePunct/>
              <w:autoSpaceDE/>
              <w:autoSpaceDN/>
              <w:jc w:val="center"/>
              <w:rPr>
                <w:rFonts w:hint="eastAsia" w:ascii="宋体" w:hAnsi="宋体" w:eastAsia="宋体" w:cs="宋体"/>
              </w:rPr>
            </w:pPr>
          </w:p>
        </w:tc>
        <w:tc>
          <w:tcPr>
            <w:tcW w:w="1080" w:type="dxa"/>
            <w:vMerge w:val="continue"/>
            <w:vAlign w:val="center"/>
          </w:tcPr>
          <w:p w14:paraId="2D99BA6F">
            <w:pPr>
              <w:kinsoku/>
              <w:topLinePunct/>
              <w:autoSpaceDE/>
              <w:autoSpaceDN/>
              <w:jc w:val="center"/>
              <w:rPr>
                <w:rFonts w:hint="eastAsia" w:ascii="宋体" w:hAnsi="宋体" w:eastAsia="宋体" w:cs="宋体"/>
              </w:rPr>
            </w:pPr>
          </w:p>
        </w:tc>
        <w:tc>
          <w:tcPr>
            <w:tcW w:w="1150" w:type="dxa"/>
            <w:tcBorders>
              <w:bottom w:val="nil"/>
            </w:tcBorders>
            <w:vAlign w:val="center"/>
          </w:tcPr>
          <w:p w14:paraId="7D920EC2">
            <w:pPr>
              <w:pStyle w:val="24"/>
              <w:kinsoku/>
              <w:topLinePunct/>
              <w:autoSpaceDE/>
              <w:autoSpaceDN/>
              <w:jc w:val="center"/>
              <w:rPr>
                <w:rFonts w:hint="eastAsia"/>
              </w:rPr>
            </w:pPr>
            <w:r>
              <w:rPr>
                <w:rFonts w:hint="eastAsia"/>
                <w:spacing w:val="4"/>
              </w:rPr>
              <w:t>时效</w:t>
            </w:r>
          </w:p>
          <w:p w14:paraId="674D31E5">
            <w:pPr>
              <w:pStyle w:val="24"/>
              <w:kinsoku/>
              <w:topLinePunct/>
              <w:autoSpaceDE/>
              <w:autoSpaceDN/>
              <w:jc w:val="center"/>
              <w:rPr>
                <w:rFonts w:hint="eastAsia"/>
              </w:rPr>
            </w:pPr>
            <w:r>
              <w:rPr>
                <w:rFonts w:hint="eastAsia"/>
                <w:spacing w:val="-3"/>
              </w:rPr>
              <w:t>指标</w:t>
            </w:r>
          </w:p>
        </w:tc>
        <w:tc>
          <w:tcPr>
            <w:tcW w:w="1506" w:type="dxa"/>
            <w:vAlign w:val="center"/>
          </w:tcPr>
          <w:p w14:paraId="177FFD21">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工作完成时间</w:t>
            </w:r>
          </w:p>
        </w:tc>
        <w:tc>
          <w:tcPr>
            <w:tcW w:w="1000" w:type="dxa"/>
            <w:gridSpan w:val="2"/>
            <w:vAlign w:val="center"/>
          </w:tcPr>
          <w:p w14:paraId="241E93C9">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2025年12月31日前</w:t>
            </w:r>
          </w:p>
        </w:tc>
        <w:tc>
          <w:tcPr>
            <w:tcW w:w="1033" w:type="dxa"/>
            <w:vAlign w:val="center"/>
          </w:tcPr>
          <w:p w14:paraId="441853B8">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2025年12月31日前</w:t>
            </w:r>
          </w:p>
        </w:tc>
        <w:tc>
          <w:tcPr>
            <w:tcW w:w="623" w:type="dxa"/>
            <w:vAlign w:val="center"/>
          </w:tcPr>
          <w:p w14:paraId="7450A18B">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10</w:t>
            </w:r>
          </w:p>
        </w:tc>
        <w:tc>
          <w:tcPr>
            <w:tcW w:w="750" w:type="dxa"/>
            <w:vAlign w:val="center"/>
          </w:tcPr>
          <w:p w14:paraId="54523A52">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10</w:t>
            </w:r>
          </w:p>
        </w:tc>
        <w:tc>
          <w:tcPr>
            <w:tcW w:w="1666" w:type="dxa"/>
            <w:vAlign w:val="center"/>
          </w:tcPr>
          <w:p w14:paraId="71943A1F">
            <w:pPr>
              <w:kinsoku/>
              <w:topLinePunct/>
              <w:autoSpaceDE/>
              <w:autoSpaceDN/>
              <w:jc w:val="center"/>
              <w:rPr>
                <w:rFonts w:hint="eastAsia" w:ascii="宋体" w:hAnsi="宋体" w:eastAsia="宋体" w:cs="宋体"/>
              </w:rPr>
            </w:pPr>
          </w:p>
        </w:tc>
      </w:tr>
      <w:tr w14:paraId="224212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continue"/>
            <w:tcBorders>
              <w:top w:val="nil"/>
              <w:bottom w:val="nil"/>
            </w:tcBorders>
            <w:textDirection w:val="tbRlV"/>
            <w:vAlign w:val="center"/>
          </w:tcPr>
          <w:p w14:paraId="6F6A56DF">
            <w:pPr>
              <w:kinsoku/>
              <w:topLinePunct/>
              <w:autoSpaceDE/>
              <w:autoSpaceDN/>
              <w:jc w:val="center"/>
              <w:rPr>
                <w:rFonts w:hint="eastAsia" w:ascii="宋体" w:hAnsi="宋体" w:eastAsia="宋体" w:cs="宋体"/>
              </w:rPr>
            </w:pPr>
          </w:p>
        </w:tc>
        <w:tc>
          <w:tcPr>
            <w:tcW w:w="1080" w:type="dxa"/>
            <w:vMerge w:val="continue"/>
            <w:vAlign w:val="center"/>
          </w:tcPr>
          <w:p w14:paraId="5D939BA7">
            <w:pPr>
              <w:kinsoku/>
              <w:topLinePunct/>
              <w:autoSpaceDE/>
              <w:autoSpaceDN/>
              <w:jc w:val="center"/>
              <w:rPr>
                <w:rFonts w:hint="eastAsia" w:ascii="宋体" w:hAnsi="宋体" w:eastAsia="宋体" w:cs="宋体"/>
              </w:rPr>
            </w:pPr>
          </w:p>
        </w:tc>
        <w:tc>
          <w:tcPr>
            <w:tcW w:w="1150" w:type="dxa"/>
            <w:vMerge w:val="restart"/>
            <w:vAlign w:val="center"/>
          </w:tcPr>
          <w:p w14:paraId="02C72C37">
            <w:pPr>
              <w:pStyle w:val="24"/>
              <w:kinsoku/>
              <w:topLinePunct/>
              <w:autoSpaceDE/>
              <w:autoSpaceDN/>
              <w:jc w:val="center"/>
              <w:rPr>
                <w:rFonts w:hint="eastAsia"/>
              </w:rPr>
            </w:pPr>
            <w:r>
              <w:rPr>
                <w:rFonts w:hint="eastAsia"/>
                <w:spacing w:val="-3"/>
              </w:rPr>
              <w:t>成本</w:t>
            </w:r>
          </w:p>
          <w:p w14:paraId="2DF7E597">
            <w:pPr>
              <w:pStyle w:val="24"/>
              <w:kinsoku/>
              <w:topLinePunct/>
              <w:autoSpaceDE/>
              <w:autoSpaceDN/>
              <w:jc w:val="center"/>
              <w:rPr>
                <w:rFonts w:hint="eastAsia"/>
              </w:rPr>
            </w:pPr>
            <w:r>
              <w:rPr>
                <w:rFonts w:hint="eastAsia"/>
                <w:spacing w:val="-3"/>
              </w:rPr>
              <w:t>指标</w:t>
            </w:r>
          </w:p>
        </w:tc>
        <w:tc>
          <w:tcPr>
            <w:tcW w:w="1506" w:type="dxa"/>
            <w:vAlign w:val="center"/>
          </w:tcPr>
          <w:p w14:paraId="1A2FA0C3">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经济成本节约率</w:t>
            </w:r>
          </w:p>
        </w:tc>
        <w:tc>
          <w:tcPr>
            <w:tcW w:w="1000" w:type="dxa"/>
            <w:gridSpan w:val="2"/>
            <w:vAlign w:val="center"/>
          </w:tcPr>
          <w:p w14:paraId="30370739">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0%</w:t>
            </w:r>
          </w:p>
        </w:tc>
        <w:tc>
          <w:tcPr>
            <w:tcW w:w="1033" w:type="dxa"/>
            <w:vAlign w:val="center"/>
          </w:tcPr>
          <w:p w14:paraId="4A1CD9E4">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0%</w:t>
            </w:r>
          </w:p>
        </w:tc>
        <w:tc>
          <w:tcPr>
            <w:tcW w:w="623" w:type="dxa"/>
            <w:vAlign w:val="center"/>
          </w:tcPr>
          <w:p w14:paraId="4FDFE4E8">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10</w:t>
            </w:r>
          </w:p>
        </w:tc>
        <w:tc>
          <w:tcPr>
            <w:tcW w:w="750" w:type="dxa"/>
            <w:vAlign w:val="center"/>
          </w:tcPr>
          <w:p w14:paraId="5B5D7365">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10</w:t>
            </w:r>
          </w:p>
        </w:tc>
        <w:tc>
          <w:tcPr>
            <w:tcW w:w="1666" w:type="dxa"/>
            <w:vAlign w:val="center"/>
          </w:tcPr>
          <w:p w14:paraId="2B20BEBD">
            <w:pPr>
              <w:kinsoku/>
              <w:topLinePunct/>
              <w:autoSpaceDE/>
              <w:autoSpaceDN/>
              <w:jc w:val="center"/>
              <w:rPr>
                <w:rFonts w:hint="eastAsia" w:ascii="宋体" w:hAnsi="宋体" w:eastAsia="宋体" w:cs="宋体"/>
              </w:rPr>
            </w:pPr>
          </w:p>
        </w:tc>
      </w:tr>
      <w:tr w14:paraId="05C219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continue"/>
            <w:tcBorders>
              <w:top w:val="nil"/>
              <w:bottom w:val="nil"/>
            </w:tcBorders>
            <w:textDirection w:val="tbRlV"/>
            <w:vAlign w:val="center"/>
          </w:tcPr>
          <w:p w14:paraId="5BC701A7">
            <w:pPr>
              <w:kinsoku/>
              <w:topLinePunct/>
              <w:autoSpaceDE/>
              <w:autoSpaceDN/>
              <w:jc w:val="center"/>
              <w:rPr>
                <w:rFonts w:hint="eastAsia" w:ascii="宋体" w:hAnsi="宋体" w:eastAsia="宋体" w:cs="宋体"/>
              </w:rPr>
            </w:pPr>
          </w:p>
        </w:tc>
        <w:tc>
          <w:tcPr>
            <w:tcW w:w="1080" w:type="dxa"/>
            <w:vMerge w:val="continue"/>
            <w:vAlign w:val="center"/>
          </w:tcPr>
          <w:p w14:paraId="7C974047">
            <w:pPr>
              <w:kinsoku/>
              <w:topLinePunct/>
              <w:autoSpaceDE/>
              <w:autoSpaceDN/>
              <w:jc w:val="center"/>
              <w:rPr>
                <w:rFonts w:hint="eastAsia" w:ascii="宋体" w:hAnsi="宋体" w:eastAsia="宋体" w:cs="宋体"/>
              </w:rPr>
            </w:pPr>
          </w:p>
        </w:tc>
        <w:tc>
          <w:tcPr>
            <w:tcW w:w="1150" w:type="dxa"/>
            <w:vMerge w:val="continue"/>
            <w:vAlign w:val="center"/>
          </w:tcPr>
          <w:p w14:paraId="5189D11D">
            <w:pPr>
              <w:kinsoku/>
              <w:topLinePunct/>
              <w:autoSpaceDE/>
              <w:autoSpaceDN/>
              <w:jc w:val="center"/>
              <w:rPr>
                <w:rFonts w:hint="eastAsia" w:ascii="宋体" w:hAnsi="宋体" w:eastAsia="宋体" w:cs="宋体"/>
              </w:rPr>
            </w:pPr>
          </w:p>
        </w:tc>
        <w:tc>
          <w:tcPr>
            <w:tcW w:w="1506" w:type="dxa"/>
            <w:vAlign w:val="center"/>
          </w:tcPr>
          <w:p w14:paraId="2F281FFA">
            <w:pPr>
              <w:pStyle w:val="24"/>
              <w:kinsoku/>
              <w:topLinePunct/>
              <w:autoSpaceDE/>
              <w:autoSpaceDN/>
              <w:jc w:val="center"/>
              <w:rPr>
                <w:rFonts w:hint="eastAsia"/>
                <w:lang w:eastAsia="zh-CN"/>
              </w:rPr>
            </w:pPr>
            <w:r>
              <w:rPr>
                <w:rFonts w:hint="eastAsia"/>
                <w:lang w:eastAsia="zh-CN"/>
              </w:rPr>
              <w:t>社会成本节约率</w:t>
            </w:r>
          </w:p>
        </w:tc>
        <w:tc>
          <w:tcPr>
            <w:tcW w:w="1000" w:type="dxa"/>
            <w:gridSpan w:val="2"/>
            <w:vAlign w:val="center"/>
          </w:tcPr>
          <w:p w14:paraId="315F7683">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0%</w:t>
            </w:r>
          </w:p>
        </w:tc>
        <w:tc>
          <w:tcPr>
            <w:tcW w:w="1033" w:type="dxa"/>
            <w:vAlign w:val="center"/>
          </w:tcPr>
          <w:p w14:paraId="36525E60">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0%</w:t>
            </w:r>
          </w:p>
        </w:tc>
        <w:tc>
          <w:tcPr>
            <w:tcW w:w="623" w:type="dxa"/>
            <w:vAlign w:val="center"/>
          </w:tcPr>
          <w:p w14:paraId="10FB5A1A">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5</w:t>
            </w:r>
          </w:p>
        </w:tc>
        <w:tc>
          <w:tcPr>
            <w:tcW w:w="750" w:type="dxa"/>
            <w:vAlign w:val="center"/>
          </w:tcPr>
          <w:p w14:paraId="15BC4707">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5</w:t>
            </w:r>
          </w:p>
        </w:tc>
        <w:tc>
          <w:tcPr>
            <w:tcW w:w="1666" w:type="dxa"/>
            <w:vAlign w:val="center"/>
          </w:tcPr>
          <w:p w14:paraId="72FD9821">
            <w:pPr>
              <w:kinsoku/>
              <w:topLinePunct/>
              <w:autoSpaceDE/>
              <w:autoSpaceDN/>
              <w:jc w:val="center"/>
              <w:rPr>
                <w:rFonts w:hint="eastAsia" w:ascii="宋体" w:hAnsi="宋体" w:eastAsia="宋体" w:cs="宋体"/>
              </w:rPr>
            </w:pPr>
          </w:p>
        </w:tc>
      </w:tr>
      <w:tr w14:paraId="776F8C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continue"/>
            <w:tcBorders>
              <w:top w:val="nil"/>
              <w:bottom w:val="nil"/>
            </w:tcBorders>
            <w:textDirection w:val="tbRlV"/>
            <w:vAlign w:val="center"/>
          </w:tcPr>
          <w:p w14:paraId="0266C7BF">
            <w:pPr>
              <w:kinsoku/>
              <w:topLinePunct/>
              <w:autoSpaceDE/>
              <w:autoSpaceDN/>
              <w:jc w:val="center"/>
              <w:rPr>
                <w:rFonts w:hint="eastAsia" w:ascii="宋体" w:hAnsi="宋体" w:eastAsia="宋体" w:cs="宋体"/>
              </w:rPr>
            </w:pPr>
          </w:p>
        </w:tc>
        <w:tc>
          <w:tcPr>
            <w:tcW w:w="1080" w:type="dxa"/>
            <w:vMerge w:val="continue"/>
            <w:vAlign w:val="center"/>
          </w:tcPr>
          <w:p w14:paraId="3C098E0E">
            <w:pPr>
              <w:kinsoku/>
              <w:topLinePunct/>
              <w:autoSpaceDE/>
              <w:autoSpaceDN/>
              <w:jc w:val="center"/>
              <w:rPr>
                <w:rFonts w:hint="eastAsia" w:ascii="宋体" w:hAnsi="宋体" w:eastAsia="宋体" w:cs="宋体"/>
              </w:rPr>
            </w:pPr>
          </w:p>
        </w:tc>
        <w:tc>
          <w:tcPr>
            <w:tcW w:w="1150" w:type="dxa"/>
            <w:vMerge w:val="continue"/>
            <w:vAlign w:val="center"/>
          </w:tcPr>
          <w:p w14:paraId="559B743F">
            <w:pPr>
              <w:kinsoku/>
              <w:topLinePunct/>
              <w:autoSpaceDE/>
              <w:autoSpaceDN/>
              <w:jc w:val="center"/>
              <w:rPr>
                <w:rFonts w:hint="eastAsia" w:ascii="宋体" w:hAnsi="宋体" w:eastAsia="宋体" w:cs="宋体"/>
              </w:rPr>
            </w:pPr>
          </w:p>
        </w:tc>
        <w:tc>
          <w:tcPr>
            <w:tcW w:w="1506" w:type="dxa"/>
            <w:vAlign w:val="center"/>
          </w:tcPr>
          <w:p w14:paraId="47C77877">
            <w:pPr>
              <w:pStyle w:val="24"/>
              <w:kinsoku/>
              <w:topLinePunct/>
              <w:autoSpaceDE/>
              <w:autoSpaceDN/>
              <w:jc w:val="center"/>
              <w:rPr>
                <w:rFonts w:hint="eastAsia"/>
                <w:spacing w:val="-2"/>
                <w:position w:val="1"/>
                <w:lang w:eastAsia="zh-CN"/>
              </w:rPr>
            </w:pPr>
            <w:r>
              <w:rPr>
                <w:rFonts w:hint="eastAsia"/>
                <w:spacing w:val="-2"/>
                <w:position w:val="1"/>
                <w:lang w:eastAsia="zh-CN"/>
              </w:rPr>
              <w:t>生态环境成本节约率</w:t>
            </w:r>
          </w:p>
        </w:tc>
        <w:tc>
          <w:tcPr>
            <w:tcW w:w="1000" w:type="dxa"/>
            <w:gridSpan w:val="2"/>
            <w:vAlign w:val="center"/>
          </w:tcPr>
          <w:p w14:paraId="4A65566E">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0%</w:t>
            </w:r>
          </w:p>
        </w:tc>
        <w:tc>
          <w:tcPr>
            <w:tcW w:w="1033" w:type="dxa"/>
            <w:vAlign w:val="center"/>
          </w:tcPr>
          <w:p w14:paraId="2CB194B3">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0%</w:t>
            </w:r>
          </w:p>
        </w:tc>
        <w:tc>
          <w:tcPr>
            <w:tcW w:w="623" w:type="dxa"/>
            <w:vAlign w:val="center"/>
          </w:tcPr>
          <w:p w14:paraId="33A26F98">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5</w:t>
            </w:r>
          </w:p>
        </w:tc>
        <w:tc>
          <w:tcPr>
            <w:tcW w:w="750" w:type="dxa"/>
            <w:vAlign w:val="center"/>
          </w:tcPr>
          <w:p w14:paraId="799FE884">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5</w:t>
            </w:r>
          </w:p>
        </w:tc>
        <w:tc>
          <w:tcPr>
            <w:tcW w:w="1666" w:type="dxa"/>
            <w:vAlign w:val="center"/>
          </w:tcPr>
          <w:p w14:paraId="06A8090B">
            <w:pPr>
              <w:kinsoku/>
              <w:topLinePunct/>
              <w:autoSpaceDE/>
              <w:autoSpaceDN/>
              <w:jc w:val="center"/>
              <w:rPr>
                <w:rFonts w:hint="eastAsia" w:ascii="宋体" w:hAnsi="宋体" w:eastAsia="宋体" w:cs="宋体"/>
              </w:rPr>
            </w:pPr>
          </w:p>
        </w:tc>
      </w:tr>
      <w:tr w14:paraId="02DB78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continue"/>
            <w:tcBorders>
              <w:top w:val="nil"/>
              <w:bottom w:val="nil"/>
            </w:tcBorders>
            <w:textDirection w:val="tbRlV"/>
            <w:vAlign w:val="center"/>
          </w:tcPr>
          <w:p w14:paraId="0D6D78AC">
            <w:pPr>
              <w:kinsoku/>
              <w:topLinePunct/>
              <w:autoSpaceDE/>
              <w:autoSpaceDN/>
              <w:jc w:val="center"/>
              <w:rPr>
                <w:rFonts w:hint="eastAsia" w:ascii="宋体" w:hAnsi="宋体" w:eastAsia="宋体" w:cs="宋体"/>
              </w:rPr>
            </w:pPr>
          </w:p>
        </w:tc>
        <w:tc>
          <w:tcPr>
            <w:tcW w:w="1080" w:type="dxa"/>
            <w:vMerge w:val="restart"/>
            <w:tcBorders>
              <w:bottom w:val="nil"/>
            </w:tcBorders>
            <w:vAlign w:val="center"/>
          </w:tcPr>
          <w:p w14:paraId="3BBB0945">
            <w:pPr>
              <w:pStyle w:val="24"/>
              <w:kinsoku/>
              <w:topLinePunct/>
              <w:autoSpaceDE/>
              <w:autoSpaceDN/>
              <w:jc w:val="center"/>
              <w:rPr>
                <w:rFonts w:hint="eastAsia"/>
              </w:rPr>
            </w:pPr>
            <w:r>
              <w:rPr>
                <w:rFonts w:hint="eastAsia"/>
                <w:spacing w:val="2"/>
              </w:rPr>
              <w:t>效益指标</w:t>
            </w:r>
          </w:p>
          <w:p w14:paraId="115F6B0B">
            <w:pPr>
              <w:pStyle w:val="24"/>
              <w:kinsoku/>
              <w:topLinePunct/>
              <w:autoSpaceDE/>
              <w:autoSpaceDN/>
              <w:jc w:val="center"/>
              <w:rPr>
                <w:rFonts w:hint="eastAsia"/>
              </w:rPr>
            </w:pPr>
            <w:r>
              <w:rPr>
                <w:rFonts w:hint="eastAsia"/>
                <w:spacing w:val="9"/>
              </w:rPr>
              <w:t>(30分)</w:t>
            </w:r>
          </w:p>
        </w:tc>
        <w:tc>
          <w:tcPr>
            <w:tcW w:w="1150" w:type="dxa"/>
            <w:tcBorders>
              <w:bottom w:val="nil"/>
            </w:tcBorders>
            <w:vAlign w:val="center"/>
          </w:tcPr>
          <w:p w14:paraId="149A49B5">
            <w:pPr>
              <w:pStyle w:val="24"/>
              <w:kinsoku/>
              <w:topLinePunct/>
              <w:autoSpaceDE/>
              <w:autoSpaceDN/>
              <w:jc w:val="center"/>
              <w:rPr>
                <w:rFonts w:hint="eastAsia"/>
              </w:rPr>
            </w:pPr>
            <w:r>
              <w:rPr>
                <w:rFonts w:hint="eastAsia"/>
                <w:spacing w:val="-3"/>
              </w:rPr>
              <w:t>经济效</w:t>
            </w:r>
          </w:p>
          <w:p w14:paraId="7E0A6DE1">
            <w:pPr>
              <w:pStyle w:val="24"/>
              <w:kinsoku/>
              <w:topLinePunct/>
              <w:autoSpaceDE/>
              <w:autoSpaceDN/>
              <w:jc w:val="center"/>
              <w:rPr>
                <w:rFonts w:hint="eastAsia"/>
              </w:rPr>
            </w:pPr>
            <w:r>
              <w:rPr>
                <w:rFonts w:hint="eastAsia"/>
                <w:spacing w:val="-3"/>
              </w:rPr>
              <w:t>益指标</w:t>
            </w:r>
          </w:p>
        </w:tc>
        <w:tc>
          <w:tcPr>
            <w:tcW w:w="1506" w:type="dxa"/>
            <w:vAlign w:val="center"/>
          </w:tcPr>
          <w:p w14:paraId="71265BBA">
            <w:pPr>
              <w:pStyle w:val="24"/>
              <w:kinsoku/>
              <w:topLinePunct/>
              <w:autoSpaceDE/>
              <w:autoSpaceDN/>
              <w:jc w:val="center"/>
              <w:rPr>
                <w:rFonts w:hint="eastAsia"/>
              </w:rPr>
            </w:pPr>
            <w:r>
              <w:rPr>
                <w:rFonts w:hint="eastAsia"/>
                <w:spacing w:val="-3"/>
              </w:rPr>
              <w:t>经济效</w:t>
            </w:r>
          </w:p>
          <w:p w14:paraId="6799ECAC">
            <w:pPr>
              <w:kinsoku/>
              <w:topLinePunct/>
              <w:autoSpaceDE/>
              <w:autoSpaceDN/>
              <w:jc w:val="center"/>
              <w:rPr>
                <w:rFonts w:hint="eastAsia" w:ascii="宋体" w:hAnsi="宋体" w:eastAsia="宋体" w:cs="宋体"/>
              </w:rPr>
            </w:pPr>
            <w:r>
              <w:rPr>
                <w:rFonts w:hint="eastAsia" w:ascii="宋体" w:hAnsi="宋体" w:eastAsia="宋体" w:cs="宋体"/>
                <w:spacing w:val="-3"/>
              </w:rPr>
              <w:t>益</w:t>
            </w:r>
          </w:p>
        </w:tc>
        <w:tc>
          <w:tcPr>
            <w:tcW w:w="1000" w:type="dxa"/>
            <w:gridSpan w:val="2"/>
            <w:vAlign w:val="center"/>
          </w:tcPr>
          <w:p w14:paraId="1719774D">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效果明显</w:t>
            </w:r>
          </w:p>
        </w:tc>
        <w:tc>
          <w:tcPr>
            <w:tcW w:w="1033" w:type="dxa"/>
            <w:vAlign w:val="center"/>
          </w:tcPr>
          <w:p w14:paraId="47027F44">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效果明显</w:t>
            </w:r>
          </w:p>
        </w:tc>
        <w:tc>
          <w:tcPr>
            <w:tcW w:w="623" w:type="dxa"/>
            <w:vAlign w:val="center"/>
          </w:tcPr>
          <w:p w14:paraId="45D939AE">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8</w:t>
            </w:r>
          </w:p>
        </w:tc>
        <w:tc>
          <w:tcPr>
            <w:tcW w:w="750" w:type="dxa"/>
            <w:vAlign w:val="center"/>
          </w:tcPr>
          <w:p w14:paraId="3986AA38">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8</w:t>
            </w:r>
          </w:p>
        </w:tc>
        <w:tc>
          <w:tcPr>
            <w:tcW w:w="1666" w:type="dxa"/>
            <w:vAlign w:val="center"/>
          </w:tcPr>
          <w:p w14:paraId="7E3CF04B">
            <w:pPr>
              <w:kinsoku/>
              <w:topLinePunct/>
              <w:autoSpaceDE/>
              <w:autoSpaceDN/>
              <w:jc w:val="center"/>
              <w:rPr>
                <w:rFonts w:hint="eastAsia" w:ascii="宋体" w:hAnsi="宋体" w:eastAsia="宋体" w:cs="宋体"/>
              </w:rPr>
            </w:pPr>
          </w:p>
        </w:tc>
      </w:tr>
      <w:tr w14:paraId="2E8513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continue"/>
            <w:tcBorders>
              <w:top w:val="nil"/>
              <w:bottom w:val="nil"/>
            </w:tcBorders>
            <w:textDirection w:val="tbRlV"/>
            <w:vAlign w:val="center"/>
          </w:tcPr>
          <w:p w14:paraId="389DB41B">
            <w:pPr>
              <w:kinsoku/>
              <w:topLinePunct/>
              <w:autoSpaceDE/>
              <w:autoSpaceDN/>
              <w:jc w:val="center"/>
              <w:rPr>
                <w:rFonts w:hint="eastAsia" w:ascii="宋体" w:hAnsi="宋体" w:eastAsia="宋体" w:cs="宋体"/>
              </w:rPr>
            </w:pPr>
          </w:p>
        </w:tc>
        <w:tc>
          <w:tcPr>
            <w:tcW w:w="1080" w:type="dxa"/>
            <w:vMerge w:val="continue"/>
            <w:tcBorders>
              <w:top w:val="nil"/>
              <w:bottom w:val="nil"/>
            </w:tcBorders>
            <w:vAlign w:val="center"/>
          </w:tcPr>
          <w:p w14:paraId="15134947">
            <w:pPr>
              <w:kinsoku/>
              <w:topLinePunct/>
              <w:autoSpaceDE/>
              <w:autoSpaceDN/>
              <w:jc w:val="center"/>
              <w:rPr>
                <w:rFonts w:hint="eastAsia" w:ascii="宋体" w:hAnsi="宋体" w:eastAsia="宋体" w:cs="宋体"/>
              </w:rPr>
            </w:pPr>
          </w:p>
        </w:tc>
        <w:tc>
          <w:tcPr>
            <w:tcW w:w="1150" w:type="dxa"/>
            <w:tcBorders>
              <w:bottom w:val="nil"/>
            </w:tcBorders>
            <w:vAlign w:val="center"/>
          </w:tcPr>
          <w:p w14:paraId="1FEEEEA1">
            <w:pPr>
              <w:pStyle w:val="24"/>
              <w:kinsoku/>
              <w:topLinePunct/>
              <w:autoSpaceDE/>
              <w:autoSpaceDN/>
              <w:jc w:val="center"/>
              <w:rPr>
                <w:rFonts w:hint="eastAsia"/>
              </w:rPr>
            </w:pPr>
            <w:r>
              <w:rPr>
                <w:rFonts w:hint="eastAsia"/>
                <w:spacing w:val="-3"/>
              </w:rPr>
              <w:t>社会效</w:t>
            </w:r>
          </w:p>
          <w:p w14:paraId="2C45550E">
            <w:pPr>
              <w:pStyle w:val="24"/>
              <w:kinsoku/>
              <w:topLinePunct/>
              <w:autoSpaceDE/>
              <w:autoSpaceDN/>
              <w:jc w:val="center"/>
              <w:rPr>
                <w:rFonts w:hint="eastAsia"/>
              </w:rPr>
            </w:pPr>
            <w:r>
              <w:rPr>
                <w:rFonts w:hint="eastAsia"/>
                <w:spacing w:val="-3"/>
              </w:rPr>
              <w:t>益指标</w:t>
            </w:r>
          </w:p>
        </w:tc>
        <w:tc>
          <w:tcPr>
            <w:tcW w:w="1506" w:type="dxa"/>
            <w:vAlign w:val="center"/>
          </w:tcPr>
          <w:p w14:paraId="7ADCC742">
            <w:pPr>
              <w:pStyle w:val="24"/>
              <w:kinsoku/>
              <w:topLinePunct/>
              <w:autoSpaceDE/>
              <w:autoSpaceDN/>
              <w:jc w:val="center"/>
              <w:rPr>
                <w:rFonts w:hint="eastAsia"/>
              </w:rPr>
            </w:pPr>
            <w:r>
              <w:rPr>
                <w:rFonts w:hint="eastAsia"/>
                <w:spacing w:val="-3"/>
              </w:rPr>
              <w:t>社会效</w:t>
            </w:r>
          </w:p>
          <w:p w14:paraId="02D532A1">
            <w:pPr>
              <w:kinsoku/>
              <w:topLinePunct/>
              <w:autoSpaceDE/>
              <w:autoSpaceDN/>
              <w:jc w:val="center"/>
              <w:rPr>
                <w:rFonts w:hint="eastAsia" w:ascii="宋体" w:hAnsi="宋体" w:eastAsia="宋体" w:cs="宋体"/>
              </w:rPr>
            </w:pPr>
            <w:r>
              <w:rPr>
                <w:rFonts w:hint="eastAsia" w:ascii="宋体" w:hAnsi="宋体" w:eastAsia="宋体" w:cs="宋体"/>
                <w:spacing w:val="-3"/>
              </w:rPr>
              <w:t>益</w:t>
            </w:r>
          </w:p>
        </w:tc>
        <w:tc>
          <w:tcPr>
            <w:tcW w:w="1000" w:type="dxa"/>
            <w:gridSpan w:val="2"/>
            <w:vAlign w:val="center"/>
          </w:tcPr>
          <w:p w14:paraId="48040382">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效果明显</w:t>
            </w:r>
          </w:p>
        </w:tc>
        <w:tc>
          <w:tcPr>
            <w:tcW w:w="1033" w:type="dxa"/>
            <w:vAlign w:val="center"/>
          </w:tcPr>
          <w:p w14:paraId="5D0774D5">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效果明显</w:t>
            </w:r>
          </w:p>
        </w:tc>
        <w:tc>
          <w:tcPr>
            <w:tcW w:w="623" w:type="dxa"/>
            <w:vAlign w:val="center"/>
          </w:tcPr>
          <w:p w14:paraId="021A01B9">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8</w:t>
            </w:r>
          </w:p>
        </w:tc>
        <w:tc>
          <w:tcPr>
            <w:tcW w:w="750" w:type="dxa"/>
            <w:vAlign w:val="center"/>
          </w:tcPr>
          <w:p w14:paraId="3AC0D0BA">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8</w:t>
            </w:r>
          </w:p>
        </w:tc>
        <w:tc>
          <w:tcPr>
            <w:tcW w:w="1666" w:type="dxa"/>
            <w:vAlign w:val="center"/>
          </w:tcPr>
          <w:p w14:paraId="12144418">
            <w:pPr>
              <w:kinsoku/>
              <w:topLinePunct/>
              <w:autoSpaceDE/>
              <w:autoSpaceDN/>
              <w:jc w:val="center"/>
              <w:rPr>
                <w:rFonts w:hint="eastAsia" w:ascii="宋体" w:hAnsi="宋体" w:eastAsia="宋体" w:cs="宋体"/>
              </w:rPr>
            </w:pPr>
          </w:p>
        </w:tc>
      </w:tr>
      <w:tr w14:paraId="32BD05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continue"/>
            <w:tcBorders>
              <w:top w:val="nil"/>
              <w:bottom w:val="nil"/>
            </w:tcBorders>
            <w:textDirection w:val="tbRlV"/>
            <w:vAlign w:val="center"/>
          </w:tcPr>
          <w:p w14:paraId="4236CF60">
            <w:pPr>
              <w:kinsoku/>
              <w:topLinePunct/>
              <w:autoSpaceDE/>
              <w:autoSpaceDN/>
              <w:jc w:val="center"/>
              <w:rPr>
                <w:rFonts w:hint="eastAsia" w:ascii="宋体" w:hAnsi="宋体" w:eastAsia="宋体" w:cs="宋体"/>
              </w:rPr>
            </w:pPr>
          </w:p>
        </w:tc>
        <w:tc>
          <w:tcPr>
            <w:tcW w:w="1080" w:type="dxa"/>
            <w:vMerge w:val="continue"/>
            <w:tcBorders>
              <w:top w:val="nil"/>
              <w:bottom w:val="nil"/>
            </w:tcBorders>
            <w:vAlign w:val="center"/>
          </w:tcPr>
          <w:p w14:paraId="4BBE70B0">
            <w:pPr>
              <w:kinsoku/>
              <w:topLinePunct/>
              <w:autoSpaceDE/>
              <w:autoSpaceDN/>
              <w:jc w:val="center"/>
              <w:rPr>
                <w:rFonts w:hint="eastAsia" w:ascii="宋体" w:hAnsi="宋体" w:eastAsia="宋体" w:cs="宋体"/>
              </w:rPr>
            </w:pPr>
          </w:p>
        </w:tc>
        <w:tc>
          <w:tcPr>
            <w:tcW w:w="1150" w:type="dxa"/>
            <w:tcBorders>
              <w:bottom w:val="nil"/>
            </w:tcBorders>
            <w:vAlign w:val="center"/>
          </w:tcPr>
          <w:p w14:paraId="63F5EF78">
            <w:pPr>
              <w:pStyle w:val="24"/>
              <w:kinsoku/>
              <w:topLinePunct/>
              <w:autoSpaceDE/>
              <w:autoSpaceDN/>
              <w:jc w:val="center"/>
              <w:rPr>
                <w:rFonts w:hint="eastAsia"/>
              </w:rPr>
            </w:pPr>
            <w:r>
              <w:rPr>
                <w:rFonts w:hint="eastAsia"/>
                <w:spacing w:val="-3"/>
              </w:rPr>
              <w:t>生态效</w:t>
            </w:r>
          </w:p>
          <w:p w14:paraId="6CF0BF22">
            <w:pPr>
              <w:pStyle w:val="24"/>
              <w:kinsoku/>
              <w:topLinePunct/>
              <w:autoSpaceDE/>
              <w:autoSpaceDN/>
              <w:jc w:val="center"/>
              <w:rPr>
                <w:rFonts w:hint="eastAsia"/>
              </w:rPr>
            </w:pPr>
            <w:r>
              <w:rPr>
                <w:rFonts w:hint="eastAsia"/>
                <w:spacing w:val="-3"/>
              </w:rPr>
              <w:t>益指标</w:t>
            </w:r>
          </w:p>
        </w:tc>
        <w:tc>
          <w:tcPr>
            <w:tcW w:w="1506" w:type="dxa"/>
            <w:vAlign w:val="center"/>
          </w:tcPr>
          <w:p w14:paraId="6AE174CF">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生态效益</w:t>
            </w:r>
          </w:p>
        </w:tc>
        <w:tc>
          <w:tcPr>
            <w:tcW w:w="1000" w:type="dxa"/>
            <w:gridSpan w:val="2"/>
            <w:vAlign w:val="center"/>
          </w:tcPr>
          <w:p w14:paraId="664B13F8">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效果明显</w:t>
            </w:r>
          </w:p>
        </w:tc>
        <w:tc>
          <w:tcPr>
            <w:tcW w:w="1033" w:type="dxa"/>
            <w:vAlign w:val="center"/>
          </w:tcPr>
          <w:p w14:paraId="694A0B26">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效果明显</w:t>
            </w:r>
          </w:p>
        </w:tc>
        <w:tc>
          <w:tcPr>
            <w:tcW w:w="623" w:type="dxa"/>
            <w:vAlign w:val="center"/>
          </w:tcPr>
          <w:p w14:paraId="589AACE2">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7</w:t>
            </w:r>
          </w:p>
        </w:tc>
        <w:tc>
          <w:tcPr>
            <w:tcW w:w="750" w:type="dxa"/>
            <w:vAlign w:val="center"/>
          </w:tcPr>
          <w:p w14:paraId="40E75283">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7</w:t>
            </w:r>
          </w:p>
        </w:tc>
        <w:tc>
          <w:tcPr>
            <w:tcW w:w="1666" w:type="dxa"/>
            <w:vAlign w:val="center"/>
          </w:tcPr>
          <w:p w14:paraId="05554176">
            <w:pPr>
              <w:kinsoku/>
              <w:topLinePunct/>
              <w:autoSpaceDE/>
              <w:autoSpaceDN/>
              <w:jc w:val="center"/>
              <w:rPr>
                <w:rFonts w:hint="eastAsia" w:ascii="宋体" w:hAnsi="宋体" w:eastAsia="宋体" w:cs="宋体"/>
              </w:rPr>
            </w:pPr>
          </w:p>
        </w:tc>
      </w:tr>
      <w:tr w14:paraId="65F24F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continue"/>
            <w:tcBorders>
              <w:top w:val="nil"/>
              <w:bottom w:val="nil"/>
            </w:tcBorders>
            <w:textDirection w:val="tbRlV"/>
            <w:vAlign w:val="center"/>
          </w:tcPr>
          <w:p w14:paraId="18885A0A">
            <w:pPr>
              <w:kinsoku/>
              <w:topLinePunct/>
              <w:autoSpaceDE/>
              <w:autoSpaceDN/>
              <w:jc w:val="center"/>
              <w:rPr>
                <w:rFonts w:hint="eastAsia" w:ascii="宋体" w:hAnsi="宋体" w:eastAsia="宋体" w:cs="宋体"/>
              </w:rPr>
            </w:pPr>
          </w:p>
        </w:tc>
        <w:tc>
          <w:tcPr>
            <w:tcW w:w="1080" w:type="dxa"/>
            <w:vMerge w:val="continue"/>
            <w:tcBorders>
              <w:top w:val="nil"/>
              <w:bottom w:val="nil"/>
            </w:tcBorders>
            <w:vAlign w:val="center"/>
          </w:tcPr>
          <w:p w14:paraId="41F2EC01">
            <w:pPr>
              <w:kinsoku/>
              <w:topLinePunct/>
              <w:autoSpaceDE/>
              <w:autoSpaceDN/>
              <w:jc w:val="center"/>
              <w:rPr>
                <w:rFonts w:hint="eastAsia" w:ascii="宋体" w:hAnsi="宋体" w:eastAsia="宋体" w:cs="宋体"/>
              </w:rPr>
            </w:pPr>
          </w:p>
        </w:tc>
        <w:tc>
          <w:tcPr>
            <w:tcW w:w="1150" w:type="dxa"/>
            <w:tcBorders>
              <w:bottom w:val="nil"/>
            </w:tcBorders>
            <w:vAlign w:val="center"/>
          </w:tcPr>
          <w:p w14:paraId="1F54A8F3">
            <w:pPr>
              <w:pStyle w:val="24"/>
              <w:kinsoku/>
              <w:topLinePunct/>
              <w:autoSpaceDE/>
              <w:autoSpaceDN/>
              <w:jc w:val="center"/>
              <w:rPr>
                <w:rFonts w:hint="eastAsia"/>
                <w:spacing w:val="2"/>
              </w:rPr>
            </w:pPr>
            <w:r>
              <w:rPr>
                <w:rFonts w:hint="eastAsia"/>
                <w:spacing w:val="2"/>
              </w:rPr>
              <w:t>可持续影响</w:t>
            </w:r>
          </w:p>
          <w:p w14:paraId="0DE229CD">
            <w:pPr>
              <w:pStyle w:val="24"/>
              <w:kinsoku/>
              <w:topLinePunct/>
              <w:autoSpaceDE/>
              <w:autoSpaceDN/>
              <w:jc w:val="center"/>
              <w:rPr>
                <w:rFonts w:hint="eastAsia"/>
              </w:rPr>
            </w:pPr>
            <w:r>
              <w:rPr>
                <w:rFonts w:hint="eastAsia"/>
                <w:spacing w:val="2"/>
              </w:rPr>
              <w:t>指</w:t>
            </w:r>
            <w:r>
              <w:rPr>
                <w:rFonts w:hint="eastAsia"/>
              </w:rPr>
              <w:t>标</w:t>
            </w:r>
          </w:p>
        </w:tc>
        <w:tc>
          <w:tcPr>
            <w:tcW w:w="1506" w:type="dxa"/>
            <w:vAlign w:val="center"/>
          </w:tcPr>
          <w:p w14:paraId="386A67CD">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可持续影响</w:t>
            </w:r>
          </w:p>
        </w:tc>
        <w:tc>
          <w:tcPr>
            <w:tcW w:w="1000" w:type="dxa"/>
            <w:gridSpan w:val="2"/>
            <w:vAlign w:val="center"/>
          </w:tcPr>
          <w:p w14:paraId="651D0481">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效果明显</w:t>
            </w:r>
          </w:p>
        </w:tc>
        <w:tc>
          <w:tcPr>
            <w:tcW w:w="1033" w:type="dxa"/>
            <w:vAlign w:val="center"/>
          </w:tcPr>
          <w:p w14:paraId="2542AB52">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效果明显</w:t>
            </w:r>
          </w:p>
        </w:tc>
        <w:tc>
          <w:tcPr>
            <w:tcW w:w="623" w:type="dxa"/>
            <w:vAlign w:val="center"/>
          </w:tcPr>
          <w:p w14:paraId="09B33632">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7</w:t>
            </w:r>
          </w:p>
        </w:tc>
        <w:tc>
          <w:tcPr>
            <w:tcW w:w="750" w:type="dxa"/>
            <w:vAlign w:val="center"/>
          </w:tcPr>
          <w:p w14:paraId="3B32C1A1">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7</w:t>
            </w:r>
          </w:p>
        </w:tc>
        <w:tc>
          <w:tcPr>
            <w:tcW w:w="1666" w:type="dxa"/>
            <w:vAlign w:val="center"/>
          </w:tcPr>
          <w:p w14:paraId="253B1070">
            <w:pPr>
              <w:kinsoku/>
              <w:topLinePunct/>
              <w:autoSpaceDE/>
              <w:autoSpaceDN/>
              <w:jc w:val="center"/>
              <w:rPr>
                <w:rFonts w:hint="eastAsia" w:ascii="宋体" w:hAnsi="宋体" w:eastAsia="宋体" w:cs="宋体"/>
              </w:rPr>
            </w:pPr>
          </w:p>
        </w:tc>
      </w:tr>
      <w:tr w14:paraId="6312F5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continue"/>
            <w:tcBorders>
              <w:top w:val="nil"/>
              <w:bottom w:val="nil"/>
            </w:tcBorders>
            <w:textDirection w:val="tbRlV"/>
            <w:vAlign w:val="center"/>
          </w:tcPr>
          <w:p w14:paraId="1BD0D3E3">
            <w:pPr>
              <w:kinsoku/>
              <w:topLinePunct/>
              <w:autoSpaceDE/>
              <w:autoSpaceDN/>
              <w:jc w:val="center"/>
              <w:rPr>
                <w:rFonts w:hint="eastAsia" w:ascii="宋体" w:hAnsi="宋体" w:eastAsia="宋体" w:cs="宋体"/>
              </w:rPr>
            </w:pPr>
          </w:p>
        </w:tc>
        <w:tc>
          <w:tcPr>
            <w:tcW w:w="1080" w:type="dxa"/>
            <w:tcBorders>
              <w:bottom w:val="nil"/>
            </w:tcBorders>
            <w:vAlign w:val="center"/>
          </w:tcPr>
          <w:p w14:paraId="355D7D96">
            <w:pPr>
              <w:pStyle w:val="24"/>
              <w:kinsoku/>
              <w:topLinePunct/>
              <w:autoSpaceDE/>
              <w:autoSpaceDN/>
              <w:jc w:val="center"/>
              <w:rPr>
                <w:rFonts w:hint="eastAsia"/>
              </w:rPr>
            </w:pPr>
            <w:r>
              <w:rPr>
                <w:rFonts w:hint="eastAsia"/>
                <w:spacing w:val="4"/>
              </w:rPr>
              <w:t>满意度</w:t>
            </w:r>
            <w:r>
              <w:rPr>
                <w:rFonts w:hint="eastAsia"/>
                <w:spacing w:val="-3"/>
              </w:rPr>
              <w:t>指标</w:t>
            </w:r>
            <w:r>
              <w:rPr>
                <w:rFonts w:hint="eastAsia"/>
                <w:spacing w:val="9"/>
              </w:rPr>
              <w:t>(10分)</w:t>
            </w:r>
          </w:p>
        </w:tc>
        <w:tc>
          <w:tcPr>
            <w:tcW w:w="1150" w:type="dxa"/>
            <w:tcBorders>
              <w:bottom w:val="nil"/>
            </w:tcBorders>
            <w:vAlign w:val="center"/>
          </w:tcPr>
          <w:p w14:paraId="5EA7C054">
            <w:pPr>
              <w:pStyle w:val="24"/>
              <w:kinsoku/>
              <w:topLinePunct/>
              <w:autoSpaceDE/>
              <w:autoSpaceDN/>
              <w:jc w:val="center"/>
              <w:rPr>
                <w:rFonts w:hint="eastAsia"/>
              </w:rPr>
            </w:pPr>
            <w:r>
              <w:rPr>
                <w:rFonts w:hint="eastAsia"/>
                <w:spacing w:val="2"/>
              </w:rPr>
              <w:t>服务对象满意</w:t>
            </w:r>
            <w:r>
              <w:rPr>
                <w:rFonts w:hint="eastAsia"/>
                <w:spacing w:val="-2"/>
              </w:rPr>
              <w:t>度指标</w:t>
            </w:r>
          </w:p>
        </w:tc>
        <w:tc>
          <w:tcPr>
            <w:tcW w:w="1506" w:type="dxa"/>
            <w:vAlign w:val="center"/>
          </w:tcPr>
          <w:p w14:paraId="648A3260">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受益人群满意度</w:t>
            </w:r>
          </w:p>
        </w:tc>
        <w:tc>
          <w:tcPr>
            <w:tcW w:w="1000" w:type="dxa"/>
            <w:gridSpan w:val="2"/>
            <w:vAlign w:val="center"/>
          </w:tcPr>
          <w:p w14:paraId="24BB813E">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98%</w:t>
            </w:r>
          </w:p>
        </w:tc>
        <w:tc>
          <w:tcPr>
            <w:tcW w:w="1033" w:type="dxa"/>
            <w:vAlign w:val="center"/>
          </w:tcPr>
          <w:p w14:paraId="4859DE5F">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90%</w:t>
            </w:r>
          </w:p>
        </w:tc>
        <w:tc>
          <w:tcPr>
            <w:tcW w:w="623" w:type="dxa"/>
            <w:vAlign w:val="center"/>
          </w:tcPr>
          <w:p w14:paraId="3AB4BADA">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10</w:t>
            </w:r>
          </w:p>
        </w:tc>
        <w:tc>
          <w:tcPr>
            <w:tcW w:w="750" w:type="dxa"/>
            <w:vAlign w:val="center"/>
          </w:tcPr>
          <w:p w14:paraId="42711CF4">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9.2</w:t>
            </w:r>
          </w:p>
        </w:tc>
        <w:tc>
          <w:tcPr>
            <w:tcW w:w="1666" w:type="dxa"/>
            <w:vAlign w:val="center"/>
          </w:tcPr>
          <w:p w14:paraId="08709BBA">
            <w:pPr>
              <w:kinsoku/>
              <w:topLinePunct/>
              <w:autoSpaceDE/>
              <w:autoSpaceDN/>
              <w:jc w:val="center"/>
              <w:rPr>
                <w:rFonts w:hint="eastAsia" w:ascii="宋体" w:hAnsi="宋体" w:eastAsia="宋体" w:cs="宋体"/>
              </w:rPr>
            </w:pPr>
          </w:p>
        </w:tc>
      </w:tr>
      <w:tr w14:paraId="52A935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6638" w:type="dxa"/>
            <w:gridSpan w:val="7"/>
            <w:vAlign w:val="center"/>
          </w:tcPr>
          <w:p w14:paraId="695976CB">
            <w:pPr>
              <w:pStyle w:val="24"/>
              <w:kinsoku/>
              <w:topLinePunct/>
              <w:autoSpaceDE/>
              <w:autoSpaceDN/>
              <w:jc w:val="center"/>
              <w:rPr>
                <w:rFonts w:hint="eastAsia"/>
              </w:rPr>
            </w:pPr>
            <w:r>
              <w:rPr>
                <w:rFonts w:hint="eastAsia"/>
                <w:spacing w:val="4"/>
              </w:rPr>
              <w:t>总分</w:t>
            </w:r>
          </w:p>
        </w:tc>
        <w:tc>
          <w:tcPr>
            <w:tcW w:w="623" w:type="dxa"/>
            <w:vAlign w:val="center"/>
          </w:tcPr>
          <w:p w14:paraId="282F3233">
            <w:pPr>
              <w:pStyle w:val="24"/>
              <w:kinsoku/>
              <w:topLinePunct/>
              <w:autoSpaceDE/>
              <w:autoSpaceDN/>
              <w:jc w:val="center"/>
              <w:rPr>
                <w:rFonts w:hint="eastAsia"/>
              </w:rPr>
            </w:pPr>
            <w:r>
              <w:rPr>
                <w:rFonts w:hint="eastAsia"/>
                <w:spacing w:val="-6"/>
              </w:rPr>
              <w:t>100</w:t>
            </w:r>
          </w:p>
        </w:tc>
        <w:tc>
          <w:tcPr>
            <w:tcW w:w="750" w:type="dxa"/>
            <w:vAlign w:val="center"/>
          </w:tcPr>
          <w:p w14:paraId="35A589F2">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99.2</w:t>
            </w:r>
          </w:p>
        </w:tc>
        <w:tc>
          <w:tcPr>
            <w:tcW w:w="1666" w:type="dxa"/>
            <w:vAlign w:val="center"/>
          </w:tcPr>
          <w:p w14:paraId="2AA9E454">
            <w:pPr>
              <w:kinsoku/>
              <w:topLinePunct/>
              <w:autoSpaceDE/>
              <w:autoSpaceDN/>
              <w:jc w:val="center"/>
              <w:rPr>
                <w:rFonts w:hint="eastAsia" w:ascii="宋体" w:hAnsi="宋体" w:eastAsia="宋体" w:cs="宋体"/>
              </w:rPr>
            </w:pPr>
          </w:p>
        </w:tc>
      </w:tr>
    </w:tbl>
    <w:p w14:paraId="2B13C004">
      <w:pPr>
        <w:spacing w:before="63" w:line="230" w:lineRule="auto"/>
        <w:ind w:left="284"/>
        <w:rPr>
          <w:rFonts w:hint="eastAsia" w:ascii="宋体" w:hAnsi="宋体" w:eastAsia="宋体" w:cs="宋体"/>
          <w:spacing w:val="-1"/>
          <w:lang w:eastAsia="zh-CN"/>
        </w:rPr>
      </w:pPr>
      <w:r>
        <w:rPr>
          <w:rFonts w:hint="eastAsia" w:ascii="宋体" w:hAnsi="宋体" w:eastAsia="宋体" w:cs="宋体"/>
          <w:lang w:eastAsia="zh-CN"/>
        </w:rPr>
        <w:t>填表人：       填报日期：            联系电话：             单位</w:t>
      </w:r>
      <w:r>
        <w:rPr>
          <w:rFonts w:hint="eastAsia" w:ascii="宋体" w:hAnsi="宋体" w:eastAsia="宋体" w:cs="宋体"/>
          <w:spacing w:val="-1"/>
          <w:lang w:eastAsia="zh-CN"/>
        </w:rPr>
        <w:t>负责人签字：</w:t>
      </w:r>
    </w:p>
    <w:p w14:paraId="334993D1">
      <w:pPr>
        <w:pStyle w:val="17"/>
        <w:rPr>
          <w:rFonts w:ascii="Times New Roman" w:hAnsi="Times New Roman" w:eastAsia="仿宋_GB2312" w:cs="Times New Roman"/>
          <w:sz w:val="32"/>
          <w:szCs w:val="32"/>
        </w:rPr>
      </w:pPr>
    </w:p>
    <w:p w14:paraId="1702D8FE">
      <w:pPr>
        <w:pStyle w:val="17"/>
        <w:spacing w:line="600" w:lineRule="exact"/>
        <w:ind w:firstLine="640" w:firstLineChars="200"/>
        <w:rPr>
          <w:rFonts w:ascii="Times New Roman" w:hAnsi="Times New Roman" w:eastAsia="仿宋_GB2312" w:cs="Times New Roman"/>
          <w:sz w:val="32"/>
          <w:szCs w:val="32"/>
        </w:rPr>
      </w:pPr>
    </w:p>
    <w:p w14:paraId="57B22BA3">
      <w:pPr>
        <w:pStyle w:val="17"/>
        <w:jc w:val="center"/>
        <w:rPr>
          <w:rFonts w:ascii="Times New Roman" w:hAnsi="Times New Roman" w:cs="Times New Roman"/>
          <w:sz w:val="72"/>
          <w:szCs w:val="72"/>
        </w:rPr>
      </w:pPr>
    </w:p>
    <w:p w14:paraId="284AC869">
      <w:pPr>
        <w:pStyle w:val="17"/>
        <w:jc w:val="center"/>
        <w:rPr>
          <w:rFonts w:ascii="Times New Roman" w:hAnsi="Times New Roman" w:cs="Times New Roman"/>
          <w:sz w:val="72"/>
          <w:szCs w:val="72"/>
        </w:rPr>
      </w:pPr>
    </w:p>
    <w:p w14:paraId="7B33E90E">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大标宋_GBK">
    <w:altName w:val="宋体"/>
    <w:panose1 w:val="03000509000000000000"/>
    <w:charset w:val="86"/>
    <w:family w:val="script"/>
    <w:pitch w:val="default"/>
    <w:sig w:usb0="00000000" w:usb1="00000000" w:usb2="0000001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542BB">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9FAA2">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4D20D9">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FBA5E">
    <w:pPr>
      <w:pStyle w:val="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CE172E">
                          <w:pPr>
                            <w:pStyle w:val="8"/>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35CE172E">
                    <w:pPr>
                      <w:pStyle w:val="8"/>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9F5640">
    <w:pPr>
      <w:spacing w:line="173" w:lineRule="auto"/>
      <w:rPr>
        <w:rFonts w:ascii="Times New Roman" w:hAnsi="Times New Roman" w:eastAsia="Times New Roman" w:cs="Times New Roman"/>
        <w:sz w:val="14"/>
        <w:szCs w:val="14"/>
      </w:rPr>
    </w:pPr>
    <w:r>
      <w:rPr>
        <w:sz w:val="1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AF76DD">
                          <w:pPr>
                            <w:pStyle w:val="8"/>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9</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2CAF76DD">
                    <w:pPr>
                      <w:pStyle w:val="8"/>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9</w:t>
                    </w:r>
                    <w:r>
                      <w:rPr>
                        <w:rFonts w:hint="eastAsia" w:ascii="宋体" w:hAnsi="宋体" w:eastAsia="宋体" w:cs="宋体"/>
                        <w:sz w:val="28"/>
                        <w:szCs w:val="2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2C57F">
    <w:pPr>
      <w:spacing w:line="172" w:lineRule="auto"/>
      <w:ind w:left="4579"/>
      <w:rPr>
        <w:rFonts w:ascii="Times New Roman" w:hAnsi="Times New Roman" w:eastAsia="Times New Roman" w:cs="Times New Roman"/>
        <w:sz w:val="13"/>
        <w:szCs w:val="13"/>
      </w:rPr>
    </w:pPr>
    <w:r>
      <w:rPr>
        <w:sz w:val="13"/>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39FE02">
                          <w:pPr>
                            <w:pStyle w:val="8"/>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12</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7739FE02">
                    <w:pPr>
                      <w:pStyle w:val="8"/>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12</w:t>
                    </w:r>
                    <w:r>
                      <w:rPr>
                        <w:rFonts w:hint="eastAsia" w:ascii="宋体" w:hAnsi="宋体" w:eastAsia="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6A1B31"/>
    <w:multiLevelType w:val="singleLevel"/>
    <w:tmpl w:val="146A1B31"/>
    <w:lvl w:ilvl="0" w:tentative="0">
      <w:start w:val="4"/>
      <w:numFmt w:val="chineseCounting"/>
      <w:suff w:val="nothing"/>
      <w:lvlText w:val="%1、"/>
      <w:lvlJc w:val="left"/>
      <w:pPr>
        <w:ind w:left="-10"/>
      </w:pPr>
      <w:rPr>
        <w:rFonts w:hint="eastAsia"/>
      </w:rPr>
    </w:lvl>
  </w:abstractNum>
  <w:abstractNum w:abstractNumId="1">
    <w:nsid w:val="46D7D8A6"/>
    <w:multiLevelType w:val="singleLevel"/>
    <w:tmpl w:val="46D7D8A6"/>
    <w:lvl w:ilvl="0" w:tentative="0">
      <w:start w:val="2"/>
      <w:numFmt w:val="chineseCounting"/>
      <w:suff w:val="nothing"/>
      <w:lvlText w:val="（%1）"/>
      <w:lvlJc w:val="left"/>
      <w:rPr>
        <w:rFonts w:hint="eastAsia"/>
      </w:rPr>
    </w:lvl>
  </w:abstractNum>
  <w:abstractNum w:abstractNumId="2">
    <w:nsid w:val="688F6608"/>
    <w:multiLevelType w:val="singleLevel"/>
    <w:tmpl w:val="688F6608"/>
    <w:lvl w:ilvl="0" w:tentative="0">
      <w:start w:val="6"/>
      <w:numFmt w:val="decimal"/>
      <w:suff w:val="nothing"/>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B375978"/>
    <w:rsid w:val="112A57AD"/>
    <w:rsid w:val="179901FC"/>
    <w:rsid w:val="1D7D190B"/>
    <w:rsid w:val="1D97DEFF"/>
    <w:rsid w:val="1DFF72E5"/>
    <w:rsid w:val="1EFC6F07"/>
    <w:rsid w:val="21EB34D3"/>
    <w:rsid w:val="2CE1520F"/>
    <w:rsid w:val="2DA90DA6"/>
    <w:rsid w:val="2FDF85B8"/>
    <w:rsid w:val="2FFFEE04"/>
    <w:rsid w:val="31920160"/>
    <w:rsid w:val="32963A97"/>
    <w:rsid w:val="34DF85B0"/>
    <w:rsid w:val="3ACE6E61"/>
    <w:rsid w:val="3ADD6E62"/>
    <w:rsid w:val="3B8F36BC"/>
    <w:rsid w:val="3FB55A92"/>
    <w:rsid w:val="48096AF9"/>
    <w:rsid w:val="48A6548C"/>
    <w:rsid w:val="48CE2C77"/>
    <w:rsid w:val="491FF225"/>
    <w:rsid w:val="4FFD214C"/>
    <w:rsid w:val="514D06DF"/>
    <w:rsid w:val="5777D4F5"/>
    <w:rsid w:val="59DD8326"/>
    <w:rsid w:val="5AF854CA"/>
    <w:rsid w:val="5D634B3F"/>
    <w:rsid w:val="5DEF592A"/>
    <w:rsid w:val="5E2E021D"/>
    <w:rsid w:val="5E3922A0"/>
    <w:rsid w:val="5FC6BB1E"/>
    <w:rsid w:val="5FF720F1"/>
    <w:rsid w:val="614E5143"/>
    <w:rsid w:val="674F5E2C"/>
    <w:rsid w:val="67FF5C0B"/>
    <w:rsid w:val="69901A03"/>
    <w:rsid w:val="6B7357E7"/>
    <w:rsid w:val="6EFC0924"/>
    <w:rsid w:val="6FB74722"/>
    <w:rsid w:val="6FEF8B7E"/>
    <w:rsid w:val="704203B9"/>
    <w:rsid w:val="71A6591B"/>
    <w:rsid w:val="737D59BA"/>
    <w:rsid w:val="77C37683"/>
    <w:rsid w:val="79D19834"/>
    <w:rsid w:val="79FF515B"/>
    <w:rsid w:val="7BF549BF"/>
    <w:rsid w:val="7E791AD7"/>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table of authorities"/>
    <w:basedOn w:val="1"/>
    <w:next w:val="1"/>
    <w:qFormat/>
    <w:uiPriority w:val="0"/>
    <w:pPr>
      <w:spacing w:before="100" w:beforeAutospacing="1" w:after="100" w:afterAutospacing="1"/>
      <w:ind w:left="200" w:leftChars="200"/>
    </w:pPr>
  </w:style>
  <w:style w:type="paragraph" w:styleId="3">
    <w:name w:val="index 5"/>
    <w:basedOn w:val="1"/>
    <w:next w:val="1"/>
    <w:qFormat/>
    <w:uiPriority w:val="0"/>
    <w:pPr>
      <w:ind w:left="1680"/>
    </w:pPr>
  </w:style>
  <w:style w:type="paragraph" w:styleId="4">
    <w:name w:val="Body Text"/>
    <w:basedOn w:val="1"/>
    <w:semiHidden/>
    <w:qFormat/>
    <w:uiPriority w:val="0"/>
    <w:rPr>
      <w:rFonts w:ascii="仿宋" w:hAnsi="仿宋" w:eastAsia="仿宋" w:cs="仿宋"/>
      <w:sz w:val="31"/>
      <w:szCs w:val="31"/>
    </w:rPr>
  </w:style>
  <w:style w:type="paragraph" w:styleId="5">
    <w:name w:val="Body Text Indent"/>
    <w:basedOn w:val="1"/>
    <w:next w:val="6"/>
    <w:unhideWhenUsed/>
    <w:qFormat/>
    <w:uiPriority w:val="99"/>
    <w:pPr>
      <w:widowControl/>
      <w:spacing w:after="120"/>
      <w:ind w:left="420" w:leftChars="200"/>
      <w:jc w:val="left"/>
    </w:pPr>
    <w:rPr>
      <w:rFonts w:ascii="宋体" w:hAnsi="宋体" w:eastAsia="宋体" w:cs="宋体"/>
      <w:kern w:val="0"/>
      <w:sz w:val="24"/>
    </w:rPr>
  </w:style>
  <w:style w:type="paragraph" w:styleId="6">
    <w:name w:val="Body Text First Indent 2"/>
    <w:basedOn w:val="5"/>
    <w:next w:val="1"/>
    <w:unhideWhenUsed/>
    <w:qFormat/>
    <w:uiPriority w:val="99"/>
    <w:pPr>
      <w:ind w:firstLine="420" w:firstLineChars="200"/>
    </w:pPr>
  </w:style>
  <w:style w:type="paragraph" w:styleId="7">
    <w:name w:val="Balloon Text"/>
    <w:basedOn w:val="1"/>
    <w:link w:val="19"/>
    <w:semiHidden/>
    <w:unhideWhenUsed/>
    <w:qFormat/>
    <w:uiPriority w:val="99"/>
    <w:rPr>
      <w:sz w:val="18"/>
      <w:szCs w:val="18"/>
    </w:rPr>
  </w:style>
  <w:style w:type="paragraph" w:styleId="8">
    <w:name w:val="footer"/>
    <w:basedOn w:val="1"/>
    <w:next w:val="3"/>
    <w:link w:val="16"/>
    <w:unhideWhenUsed/>
    <w:qFormat/>
    <w:uiPriority w:val="99"/>
    <w:pPr>
      <w:tabs>
        <w:tab w:val="center" w:pos="4153"/>
        <w:tab w:val="right" w:pos="8306"/>
      </w:tabs>
      <w:snapToGrid w:val="0"/>
      <w:jc w:val="left"/>
    </w:pPr>
    <w:rPr>
      <w:sz w:val="18"/>
      <w:szCs w:val="18"/>
    </w:rPr>
  </w:style>
  <w:style w:type="paragraph" w:styleId="9">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footnote text"/>
    <w:basedOn w:val="1"/>
    <w:next w:val="6"/>
    <w:semiHidden/>
    <w:qFormat/>
    <w:uiPriority w:val="0"/>
    <w:pPr>
      <w:snapToGrid w:val="0"/>
      <w:jc w:val="left"/>
    </w:pPr>
    <w:rPr>
      <w:sz w:val="18"/>
      <w:szCs w:val="18"/>
    </w:rPr>
  </w:style>
  <w:style w:type="paragraph" w:styleId="11">
    <w:name w:val="HTML Preformatted"/>
    <w:basedOn w:val="1"/>
    <w:qFormat/>
    <w:uiPriority w:val="0"/>
    <w:rPr>
      <w:rFonts w:hint="eastAsia" w:ascii="宋体" w:hAnsi="宋体" w:eastAsia="宋体" w:cs="Times New Roman"/>
      <w:sz w:val="24"/>
      <w:szCs w:val="24"/>
      <w:lang w:eastAsia="zh-CN"/>
    </w:rPr>
  </w:style>
  <w:style w:type="paragraph" w:styleId="12">
    <w:name w:val="Normal (Web)"/>
    <w:basedOn w:val="1"/>
    <w:qFormat/>
    <w:uiPriority w:val="0"/>
    <w:pPr>
      <w:spacing w:before="100" w:beforeAutospacing="1" w:after="100" w:afterAutospacing="1"/>
    </w:pPr>
    <w:rPr>
      <w:rFonts w:cs="Times New Roman"/>
      <w:sz w:val="24"/>
      <w:lang w:eastAsia="zh-CN"/>
    </w:rPr>
  </w:style>
  <w:style w:type="character" w:customStyle="1" w:styleId="15">
    <w:name w:val="页眉 Char"/>
    <w:basedOn w:val="14"/>
    <w:link w:val="9"/>
    <w:qFormat/>
    <w:uiPriority w:val="99"/>
    <w:rPr>
      <w:sz w:val="18"/>
      <w:szCs w:val="18"/>
    </w:rPr>
  </w:style>
  <w:style w:type="character" w:customStyle="1" w:styleId="16">
    <w:name w:val="页脚 Char"/>
    <w:basedOn w:val="14"/>
    <w:link w:val="8"/>
    <w:qFormat/>
    <w:uiPriority w:val="99"/>
    <w:rPr>
      <w:sz w:val="18"/>
      <w:szCs w:val="18"/>
    </w:rPr>
  </w:style>
  <w:style w:type="paragraph" w:customStyle="1" w:styleId="17">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8">
    <w:name w:val="List Paragraph"/>
    <w:basedOn w:val="1"/>
    <w:qFormat/>
    <w:uiPriority w:val="34"/>
    <w:pPr>
      <w:ind w:firstLine="420" w:firstLineChars="200"/>
    </w:pPr>
  </w:style>
  <w:style w:type="character" w:customStyle="1" w:styleId="19">
    <w:name w:val="批注框文本 Char"/>
    <w:basedOn w:val="14"/>
    <w:link w:val="7"/>
    <w:semiHidden/>
    <w:qFormat/>
    <w:uiPriority w:val="99"/>
    <w:rPr>
      <w:sz w:val="18"/>
      <w:szCs w:val="18"/>
    </w:rPr>
  </w:style>
  <w:style w:type="character" w:customStyle="1" w:styleId="20">
    <w:name w:val="font01"/>
    <w:basedOn w:val="14"/>
    <w:qFormat/>
    <w:uiPriority w:val="0"/>
    <w:rPr>
      <w:rFonts w:hint="eastAsia" w:ascii="宋体" w:hAnsi="宋体" w:eastAsia="宋体" w:cs="宋体"/>
      <w:color w:val="000000"/>
      <w:sz w:val="22"/>
      <w:szCs w:val="22"/>
      <w:u w:val="none"/>
    </w:rPr>
  </w:style>
  <w:style w:type="character" w:customStyle="1" w:styleId="21">
    <w:name w:val="font21"/>
    <w:basedOn w:val="14"/>
    <w:qFormat/>
    <w:uiPriority w:val="0"/>
    <w:rPr>
      <w:rFonts w:hint="eastAsia" w:ascii="宋体" w:hAnsi="宋体" w:eastAsia="宋体" w:cs="宋体"/>
      <w:color w:val="000000"/>
      <w:sz w:val="24"/>
      <w:szCs w:val="24"/>
      <w:u w:val="none"/>
    </w:rPr>
  </w:style>
  <w:style w:type="character" w:customStyle="1" w:styleId="22">
    <w:name w:val="font11"/>
    <w:basedOn w:val="14"/>
    <w:qFormat/>
    <w:uiPriority w:val="0"/>
    <w:rPr>
      <w:rFonts w:hint="eastAsia" w:ascii="宋体" w:hAnsi="宋体" w:eastAsia="宋体" w:cs="宋体"/>
      <w:color w:val="000000"/>
      <w:sz w:val="24"/>
      <w:szCs w:val="24"/>
      <w:u w:val="none"/>
    </w:rPr>
  </w:style>
  <w:style w:type="paragraph" w:customStyle="1" w:styleId="23">
    <w:name w:val="引文目录1"/>
    <w:basedOn w:val="1"/>
    <w:next w:val="1"/>
    <w:autoRedefine/>
    <w:qFormat/>
    <w:uiPriority w:val="0"/>
    <w:pPr>
      <w:ind w:left="420" w:leftChars="200"/>
    </w:pPr>
  </w:style>
  <w:style w:type="paragraph" w:customStyle="1" w:styleId="24">
    <w:name w:val="Table Text"/>
    <w:basedOn w:val="1"/>
    <w:semiHidden/>
    <w:qFormat/>
    <w:uiPriority w:val="0"/>
    <w:rPr>
      <w:rFonts w:ascii="宋体" w:hAnsi="宋体" w:eastAsia="宋体" w:cs="宋体"/>
    </w:rPr>
  </w:style>
  <w:style w:type="table" w:customStyle="1" w:styleId="2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8.emf"/><Relationship Id="rId24" Type="http://schemas.openxmlformats.org/officeDocument/2006/relationships/oleObject" Target="embeddings/oleObject8.bin"/><Relationship Id="rId23" Type="http://schemas.openxmlformats.org/officeDocument/2006/relationships/image" Target="media/image7.emf"/><Relationship Id="rId22" Type="http://schemas.openxmlformats.org/officeDocument/2006/relationships/oleObject" Target="embeddings/oleObject7.bin"/><Relationship Id="rId21" Type="http://schemas.openxmlformats.org/officeDocument/2006/relationships/image" Target="media/image6.emf"/><Relationship Id="rId20" Type="http://schemas.openxmlformats.org/officeDocument/2006/relationships/oleObject" Target="embeddings/oleObject6.bin"/><Relationship Id="rId2" Type="http://schemas.openxmlformats.org/officeDocument/2006/relationships/settings" Target="settings.xml"/><Relationship Id="rId19" Type="http://schemas.openxmlformats.org/officeDocument/2006/relationships/image" Target="media/image5.emf"/><Relationship Id="rId18" Type="http://schemas.openxmlformats.org/officeDocument/2006/relationships/oleObject" Target="embeddings/oleObject5.bin"/><Relationship Id="rId17" Type="http://schemas.openxmlformats.org/officeDocument/2006/relationships/image" Target="media/image4.emf"/><Relationship Id="rId16" Type="http://schemas.openxmlformats.org/officeDocument/2006/relationships/oleObject" Target="embeddings/oleObject4.bin"/><Relationship Id="rId15" Type="http://schemas.openxmlformats.org/officeDocument/2006/relationships/image" Target="media/image3.emf"/><Relationship Id="rId14" Type="http://schemas.openxmlformats.org/officeDocument/2006/relationships/oleObject" Target="embeddings/oleObject3.bin"/><Relationship Id="rId13" Type="http://schemas.openxmlformats.org/officeDocument/2006/relationships/image" Target="media/image2.emf"/><Relationship Id="rId12" Type="http://schemas.openxmlformats.org/officeDocument/2006/relationships/oleObject" Target="embeddings/oleObject2.bin"/><Relationship Id="rId11" Type="http://schemas.openxmlformats.org/officeDocument/2006/relationships/image" Target="media/image1.emf"/><Relationship Id="rId10" Type="http://schemas.openxmlformats.org/officeDocument/2006/relationships/oleObject" Target="embeddings/oleObject1.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45</Pages>
  <Words>11671</Words>
  <Characters>12433</Characters>
  <Lines>69</Lines>
  <Paragraphs>19</Paragraphs>
  <TotalTime>0</TotalTime>
  <ScaleCrop>false</ScaleCrop>
  <LinksUpToDate>false</LinksUpToDate>
  <CharactersWithSpaces>12636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燕</cp:lastModifiedBy>
  <cp:lastPrinted>2026-08-31T03:47:00Z</cp:lastPrinted>
  <dcterms:modified xsi:type="dcterms:W3CDTF">2026-10-22T01:23:39Z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701CA8039B0641D3A42297B28490A2FA_13</vt:lpwstr>
  </property>
  <property fmtid="{D5CDD505-2E9C-101B-9397-08002B2CF9AE}" pid="4" name="KSOTemplateDocerSaveRecord">
    <vt:lpwstr>eyJoZGlkIjoiMjczMzY5YThhNWFjZDE4OTkyYTIxZTVkMjk0MGIyYjIiLCJ1c2VySWQiOiI2MjQyMjY1MTUifQ==</vt:lpwstr>
  </property>
</Properties>
</file>