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val="0"/>
        <w:suppressLineNumbers w:val="0"/>
        <w:spacing w:before="0" w:beforeAutospacing="0" w:after="0" w:afterAutospacing="0" w:line="560" w:lineRule="exact"/>
        <w:ind w:left="0" w:right="0"/>
        <w:jc w:val="both"/>
        <w:rPr>
          <w:rFonts w:hint="eastAsia" w:ascii="华文中宋" w:hAnsi="华文中宋" w:eastAsia="华文中宋" w:cs="宋体"/>
          <w:sz w:val="32"/>
          <w:szCs w:val="32"/>
          <w:lang w:val="en-US" w:eastAsia="zh-CN"/>
        </w:rPr>
      </w:pPr>
      <w:bookmarkStart w:id="0" w:name="_Hlk202308790"/>
      <w:bookmarkStart w:id="1" w:name="_Hlk202307588"/>
    </w:p>
    <w:p>
      <w:pPr>
        <w:keepNext w:val="0"/>
        <w:keepLines w:val="0"/>
        <w:widowControl w:val="0"/>
        <w:suppressLineNumbers w:val="0"/>
        <w:spacing w:before="0" w:beforeAutospacing="0" w:after="0" w:afterAutospacing="0" w:line="560" w:lineRule="exact"/>
        <w:ind w:left="0" w:right="0"/>
        <w:jc w:val="center"/>
        <w:rPr>
          <w:rFonts w:hint="eastAsia" w:ascii="仿宋_GB2312" w:eastAsia="仿宋_GB2312" w:cs="仿宋_GB2312"/>
          <w:b/>
          <w:bCs/>
          <w:sz w:val="32"/>
          <w:szCs w:val="32"/>
          <w:lang w:val="en-US"/>
        </w:rPr>
      </w:pPr>
      <w:r>
        <w:rPr>
          <w:rFonts w:hint="eastAsia" w:ascii="仿宋_GB2312" w:hAnsi="Calibri" w:eastAsia="仿宋_GB2312" w:cs="仿宋_GB2312"/>
          <w:b/>
          <w:bCs/>
          <w:kern w:val="2"/>
          <w:sz w:val="32"/>
          <w:szCs w:val="32"/>
          <w:lang w:val="en-US" w:eastAsia="zh-CN" w:bidi="ar"/>
        </w:rPr>
        <w:t xml:space="preserve"> </w:t>
      </w:r>
    </w:p>
    <w:p>
      <w:pPr>
        <w:keepNext w:val="0"/>
        <w:keepLines w:val="0"/>
        <w:widowControl w:val="0"/>
        <w:suppressLineNumbers w:val="0"/>
        <w:spacing w:before="0" w:beforeAutospacing="0" w:after="0" w:afterAutospacing="0" w:line="500" w:lineRule="exact"/>
        <w:ind w:left="0" w:right="0"/>
        <w:jc w:val="center"/>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 xml:space="preserve"> </w:t>
      </w:r>
    </w:p>
    <w:p>
      <w:pPr>
        <w:keepNext w:val="0"/>
        <w:keepLines w:val="0"/>
        <w:widowControl w:val="0"/>
        <w:suppressLineNumbers w:val="0"/>
        <w:spacing w:before="0" w:beforeAutospacing="0" w:after="0" w:afterAutospacing="0" w:line="540" w:lineRule="exact"/>
        <w:ind w:left="0" w:right="0"/>
        <w:jc w:val="center"/>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 xml:space="preserve"> </w:t>
      </w:r>
    </w:p>
    <w:p>
      <w:pPr>
        <w:keepNext w:val="0"/>
        <w:keepLines w:val="0"/>
        <w:widowControl w:val="0"/>
        <w:suppressLineNumbers w:val="0"/>
        <w:spacing w:before="0" w:beforeAutospacing="0" w:after="0" w:afterAutospacing="0" w:line="600" w:lineRule="exact"/>
        <w:ind w:left="0" w:right="0"/>
        <w:jc w:val="center"/>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 xml:space="preserve"> </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300" w:lineRule="exact"/>
        <w:ind w:left="0" w:right="0"/>
        <w:jc w:val="center"/>
        <w:textAlignment w:val="auto"/>
        <w:rPr>
          <w:rFonts w:hint="eastAsia" w:ascii="仿宋_GB2312" w:eastAsia="仿宋_GB2312" w:cs="仿宋_GB2312"/>
          <w:sz w:val="32"/>
          <w:szCs w:val="32"/>
          <w:lang w:val="en-US"/>
        </w:rPr>
      </w:pPr>
    </w:p>
    <w:p>
      <w:pPr>
        <w:keepNext w:val="0"/>
        <w:keepLines w:val="0"/>
        <w:widowControl w:val="0"/>
        <w:suppressLineNumbers w:val="0"/>
        <w:spacing w:before="0" w:beforeAutospacing="0" w:after="0" w:afterAutospacing="0" w:line="400" w:lineRule="exact"/>
        <w:ind w:left="0" w:right="23" w:rightChars="11"/>
        <w:jc w:val="center"/>
        <w:rPr>
          <w:rFonts w:hint="eastAsia" w:ascii="仿宋_GB2312" w:hAnsi="仿宋" w:eastAsia="仿宋_GB2312" w:cs="仿宋_GB2312"/>
          <w:sz w:val="32"/>
          <w:szCs w:val="32"/>
          <w:lang w:val="en-US"/>
        </w:rPr>
      </w:pPr>
      <w:r>
        <w:rPr>
          <w:rFonts w:hint="eastAsia" w:ascii="仿宋_GB2312" w:hAnsi="仿宋" w:eastAsia="仿宋_GB2312" w:cs="宋体"/>
          <w:kern w:val="2"/>
          <w:sz w:val="32"/>
          <w:szCs w:val="32"/>
          <w:lang w:val="en-US" w:eastAsia="zh-CN" w:bidi="ar"/>
        </w:rPr>
        <w:t>会政发</w:t>
      </w:r>
      <w:r>
        <w:rPr>
          <w:rFonts w:hint="eastAsia" w:ascii="仿宋_GB2312" w:hAnsi="Calibri" w:eastAsia="仿宋_GB2312" w:cs="宋体"/>
          <w:kern w:val="2"/>
          <w:sz w:val="32"/>
          <w:szCs w:val="32"/>
          <w:lang w:val="en-US" w:eastAsia="zh-CN" w:bidi="ar"/>
        </w:rPr>
        <w:t>〔</w:t>
      </w:r>
      <w:r>
        <w:rPr>
          <w:rFonts w:hint="eastAsia" w:ascii="仿宋_GB2312" w:hAnsi="仿宋" w:eastAsia="仿宋_GB2312" w:cs="宋体"/>
          <w:kern w:val="2"/>
          <w:sz w:val="32"/>
          <w:szCs w:val="32"/>
          <w:lang w:val="en-US" w:eastAsia="zh-CN" w:bidi="ar"/>
        </w:rPr>
        <w:t>2026</w:t>
      </w:r>
      <w:r>
        <w:rPr>
          <w:rFonts w:hint="eastAsia" w:ascii="仿宋_GB2312" w:hAnsi="Calibri" w:eastAsia="仿宋_GB2312" w:cs="宋体"/>
          <w:kern w:val="2"/>
          <w:sz w:val="32"/>
          <w:szCs w:val="32"/>
          <w:lang w:val="en-US" w:eastAsia="zh-CN" w:bidi="ar"/>
        </w:rPr>
        <w:t>〕4</w:t>
      </w:r>
      <w:r>
        <w:rPr>
          <w:rFonts w:hint="eastAsia" w:ascii="仿宋_GB2312" w:hAnsi="仿宋" w:eastAsia="仿宋_GB2312" w:cs="宋体"/>
          <w:kern w:val="2"/>
          <w:sz w:val="32"/>
          <w:szCs w:val="32"/>
          <w:lang w:val="en-US" w:eastAsia="zh-CN" w:bidi="ar"/>
        </w:rPr>
        <w:t>号</w:t>
      </w:r>
    </w:p>
    <w:p>
      <w:pPr>
        <w:keepNext w:val="0"/>
        <w:keepLines w:val="0"/>
        <w:widowControl w:val="0"/>
        <w:suppressLineNumbers w:val="0"/>
        <w:spacing w:before="0" w:beforeAutospacing="0" w:after="0" w:afterAutospacing="0" w:line="500" w:lineRule="exact"/>
        <w:ind w:left="0" w:right="0"/>
        <w:jc w:val="center"/>
        <w:rPr>
          <w:rFonts w:hint="eastAsia" w:ascii="仿宋_GB2312" w:eastAsia="仿宋_GB2312" w:cs="仿宋_GB2312"/>
          <w:b/>
          <w:bCs/>
          <w:sz w:val="32"/>
          <w:szCs w:val="32"/>
          <w:lang w:val="en-US"/>
        </w:rPr>
      </w:pPr>
      <w:bookmarkStart w:id="153" w:name="_GoBack"/>
      <w:bookmarkEnd w:id="153"/>
      <w:r>
        <w:rPr>
          <w:rFonts w:hint="eastAsia" w:ascii="仿宋_GB2312" w:hAnsi="Calibri" w:eastAsia="仿宋_GB2312" w:cs="仿宋_GB2312"/>
          <w:b/>
          <w:bCs/>
          <w:kern w:val="2"/>
          <w:sz w:val="32"/>
          <w:szCs w:val="32"/>
          <w:lang w:val="en-US" w:eastAsia="zh-CN" w:bidi="ar"/>
        </w:rPr>
        <w:t xml:space="preserve"> </w:t>
      </w:r>
    </w:p>
    <w:p>
      <w:pPr>
        <w:keepNext w:val="0"/>
        <w:keepLines w:val="0"/>
        <w:widowControl w:val="0"/>
        <w:suppressLineNumbers w:val="0"/>
        <w:spacing w:before="0" w:beforeAutospacing="0" w:after="0" w:afterAutospacing="0" w:line="380" w:lineRule="exact"/>
        <w:ind w:left="0" w:right="0"/>
        <w:jc w:val="center"/>
        <w:rPr>
          <w:rFonts w:hint="eastAsia" w:ascii="仿宋_GB2312" w:eastAsia="仿宋_GB2312" w:cs="仿宋_GB2312"/>
          <w:b/>
          <w:bCs/>
          <w:sz w:val="32"/>
          <w:szCs w:val="32"/>
          <w:lang w:val="en-US"/>
        </w:rPr>
      </w:pPr>
      <w:r>
        <w:rPr>
          <w:rFonts w:hint="eastAsia" w:ascii="仿宋_GB2312" w:hAnsi="Calibri" w:eastAsia="仿宋_GB2312" w:cs="仿宋_GB2312"/>
          <w:b/>
          <w:bCs/>
          <w:kern w:val="2"/>
          <w:sz w:val="32"/>
          <w:szCs w:val="32"/>
          <w:lang w:val="en-US" w:eastAsia="zh-CN" w:bidi="ar"/>
        </w:rPr>
        <w:t xml:space="preserve"> </w:t>
      </w:r>
    </w:p>
    <w:p>
      <w:pPr>
        <w:keepNext w:val="0"/>
        <w:keepLines w:val="0"/>
        <w:pageBreakBefore w:val="0"/>
        <w:widowControl w:val="0"/>
        <w:kinsoku/>
        <w:wordWrap/>
        <w:overflowPunct/>
        <w:topLinePunct w:val="0"/>
        <w:autoSpaceDE/>
        <w:autoSpaceDN/>
        <w:bidi w:val="0"/>
        <w:adjustRightInd/>
        <w:snapToGrid/>
        <w:spacing w:line="600" w:lineRule="exact"/>
        <w:ind w:left="0"/>
        <w:jc w:val="center"/>
        <w:textAlignment w:val="auto"/>
        <w:rPr>
          <w:rFonts w:hint="eastAsia" w:ascii="方正小标宋简体" w:hAnsi="方正小标宋简体" w:eastAsia="方正小标宋简体" w:cs="方正小标宋简体"/>
          <w:b/>
          <w:bCs/>
          <w:color w:val="000000"/>
          <w:sz w:val="44"/>
          <w:szCs w:val="44"/>
        </w:rPr>
      </w:pPr>
      <w:r>
        <w:rPr>
          <w:rFonts w:hint="eastAsia" w:ascii="方正小标宋简体" w:hAnsi="方正小标宋简体" w:eastAsia="方正小标宋简体" w:cs="方正小标宋简体"/>
          <w:b/>
          <w:bCs/>
          <w:color w:val="000000"/>
          <w:sz w:val="44"/>
          <w:szCs w:val="44"/>
        </w:rPr>
        <w:t>会同县人民政府</w:t>
      </w:r>
    </w:p>
    <w:p>
      <w:pPr>
        <w:overflowPunct w:val="0"/>
        <w:autoSpaceDE w:val="0"/>
        <w:spacing w:line="600" w:lineRule="exact"/>
        <w:jc w:val="center"/>
        <w:rPr>
          <w:rFonts w:ascii="Times New Roman" w:hAnsi="Times New Roman" w:eastAsia="方正小标宋简体"/>
          <w:b/>
          <w:bCs/>
          <w:i w:val="0"/>
          <w:iCs w:val="0"/>
          <w:color w:val="000000" w:themeColor="text1"/>
          <w:sz w:val="44"/>
          <w:szCs w:val="44"/>
          <w14:textFill>
            <w14:solidFill>
              <w14:schemeClr w14:val="tx1"/>
            </w14:solidFill>
          </w14:textFill>
        </w:rPr>
      </w:pPr>
      <w:r>
        <w:rPr>
          <w:rFonts w:ascii="Times New Roman" w:hAnsi="Times New Roman" w:eastAsia="方正小标宋简体"/>
          <w:b/>
          <w:bCs/>
          <w:i w:val="0"/>
          <w:iCs w:val="0"/>
          <w:color w:val="000000" w:themeColor="text1"/>
          <w:sz w:val="44"/>
          <w:szCs w:val="44"/>
          <w14:textFill>
            <w14:solidFill>
              <w14:schemeClr w14:val="tx1"/>
            </w14:solidFill>
          </w14:textFill>
        </w:rPr>
        <w:t>关于印发《</w:t>
      </w:r>
      <w:r>
        <w:rPr>
          <w:rFonts w:hint="eastAsia" w:ascii="Times New Roman" w:hAnsi="Times New Roman" w:eastAsia="方正小标宋简体"/>
          <w:b/>
          <w:bCs/>
          <w:i w:val="0"/>
          <w:iCs w:val="0"/>
          <w:color w:val="000000" w:themeColor="text1"/>
          <w:sz w:val="44"/>
          <w:szCs w:val="44"/>
          <w14:textFill>
            <w14:solidFill>
              <w14:schemeClr w14:val="tx1"/>
            </w14:solidFill>
          </w14:textFill>
        </w:rPr>
        <w:t>会同县</w:t>
      </w:r>
      <w:r>
        <w:rPr>
          <w:rFonts w:ascii="Times New Roman" w:hAnsi="Times New Roman" w:eastAsia="方正小标宋简体"/>
          <w:b/>
          <w:bCs/>
          <w:i w:val="0"/>
          <w:iCs w:val="0"/>
          <w:color w:val="000000" w:themeColor="text1"/>
          <w:sz w:val="44"/>
          <w:szCs w:val="44"/>
          <w14:textFill>
            <w14:solidFill>
              <w14:schemeClr w14:val="tx1"/>
            </w14:solidFill>
          </w14:textFill>
        </w:rPr>
        <w:t>国民经济和社会发展</w:t>
      </w:r>
    </w:p>
    <w:p>
      <w:pPr>
        <w:overflowPunct w:val="0"/>
        <w:autoSpaceDE w:val="0"/>
        <w:spacing w:line="600" w:lineRule="exact"/>
        <w:jc w:val="center"/>
        <w:rPr>
          <w:rFonts w:ascii="Times New Roman" w:hAnsi="Times New Roman" w:eastAsia="方正小标宋简体"/>
          <w:b/>
          <w:bCs/>
          <w:i w:val="0"/>
          <w:iCs w:val="0"/>
          <w:color w:val="000000" w:themeColor="text1"/>
          <w:sz w:val="44"/>
          <w:szCs w:val="44"/>
          <w14:textFill>
            <w14:solidFill>
              <w14:schemeClr w14:val="tx1"/>
            </w14:solidFill>
          </w14:textFill>
        </w:rPr>
      </w:pPr>
      <w:r>
        <w:rPr>
          <w:rFonts w:ascii="Times New Roman" w:hAnsi="Times New Roman" w:eastAsia="方正小标宋简体"/>
          <w:b/>
          <w:bCs/>
          <w:i w:val="0"/>
          <w:iCs w:val="0"/>
          <w:color w:val="000000" w:themeColor="text1"/>
          <w:sz w:val="44"/>
          <w:szCs w:val="44"/>
          <w14:textFill>
            <w14:solidFill>
              <w14:schemeClr w14:val="tx1"/>
            </w14:solidFill>
          </w14:textFill>
        </w:rPr>
        <w:t>第十五个五年规划纲要》的通知</w:t>
      </w:r>
    </w:p>
    <w:p>
      <w:pPr>
        <w:overflowPunct w:val="0"/>
        <w:autoSpaceDE w:val="0"/>
        <w:spacing w:line="460" w:lineRule="exact"/>
        <w:ind w:firstLine="420" w:firstLineChars="200"/>
        <w:rPr>
          <w:rFonts w:ascii="Times New Roman" w:hAnsi="Times New Roman" w:eastAsia="仿宋_GB2312"/>
          <w:color w:val="000000" w:themeColor="text1"/>
          <w14:textFill>
            <w14:solidFill>
              <w14:schemeClr w14:val="tx1"/>
            </w14:solidFill>
          </w14:textFill>
        </w:rPr>
      </w:pPr>
    </w:p>
    <w:p>
      <w:pPr>
        <w:overflowPunct w:val="0"/>
        <w:autoSpaceDE w:val="0"/>
        <w:spacing w:line="240" w:lineRule="auto"/>
        <w:rPr>
          <w:rFonts w:ascii="仿宋_GB2312" w:hAnsi="Times New Roman" w:eastAsia="仿宋_GB2312"/>
          <w:color w:val="000000" w:themeColor="text1"/>
          <w:spacing w:val="-4"/>
          <w:sz w:val="32"/>
          <w:szCs w:val="32"/>
          <w14:textFill>
            <w14:solidFill>
              <w14:schemeClr w14:val="tx1"/>
            </w14:solidFill>
          </w14:textFill>
        </w:rPr>
      </w:pPr>
      <w:r>
        <w:rPr>
          <w:rFonts w:hint="eastAsia" w:ascii="仿宋_GB2312" w:hAnsi="Times New Roman" w:eastAsia="仿宋_GB2312"/>
          <w:color w:val="000000" w:themeColor="text1"/>
          <w:spacing w:val="-4"/>
          <w:sz w:val="32"/>
          <w:szCs w:val="32"/>
          <w14:textFill>
            <w14:solidFill>
              <w14:schemeClr w14:val="tx1"/>
            </w14:solidFill>
          </w14:textFill>
        </w:rPr>
        <w:t>各乡镇人民政府，县直机关各单位，中央、省、市在会各单位：</w:t>
      </w:r>
    </w:p>
    <w:p>
      <w:pPr>
        <w:overflowPunct w:val="0"/>
        <w:autoSpaceDE w:val="0"/>
        <w:spacing w:line="560" w:lineRule="exact"/>
        <w:ind w:firstLine="640" w:firstLineChars="200"/>
        <w:rPr>
          <w:rFonts w:ascii="仿宋_GB2312" w:hAnsi="Times New Roman" w:eastAsia="仿宋_GB2312"/>
          <w:color w:val="000000" w:themeColor="text1"/>
          <w:sz w:val="32"/>
          <w:szCs w:val="32"/>
          <w14:textFill>
            <w14:solidFill>
              <w14:schemeClr w14:val="tx1"/>
            </w14:solidFill>
          </w14:textFill>
        </w:rPr>
      </w:pPr>
      <w:r>
        <w:rPr>
          <w:rFonts w:hint="eastAsia" w:ascii="仿宋_GB2312" w:hAnsi="Times New Roman" w:eastAsia="仿宋_GB2312"/>
          <w:color w:val="000000" w:themeColor="text1"/>
          <w:sz w:val="32"/>
          <w:szCs w:val="32"/>
          <w14:textFill>
            <w14:solidFill>
              <w14:schemeClr w14:val="tx1"/>
            </w14:solidFill>
          </w14:textFill>
        </w:rPr>
        <w:t>《会同县国民经济和社会发展第十五个五年规划纲要》已经会同县</w:t>
      </w:r>
      <w:r>
        <w:rPr>
          <w:rFonts w:hint="eastAsia" w:ascii="仿宋_GB2312" w:hAnsi="Times New Roman" w:eastAsia="仿宋_GB2312"/>
          <w:color w:val="000000" w:themeColor="text1"/>
          <w:spacing w:val="-4"/>
          <w:sz w:val="32"/>
          <w:szCs w:val="32"/>
          <w14:textFill>
            <w14:solidFill>
              <w14:schemeClr w14:val="tx1"/>
            </w14:solidFill>
          </w14:textFill>
        </w:rPr>
        <w:t>第十八届人民代表大会第五次会议审查通过，现印发给你们，请结合实际认真组织实施。</w:t>
      </w:r>
    </w:p>
    <w:p>
      <w:pPr>
        <w:overflowPunct w:val="0"/>
        <w:autoSpaceDE w:val="0"/>
        <w:spacing w:line="560" w:lineRule="exact"/>
        <w:ind w:firstLine="420" w:firstLineChars="200"/>
        <w:rPr>
          <w:rFonts w:ascii="仿宋_GB2312" w:hAnsi="Times New Roman" w:eastAsia="仿宋_GB2312"/>
          <w:color w:val="000000" w:themeColor="text1"/>
          <w14:textFill>
            <w14:solidFill>
              <w14:schemeClr w14:val="tx1"/>
            </w14:solidFill>
          </w14:textFill>
        </w:rPr>
      </w:pPr>
    </w:p>
    <w:p>
      <w:pPr>
        <w:pStyle w:val="2"/>
        <w:spacing w:after="0" w:line="560" w:lineRule="exact"/>
        <w:rPr>
          <w:rFonts w:ascii="仿宋_GB2312" w:hAnsi="Times New Roman" w:eastAsia="仿宋_GB2312"/>
          <w:color w:val="000000" w:themeColor="text1"/>
          <w14:textFill>
            <w14:solidFill>
              <w14:schemeClr w14:val="tx1"/>
            </w14:solidFill>
          </w14:textFill>
        </w:rPr>
      </w:pPr>
    </w:p>
    <w:p>
      <w:pPr>
        <w:wordWrap w:val="0"/>
        <w:overflowPunct w:val="0"/>
        <w:autoSpaceDE w:val="0"/>
        <w:spacing w:line="560" w:lineRule="exact"/>
        <w:ind w:firstLine="5304" w:firstLineChars="1700"/>
        <w:jc w:val="right"/>
        <w:rPr>
          <w:rFonts w:ascii="仿宋_GB2312" w:hAnsi="Times New Roman" w:eastAsia="仿宋_GB2312"/>
          <w:color w:val="000000" w:themeColor="text1"/>
          <w:spacing w:val="-4"/>
          <w:sz w:val="32"/>
          <w:szCs w:val="32"/>
          <w14:textFill>
            <w14:solidFill>
              <w14:schemeClr w14:val="tx1"/>
            </w14:solidFill>
          </w14:textFill>
        </w:rPr>
      </w:pPr>
      <w:r>
        <w:rPr>
          <w:rFonts w:hint="eastAsia" w:ascii="仿宋_GB2312" w:hAnsi="Times New Roman" w:eastAsia="仿宋_GB2312"/>
          <w:color w:val="000000" w:themeColor="text1"/>
          <w:spacing w:val="-4"/>
          <w:sz w:val="32"/>
          <w:szCs w:val="32"/>
          <w14:textFill>
            <w14:solidFill>
              <w14:schemeClr w14:val="tx1"/>
            </w14:solidFill>
          </w14:textFill>
        </w:rPr>
        <w:t xml:space="preserve">会同县人民政府        </w:t>
      </w:r>
    </w:p>
    <w:p>
      <w:pPr>
        <w:wordWrap w:val="0"/>
        <w:overflowPunct w:val="0"/>
        <w:autoSpaceDE w:val="0"/>
        <w:spacing w:line="560" w:lineRule="exact"/>
        <w:ind w:firstLine="5304" w:firstLineChars="1700"/>
        <w:jc w:val="right"/>
        <w:rPr>
          <w:rFonts w:hint="eastAsia"/>
          <w:color w:val="000000" w:themeColor="text1"/>
          <w14:textFill>
            <w14:solidFill>
              <w14:schemeClr w14:val="tx1"/>
            </w14:solidFill>
          </w14:textFill>
        </w:rPr>
      </w:pPr>
      <w:r>
        <w:rPr>
          <w:rFonts w:hint="eastAsia" w:ascii="仿宋_GB2312" w:hAnsi="Times New Roman" w:eastAsia="仿宋_GB2312"/>
          <w:color w:val="000000" w:themeColor="text1"/>
          <w:spacing w:val="-4"/>
          <w:sz w:val="32"/>
          <w:szCs w:val="32"/>
          <w14:textFill>
            <w14:solidFill>
              <w14:schemeClr w14:val="tx1"/>
            </w14:solidFill>
          </w14:textFill>
        </w:rPr>
        <w:t>2026年</w:t>
      </w:r>
      <w:r>
        <w:rPr>
          <w:rFonts w:hint="eastAsia" w:ascii="仿宋_GB2312" w:hAnsi="Times New Roman" w:eastAsia="仿宋_GB2312"/>
          <w:color w:val="000000" w:themeColor="text1"/>
          <w:spacing w:val="-4"/>
          <w:sz w:val="32"/>
          <w:szCs w:val="32"/>
          <w:lang w:val="en-US" w:eastAsia="zh-CN"/>
          <w14:textFill>
            <w14:solidFill>
              <w14:schemeClr w14:val="tx1"/>
            </w14:solidFill>
          </w14:textFill>
        </w:rPr>
        <w:t>7</w:t>
      </w:r>
      <w:r>
        <w:rPr>
          <w:rFonts w:hint="eastAsia" w:ascii="仿宋_GB2312" w:hAnsi="Times New Roman" w:eastAsia="仿宋_GB2312"/>
          <w:color w:val="000000" w:themeColor="text1"/>
          <w:spacing w:val="-4"/>
          <w:sz w:val="32"/>
          <w:szCs w:val="32"/>
          <w14:textFill>
            <w14:solidFill>
              <w14:schemeClr w14:val="tx1"/>
            </w14:solidFill>
          </w14:textFill>
        </w:rPr>
        <w:t>月</w:t>
      </w:r>
      <w:r>
        <w:rPr>
          <w:rFonts w:hint="eastAsia" w:ascii="仿宋_GB2312" w:hAnsi="Times New Roman" w:eastAsia="仿宋_GB2312"/>
          <w:color w:val="000000" w:themeColor="text1"/>
          <w:spacing w:val="-4"/>
          <w:sz w:val="32"/>
          <w:szCs w:val="32"/>
          <w:lang w:val="en-US" w:eastAsia="zh-CN"/>
          <w14:textFill>
            <w14:solidFill>
              <w14:schemeClr w14:val="tx1"/>
            </w14:solidFill>
          </w14:textFill>
        </w:rPr>
        <w:t>30</w:t>
      </w:r>
      <w:r>
        <w:rPr>
          <w:rFonts w:hint="eastAsia" w:ascii="仿宋_GB2312" w:hAnsi="Times New Roman" w:eastAsia="仿宋_GB2312"/>
          <w:color w:val="000000" w:themeColor="text1"/>
          <w:spacing w:val="-4"/>
          <w:sz w:val="32"/>
          <w:szCs w:val="32"/>
          <w14:textFill>
            <w14:solidFill>
              <w14:schemeClr w14:val="tx1"/>
            </w14:solidFill>
          </w14:textFill>
        </w:rPr>
        <w:t xml:space="preserve">日       </w:t>
      </w:r>
      <w:r>
        <w:rPr>
          <w:rFonts w:hint="eastAsia" w:ascii="方正仿宋简体" w:hAnsi="Times New Roman" w:eastAsia="方正仿宋简体"/>
          <w:color w:val="000000" w:themeColor="text1"/>
          <w:spacing w:val="-4"/>
          <w:sz w:val="32"/>
          <w:szCs w:val="32"/>
          <w14:textFill>
            <w14:solidFill>
              <w14:schemeClr w14:val="tx1"/>
            </w14:solidFill>
          </w14:textFill>
        </w:rPr>
        <w:t xml:space="preserve"> </w:t>
      </w:r>
    </w:p>
    <w:p>
      <w:pPr>
        <w:adjustRightInd w:val="0"/>
        <w:snapToGrid w:val="0"/>
        <w:ind w:left="-105" w:leftChars="-50" w:right="-105" w:rightChars="-50"/>
        <w:jc w:val="center"/>
        <w:rPr>
          <w:rFonts w:ascii="方正小标宋_GBK" w:hAnsi="Times New Roman" w:eastAsia="方正小标宋_GBK" w:cs="Times New Roman"/>
          <w:color w:val="000000" w:themeColor="text1"/>
          <w:spacing w:val="-12"/>
          <w:w w:val="95"/>
          <w:sz w:val="52"/>
          <w:szCs w:val="52"/>
          <w14:textFill>
            <w14:solidFill>
              <w14:schemeClr w14:val="tx1"/>
            </w14:solidFill>
          </w14:textFill>
          <w14:ligatures w14:val="none"/>
        </w:rPr>
      </w:pPr>
    </w:p>
    <w:p>
      <w:pPr>
        <w:adjustRightInd w:val="0"/>
        <w:snapToGrid w:val="0"/>
        <w:ind w:left="-105" w:leftChars="-50" w:right="-105" w:rightChars="-50"/>
        <w:jc w:val="center"/>
        <w:rPr>
          <w:rFonts w:ascii="方正小标宋_GBK" w:hAnsi="Times New Roman" w:eastAsia="方正小标宋_GBK" w:cs="Times New Roman"/>
          <w:color w:val="000000" w:themeColor="text1"/>
          <w:spacing w:val="-12"/>
          <w:w w:val="95"/>
          <w:sz w:val="52"/>
          <w:szCs w:val="52"/>
          <w14:textFill>
            <w14:solidFill>
              <w14:schemeClr w14:val="tx1"/>
            </w14:solidFill>
          </w14:textFill>
          <w14:ligatures w14:val="none"/>
        </w:rPr>
      </w:pPr>
    </w:p>
    <w:p>
      <w:pPr>
        <w:keepNext w:val="0"/>
        <w:keepLines w:val="0"/>
        <w:pageBreakBefore w:val="0"/>
        <w:widowControl w:val="0"/>
        <w:kinsoku/>
        <w:wordWrap/>
        <w:overflowPunct/>
        <w:topLinePunct w:val="0"/>
        <w:autoSpaceDE/>
        <w:autoSpaceDN/>
        <w:bidi w:val="0"/>
        <w:adjustRightInd w:val="0"/>
        <w:snapToGrid w:val="0"/>
        <w:spacing w:line="860" w:lineRule="exact"/>
        <w:ind w:left="-105" w:leftChars="-50" w:right="-105" w:rightChars="-50"/>
        <w:jc w:val="center"/>
        <w:textAlignment w:val="auto"/>
        <w:rPr>
          <w:rFonts w:ascii="Times New Roman" w:hAnsi="Times New Roman" w:eastAsia="方正小标宋_GBK" w:cs="Times New Roman"/>
          <w:color w:val="000000" w:themeColor="text1"/>
          <w:spacing w:val="-12"/>
          <w:w w:val="95"/>
          <w:sz w:val="52"/>
          <w:szCs w:val="52"/>
          <w14:textFill>
            <w14:solidFill>
              <w14:schemeClr w14:val="tx1"/>
            </w14:solidFill>
          </w14:textFill>
          <w14:ligatures w14:val="none"/>
        </w:rPr>
      </w:pPr>
      <w:r>
        <w:rPr>
          <w:rFonts w:ascii="方正小标宋_GBK" w:hAnsi="Times New Roman" w:eastAsia="方正小标宋_GBK" w:cs="Times New Roman"/>
          <w:color w:val="000000" w:themeColor="text1"/>
          <w:spacing w:val="-12"/>
          <w:w w:val="95"/>
          <w:sz w:val="52"/>
          <w:szCs w:val="52"/>
          <w14:textFill>
            <w14:solidFill>
              <w14:schemeClr w14:val="tx1"/>
            </w14:solidFill>
          </w14:textFill>
          <w14:ligatures w14:val="none"/>
        </w:rPr>
        <w:t>会同县</w:t>
      </w:r>
      <w:r>
        <w:rPr>
          <w:rFonts w:hint="eastAsia" w:ascii="方正小标宋_GBK" w:hAnsi="Times New Roman" w:eastAsia="方正小标宋_GBK" w:cs="Times New Roman"/>
          <w:color w:val="000000" w:themeColor="text1"/>
          <w:spacing w:val="-12"/>
          <w:w w:val="95"/>
          <w:sz w:val="52"/>
          <w:szCs w:val="52"/>
          <w14:textFill>
            <w14:solidFill>
              <w14:schemeClr w14:val="tx1"/>
            </w14:solidFill>
          </w14:textFill>
          <w14:ligatures w14:val="none"/>
        </w:rPr>
        <w:t>国民经济和社会发展第十五个五年</w:t>
      </w:r>
    </w:p>
    <w:p>
      <w:pPr>
        <w:keepNext w:val="0"/>
        <w:keepLines w:val="0"/>
        <w:pageBreakBefore w:val="0"/>
        <w:widowControl w:val="0"/>
        <w:kinsoku/>
        <w:wordWrap/>
        <w:overflowPunct/>
        <w:topLinePunct w:val="0"/>
        <w:autoSpaceDE/>
        <w:autoSpaceDN/>
        <w:bidi w:val="0"/>
        <w:adjustRightInd w:val="0"/>
        <w:snapToGrid w:val="0"/>
        <w:spacing w:line="860" w:lineRule="exact"/>
        <w:ind w:left="-105" w:leftChars="-50" w:right="-105" w:rightChars="-50"/>
        <w:jc w:val="center"/>
        <w:textAlignment w:val="auto"/>
        <w:rPr>
          <w:rFonts w:ascii="Times New Roman" w:hAnsi="Times New Roman" w:eastAsia="方正小标宋_GBK" w:cs="Times New Roman"/>
          <w:color w:val="000000" w:themeColor="text1"/>
          <w:spacing w:val="-12"/>
          <w:w w:val="95"/>
          <w:sz w:val="52"/>
          <w:szCs w:val="52"/>
          <w14:textFill>
            <w14:solidFill>
              <w14:schemeClr w14:val="tx1"/>
            </w14:solidFill>
          </w14:textFill>
          <w14:ligatures w14:val="none"/>
        </w:rPr>
      </w:pPr>
      <w:r>
        <w:rPr>
          <w:rFonts w:ascii="方正小标宋_GBK" w:hAnsi="Times New Roman" w:eastAsia="方正小标宋_GBK" w:cs="Times New Roman"/>
          <w:color w:val="000000" w:themeColor="text1"/>
          <w:spacing w:val="-12"/>
          <w:w w:val="95"/>
          <w:sz w:val="52"/>
          <w:szCs w:val="52"/>
          <w14:textFill>
            <w14:solidFill>
              <w14:schemeClr w14:val="tx1"/>
            </w14:solidFill>
          </w14:textFill>
          <w14:ligatures w14:val="none"/>
        </w:rPr>
        <w:t>规划纲要</w:t>
      </w:r>
      <w:r>
        <w:rPr>
          <w:rFonts w:hint="eastAsia" w:ascii="方正小标宋_GBK" w:hAnsi="Times New Roman" w:eastAsia="方正小标宋_GBK" w:cs="Times New Roman"/>
          <w:color w:val="000000" w:themeColor="text1"/>
          <w:spacing w:val="-12"/>
          <w:w w:val="95"/>
          <w:sz w:val="52"/>
          <w:szCs w:val="52"/>
          <w14:textFill>
            <w14:solidFill>
              <w14:schemeClr w14:val="tx1"/>
            </w14:solidFill>
          </w14:textFill>
          <w14:ligatures w14:val="none"/>
        </w:rPr>
        <w:t>（</w:t>
      </w:r>
      <w:r>
        <w:rPr>
          <w:rFonts w:hint="eastAsia" w:ascii="Times New Roman" w:hAnsi="Times New Roman" w:eastAsia="方正小标宋_GBK" w:cs="Times New Roman"/>
          <w:color w:val="000000" w:themeColor="text1"/>
          <w:spacing w:val="-12"/>
          <w:w w:val="95"/>
          <w:sz w:val="52"/>
          <w:szCs w:val="52"/>
          <w14:textFill>
            <w14:solidFill>
              <w14:schemeClr w14:val="tx1"/>
            </w14:solidFill>
          </w14:textFill>
          <w14:ligatures w14:val="none"/>
        </w:rPr>
        <w:t>2026</w:t>
      </w:r>
      <w:r>
        <w:rPr>
          <w:rFonts w:hint="eastAsia" w:ascii="方正小标宋_GBK" w:hAnsi="Times New Roman" w:eastAsia="方正小标宋_GBK" w:cs="Times New Roman"/>
          <w:color w:val="000000" w:themeColor="text1"/>
          <w:spacing w:val="-12"/>
          <w:w w:val="95"/>
          <w:sz w:val="52"/>
          <w:szCs w:val="52"/>
          <w14:textFill>
            <w14:solidFill>
              <w14:schemeClr w14:val="tx1"/>
            </w14:solidFill>
          </w14:textFill>
          <w14:ligatures w14:val="none"/>
        </w:rPr>
        <w:t>－</w:t>
      </w:r>
      <w:r>
        <w:rPr>
          <w:rFonts w:hint="eastAsia" w:ascii="Times New Roman" w:hAnsi="Times New Roman" w:eastAsia="方正小标宋_GBK" w:cs="Times New Roman"/>
          <w:color w:val="000000" w:themeColor="text1"/>
          <w:spacing w:val="-12"/>
          <w:w w:val="95"/>
          <w:sz w:val="52"/>
          <w:szCs w:val="52"/>
          <w14:textFill>
            <w14:solidFill>
              <w14:schemeClr w14:val="tx1"/>
            </w14:solidFill>
          </w14:textFill>
          <w14:ligatures w14:val="none"/>
        </w:rPr>
        <w:t>2030</w:t>
      </w:r>
      <w:r>
        <w:rPr>
          <w:rFonts w:hint="eastAsia" w:ascii="方正小标宋_GBK" w:hAnsi="Times New Roman" w:eastAsia="方正小标宋_GBK" w:cs="Times New Roman"/>
          <w:color w:val="000000" w:themeColor="text1"/>
          <w:spacing w:val="-12"/>
          <w:w w:val="95"/>
          <w:sz w:val="52"/>
          <w:szCs w:val="52"/>
          <w14:textFill>
            <w14:solidFill>
              <w14:schemeClr w14:val="tx1"/>
            </w14:solidFill>
          </w14:textFill>
          <w14:ligatures w14:val="none"/>
        </w:rPr>
        <w:t>年）</w:t>
      </w:r>
    </w:p>
    <w:p>
      <w:pPr>
        <w:adjustRightInd w:val="0"/>
        <w:snapToGrid w:val="0"/>
        <w:spacing w:line="360" w:lineRule="auto"/>
        <w:jc w:val="center"/>
        <w:rPr>
          <w:rFonts w:ascii="Times New Roman" w:hAnsi="Times New Roman" w:eastAsia="楷体_GB2312" w:cs="Times New Roman"/>
          <w:color w:val="000000" w:themeColor="text1"/>
          <w:sz w:val="36"/>
          <w:szCs w:val="36"/>
          <w14:textFill>
            <w14:solidFill>
              <w14:schemeClr w14:val="tx1"/>
            </w14:solidFill>
          </w14:textFill>
        </w:rPr>
      </w:pPr>
    </w:p>
    <w:p>
      <w:pPr>
        <w:adjustRightInd w:val="0"/>
        <w:snapToGrid w:val="0"/>
        <w:spacing w:line="360" w:lineRule="auto"/>
        <w:jc w:val="center"/>
        <w:rPr>
          <w:rFonts w:hint="eastAsia" w:eastAsia="楷体_GB2312"/>
          <w:color w:val="000000" w:themeColor="text1"/>
          <w:sz w:val="36"/>
          <w:szCs w:val="36"/>
          <w14:textFill>
            <w14:solidFill>
              <w14:schemeClr w14:val="tx1"/>
            </w14:solidFill>
          </w14:textFill>
        </w:rPr>
      </w:pPr>
      <w:r>
        <w:rPr>
          <w:rFonts w:ascii="Times New Roman" w:hAnsi="Times New Roman" w:eastAsia="楷体_GB2312" w:cs="Times New Roman"/>
          <w:color w:val="000000" w:themeColor="text1"/>
          <w:sz w:val="36"/>
          <w:szCs w:val="36"/>
          <w14:textFill>
            <w14:solidFill>
              <w14:schemeClr w14:val="tx1"/>
            </w14:solidFill>
          </w14:textFill>
        </w:rPr>
        <w:t>（2025年12月</w:t>
      </w:r>
      <w:r>
        <w:rPr>
          <w:rFonts w:hint="eastAsia" w:ascii="Times New Roman" w:hAnsi="Times New Roman" w:eastAsia="楷体_GB2312" w:cs="Times New Roman"/>
          <w:color w:val="000000" w:themeColor="text1"/>
          <w:sz w:val="36"/>
          <w:szCs w:val="36"/>
          <w14:textFill>
            <w14:solidFill>
              <w14:schemeClr w14:val="tx1"/>
            </w14:solidFill>
          </w14:textFill>
        </w:rPr>
        <w:t>20</w:t>
      </w:r>
      <w:r>
        <w:rPr>
          <w:rFonts w:ascii="Times New Roman" w:hAnsi="Times New Roman" w:eastAsia="楷体_GB2312" w:cs="Times New Roman"/>
          <w:color w:val="000000" w:themeColor="text1"/>
          <w:sz w:val="36"/>
          <w:szCs w:val="36"/>
          <w14:textFill>
            <w14:solidFill>
              <w14:schemeClr w14:val="tx1"/>
            </w14:solidFill>
          </w14:textFill>
        </w:rPr>
        <w:t>日</w:t>
      </w:r>
      <w:r>
        <w:rPr>
          <w:rFonts w:hint="eastAsia" w:ascii="Times New Roman" w:hAnsi="Times New Roman" w:eastAsia="楷体_GB2312" w:cs="Times New Roman"/>
          <w:color w:val="000000" w:themeColor="text1"/>
          <w:sz w:val="36"/>
          <w:szCs w:val="36"/>
          <w14:textFill>
            <w14:solidFill>
              <w14:schemeClr w14:val="tx1"/>
            </w14:solidFill>
          </w14:textFill>
        </w:rPr>
        <w:t>会同县</w:t>
      </w:r>
      <w:r>
        <w:rPr>
          <w:rFonts w:ascii="Times New Roman" w:hAnsi="Times New Roman" w:eastAsia="楷体_GB2312" w:cs="Times New Roman"/>
          <w:color w:val="000000" w:themeColor="text1"/>
          <w:sz w:val="36"/>
          <w:szCs w:val="36"/>
          <w14:textFill>
            <w14:solidFill>
              <w14:schemeClr w14:val="tx1"/>
            </w14:solidFill>
          </w14:textFill>
        </w:rPr>
        <w:t>第</w:t>
      </w:r>
      <w:r>
        <w:rPr>
          <w:rFonts w:hint="eastAsia" w:ascii="Times New Roman" w:hAnsi="Times New Roman" w:eastAsia="楷体_GB2312" w:cs="Times New Roman"/>
          <w:color w:val="000000" w:themeColor="text1"/>
          <w:sz w:val="36"/>
          <w:szCs w:val="36"/>
          <w14:textFill>
            <w14:solidFill>
              <w14:schemeClr w14:val="tx1"/>
            </w14:solidFill>
          </w14:textFill>
        </w:rPr>
        <w:t>十八</w:t>
      </w:r>
      <w:r>
        <w:rPr>
          <w:rFonts w:ascii="Times New Roman" w:hAnsi="Times New Roman" w:eastAsia="楷体_GB2312" w:cs="Times New Roman"/>
          <w:color w:val="000000" w:themeColor="text1"/>
          <w:sz w:val="36"/>
          <w:szCs w:val="36"/>
          <w14:textFill>
            <w14:solidFill>
              <w14:schemeClr w14:val="tx1"/>
            </w14:solidFill>
          </w14:textFill>
        </w:rPr>
        <w:t>届人民代表大会</w:t>
      </w:r>
    </w:p>
    <w:p>
      <w:pPr>
        <w:adjustRightInd w:val="0"/>
        <w:snapToGrid w:val="0"/>
        <w:spacing w:line="360" w:lineRule="auto"/>
        <w:jc w:val="center"/>
        <w:rPr>
          <w:rFonts w:hint="eastAsia" w:eastAsia="楷体_GB2312"/>
          <w:color w:val="000000" w:themeColor="text1"/>
          <w:sz w:val="36"/>
          <w:szCs w:val="36"/>
          <w14:textFill>
            <w14:solidFill>
              <w14:schemeClr w14:val="tx1"/>
            </w14:solidFill>
          </w14:textFill>
        </w:rPr>
      </w:pPr>
      <w:r>
        <w:rPr>
          <w:rFonts w:ascii="Times New Roman" w:hAnsi="Times New Roman" w:eastAsia="楷体_GB2312" w:cs="Times New Roman"/>
          <w:color w:val="000000" w:themeColor="text1"/>
          <w:sz w:val="36"/>
          <w:szCs w:val="36"/>
          <w14:textFill>
            <w14:solidFill>
              <w14:schemeClr w14:val="tx1"/>
            </w14:solidFill>
          </w14:textFill>
        </w:rPr>
        <w:t>第五次会议批准）</w:t>
      </w:r>
    </w:p>
    <w:p>
      <w:pPr>
        <w:adjustRightInd w:val="0"/>
        <w:snapToGrid w:val="0"/>
        <w:spacing w:line="1000" w:lineRule="exact"/>
        <w:ind w:left="-105" w:leftChars="-50" w:right="-105" w:rightChars="-50"/>
        <w:jc w:val="center"/>
        <w:rPr>
          <w:rFonts w:ascii="方正小标宋_GBK" w:hAnsi="Times New Roman" w:eastAsia="方正小标宋_GBK" w:cs="Times New Roman"/>
          <w:color w:val="000000" w:themeColor="text1"/>
          <w:spacing w:val="-12"/>
          <w:w w:val="95"/>
          <w:sz w:val="52"/>
          <w:szCs w:val="52"/>
          <w14:textFill>
            <w14:solidFill>
              <w14:schemeClr w14:val="tx1"/>
            </w14:solidFill>
          </w14:textFill>
          <w14:ligatures w14:val="none"/>
        </w:rPr>
      </w:pPr>
      <w:r>
        <w:rPr>
          <w:rFonts w:hint="eastAsia" w:ascii="方正小标宋_GBK" w:hAnsi="Times New Roman" w:eastAsia="方正小标宋_GBK" w:cs="Times New Roman"/>
          <w:color w:val="000000" w:themeColor="text1"/>
          <w:spacing w:val="-12"/>
          <w:w w:val="95"/>
          <w:sz w:val="52"/>
          <w:szCs w:val="52"/>
          <w14:textFill>
            <w14:solidFill>
              <w14:schemeClr w14:val="tx1"/>
            </w14:solidFill>
          </w14:textFill>
          <w14:ligatures w14:val="none"/>
        </w:rPr>
        <w:t xml:space="preserve"> </w:t>
      </w:r>
    </w:p>
    <w:p>
      <w:pPr>
        <w:adjustRightInd w:val="0"/>
        <w:snapToGrid w:val="0"/>
        <w:spacing w:line="360" w:lineRule="auto"/>
        <w:jc w:val="center"/>
        <w:rPr>
          <w:rFonts w:hint="eastAsia" w:ascii="楷体_GB2312" w:hAnsi="等线" w:eastAsia="楷体_GB2312" w:cs="Times New Roman"/>
          <w:color w:val="000000" w:themeColor="text1"/>
          <w:sz w:val="40"/>
          <w:szCs w:val="40"/>
          <w14:textFill>
            <w14:solidFill>
              <w14:schemeClr w14:val="tx1"/>
            </w14:solidFill>
          </w14:textFill>
          <w14:ligatures w14:val="none"/>
        </w:rPr>
      </w:pPr>
    </w:p>
    <w:p>
      <w:pPr>
        <w:adjustRightInd w:val="0"/>
        <w:snapToGrid w:val="0"/>
        <w:spacing w:before="312" w:beforeLines="100" w:line="240" w:lineRule="exact"/>
        <w:jc w:val="center"/>
        <w:rPr>
          <w:rFonts w:hint="eastAsia" w:ascii="楷体_GB2312" w:hAnsi="等线" w:eastAsia="楷体_GB2312" w:cs="Times New Roman"/>
          <w:color w:val="000000" w:themeColor="text1"/>
          <w:sz w:val="40"/>
          <w:szCs w:val="40"/>
          <w14:textFill>
            <w14:solidFill>
              <w14:schemeClr w14:val="tx1"/>
            </w14:solidFill>
          </w14:textFill>
          <w14:ligatures w14:val="none"/>
        </w:rPr>
      </w:pPr>
      <w:r>
        <w:rPr>
          <w:rFonts w:hint="eastAsia" w:ascii="楷体_GB2312" w:hAnsi="等线" w:eastAsia="楷体_GB2312" w:cs="Times New Roman"/>
          <w:color w:val="000000" w:themeColor="text1"/>
          <w:sz w:val="40"/>
          <w:szCs w:val="40"/>
          <w14:textFill>
            <w14:solidFill>
              <w14:schemeClr w14:val="tx1"/>
            </w14:solidFill>
          </w14:textFill>
          <w14:ligatures w14:val="none"/>
        </w:rPr>
        <w:t xml:space="preserve"> </w:t>
      </w:r>
    </w:p>
    <w:p>
      <w:pPr>
        <w:adjustRightInd w:val="0"/>
        <w:snapToGrid w:val="0"/>
        <w:spacing w:before="312" w:beforeLines="100" w:line="240" w:lineRule="exact"/>
        <w:jc w:val="center"/>
        <w:rPr>
          <w:rFonts w:hint="eastAsia" w:ascii="楷体_GB2312" w:hAnsi="等线" w:eastAsia="楷体_GB2312" w:cs="Times New Roman"/>
          <w:color w:val="000000" w:themeColor="text1"/>
          <w:sz w:val="40"/>
          <w:szCs w:val="40"/>
          <w14:textFill>
            <w14:solidFill>
              <w14:schemeClr w14:val="tx1"/>
            </w14:solidFill>
          </w14:textFill>
          <w14:ligatures w14:val="none"/>
        </w:rPr>
      </w:pPr>
    </w:p>
    <w:p>
      <w:pPr>
        <w:adjustRightInd w:val="0"/>
        <w:snapToGrid w:val="0"/>
        <w:spacing w:before="312" w:beforeLines="100" w:line="240" w:lineRule="exact"/>
        <w:jc w:val="center"/>
        <w:rPr>
          <w:rFonts w:hint="eastAsia" w:ascii="楷体_GB2312" w:hAnsi="等线" w:eastAsia="楷体_GB2312" w:cs="Times New Roman"/>
          <w:color w:val="000000" w:themeColor="text1"/>
          <w:sz w:val="40"/>
          <w:szCs w:val="40"/>
          <w14:textFill>
            <w14:solidFill>
              <w14:schemeClr w14:val="tx1"/>
            </w14:solidFill>
          </w14:textFill>
          <w14:ligatures w14:val="none"/>
        </w:rPr>
      </w:pPr>
    </w:p>
    <w:p>
      <w:pPr>
        <w:adjustRightInd w:val="0"/>
        <w:snapToGrid w:val="0"/>
        <w:spacing w:before="312" w:beforeLines="100" w:line="240" w:lineRule="exact"/>
        <w:jc w:val="center"/>
        <w:rPr>
          <w:rFonts w:hint="eastAsia" w:ascii="楷体_GB2312" w:hAnsi="等线" w:eastAsia="楷体_GB2312" w:cs="Times New Roman"/>
          <w:color w:val="000000" w:themeColor="text1"/>
          <w:sz w:val="40"/>
          <w:szCs w:val="40"/>
          <w14:textFill>
            <w14:solidFill>
              <w14:schemeClr w14:val="tx1"/>
            </w14:solidFill>
          </w14:textFill>
          <w14:ligatures w14:val="none"/>
        </w:rPr>
      </w:pPr>
    </w:p>
    <w:p>
      <w:pPr>
        <w:pStyle w:val="2"/>
        <w:rPr>
          <w:rFonts w:hint="eastAsia"/>
        </w:rPr>
      </w:pPr>
    </w:p>
    <w:p>
      <w:pPr>
        <w:adjustRightInd w:val="0"/>
        <w:snapToGrid w:val="0"/>
        <w:spacing w:line="360" w:lineRule="auto"/>
        <w:jc w:val="center"/>
        <w:rPr>
          <w:rFonts w:hint="eastAsia" w:ascii="楷体" w:hAnsi="楷体" w:eastAsia="楷体" w:cs="Times New Roman"/>
          <w:color w:val="000000" w:themeColor="text1"/>
          <w:sz w:val="36"/>
          <w:szCs w:val="36"/>
          <w14:textFill>
            <w14:solidFill>
              <w14:schemeClr w14:val="tx1"/>
            </w14:solidFill>
          </w14:textFill>
          <w14:ligatures w14:val="none"/>
        </w:rPr>
      </w:pPr>
    </w:p>
    <w:p>
      <w:pPr>
        <w:pStyle w:val="2"/>
        <w:rPr>
          <w:color w:val="000000" w:themeColor="text1"/>
          <w14:textFill>
            <w14:solidFill>
              <w14:schemeClr w14:val="tx1"/>
            </w14:solidFill>
          </w14:textFill>
        </w:rPr>
      </w:pPr>
    </w:p>
    <w:p>
      <w:pPr>
        <w:adjustRightInd w:val="0"/>
        <w:snapToGrid w:val="0"/>
        <w:spacing w:line="360" w:lineRule="auto"/>
        <w:jc w:val="center"/>
        <w:rPr>
          <w:rFonts w:hint="eastAsia" w:ascii="楷体" w:hAnsi="楷体" w:eastAsia="楷体" w:cs="Times New Roman"/>
          <w:color w:val="000000" w:themeColor="text1"/>
          <w:sz w:val="36"/>
          <w:szCs w:val="36"/>
          <w14:textFill>
            <w14:solidFill>
              <w14:schemeClr w14:val="tx1"/>
            </w14:solidFill>
          </w14:textFill>
          <w14:ligatures w14:val="none"/>
        </w:rPr>
        <w:sectPr>
          <w:footerReference r:id="rId4" w:type="first"/>
          <w:footerReference r:id="rId3" w:type="default"/>
          <w:pgSz w:w="11906" w:h="16838"/>
          <w:pgMar w:top="2041" w:right="1531" w:bottom="1757" w:left="1531" w:header="851" w:footer="1417" w:gutter="0"/>
          <w:pgNumType w:fmt="numberInDash" w:start="1"/>
          <w:cols w:space="0" w:num="1"/>
          <w:rtlGutter w:val="0"/>
          <w:docGrid w:type="lines" w:linePitch="312" w:charSpace="0"/>
        </w:sectPr>
      </w:pPr>
    </w:p>
    <w:p>
      <w:pPr>
        <w:widowControl/>
        <w:adjustRightInd w:val="0"/>
        <w:snapToGrid w:val="0"/>
        <w:spacing w:line="600" w:lineRule="exact"/>
        <w:jc w:val="center"/>
        <w:rPr>
          <w:rFonts w:hint="eastAsia" w:ascii="方正小标宋简体" w:hAnsi="方正小标宋简体" w:eastAsia="方正小标宋简体" w:cs="方正小标宋简体"/>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目   录</w:t>
      </w:r>
    </w:p>
    <w:p>
      <w:pPr>
        <w:widowControl/>
        <w:adjustRightInd w:val="0"/>
        <w:snapToGrid w:val="0"/>
        <w:spacing w:line="600" w:lineRule="exact"/>
        <w:rPr>
          <w:rFonts w:ascii="Times New Roman" w:hAnsi="Times New Roman" w:eastAsia="黑体" w:cs="Times New Roman"/>
          <w:color w:val="000000" w:themeColor="text1"/>
          <w:sz w:val="30"/>
          <w:szCs w:val="30"/>
          <w14:textFill>
            <w14:solidFill>
              <w14:schemeClr w14:val="tx1"/>
            </w14:solidFill>
          </w14:textFill>
        </w:rPr>
      </w:pPr>
    </w:p>
    <w:p>
      <w:pPr>
        <w:pStyle w:val="22"/>
        <w:bidi w:val="0"/>
        <w:rPr>
          <w:rFonts w:hint="eastAsia" w:ascii="方正小标宋_GBK" w:eastAsia="方正小标宋_GBK"/>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fldChar w:fldCharType="begin"/>
      </w:r>
      <w:r>
        <w:rPr>
          <w:rFonts w:hint="eastAsia" w:ascii="仿宋_GB2312" w:hAnsi="仿宋_GB2312" w:eastAsia="仿宋_GB2312" w:cs="仿宋_GB2312"/>
          <w:color w:val="000000" w:themeColor="text1"/>
          <w:sz w:val="30"/>
          <w:szCs w:val="30"/>
          <w14:textFill>
            <w14:solidFill>
              <w14:schemeClr w14:val="tx1"/>
            </w14:solidFill>
          </w14:textFill>
        </w:rPr>
        <w:instrText xml:space="preserve"> TOC \o "1-2" \h \z \u </w:instrText>
      </w:r>
      <w:r>
        <w:rPr>
          <w:rFonts w:hint="eastAsia" w:ascii="仿宋_GB2312" w:hAnsi="仿宋_GB2312" w:eastAsia="仿宋_GB2312" w:cs="仿宋_GB2312"/>
          <w:color w:val="000000" w:themeColor="text1"/>
          <w:sz w:val="30"/>
          <w:szCs w:val="30"/>
          <w14:textFill>
            <w14:solidFill>
              <w14:schemeClr w14:val="tx1"/>
            </w14:solidFill>
          </w14:textFill>
        </w:rPr>
        <w:fldChar w:fldCharType="separate"/>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"_Toc235000739" </w:instrText>
      </w:r>
      <w:r>
        <w:rPr>
          <w:color w:val="000000" w:themeColor="text1"/>
          <w14:textFill>
            <w14:solidFill>
              <w14:schemeClr w14:val="tx1"/>
            </w14:solidFill>
          </w14:textFill>
        </w:rPr>
        <w:fldChar w:fldCharType="separate"/>
      </w:r>
      <w:r>
        <w:rPr>
          <w:rStyle w:val="36"/>
          <w:rFonts w:hint="eastAsia" w:ascii="方正小标宋_GBK" w:hAnsi="方正小标宋简体" w:eastAsia="方正小标宋_GBK" w:cs="方正小标宋简体"/>
          <w:color w:val="000000" w:themeColor="text1"/>
          <w:sz w:val="30"/>
          <w:szCs w:val="30"/>
          <w14:textFill>
            <w14:solidFill>
              <w14:schemeClr w14:val="tx1"/>
            </w14:solidFill>
          </w14:textFill>
        </w:rPr>
        <w:t>第一章 圆满完成“十四五”规划目标任务</w:t>
      </w:r>
      <w:r>
        <w:rPr>
          <w:rStyle w:val="36"/>
          <w:rFonts w:hint="eastAsia" w:ascii="方正小标宋_GBK" w:hAnsi="方正小标宋简体" w:eastAsia="方正小标宋_GBK" w:cs="方正小标宋简体"/>
          <w:color w:val="000000" w:themeColor="text1"/>
          <w:sz w:val="30"/>
          <w:szCs w:val="30"/>
          <w:lang w:val="en-US" w:eastAsia="zh-CN"/>
          <w14:textFill>
            <w14:solidFill>
              <w14:schemeClr w14:val="tx1"/>
            </w14:solidFill>
          </w14:textFill>
        </w:rPr>
        <w:t>.................................</w:t>
      </w:r>
      <w:r>
        <w:rPr>
          <w:rFonts w:hint="eastAsia" w:ascii="方正小标宋_GBK" w:eastAsia="方正小标宋_GBK"/>
          <w:color w:val="000000" w:themeColor="text1"/>
          <w:sz w:val="30"/>
          <w:szCs w:val="30"/>
          <w14:textFill>
            <w14:solidFill>
              <w14:schemeClr w14:val="tx1"/>
            </w14:solidFill>
          </w14:textFill>
        </w:rPr>
        <w:fldChar w:fldCharType="begin"/>
      </w:r>
      <w:r>
        <w:rPr>
          <w:rFonts w:hint="eastAsia" w:ascii="方正小标宋_GBK" w:eastAsia="方正小标宋_GBK"/>
          <w:color w:val="000000" w:themeColor="text1"/>
          <w:sz w:val="30"/>
          <w:szCs w:val="30"/>
          <w14:textFill>
            <w14:solidFill>
              <w14:schemeClr w14:val="tx1"/>
            </w14:solidFill>
          </w14:textFill>
        </w:rPr>
        <w:instrText xml:space="preserve"> PAGEREF _Toc235000739 \h </w:instrText>
      </w:r>
      <w:r>
        <w:rPr>
          <w:rFonts w:hint="eastAsia" w:ascii="方正小标宋_GBK" w:eastAsia="方正小标宋_GBK"/>
          <w:color w:val="000000" w:themeColor="text1"/>
          <w:sz w:val="30"/>
          <w:szCs w:val="30"/>
          <w14:textFill>
            <w14:solidFill>
              <w14:schemeClr w14:val="tx1"/>
            </w14:solidFill>
          </w14:textFill>
        </w:rPr>
        <w:fldChar w:fldCharType="separate"/>
      </w:r>
      <w:r>
        <w:rPr>
          <w:rFonts w:hint="eastAsia" w:ascii="方正小标宋_GBK" w:eastAsia="方正小标宋_GBK"/>
          <w:color w:val="000000" w:themeColor="text1"/>
          <w:sz w:val="30"/>
          <w:szCs w:val="30"/>
          <w14:textFill>
            <w14:solidFill>
              <w14:schemeClr w14:val="tx1"/>
            </w14:solidFill>
          </w14:textFill>
        </w:rPr>
        <w:t>- 9 -</w:t>
      </w:r>
      <w:r>
        <w:rPr>
          <w:rFonts w:hint="eastAsia" w:ascii="方正小标宋_GBK" w:eastAsia="方正小标宋_GBK"/>
          <w:color w:val="000000" w:themeColor="text1"/>
          <w:sz w:val="30"/>
          <w:szCs w:val="30"/>
          <w14:textFill>
            <w14:solidFill>
              <w14:schemeClr w14:val="tx1"/>
            </w14:solidFill>
          </w14:textFill>
        </w:rPr>
        <w:fldChar w:fldCharType="end"/>
      </w:r>
      <w:r>
        <w:rPr>
          <w:rFonts w:hint="eastAsia" w:ascii="方正小标宋_GBK" w:eastAsia="方正小标宋_GBK"/>
          <w:color w:val="000000" w:themeColor="text1"/>
          <w:sz w:val="30"/>
          <w:szCs w:val="30"/>
          <w14:textFill>
            <w14:solidFill>
              <w14:schemeClr w14:val="tx1"/>
            </w14:solidFill>
          </w14:textFill>
        </w:rPr>
        <w:fldChar w:fldCharType="end"/>
      </w:r>
    </w:p>
    <w:p>
      <w:pPr>
        <w:pStyle w:val="26"/>
        <w:tabs>
          <w:tab w:val="right" w:leader="dot" w:pos="8834"/>
        </w:tabs>
        <w:spacing w:line="600" w:lineRule="exact"/>
        <w:rPr>
          <w:rFonts w:hint="eastAsia" w:ascii="仿宋_GB2312" w:eastAsia="仿宋_GB2312"/>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"_Toc235000740" </w:instrText>
      </w:r>
      <w:r>
        <w:rPr>
          <w:color w:val="000000" w:themeColor="text1"/>
          <w14:textFill>
            <w14:solidFill>
              <w14:schemeClr w14:val="tx1"/>
            </w14:solidFill>
          </w14:textFill>
        </w:rPr>
        <w:fldChar w:fldCharType="separate"/>
      </w:r>
      <w:r>
        <w:rPr>
          <w:rStyle w:val="36"/>
          <w:rFonts w:hint="eastAsia" w:ascii="仿宋_GB2312" w:hAnsi="国标黑体" w:eastAsia="仿宋_GB2312" w:cs="国标黑体"/>
          <w:color w:val="000000" w:themeColor="text1"/>
          <w:sz w:val="30"/>
          <w:szCs w:val="30"/>
          <w14:textFill>
            <w14:solidFill>
              <w14:schemeClr w14:val="tx1"/>
            </w14:solidFill>
          </w14:textFill>
        </w:rPr>
        <w:t>第一节 “十四五”时期发展成就</w:t>
      </w:r>
      <w:r>
        <w:rPr>
          <w:rFonts w:hint="eastAsia" w:ascii="仿宋_GB2312" w:eastAsia="仿宋_GB2312"/>
          <w:color w:val="000000" w:themeColor="text1"/>
          <w:sz w:val="30"/>
          <w:szCs w:val="30"/>
          <w14:textFill>
            <w14:solidFill>
              <w14:schemeClr w14:val="tx1"/>
            </w14:solidFill>
          </w14:textFill>
        </w:rPr>
        <w:tab/>
      </w:r>
      <w:r>
        <w:rPr>
          <w:rFonts w:hint="eastAsia" w:ascii="仿宋_GB2312" w:eastAsia="仿宋_GB2312"/>
          <w:color w:val="000000" w:themeColor="text1"/>
          <w:sz w:val="30"/>
          <w:szCs w:val="30"/>
          <w14:textFill>
            <w14:solidFill>
              <w14:schemeClr w14:val="tx1"/>
            </w14:solidFill>
          </w14:textFill>
        </w:rPr>
        <w:fldChar w:fldCharType="begin"/>
      </w:r>
      <w:r>
        <w:rPr>
          <w:rFonts w:hint="eastAsia" w:ascii="仿宋_GB2312" w:eastAsia="仿宋_GB2312"/>
          <w:color w:val="000000" w:themeColor="text1"/>
          <w:sz w:val="30"/>
          <w:szCs w:val="30"/>
          <w14:textFill>
            <w14:solidFill>
              <w14:schemeClr w14:val="tx1"/>
            </w14:solidFill>
          </w14:textFill>
        </w:rPr>
        <w:instrText xml:space="preserve"> PAGEREF _Toc235000740 \h </w:instrText>
      </w:r>
      <w:r>
        <w:rPr>
          <w:rFonts w:hint="eastAsia" w:ascii="仿宋_GB2312" w:eastAsia="仿宋_GB2312"/>
          <w:color w:val="000000" w:themeColor="text1"/>
          <w:sz w:val="30"/>
          <w:szCs w:val="30"/>
          <w14:textFill>
            <w14:solidFill>
              <w14:schemeClr w14:val="tx1"/>
            </w14:solidFill>
          </w14:textFill>
        </w:rPr>
        <w:fldChar w:fldCharType="separate"/>
      </w:r>
      <w:r>
        <w:rPr>
          <w:rFonts w:hint="eastAsia" w:ascii="仿宋_GB2312" w:eastAsia="仿宋_GB2312"/>
          <w:color w:val="000000" w:themeColor="text1"/>
          <w:sz w:val="30"/>
          <w:szCs w:val="30"/>
          <w14:textFill>
            <w14:solidFill>
              <w14:schemeClr w14:val="tx1"/>
            </w14:solidFill>
          </w14:textFill>
        </w:rPr>
        <w:t>- 9 -</w:t>
      </w:r>
      <w:r>
        <w:rPr>
          <w:rFonts w:hint="eastAsia" w:ascii="仿宋_GB2312" w:eastAsia="仿宋_GB2312"/>
          <w:color w:val="000000" w:themeColor="text1"/>
          <w:sz w:val="30"/>
          <w:szCs w:val="30"/>
          <w14:textFill>
            <w14:solidFill>
              <w14:schemeClr w14:val="tx1"/>
            </w14:solidFill>
          </w14:textFill>
        </w:rPr>
        <w:fldChar w:fldCharType="end"/>
      </w:r>
      <w:r>
        <w:rPr>
          <w:rFonts w:hint="eastAsia" w:ascii="仿宋_GB2312" w:eastAsia="仿宋_GB2312"/>
          <w:color w:val="000000" w:themeColor="text1"/>
          <w:sz w:val="30"/>
          <w:szCs w:val="30"/>
          <w14:textFill>
            <w14:solidFill>
              <w14:schemeClr w14:val="tx1"/>
            </w14:solidFill>
          </w14:textFill>
        </w:rPr>
        <w:fldChar w:fldCharType="end"/>
      </w:r>
    </w:p>
    <w:p>
      <w:pPr>
        <w:pStyle w:val="26"/>
        <w:tabs>
          <w:tab w:val="right" w:leader="dot" w:pos="8834"/>
        </w:tabs>
        <w:spacing w:line="600" w:lineRule="exact"/>
        <w:rPr>
          <w:rFonts w:hint="eastAsia" w:ascii="仿宋_GB2312" w:eastAsia="仿宋_GB2312"/>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"_Toc235000741" </w:instrText>
      </w:r>
      <w:r>
        <w:rPr>
          <w:color w:val="000000" w:themeColor="text1"/>
          <w14:textFill>
            <w14:solidFill>
              <w14:schemeClr w14:val="tx1"/>
            </w14:solidFill>
          </w14:textFill>
        </w:rPr>
        <w:fldChar w:fldCharType="separate"/>
      </w:r>
      <w:r>
        <w:rPr>
          <w:rStyle w:val="36"/>
          <w:rFonts w:hint="eastAsia" w:ascii="仿宋_GB2312" w:hAnsi="国标黑体" w:eastAsia="仿宋_GB2312" w:cs="国标黑体"/>
          <w:color w:val="000000" w:themeColor="text1"/>
          <w:sz w:val="30"/>
          <w:szCs w:val="30"/>
          <w14:textFill>
            <w14:solidFill>
              <w14:schemeClr w14:val="tx1"/>
            </w14:solidFill>
          </w14:textFill>
        </w:rPr>
        <w:t>第二节 “十四五”时期发展经验</w:t>
      </w:r>
      <w:r>
        <w:rPr>
          <w:rFonts w:hint="eastAsia" w:ascii="仿宋_GB2312" w:eastAsia="仿宋_GB2312"/>
          <w:color w:val="000000" w:themeColor="text1"/>
          <w:sz w:val="30"/>
          <w:szCs w:val="30"/>
          <w14:textFill>
            <w14:solidFill>
              <w14:schemeClr w14:val="tx1"/>
            </w14:solidFill>
          </w14:textFill>
        </w:rPr>
        <w:tab/>
      </w:r>
      <w:r>
        <w:rPr>
          <w:rFonts w:hint="eastAsia" w:ascii="仿宋_GB2312" w:eastAsia="仿宋_GB2312"/>
          <w:color w:val="000000" w:themeColor="text1"/>
          <w:sz w:val="30"/>
          <w:szCs w:val="30"/>
          <w14:textFill>
            <w14:solidFill>
              <w14:schemeClr w14:val="tx1"/>
            </w14:solidFill>
          </w14:textFill>
        </w:rPr>
        <w:fldChar w:fldCharType="begin"/>
      </w:r>
      <w:r>
        <w:rPr>
          <w:rFonts w:hint="eastAsia" w:ascii="仿宋_GB2312" w:eastAsia="仿宋_GB2312"/>
          <w:color w:val="000000" w:themeColor="text1"/>
          <w:sz w:val="30"/>
          <w:szCs w:val="30"/>
          <w14:textFill>
            <w14:solidFill>
              <w14:schemeClr w14:val="tx1"/>
            </w14:solidFill>
          </w14:textFill>
        </w:rPr>
        <w:instrText xml:space="preserve"> PAGEREF _Toc235000741 \h </w:instrText>
      </w:r>
      <w:r>
        <w:rPr>
          <w:rFonts w:hint="eastAsia" w:ascii="仿宋_GB2312" w:eastAsia="仿宋_GB2312"/>
          <w:color w:val="000000" w:themeColor="text1"/>
          <w:sz w:val="30"/>
          <w:szCs w:val="30"/>
          <w14:textFill>
            <w14:solidFill>
              <w14:schemeClr w14:val="tx1"/>
            </w14:solidFill>
          </w14:textFill>
        </w:rPr>
        <w:fldChar w:fldCharType="separate"/>
      </w:r>
      <w:r>
        <w:rPr>
          <w:rFonts w:hint="eastAsia" w:ascii="仿宋_GB2312" w:eastAsia="仿宋_GB2312"/>
          <w:color w:val="000000" w:themeColor="text1"/>
          <w:sz w:val="30"/>
          <w:szCs w:val="30"/>
          <w14:textFill>
            <w14:solidFill>
              <w14:schemeClr w14:val="tx1"/>
            </w14:solidFill>
          </w14:textFill>
        </w:rPr>
        <w:t>- 14 -</w:t>
      </w:r>
      <w:r>
        <w:rPr>
          <w:rFonts w:hint="eastAsia" w:ascii="仿宋_GB2312" w:eastAsia="仿宋_GB2312"/>
          <w:color w:val="000000" w:themeColor="text1"/>
          <w:sz w:val="30"/>
          <w:szCs w:val="30"/>
          <w14:textFill>
            <w14:solidFill>
              <w14:schemeClr w14:val="tx1"/>
            </w14:solidFill>
          </w14:textFill>
        </w:rPr>
        <w:fldChar w:fldCharType="end"/>
      </w:r>
      <w:r>
        <w:rPr>
          <w:rFonts w:hint="eastAsia" w:ascii="仿宋_GB2312" w:eastAsia="仿宋_GB2312"/>
          <w:color w:val="000000" w:themeColor="text1"/>
          <w:sz w:val="30"/>
          <w:szCs w:val="30"/>
          <w14:textFill>
            <w14:solidFill>
              <w14:schemeClr w14:val="tx1"/>
            </w14:solidFill>
          </w14:textFill>
        </w:rPr>
        <w:fldChar w:fldCharType="end"/>
      </w:r>
    </w:p>
    <w:p>
      <w:pPr>
        <w:pStyle w:val="22"/>
        <w:tabs>
          <w:tab w:val="right" w:leader="dot" w:pos="8834"/>
        </w:tabs>
        <w:spacing w:line="600" w:lineRule="exact"/>
        <w:rPr>
          <w:rStyle w:val="36"/>
          <w:rFonts w:ascii="方正小标宋_GBK" w:hAnsi="方正小标宋简体" w:eastAsia="方正小标宋_GBK" w:cs="方正小标宋简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"_Toc235000742" </w:instrText>
      </w:r>
      <w:r>
        <w:rPr>
          <w:color w:val="000000" w:themeColor="text1"/>
          <w14:textFill>
            <w14:solidFill>
              <w14:schemeClr w14:val="tx1"/>
            </w14:solidFill>
          </w14:textFill>
        </w:rPr>
        <w:fldChar w:fldCharType="separate"/>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t>第二章 会同县“十五五”时期发展形势</w:t>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tab/>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fldChar w:fldCharType="begin"/>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instrText xml:space="preserve"> PAGEREF _Toc235000742 \h </w:instrText>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fldChar w:fldCharType="separate"/>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t>- 18 -</w:t>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fldChar w:fldCharType="end"/>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fldChar w:fldCharType="end"/>
      </w:r>
    </w:p>
    <w:p>
      <w:pPr>
        <w:pStyle w:val="26"/>
        <w:tabs>
          <w:tab w:val="right" w:leader="dot" w:pos="8834"/>
        </w:tabs>
        <w:spacing w:line="600" w:lineRule="exact"/>
        <w:rPr>
          <w:rStyle w:val="36"/>
          <w:rFonts w:ascii="仿宋_GB2312" w:hAnsi="国标黑体" w:eastAsia="仿宋_GB2312" w:cs="国标黑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"_Toc235000743" </w:instrText>
      </w:r>
      <w:r>
        <w:rPr>
          <w:color w:val="000000" w:themeColor="text1"/>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第一节 会同县“十五五”时期发展机遇</w:t>
      </w:r>
      <w:r>
        <w:rPr>
          <w:rStyle w:val="36"/>
          <w:rFonts w:ascii="仿宋_GB2312" w:hAnsi="国标黑体" w:eastAsia="仿宋_GB2312" w:cs="国标黑体"/>
          <w:color w:val="000000" w:themeColor="text1"/>
          <w:sz w:val="30"/>
          <w:szCs w:val="30"/>
          <w14:textFill>
            <w14:solidFill>
              <w14:schemeClr w14:val="tx1"/>
            </w14:solidFill>
          </w14:textFill>
        </w:rPr>
        <w:tab/>
      </w:r>
      <w:r>
        <w:rPr>
          <w:rStyle w:val="36"/>
          <w:rFonts w:ascii="仿宋_GB2312" w:hAnsi="国标黑体" w:eastAsia="仿宋_GB2312" w:cs="国标黑体"/>
          <w:color w:val="000000" w:themeColor="text1"/>
          <w:sz w:val="30"/>
          <w:szCs w:val="30"/>
          <w14:textFill>
            <w14:solidFill>
              <w14:schemeClr w14:val="tx1"/>
            </w14:solidFill>
          </w14:textFill>
        </w:rPr>
        <w:fldChar w:fldCharType="begin"/>
      </w:r>
      <w:r>
        <w:rPr>
          <w:rStyle w:val="36"/>
          <w:rFonts w:ascii="仿宋_GB2312" w:hAnsi="国标黑体" w:eastAsia="仿宋_GB2312" w:cs="国标黑体"/>
          <w:color w:val="000000" w:themeColor="text1"/>
          <w:sz w:val="30"/>
          <w:szCs w:val="30"/>
          <w14:textFill>
            <w14:solidFill>
              <w14:schemeClr w14:val="tx1"/>
            </w14:solidFill>
          </w14:textFill>
        </w:rPr>
        <w:instrText xml:space="preserve"> PAGEREF _Toc235000743 \h </w:instrText>
      </w:r>
      <w:r>
        <w:rPr>
          <w:rStyle w:val="36"/>
          <w:rFonts w:ascii="仿宋_GB2312" w:hAnsi="国标黑体" w:eastAsia="仿宋_GB2312" w:cs="国标黑体"/>
          <w:color w:val="000000" w:themeColor="text1"/>
          <w:sz w:val="30"/>
          <w:szCs w:val="30"/>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- 18 -</w:t>
      </w:r>
      <w:r>
        <w:rPr>
          <w:rStyle w:val="36"/>
          <w:rFonts w:ascii="仿宋_GB2312" w:hAnsi="国标黑体" w:eastAsia="仿宋_GB2312" w:cs="国标黑体"/>
          <w:color w:val="000000" w:themeColor="text1"/>
          <w:sz w:val="30"/>
          <w:szCs w:val="30"/>
          <w14:textFill>
            <w14:solidFill>
              <w14:schemeClr w14:val="tx1"/>
            </w14:solidFill>
          </w14:textFill>
        </w:rPr>
        <w:fldChar w:fldCharType="end"/>
      </w:r>
      <w:r>
        <w:rPr>
          <w:rStyle w:val="36"/>
          <w:rFonts w:ascii="仿宋_GB2312" w:hAnsi="国标黑体" w:eastAsia="仿宋_GB2312" w:cs="国标黑体"/>
          <w:color w:val="000000" w:themeColor="text1"/>
          <w:sz w:val="30"/>
          <w:szCs w:val="30"/>
          <w14:textFill>
            <w14:solidFill>
              <w14:schemeClr w14:val="tx1"/>
            </w14:solidFill>
          </w14:textFill>
        </w:rPr>
        <w:fldChar w:fldCharType="end"/>
      </w:r>
    </w:p>
    <w:p>
      <w:pPr>
        <w:pStyle w:val="26"/>
        <w:tabs>
          <w:tab w:val="right" w:leader="dot" w:pos="8834"/>
        </w:tabs>
        <w:spacing w:line="600" w:lineRule="exact"/>
        <w:rPr>
          <w:rStyle w:val="36"/>
          <w:rFonts w:ascii="仿宋_GB2312" w:hAnsi="国标黑体" w:eastAsia="仿宋_GB2312" w:cs="国标黑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"_Toc235000744" </w:instrText>
      </w:r>
      <w:r>
        <w:rPr>
          <w:color w:val="000000" w:themeColor="text1"/>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第二节 会同县“十五五”时期面临挑战</w:t>
      </w:r>
      <w:r>
        <w:rPr>
          <w:rStyle w:val="36"/>
          <w:rFonts w:ascii="仿宋_GB2312" w:hAnsi="国标黑体" w:eastAsia="仿宋_GB2312" w:cs="国标黑体"/>
          <w:color w:val="000000" w:themeColor="text1"/>
          <w:sz w:val="30"/>
          <w:szCs w:val="30"/>
          <w14:textFill>
            <w14:solidFill>
              <w14:schemeClr w14:val="tx1"/>
            </w14:solidFill>
          </w14:textFill>
        </w:rPr>
        <w:tab/>
      </w:r>
      <w:r>
        <w:rPr>
          <w:rStyle w:val="36"/>
          <w:rFonts w:ascii="仿宋_GB2312" w:hAnsi="国标黑体" w:eastAsia="仿宋_GB2312" w:cs="国标黑体"/>
          <w:color w:val="000000" w:themeColor="text1"/>
          <w:sz w:val="30"/>
          <w:szCs w:val="30"/>
          <w14:textFill>
            <w14:solidFill>
              <w14:schemeClr w14:val="tx1"/>
            </w14:solidFill>
          </w14:textFill>
        </w:rPr>
        <w:fldChar w:fldCharType="begin"/>
      </w:r>
      <w:r>
        <w:rPr>
          <w:rStyle w:val="36"/>
          <w:rFonts w:ascii="仿宋_GB2312" w:hAnsi="国标黑体" w:eastAsia="仿宋_GB2312" w:cs="国标黑体"/>
          <w:color w:val="000000" w:themeColor="text1"/>
          <w:sz w:val="30"/>
          <w:szCs w:val="30"/>
          <w14:textFill>
            <w14:solidFill>
              <w14:schemeClr w14:val="tx1"/>
            </w14:solidFill>
          </w14:textFill>
        </w:rPr>
        <w:instrText xml:space="preserve"> PAGEREF _Toc235000744 \h </w:instrText>
      </w:r>
      <w:r>
        <w:rPr>
          <w:rStyle w:val="36"/>
          <w:rFonts w:ascii="仿宋_GB2312" w:hAnsi="国标黑体" w:eastAsia="仿宋_GB2312" w:cs="国标黑体"/>
          <w:color w:val="000000" w:themeColor="text1"/>
          <w:sz w:val="30"/>
          <w:szCs w:val="30"/>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- 20 -</w:t>
      </w:r>
      <w:r>
        <w:rPr>
          <w:rStyle w:val="36"/>
          <w:rFonts w:ascii="仿宋_GB2312" w:hAnsi="国标黑体" w:eastAsia="仿宋_GB2312" w:cs="国标黑体"/>
          <w:color w:val="000000" w:themeColor="text1"/>
          <w:sz w:val="30"/>
          <w:szCs w:val="30"/>
          <w14:textFill>
            <w14:solidFill>
              <w14:schemeClr w14:val="tx1"/>
            </w14:solidFill>
          </w14:textFill>
        </w:rPr>
        <w:fldChar w:fldCharType="end"/>
      </w:r>
      <w:r>
        <w:rPr>
          <w:rStyle w:val="36"/>
          <w:rFonts w:ascii="仿宋_GB2312" w:hAnsi="国标黑体" w:eastAsia="仿宋_GB2312" w:cs="国标黑体"/>
          <w:color w:val="000000" w:themeColor="text1"/>
          <w:sz w:val="30"/>
          <w:szCs w:val="30"/>
          <w14:textFill>
            <w14:solidFill>
              <w14:schemeClr w14:val="tx1"/>
            </w14:solidFill>
          </w14:textFill>
        </w:rPr>
        <w:fldChar w:fldCharType="end"/>
      </w:r>
    </w:p>
    <w:p>
      <w:pPr>
        <w:pStyle w:val="22"/>
        <w:tabs>
          <w:tab w:val="right" w:leader="dot" w:pos="8834"/>
        </w:tabs>
        <w:spacing w:line="600" w:lineRule="exact"/>
        <w:rPr>
          <w:rStyle w:val="36"/>
          <w:rFonts w:ascii="方正小标宋_GBK" w:hAnsi="方正小标宋简体" w:eastAsia="方正小标宋_GBK" w:cs="方正小标宋简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"_Toc235000745" </w:instrText>
      </w:r>
      <w:r>
        <w:rPr>
          <w:color w:val="000000" w:themeColor="text1"/>
          <w14:textFill>
            <w14:solidFill>
              <w14:schemeClr w14:val="tx1"/>
            </w14:solidFill>
          </w14:textFill>
        </w:rPr>
        <w:fldChar w:fldCharType="separate"/>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t>第三章 会同县“十五五”时期发展目标与总体思路</w:t>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tab/>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fldChar w:fldCharType="begin"/>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instrText xml:space="preserve"> PAGEREF _Toc235000745 \h </w:instrText>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fldChar w:fldCharType="separate"/>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t>- 23 -</w:t>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fldChar w:fldCharType="end"/>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fldChar w:fldCharType="end"/>
      </w:r>
    </w:p>
    <w:p>
      <w:pPr>
        <w:pStyle w:val="26"/>
        <w:tabs>
          <w:tab w:val="right" w:leader="dot" w:pos="8834"/>
        </w:tabs>
        <w:spacing w:line="600" w:lineRule="exact"/>
        <w:rPr>
          <w:rStyle w:val="36"/>
          <w:rFonts w:ascii="仿宋_GB2312" w:hAnsi="国标黑体" w:eastAsia="仿宋_GB2312" w:cs="国标黑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"_Toc235000746" </w:instrText>
      </w:r>
      <w:r>
        <w:rPr>
          <w:color w:val="000000" w:themeColor="text1"/>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第一节 指导思想</w:t>
      </w:r>
      <w:r>
        <w:rPr>
          <w:rStyle w:val="36"/>
          <w:rFonts w:ascii="仿宋_GB2312" w:hAnsi="国标黑体" w:eastAsia="仿宋_GB2312" w:cs="国标黑体"/>
          <w:color w:val="000000" w:themeColor="text1"/>
          <w:sz w:val="30"/>
          <w:szCs w:val="30"/>
          <w14:textFill>
            <w14:solidFill>
              <w14:schemeClr w14:val="tx1"/>
            </w14:solidFill>
          </w14:textFill>
        </w:rPr>
        <w:tab/>
      </w:r>
      <w:r>
        <w:rPr>
          <w:rStyle w:val="36"/>
          <w:rFonts w:ascii="仿宋_GB2312" w:hAnsi="国标黑体" w:eastAsia="仿宋_GB2312" w:cs="国标黑体"/>
          <w:color w:val="000000" w:themeColor="text1"/>
          <w:sz w:val="30"/>
          <w:szCs w:val="30"/>
          <w14:textFill>
            <w14:solidFill>
              <w14:schemeClr w14:val="tx1"/>
            </w14:solidFill>
          </w14:textFill>
        </w:rPr>
        <w:fldChar w:fldCharType="begin"/>
      </w:r>
      <w:r>
        <w:rPr>
          <w:rStyle w:val="36"/>
          <w:rFonts w:ascii="仿宋_GB2312" w:hAnsi="国标黑体" w:eastAsia="仿宋_GB2312" w:cs="国标黑体"/>
          <w:color w:val="000000" w:themeColor="text1"/>
          <w:sz w:val="30"/>
          <w:szCs w:val="30"/>
          <w14:textFill>
            <w14:solidFill>
              <w14:schemeClr w14:val="tx1"/>
            </w14:solidFill>
          </w14:textFill>
        </w:rPr>
        <w:instrText xml:space="preserve"> PAGEREF _Toc235000746 \h </w:instrText>
      </w:r>
      <w:r>
        <w:rPr>
          <w:rStyle w:val="36"/>
          <w:rFonts w:ascii="仿宋_GB2312" w:hAnsi="国标黑体" w:eastAsia="仿宋_GB2312" w:cs="国标黑体"/>
          <w:color w:val="000000" w:themeColor="text1"/>
          <w:sz w:val="30"/>
          <w:szCs w:val="30"/>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- 23 -</w:t>
      </w:r>
      <w:r>
        <w:rPr>
          <w:rStyle w:val="36"/>
          <w:rFonts w:ascii="仿宋_GB2312" w:hAnsi="国标黑体" w:eastAsia="仿宋_GB2312" w:cs="国标黑体"/>
          <w:color w:val="000000" w:themeColor="text1"/>
          <w:sz w:val="30"/>
          <w:szCs w:val="30"/>
          <w14:textFill>
            <w14:solidFill>
              <w14:schemeClr w14:val="tx1"/>
            </w14:solidFill>
          </w14:textFill>
        </w:rPr>
        <w:fldChar w:fldCharType="end"/>
      </w:r>
      <w:r>
        <w:rPr>
          <w:rStyle w:val="36"/>
          <w:rFonts w:ascii="仿宋_GB2312" w:hAnsi="国标黑体" w:eastAsia="仿宋_GB2312" w:cs="国标黑体"/>
          <w:color w:val="000000" w:themeColor="text1"/>
          <w:sz w:val="30"/>
          <w:szCs w:val="30"/>
          <w14:textFill>
            <w14:solidFill>
              <w14:schemeClr w14:val="tx1"/>
            </w14:solidFill>
          </w14:textFill>
        </w:rPr>
        <w:fldChar w:fldCharType="end"/>
      </w:r>
    </w:p>
    <w:p>
      <w:pPr>
        <w:pStyle w:val="26"/>
        <w:tabs>
          <w:tab w:val="right" w:leader="dot" w:pos="8834"/>
        </w:tabs>
        <w:spacing w:line="600" w:lineRule="exact"/>
        <w:rPr>
          <w:rStyle w:val="36"/>
          <w:rFonts w:ascii="仿宋_GB2312" w:hAnsi="国标黑体" w:eastAsia="仿宋_GB2312" w:cs="国标黑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"_Toc235000747" </w:instrText>
      </w:r>
      <w:r>
        <w:rPr>
          <w:color w:val="000000" w:themeColor="text1"/>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第二节 基本原则</w:t>
      </w:r>
      <w:r>
        <w:rPr>
          <w:rStyle w:val="36"/>
          <w:rFonts w:ascii="仿宋_GB2312" w:hAnsi="国标黑体" w:eastAsia="仿宋_GB2312" w:cs="国标黑体"/>
          <w:color w:val="000000" w:themeColor="text1"/>
          <w:sz w:val="30"/>
          <w:szCs w:val="30"/>
          <w14:textFill>
            <w14:solidFill>
              <w14:schemeClr w14:val="tx1"/>
            </w14:solidFill>
          </w14:textFill>
        </w:rPr>
        <w:tab/>
      </w:r>
      <w:r>
        <w:rPr>
          <w:rStyle w:val="36"/>
          <w:rFonts w:ascii="仿宋_GB2312" w:hAnsi="国标黑体" w:eastAsia="仿宋_GB2312" w:cs="国标黑体"/>
          <w:color w:val="000000" w:themeColor="text1"/>
          <w:sz w:val="30"/>
          <w:szCs w:val="30"/>
          <w14:textFill>
            <w14:solidFill>
              <w14:schemeClr w14:val="tx1"/>
            </w14:solidFill>
          </w14:textFill>
        </w:rPr>
        <w:fldChar w:fldCharType="begin"/>
      </w:r>
      <w:r>
        <w:rPr>
          <w:rStyle w:val="36"/>
          <w:rFonts w:ascii="仿宋_GB2312" w:hAnsi="国标黑体" w:eastAsia="仿宋_GB2312" w:cs="国标黑体"/>
          <w:color w:val="000000" w:themeColor="text1"/>
          <w:sz w:val="30"/>
          <w:szCs w:val="30"/>
          <w14:textFill>
            <w14:solidFill>
              <w14:schemeClr w14:val="tx1"/>
            </w14:solidFill>
          </w14:textFill>
        </w:rPr>
        <w:instrText xml:space="preserve"> PAGEREF _Toc235000747 \h </w:instrText>
      </w:r>
      <w:r>
        <w:rPr>
          <w:rStyle w:val="36"/>
          <w:rFonts w:ascii="仿宋_GB2312" w:hAnsi="国标黑体" w:eastAsia="仿宋_GB2312" w:cs="国标黑体"/>
          <w:color w:val="000000" w:themeColor="text1"/>
          <w:sz w:val="30"/>
          <w:szCs w:val="30"/>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- 23 -</w:t>
      </w:r>
      <w:r>
        <w:rPr>
          <w:rStyle w:val="36"/>
          <w:rFonts w:ascii="仿宋_GB2312" w:hAnsi="国标黑体" w:eastAsia="仿宋_GB2312" w:cs="国标黑体"/>
          <w:color w:val="000000" w:themeColor="text1"/>
          <w:sz w:val="30"/>
          <w:szCs w:val="30"/>
          <w14:textFill>
            <w14:solidFill>
              <w14:schemeClr w14:val="tx1"/>
            </w14:solidFill>
          </w14:textFill>
        </w:rPr>
        <w:fldChar w:fldCharType="end"/>
      </w:r>
      <w:r>
        <w:rPr>
          <w:rStyle w:val="36"/>
          <w:rFonts w:ascii="仿宋_GB2312" w:hAnsi="国标黑体" w:eastAsia="仿宋_GB2312" w:cs="国标黑体"/>
          <w:color w:val="000000" w:themeColor="text1"/>
          <w:sz w:val="30"/>
          <w:szCs w:val="30"/>
          <w14:textFill>
            <w14:solidFill>
              <w14:schemeClr w14:val="tx1"/>
            </w14:solidFill>
          </w14:textFill>
        </w:rPr>
        <w:fldChar w:fldCharType="end"/>
      </w:r>
    </w:p>
    <w:p>
      <w:pPr>
        <w:pStyle w:val="26"/>
        <w:tabs>
          <w:tab w:val="right" w:leader="dot" w:pos="8834"/>
        </w:tabs>
        <w:spacing w:line="600" w:lineRule="exact"/>
        <w:rPr>
          <w:rStyle w:val="36"/>
          <w:rFonts w:ascii="仿宋_GB2312" w:hAnsi="国标黑体" w:eastAsia="仿宋_GB2312" w:cs="国标黑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"_Toc235000748" </w:instrText>
      </w:r>
      <w:r>
        <w:rPr>
          <w:color w:val="000000" w:themeColor="text1"/>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第三节 发展战略</w:t>
      </w:r>
      <w:r>
        <w:rPr>
          <w:rStyle w:val="36"/>
          <w:rFonts w:ascii="仿宋_GB2312" w:hAnsi="国标黑体" w:eastAsia="仿宋_GB2312" w:cs="国标黑体"/>
          <w:color w:val="000000" w:themeColor="text1"/>
          <w:sz w:val="30"/>
          <w:szCs w:val="30"/>
          <w14:textFill>
            <w14:solidFill>
              <w14:schemeClr w14:val="tx1"/>
            </w14:solidFill>
          </w14:textFill>
        </w:rPr>
        <w:tab/>
      </w:r>
      <w:r>
        <w:rPr>
          <w:rStyle w:val="36"/>
          <w:rFonts w:ascii="仿宋_GB2312" w:hAnsi="国标黑体" w:eastAsia="仿宋_GB2312" w:cs="国标黑体"/>
          <w:color w:val="000000" w:themeColor="text1"/>
          <w:sz w:val="30"/>
          <w:szCs w:val="30"/>
          <w14:textFill>
            <w14:solidFill>
              <w14:schemeClr w14:val="tx1"/>
            </w14:solidFill>
          </w14:textFill>
        </w:rPr>
        <w:fldChar w:fldCharType="begin"/>
      </w:r>
      <w:r>
        <w:rPr>
          <w:rStyle w:val="36"/>
          <w:rFonts w:ascii="仿宋_GB2312" w:hAnsi="国标黑体" w:eastAsia="仿宋_GB2312" w:cs="国标黑体"/>
          <w:color w:val="000000" w:themeColor="text1"/>
          <w:sz w:val="30"/>
          <w:szCs w:val="30"/>
          <w14:textFill>
            <w14:solidFill>
              <w14:schemeClr w14:val="tx1"/>
            </w14:solidFill>
          </w14:textFill>
        </w:rPr>
        <w:instrText xml:space="preserve"> PAGEREF _Toc235000748 \h </w:instrText>
      </w:r>
      <w:r>
        <w:rPr>
          <w:rStyle w:val="36"/>
          <w:rFonts w:ascii="仿宋_GB2312" w:hAnsi="国标黑体" w:eastAsia="仿宋_GB2312" w:cs="国标黑体"/>
          <w:color w:val="000000" w:themeColor="text1"/>
          <w:sz w:val="30"/>
          <w:szCs w:val="30"/>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- 25 -</w:t>
      </w:r>
      <w:r>
        <w:rPr>
          <w:rStyle w:val="36"/>
          <w:rFonts w:ascii="仿宋_GB2312" w:hAnsi="国标黑体" w:eastAsia="仿宋_GB2312" w:cs="国标黑体"/>
          <w:color w:val="000000" w:themeColor="text1"/>
          <w:sz w:val="30"/>
          <w:szCs w:val="30"/>
          <w14:textFill>
            <w14:solidFill>
              <w14:schemeClr w14:val="tx1"/>
            </w14:solidFill>
          </w14:textFill>
        </w:rPr>
        <w:fldChar w:fldCharType="end"/>
      </w:r>
      <w:r>
        <w:rPr>
          <w:rStyle w:val="36"/>
          <w:rFonts w:ascii="仿宋_GB2312" w:hAnsi="国标黑体" w:eastAsia="仿宋_GB2312" w:cs="国标黑体"/>
          <w:color w:val="000000" w:themeColor="text1"/>
          <w:sz w:val="30"/>
          <w:szCs w:val="30"/>
          <w14:textFill>
            <w14:solidFill>
              <w14:schemeClr w14:val="tx1"/>
            </w14:solidFill>
          </w14:textFill>
        </w:rPr>
        <w:fldChar w:fldCharType="end"/>
      </w:r>
    </w:p>
    <w:p>
      <w:pPr>
        <w:pStyle w:val="26"/>
        <w:tabs>
          <w:tab w:val="right" w:leader="dot" w:pos="8834"/>
        </w:tabs>
        <w:spacing w:line="600" w:lineRule="exact"/>
        <w:rPr>
          <w:rStyle w:val="36"/>
          <w:rFonts w:ascii="仿宋_GB2312" w:hAnsi="国标黑体" w:eastAsia="仿宋_GB2312" w:cs="国标黑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"_Toc235000749" </w:instrText>
      </w:r>
      <w:r>
        <w:rPr>
          <w:color w:val="000000" w:themeColor="text1"/>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第四节 发展目标</w:t>
      </w:r>
      <w:r>
        <w:rPr>
          <w:rStyle w:val="36"/>
          <w:rFonts w:ascii="仿宋_GB2312" w:hAnsi="国标黑体" w:eastAsia="仿宋_GB2312" w:cs="国标黑体"/>
          <w:color w:val="000000" w:themeColor="text1"/>
          <w:sz w:val="30"/>
          <w:szCs w:val="30"/>
          <w14:textFill>
            <w14:solidFill>
              <w14:schemeClr w14:val="tx1"/>
            </w14:solidFill>
          </w14:textFill>
        </w:rPr>
        <w:tab/>
      </w:r>
      <w:r>
        <w:rPr>
          <w:rStyle w:val="36"/>
          <w:rFonts w:ascii="仿宋_GB2312" w:hAnsi="国标黑体" w:eastAsia="仿宋_GB2312" w:cs="国标黑体"/>
          <w:color w:val="000000" w:themeColor="text1"/>
          <w:sz w:val="30"/>
          <w:szCs w:val="30"/>
          <w14:textFill>
            <w14:solidFill>
              <w14:schemeClr w14:val="tx1"/>
            </w14:solidFill>
          </w14:textFill>
        </w:rPr>
        <w:fldChar w:fldCharType="begin"/>
      </w:r>
      <w:r>
        <w:rPr>
          <w:rStyle w:val="36"/>
          <w:rFonts w:ascii="仿宋_GB2312" w:hAnsi="国标黑体" w:eastAsia="仿宋_GB2312" w:cs="国标黑体"/>
          <w:color w:val="000000" w:themeColor="text1"/>
          <w:sz w:val="30"/>
          <w:szCs w:val="30"/>
          <w14:textFill>
            <w14:solidFill>
              <w14:schemeClr w14:val="tx1"/>
            </w14:solidFill>
          </w14:textFill>
        </w:rPr>
        <w:instrText xml:space="preserve"> PAGEREF _Toc235000749 \h </w:instrText>
      </w:r>
      <w:r>
        <w:rPr>
          <w:rStyle w:val="36"/>
          <w:rFonts w:ascii="仿宋_GB2312" w:hAnsi="国标黑体" w:eastAsia="仿宋_GB2312" w:cs="国标黑体"/>
          <w:color w:val="000000" w:themeColor="text1"/>
          <w:sz w:val="30"/>
          <w:szCs w:val="30"/>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- 28 -</w:t>
      </w:r>
      <w:r>
        <w:rPr>
          <w:rStyle w:val="36"/>
          <w:rFonts w:ascii="仿宋_GB2312" w:hAnsi="国标黑体" w:eastAsia="仿宋_GB2312" w:cs="国标黑体"/>
          <w:color w:val="000000" w:themeColor="text1"/>
          <w:sz w:val="30"/>
          <w:szCs w:val="30"/>
          <w14:textFill>
            <w14:solidFill>
              <w14:schemeClr w14:val="tx1"/>
            </w14:solidFill>
          </w14:textFill>
        </w:rPr>
        <w:fldChar w:fldCharType="end"/>
      </w:r>
      <w:r>
        <w:rPr>
          <w:rStyle w:val="36"/>
          <w:rFonts w:ascii="仿宋_GB2312" w:hAnsi="国标黑体" w:eastAsia="仿宋_GB2312" w:cs="国标黑体"/>
          <w:color w:val="000000" w:themeColor="text1"/>
          <w:sz w:val="30"/>
          <w:szCs w:val="30"/>
          <w14:textFill>
            <w14:solidFill>
              <w14:schemeClr w14:val="tx1"/>
            </w14:solidFill>
          </w14:textFill>
        </w:rPr>
        <w:fldChar w:fldCharType="end"/>
      </w:r>
    </w:p>
    <w:p>
      <w:pPr>
        <w:pStyle w:val="22"/>
        <w:tabs>
          <w:tab w:val="right" w:leader="dot" w:pos="8834"/>
        </w:tabs>
        <w:spacing w:line="600" w:lineRule="exact"/>
        <w:rPr>
          <w:rStyle w:val="36"/>
          <w:rFonts w:ascii="方正小标宋_GBK" w:hAnsi="方正小标宋简体" w:eastAsia="方正小标宋_GBK" w:cs="方正小标宋简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"_Toc235000750" </w:instrText>
      </w:r>
      <w:r>
        <w:rPr>
          <w:color w:val="000000" w:themeColor="text1"/>
          <w14:textFill>
            <w14:solidFill>
              <w14:schemeClr w14:val="tx1"/>
            </w14:solidFill>
          </w14:textFill>
        </w:rPr>
        <w:fldChar w:fldCharType="separate"/>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t>第四章 构建现代化特色产业体系，巩固壮大实体经济根基</w:t>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tab/>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fldChar w:fldCharType="begin"/>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instrText xml:space="preserve"> PAGEREF _Toc235000750 \h </w:instrText>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fldChar w:fldCharType="separate"/>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t>- 34 -</w:t>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fldChar w:fldCharType="end"/>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fldChar w:fldCharType="end"/>
      </w:r>
    </w:p>
    <w:p>
      <w:pPr>
        <w:pStyle w:val="26"/>
        <w:tabs>
          <w:tab w:val="right" w:leader="dot" w:pos="8834"/>
        </w:tabs>
        <w:spacing w:line="600" w:lineRule="exact"/>
        <w:rPr>
          <w:rStyle w:val="36"/>
          <w:rFonts w:ascii="仿宋_GB2312" w:hAnsi="国标黑体" w:eastAsia="仿宋_GB2312" w:cs="国标黑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"_Toc235000751" </w:instrText>
      </w:r>
      <w:r>
        <w:rPr>
          <w:color w:val="000000" w:themeColor="text1"/>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第一节 持续推进先进制造业高质量发展</w:t>
      </w:r>
      <w:r>
        <w:rPr>
          <w:rStyle w:val="36"/>
          <w:rFonts w:ascii="仿宋_GB2312" w:hAnsi="国标黑体" w:eastAsia="仿宋_GB2312" w:cs="国标黑体"/>
          <w:color w:val="000000" w:themeColor="text1"/>
          <w:sz w:val="30"/>
          <w:szCs w:val="30"/>
          <w14:textFill>
            <w14:solidFill>
              <w14:schemeClr w14:val="tx1"/>
            </w14:solidFill>
          </w14:textFill>
        </w:rPr>
        <w:tab/>
      </w:r>
      <w:r>
        <w:rPr>
          <w:rStyle w:val="36"/>
          <w:rFonts w:ascii="仿宋_GB2312" w:hAnsi="国标黑体" w:eastAsia="仿宋_GB2312" w:cs="国标黑体"/>
          <w:color w:val="000000" w:themeColor="text1"/>
          <w:sz w:val="30"/>
          <w:szCs w:val="30"/>
          <w14:textFill>
            <w14:solidFill>
              <w14:schemeClr w14:val="tx1"/>
            </w14:solidFill>
          </w14:textFill>
        </w:rPr>
        <w:fldChar w:fldCharType="begin"/>
      </w:r>
      <w:r>
        <w:rPr>
          <w:rStyle w:val="36"/>
          <w:rFonts w:ascii="仿宋_GB2312" w:hAnsi="国标黑体" w:eastAsia="仿宋_GB2312" w:cs="国标黑体"/>
          <w:color w:val="000000" w:themeColor="text1"/>
          <w:sz w:val="30"/>
          <w:szCs w:val="30"/>
          <w14:textFill>
            <w14:solidFill>
              <w14:schemeClr w14:val="tx1"/>
            </w14:solidFill>
          </w14:textFill>
        </w:rPr>
        <w:instrText xml:space="preserve"> PAGEREF _Toc235000751 \h </w:instrText>
      </w:r>
      <w:r>
        <w:rPr>
          <w:rStyle w:val="36"/>
          <w:rFonts w:ascii="仿宋_GB2312" w:hAnsi="国标黑体" w:eastAsia="仿宋_GB2312" w:cs="国标黑体"/>
          <w:color w:val="000000" w:themeColor="text1"/>
          <w:sz w:val="30"/>
          <w:szCs w:val="30"/>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- 34 -</w:t>
      </w:r>
      <w:r>
        <w:rPr>
          <w:rStyle w:val="36"/>
          <w:rFonts w:ascii="仿宋_GB2312" w:hAnsi="国标黑体" w:eastAsia="仿宋_GB2312" w:cs="国标黑体"/>
          <w:color w:val="000000" w:themeColor="text1"/>
          <w:sz w:val="30"/>
          <w:szCs w:val="30"/>
          <w14:textFill>
            <w14:solidFill>
              <w14:schemeClr w14:val="tx1"/>
            </w14:solidFill>
          </w14:textFill>
        </w:rPr>
        <w:fldChar w:fldCharType="end"/>
      </w:r>
      <w:r>
        <w:rPr>
          <w:rStyle w:val="36"/>
          <w:rFonts w:ascii="仿宋_GB2312" w:hAnsi="国标黑体" w:eastAsia="仿宋_GB2312" w:cs="国标黑体"/>
          <w:color w:val="000000" w:themeColor="text1"/>
          <w:sz w:val="30"/>
          <w:szCs w:val="30"/>
          <w14:textFill>
            <w14:solidFill>
              <w14:schemeClr w14:val="tx1"/>
            </w14:solidFill>
          </w14:textFill>
        </w:rPr>
        <w:fldChar w:fldCharType="end"/>
      </w:r>
    </w:p>
    <w:p>
      <w:pPr>
        <w:pStyle w:val="26"/>
        <w:tabs>
          <w:tab w:val="right" w:leader="dot" w:pos="8834"/>
        </w:tabs>
        <w:spacing w:line="600" w:lineRule="exact"/>
        <w:rPr>
          <w:rStyle w:val="36"/>
          <w:rFonts w:ascii="仿宋_GB2312" w:hAnsi="国标黑体" w:eastAsia="仿宋_GB2312" w:cs="国标黑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"_Toc235000752" </w:instrText>
      </w:r>
      <w:r>
        <w:rPr>
          <w:color w:val="000000" w:themeColor="text1"/>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第二节 壮大高附加值绿色农林产品及其加工产业</w:t>
      </w:r>
      <w:r>
        <w:rPr>
          <w:rStyle w:val="36"/>
          <w:rFonts w:ascii="仿宋_GB2312" w:hAnsi="国标黑体" w:eastAsia="仿宋_GB2312" w:cs="国标黑体"/>
          <w:color w:val="000000" w:themeColor="text1"/>
          <w:sz w:val="30"/>
          <w:szCs w:val="30"/>
          <w14:textFill>
            <w14:solidFill>
              <w14:schemeClr w14:val="tx1"/>
            </w14:solidFill>
          </w14:textFill>
        </w:rPr>
        <w:tab/>
      </w:r>
      <w:r>
        <w:rPr>
          <w:rStyle w:val="36"/>
          <w:rFonts w:ascii="仿宋_GB2312" w:hAnsi="国标黑体" w:eastAsia="仿宋_GB2312" w:cs="国标黑体"/>
          <w:color w:val="000000" w:themeColor="text1"/>
          <w:sz w:val="30"/>
          <w:szCs w:val="30"/>
          <w14:textFill>
            <w14:solidFill>
              <w14:schemeClr w14:val="tx1"/>
            </w14:solidFill>
          </w14:textFill>
        </w:rPr>
        <w:fldChar w:fldCharType="begin"/>
      </w:r>
      <w:r>
        <w:rPr>
          <w:rStyle w:val="36"/>
          <w:rFonts w:ascii="仿宋_GB2312" w:hAnsi="国标黑体" w:eastAsia="仿宋_GB2312" w:cs="国标黑体"/>
          <w:color w:val="000000" w:themeColor="text1"/>
          <w:sz w:val="30"/>
          <w:szCs w:val="30"/>
          <w14:textFill>
            <w14:solidFill>
              <w14:schemeClr w14:val="tx1"/>
            </w14:solidFill>
          </w14:textFill>
        </w:rPr>
        <w:instrText xml:space="preserve"> PAGEREF _Toc235000752 \h </w:instrText>
      </w:r>
      <w:r>
        <w:rPr>
          <w:rStyle w:val="36"/>
          <w:rFonts w:ascii="仿宋_GB2312" w:hAnsi="国标黑体" w:eastAsia="仿宋_GB2312" w:cs="国标黑体"/>
          <w:color w:val="000000" w:themeColor="text1"/>
          <w:sz w:val="30"/>
          <w:szCs w:val="30"/>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- 38 -</w:t>
      </w:r>
      <w:r>
        <w:rPr>
          <w:rStyle w:val="36"/>
          <w:rFonts w:ascii="仿宋_GB2312" w:hAnsi="国标黑体" w:eastAsia="仿宋_GB2312" w:cs="国标黑体"/>
          <w:color w:val="000000" w:themeColor="text1"/>
          <w:sz w:val="30"/>
          <w:szCs w:val="30"/>
          <w14:textFill>
            <w14:solidFill>
              <w14:schemeClr w14:val="tx1"/>
            </w14:solidFill>
          </w14:textFill>
        </w:rPr>
        <w:fldChar w:fldCharType="end"/>
      </w:r>
      <w:r>
        <w:rPr>
          <w:rStyle w:val="36"/>
          <w:rFonts w:ascii="仿宋_GB2312" w:hAnsi="国标黑体" w:eastAsia="仿宋_GB2312" w:cs="国标黑体"/>
          <w:color w:val="000000" w:themeColor="text1"/>
          <w:sz w:val="30"/>
          <w:szCs w:val="30"/>
          <w14:textFill>
            <w14:solidFill>
              <w14:schemeClr w14:val="tx1"/>
            </w14:solidFill>
          </w14:textFill>
        </w:rPr>
        <w:fldChar w:fldCharType="end"/>
      </w:r>
    </w:p>
    <w:p>
      <w:pPr>
        <w:pStyle w:val="26"/>
        <w:tabs>
          <w:tab w:val="right" w:leader="dot" w:pos="8834"/>
        </w:tabs>
        <w:spacing w:line="600" w:lineRule="exact"/>
        <w:rPr>
          <w:rStyle w:val="36"/>
          <w:rFonts w:ascii="仿宋_GB2312" w:hAnsi="国标黑体" w:eastAsia="仿宋_GB2312" w:cs="国标黑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"_Toc235000753" </w:instrText>
      </w:r>
      <w:r>
        <w:rPr>
          <w:color w:val="000000" w:themeColor="text1"/>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第三节 打造高品质医药大健康产业</w:t>
      </w:r>
      <w:r>
        <w:rPr>
          <w:rStyle w:val="36"/>
          <w:rFonts w:ascii="仿宋_GB2312" w:hAnsi="国标黑体" w:eastAsia="仿宋_GB2312" w:cs="国标黑体"/>
          <w:color w:val="000000" w:themeColor="text1"/>
          <w:sz w:val="30"/>
          <w:szCs w:val="30"/>
          <w14:textFill>
            <w14:solidFill>
              <w14:schemeClr w14:val="tx1"/>
            </w14:solidFill>
          </w14:textFill>
        </w:rPr>
        <w:tab/>
      </w:r>
      <w:r>
        <w:rPr>
          <w:rStyle w:val="36"/>
          <w:rFonts w:ascii="仿宋_GB2312" w:hAnsi="国标黑体" w:eastAsia="仿宋_GB2312" w:cs="国标黑体"/>
          <w:color w:val="000000" w:themeColor="text1"/>
          <w:sz w:val="30"/>
          <w:szCs w:val="30"/>
          <w14:textFill>
            <w14:solidFill>
              <w14:schemeClr w14:val="tx1"/>
            </w14:solidFill>
          </w14:textFill>
        </w:rPr>
        <w:fldChar w:fldCharType="begin"/>
      </w:r>
      <w:r>
        <w:rPr>
          <w:rStyle w:val="36"/>
          <w:rFonts w:ascii="仿宋_GB2312" w:hAnsi="国标黑体" w:eastAsia="仿宋_GB2312" w:cs="国标黑体"/>
          <w:color w:val="000000" w:themeColor="text1"/>
          <w:sz w:val="30"/>
          <w:szCs w:val="30"/>
          <w14:textFill>
            <w14:solidFill>
              <w14:schemeClr w14:val="tx1"/>
            </w14:solidFill>
          </w14:textFill>
        </w:rPr>
        <w:instrText xml:space="preserve"> PAGEREF _Toc235000753 \h </w:instrText>
      </w:r>
      <w:r>
        <w:rPr>
          <w:rStyle w:val="36"/>
          <w:rFonts w:ascii="仿宋_GB2312" w:hAnsi="国标黑体" w:eastAsia="仿宋_GB2312" w:cs="国标黑体"/>
          <w:color w:val="000000" w:themeColor="text1"/>
          <w:sz w:val="30"/>
          <w:szCs w:val="30"/>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- 42 -</w:t>
      </w:r>
      <w:r>
        <w:rPr>
          <w:rStyle w:val="36"/>
          <w:rFonts w:ascii="仿宋_GB2312" w:hAnsi="国标黑体" w:eastAsia="仿宋_GB2312" w:cs="国标黑体"/>
          <w:color w:val="000000" w:themeColor="text1"/>
          <w:sz w:val="30"/>
          <w:szCs w:val="30"/>
          <w14:textFill>
            <w14:solidFill>
              <w14:schemeClr w14:val="tx1"/>
            </w14:solidFill>
          </w14:textFill>
        </w:rPr>
        <w:fldChar w:fldCharType="end"/>
      </w:r>
      <w:r>
        <w:rPr>
          <w:rStyle w:val="36"/>
          <w:rFonts w:ascii="仿宋_GB2312" w:hAnsi="国标黑体" w:eastAsia="仿宋_GB2312" w:cs="国标黑体"/>
          <w:color w:val="000000" w:themeColor="text1"/>
          <w:sz w:val="30"/>
          <w:szCs w:val="30"/>
          <w14:textFill>
            <w14:solidFill>
              <w14:schemeClr w14:val="tx1"/>
            </w14:solidFill>
          </w14:textFill>
        </w:rPr>
        <w:fldChar w:fldCharType="end"/>
      </w:r>
    </w:p>
    <w:p>
      <w:pPr>
        <w:pStyle w:val="26"/>
        <w:tabs>
          <w:tab w:val="right" w:leader="dot" w:pos="8834"/>
        </w:tabs>
        <w:spacing w:line="600" w:lineRule="exact"/>
        <w:rPr>
          <w:rStyle w:val="36"/>
          <w:rFonts w:ascii="仿宋_GB2312" w:hAnsi="国标黑体" w:eastAsia="仿宋_GB2312" w:cs="国标黑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"_Toc235000754" </w:instrText>
      </w:r>
      <w:r>
        <w:rPr>
          <w:color w:val="000000" w:themeColor="text1"/>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第四节 培育高效能新能源产业</w:t>
      </w:r>
      <w:r>
        <w:rPr>
          <w:rStyle w:val="36"/>
          <w:rFonts w:ascii="仿宋_GB2312" w:hAnsi="国标黑体" w:eastAsia="仿宋_GB2312" w:cs="国标黑体"/>
          <w:color w:val="000000" w:themeColor="text1"/>
          <w:sz w:val="30"/>
          <w:szCs w:val="30"/>
          <w14:textFill>
            <w14:solidFill>
              <w14:schemeClr w14:val="tx1"/>
            </w14:solidFill>
          </w14:textFill>
        </w:rPr>
        <w:tab/>
      </w:r>
      <w:r>
        <w:rPr>
          <w:rStyle w:val="36"/>
          <w:rFonts w:ascii="仿宋_GB2312" w:hAnsi="国标黑体" w:eastAsia="仿宋_GB2312" w:cs="国标黑体"/>
          <w:color w:val="000000" w:themeColor="text1"/>
          <w:sz w:val="30"/>
          <w:szCs w:val="30"/>
          <w14:textFill>
            <w14:solidFill>
              <w14:schemeClr w14:val="tx1"/>
            </w14:solidFill>
          </w14:textFill>
        </w:rPr>
        <w:fldChar w:fldCharType="begin"/>
      </w:r>
      <w:r>
        <w:rPr>
          <w:rStyle w:val="36"/>
          <w:rFonts w:ascii="仿宋_GB2312" w:hAnsi="国标黑体" w:eastAsia="仿宋_GB2312" w:cs="国标黑体"/>
          <w:color w:val="000000" w:themeColor="text1"/>
          <w:sz w:val="30"/>
          <w:szCs w:val="30"/>
          <w14:textFill>
            <w14:solidFill>
              <w14:schemeClr w14:val="tx1"/>
            </w14:solidFill>
          </w14:textFill>
        </w:rPr>
        <w:instrText xml:space="preserve"> PAGEREF _Toc235000754 \h </w:instrText>
      </w:r>
      <w:r>
        <w:rPr>
          <w:rStyle w:val="36"/>
          <w:rFonts w:ascii="仿宋_GB2312" w:hAnsi="国标黑体" w:eastAsia="仿宋_GB2312" w:cs="国标黑体"/>
          <w:color w:val="000000" w:themeColor="text1"/>
          <w:sz w:val="30"/>
          <w:szCs w:val="30"/>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- 43 -</w:t>
      </w:r>
      <w:r>
        <w:rPr>
          <w:rStyle w:val="36"/>
          <w:rFonts w:ascii="仿宋_GB2312" w:hAnsi="国标黑体" w:eastAsia="仿宋_GB2312" w:cs="国标黑体"/>
          <w:color w:val="000000" w:themeColor="text1"/>
          <w:sz w:val="30"/>
          <w:szCs w:val="30"/>
          <w14:textFill>
            <w14:solidFill>
              <w14:schemeClr w14:val="tx1"/>
            </w14:solidFill>
          </w14:textFill>
        </w:rPr>
        <w:fldChar w:fldCharType="end"/>
      </w:r>
      <w:r>
        <w:rPr>
          <w:rStyle w:val="36"/>
          <w:rFonts w:ascii="仿宋_GB2312" w:hAnsi="国标黑体" w:eastAsia="仿宋_GB2312" w:cs="国标黑体"/>
          <w:color w:val="000000" w:themeColor="text1"/>
          <w:sz w:val="30"/>
          <w:szCs w:val="30"/>
          <w14:textFill>
            <w14:solidFill>
              <w14:schemeClr w14:val="tx1"/>
            </w14:solidFill>
          </w14:textFill>
        </w:rPr>
        <w:fldChar w:fldCharType="end"/>
      </w:r>
    </w:p>
    <w:p>
      <w:pPr>
        <w:pStyle w:val="26"/>
        <w:tabs>
          <w:tab w:val="right" w:leader="dot" w:pos="8834"/>
        </w:tabs>
        <w:spacing w:line="600" w:lineRule="exact"/>
        <w:rPr>
          <w:rStyle w:val="36"/>
          <w:rFonts w:ascii="仿宋_GB2312" w:hAnsi="国标黑体" w:eastAsia="仿宋_GB2312" w:cs="国标黑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"_Toc235000755" </w:instrText>
      </w:r>
      <w:r>
        <w:rPr>
          <w:color w:val="000000" w:themeColor="text1"/>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第五节 塑造高品位生态文旅产业</w:t>
      </w:r>
      <w:r>
        <w:rPr>
          <w:rStyle w:val="36"/>
          <w:rFonts w:ascii="仿宋_GB2312" w:hAnsi="国标黑体" w:eastAsia="仿宋_GB2312" w:cs="国标黑体"/>
          <w:color w:val="000000" w:themeColor="text1"/>
          <w:sz w:val="30"/>
          <w:szCs w:val="30"/>
          <w14:textFill>
            <w14:solidFill>
              <w14:schemeClr w14:val="tx1"/>
            </w14:solidFill>
          </w14:textFill>
        </w:rPr>
        <w:tab/>
      </w:r>
      <w:r>
        <w:rPr>
          <w:rStyle w:val="36"/>
          <w:rFonts w:ascii="仿宋_GB2312" w:hAnsi="国标黑体" w:eastAsia="仿宋_GB2312" w:cs="国标黑体"/>
          <w:color w:val="000000" w:themeColor="text1"/>
          <w:sz w:val="30"/>
          <w:szCs w:val="30"/>
          <w14:textFill>
            <w14:solidFill>
              <w14:schemeClr w14:val="tx1"/>
            </w14:solidFill>
          </w14:textFill>
        </w:rPr>
        <w:fldChar w:fldCharType="begin"/>
      </w:r>
      <w:r>
        <w:rPr>
          <w:rStyle w:val="36"/>
          <w:rFonts w:ascii="仿宋_GB2312" w:hAnsi="国标黑体" w:eastAsia="仿宋_GB2312" w:cs="国标黑体"/>
          <w:color w:val="000000" w:themeColor="text1"/>
          <w:sz w:val="30"/>
          <w:szCs w:val="30"/>
          <w14:textFill>
            <w14:solidFill>
              <w14:schemeClr w14:val="tx1"/>
            </w14:solidFill>
          </w14:textFill>
        </w:rPr>
        <w:instrText xml:space="preserve"> PAGEREF _Toc235000755 \h </w:instrText>
      </w:r>
      <w:r>
        <w:rPr>
          <w:rStyle w:val="36"/>
          <w:rFonts w:ascii="仿宋_GB2312" w:hAnsi="国标黑体" w:eastAsia="仿宋_GB2312" w:cs="国标黑体"/>
          <w:color w:val="000000" w:themeColor="text1"/>
          <w:sz w:val="30"/>
          <w:szCs w:val="30"/>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- 45 -</w:t>
      </w:r>
      <w:r>
        <w:rPr>
          <w:rStyle w:val="36"/>
          <w:rFonts w:ascii="仿宋_GB2312" w:hAnsi="国标黑体" w:eastAsia="仿宋_GB2312" w:cs="国标黑体"/>
          <w:color w:val="000000" w:themeColor="text1"/>
          <w:sz w:val="30"/>
          <w:szCs w:val="30"/>
          <w14:textFill>
            <w14:solidFill>
              <w14:schemeClr w14:val="tx1"/>
            </w14:solidFill>
          </w14:textFill>
        </w:rPr>
        <w:fldChar w:fldCharType="end"/>
      </w:r>
      <w:r>
        <w:rPr>
          <w:rStyle w:val="36"/>
          <w:rFonts w:ascii="仿宋_GB2312" w:hAnsi="国标黑体" w:eastAsia="仿宋_GB2312" w:cs="国标黑体"/>
          <w:color w:val="000000" w:themeColor="text1"/>
          <w:sz w:val="30"/>
          <w:szCs w:val="30"/>
          <w14:textFill>
            <w14:solidFill>
              <w14:schemeClr w14:val="tx1"/>
            </w14:solidFill>
          </w14:textFill>
        </w:rPr>
        <w:fldChar w:fldCharType="end"/>
      </w:r>
    </w:p>
    <w:p>
      <w:pPr>
        <w:pStyle w:val="26"/>
        <w:tabs>
          <w:tab w:val="right" w:leader="dot" w:pos="8834"/>
        </w:tabs>
        <w:spacing w:line="600" w:lineRule="exact"/>
        <w:rPr>
          <w:rStyle w:val="36"/>
          <w:rFonts w:ascii="仿宋_GB2312" w:hAnsi="国标黑体" w:eastAsia="仿宋_GB2312" w:cs="国标黑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"_Toc235000756" </w:instrText>
      </w:r>
      <w:r>
        <w:rPr>
          <w:color w:val="000000" w:themeColor="text1"/>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第六节 提升现代化服务业发展能级</w:t>
      </w:r>
      <w:r>
        <w:rPr>
          <w:rStyle w:val="36"/>
          <w:rFonts w:ascii="仿宋_GB2312" w:hAnsi="国标黑体" w:eastAsia="仿宋_GB2312" w:cs="国标黑体"/>
          <w:color w:val="000000" w:themeColor="text1"/>
          <w:sz w:val="30"/>
          <w:szCs w:val="30"/>
          <w14:textFill>
            <w14:solidFill>
              <w14:schemeClr w14:val="tx1"/>
            </w14:solidFill>
          </w14:textFill>
        </w:rPr>
        <w:tab/>
      </w:r>
      <w:r>
        <w:rPr>
          <w:rStyle w:val="36"/>
          <w:rFonts w:ascii="仿宋_GB2312" w:hAnsi="国标黑体" w:eastAsia="仿宋_GB2312" w:cs="国标黑体"/>
          <w:color w:val="000000" w:themeColor="text1"/>
          <w:sz w:val="30"/>
          <w:szCs w:val="30"/>
          <w14:textFill>
            <w14:solidFill>
              <w14:schemeClr w14:val="tx1"/>
            </w14:solidFill>
          </w14:textFill>
        </w:rPr>
        <w:fldChar w:fldCharType="begin"/>
      </w:r>
      <w:r>
        <w:rPr>
          <w:rStyle w:val="36"/>
          <w:rFonts w:ascii="仿宋_GB2312" w:hAnsi="国标黑体" w:eastAsia="仿宋_GB2312" w:cs="国标黑体"/>
          <w:color w:val="000000" w:themeColor="text1"/>
          <w:sz w:val="30"/>
          <w:szCs w:val="30"/>
          <w14:textFill>
            <w14:solidFill>
              <w14:schemeClr w14:val="tx1"/>
            </w14:solidFill>
          </w14:textFill>
        </w:rPr>
        <w:instrText xml:space="preserve"> PAGEREF _Toc235000756 \h </w:instrText>
      </w:r>
      <w:r>
        <w:rPr>
          <w:rStyle w:val="36"/>
          <w:rFonts w:ascii="仿宋_GB2312" w:hAnsi="国标黑体" w:eastAsia="仿宋_GB2312" w:cs="国标黑体"/>
          <w:color w:val="000000" w:themeColor="text1"/>
          <w:sz w:val="30"/>
          <w:szCs w:val="30"/>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- 48 -</w:t>
      </w:r>
      <w:r>
        <w:rPr>
          <w:rStyle w:val="36"/>
          <w:rFonts w:ascii="仿宋_GB2312" w:hAnsi="国标黑体" w:eastAsia="仿宋_GB2312" w:cs="国标黑体"/>
          <w:color w:val="000000" w:themeColor="text1"/>
          <w:sz w:val="30"/>
          <w:szCs w:val="30"/>
          <w14:textFill>
            <w14:solidFill>
              <w14:schemeClr w14:val="tx1"/>
            </w14:solidFill>
          </w14:textFill>
        </w:rPr>
        <w:fldChar w:fldCharType="end"/>
      </w:r>
      <w:r>
        <w:rPr>
          <w:rStyle w:val="36"/>
          <w:rFonts w:ascii="仿宋_GB2312" w:hAnsi="国标黑体" w:eastAsia="仿宋_GB2312" w:cs="国标黑体"/>
          <w:color w:val="000000" w:themeColor="text1"/>
          <w:sz w:val="30"/>
          <w:szCs w:val="30"/>
          <w14:textFill>
            <w14:solidFill>
              <w14:schemeClr w14:val="tx1"/>
            </w14:solidFill>
          </w14:textFill>
        </w:rPr>
        <w:fldChar w:fldCharType="end"/>
      </w:r>
    </w:p>
    <w:p>
      <w:pPr>
        <w:pStyle w:val="26"/>
        <w:tabs>
          <w:tab w:val="right" w:leader="dot" w:pos="8834"/>
        </w:tabs>
        <w:spacing w:line="600" w:lineRule="exact"/>
        <w:rPr>
          <w:rStyle w:val="36"/>
          <w:rFonts w:ascii="仿宋_GB2312" w:hAnsi="国标黑体" w:eastAsia="仿宋_GB2312" w:cs="国标黑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"_Toc235000757" </w:instrText>
      </w:r>
      <w:r>
        <w:rPr>
          <w:color w:val="000000" w:themeColor="text1"/>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第七节 建设现代化产业园区</w:t>
      </w:r>
      <w:r>
        <w:rPr>
          <w:rStyle w:val="36"/>
          <w:rFonts w:ascii="仿宋_GB2312" w:hAnsi="国标黑体" w:eastAsia="仿宋_GB2312" w:cs="国标黑体"/>
          <w:color w:val="000000" w:themeColor="text1"/>
          <w:sz w:val="30"/>
          <w:szCs w:val="30"/>
          <w14:textFill>
            <w14:solidFill>
              <w14:schemeClr w14:val="tx1"/>
            </w14:solidFill>
          </w14:textFill>
        </w:rPr>
        <w:tab/>
      </w:r>
      <w:r>
        <w:rPr>
          <w:rStyle w:val="36"/>
          <w:rFonts w:ascii="仿宋_GB2312" w:hAnsi="国标黑体" w:eastAsia="仿宋_GB2312" w:cs="国标黑体"/>
          <w:color w:val="000000" w:themeColor="text1"/>
          <w:sz w:val="30"/>
          <w:szCs w:val="30"/>
          <w14:textFill>
            <w14:solidFill>
              <w14:schemeClr w14:val="tx1"/>
            </w14:solidFill>
          </w14:textFill>
        </w:rPr>
        <w:fldChar w:fldCharType="begin"/>
      </w:r>
      <w:r>
        <w:rPr>
          <w:rStyle w:val="36"/>
          <w:rFonts w:ascii="仿宋_GB2312" w:hAnsi="国标黑体" w:eastAsia="仿宋_GB2312" w:cs="国标黑体"/>
          <w:color w:val="000000" w:themeColor="text1"/>
          <w:sz w:val="30"/>
          <w:szCs w:val="30"/>
          <w14:textFill>
            <w14:solidFill>
              <w14:schemeClr w14:val="tx1"/>
            </w14:solidFill>
          </w14:textFill>
        </w:rPr>
        <w:instrText xml:space="preserve"> PAGEREF _Toc235000757 \h </w:instrText>
      </w:r>
      <w:r>
        <w:rPr>
          <w:rStyle w:val="36"/>
          <w:rFonts w:ascii="仿宋_GB2312" w:hAnsi="国标黑体" w:eastAsia="仿宋_GB2312" w:cs="国标黑体"/>
          <w:color w:val="000000" w:themeColor="text1"/>
          <w:sz w:val="30"/>
          <w:szCs w:val="30"/>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- 51 -</w:t>
      </w:r>
      <w:r>
        <w:rPr>
          <w:rStyle w:val="36"/>
          <w:rFonts w:ascii="仿宋_GB2312" w:hAnsi="国标黑体" w:eastAsia="仿宋_GB2312" w:cs="国标黑体"/>
          <w:color w:val="000000" w:themeColor="text1"/>
          <w:sz w:val="30"/>
          <w:szCs w:val="30"/>
          <w14:textFill>
            <w14:solidFill>
              <w14:schemeClr w14:val="tx1"/>
            </w14:solidFill>
          </w14:textFill>
        </w:rPr>
        <w:fldChar w:fldCharType="end"/>
      </w:r>
      <w:r>
        <w:rPr>
          <w:rStyle w:val="36"/>
          <w:rFonts w:ascii="仿宋_GB2312" w:hAnsi="国标黑体" w:eastAsia="仿宋_GB2312" w:cs="国标黑体"/>
          <w:color w:val="000000" w:themeColor="text1"/>
          <w:sz w:val="30"/>
          <w:szCs w:val="30"/>
          <w14:textFill>
            <w14:solidFill>
              <w14:schemeClr w14:val="tx1"/>
            </w14:solidFill>
          </w14:textFill>
        </w:rPr>
        <w:fldChar w:fldCharType="end"/>
      </w:r>
    </w:p>
    <w:p>
      <w:pPr>
        <w:pStyle w:val="22"/>
        <w:tabs>
          <w:tab w:val="right" w:leader="dot" w:pos="8834"/>
        </w:tabs>
        <w:spacing w:line="600" w:lineRule="exact"/>
        <w:rPr>
          <w:rStyle w:val="36"/>
          <w:rFonts w:ascii="方正小标宋_GBK" w:hAnsi="方正小标宋简体" w:eastAsia="方正小标宋_GBK" w:cs="方正小标宋简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"_Toc235000758" </w:instrText>
      </w:r>
      <w:r>
        <w:rPr>
          <w:color w:val="000000" w:themeColor="text1"/>
          <w14:textFill>
            <w14:solidFill>
              <w14:schemeClr w14:val="tx1"/>
            </w14:solidFill>
          </w14:textFill>
        </w:rPr>
        <w:fldChar w:fldCharType="separate"/>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t>第五章 加快高水平科技发展，积极培育新质生产力</w:t>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tab/>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fldChar w:fldCharType="begin"/>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instrText xml:space="preserve"> PAGEREF _Toc235000758 \h </w:instrText>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fldChar w:fldCharType="separate"/>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t>- 54 -</w:t>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fldChar w:fldCharType="end"/>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fldChar w:fldCharType="end"/>
      </w:r>
    </w:p>
    <w:p>
      <w:pPr>
        <w:pStyle w:val="26"/>
        <w:tabs>
          <w:tab w:val="right" w:leader="dot" w:pos="8834"/>
        </w:tabs>
        <w:spacing w:line="600" w:lineRule="exact"/>
        <w:rPr>
          <w:rStyle w:val="36"/>
          <w:rFonts w:ascii="仿宋_GB2312" w:hAnsi="国标黑体" w:eastAsia="仿宋_GB2312" w:cs="国标黑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"_Toc235000759" </w:instrText>
      </w:r>
      <w:r>
        <w:rPr>
          <w:color w:val="000000" w:themeColor="text1"/>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第一节 加快科技创新平台建设</w:t>
      </w:r>
      <w:r>
        <w:rPr>
          <w:rStyle w:val="36"/>
          <w:rFonts w:ascii="仿宋_GB2312" w:hAnsi="国标黑体" w:eastAsia="仿宋_GB2312" w:cs="国标黑体"/>
          <w:color w:val="000000" w:themeColor="text1"/>
          <w:sz w:val="30"/>
          <w:szCs w:val="30"/>
          <w14:textFill>
            <w14:solidFill>
              <w14:schemeClr w14:val="tx1"/>
            </w14:solidFill>
          </w14:textFill>
        </w:rPr>
        <w:tab/>
      </w:r>
      <w:r>
        <w:rPr>
          <w:rStyle w:val="36"/>
          <w:rFonts w:ascii="仿宋_GB2312" w:hAnsi="国标黑体" w:eastAsia="仿宋_GB2312" w:cs="国标黑体"/>
          <w:color w:val="000000" w:themeColor="text1"/>
          <w:sz w:val="30"/>
          <w:szCs w:val="30"/>
          <w14:textFill>
            <w14:solidFill>
              <w14:schemeClr w14:val="tx1"/>
            </w14:solidFill>
          </w14:textFill>
        </w:rPr>
        <w:fldChar w:fldCharType="begin"/>
      </w:r>
      <w:r>
        <w:rPr>
          <w:rStyle w:val="36"/>
          <w:rFonts w:ascii="仿宋_GB2312" w:hAnsi="国标黑体" w:eastAsia="仿宋_GB2312" w:cs="国标黑体"/>
          <w:color w:val="000000" w:themeColor="text1"/>
          <w:sz w:val="30"/>
          <w:szCs w:val="30"/>
          <w14:textFill>
            <w14:solidFill>
              <w14:schemeClr w14:val="tx1"/>
            </w14:solidFill>
          </w14:textFill>
        </w:rPr>
        <w:instrText xml:space="preserve"> PAGEREF _Toc235000759 \h </w:instrText>
      </w:r>
      <w:r>
        <w:rPr>
          <w:rStyle w:val="36"/>
          <w:rFonts w:ascii="仿宋_GB2312" w:hAnsi="国标黑体" w:eastAsia="仿宋_GB2312" w:cs="国标黑体"/>
          <w:color w:val="000000" w:themeColor="text1"/>
          <w:sz w:val="30"/>
          <w:szCs w:val="30"/>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- 54 -</w:t>
      </w:r>
      <w:r>
        <w:rPr>
          <w:rStyle w:val="36"/>
          <w:rFonts w:ascii="仿宋_GB2312" w:hAnsi="国标黑体" w:eastAsia="仿宋_GB2312" w:cs="国标黑体"/>
          <w:color w:val="000000" w:themeColor="text1"/>
          <w:sz w:val="30"/>
          <w:szCs w:val="30"/>
          <w14:textFill>
            <w14:solidFill>
              <w14:schemeClr w14:val="tx1"/>
            </w14:solidFill>
          </w14:textFill>
        </w:rPr>
        <w:fldChar w:fldCharType="end"/>
      </w:r>
      <w:r>
        <w:rPr>
          <w:rStyle w:val="36"/>
          <w:rFonts w:ascii="仿宋_GB2312" w:hAnsi="国标黑体" w:eastAsia="仿宋_GB2312" w:cs="国标黑体"/>
          <w:color w:val="000000" w:themeColor="text1"/>
          <w:sz w:val="30"/>
          <w:szCs w:val="30"/>
          <w14:textFill>
            <w14:solidFill>
              <w14:schemeClr w14:val="tx1"/>
            </w14:solidFill>
          </w14:textFill>
        </w:rPr>
        <w:fldChar w:fldCharType="end"/>
      </w:r>
    </w:p>
    <w:p>
      <w:pPr>
        <w:pStyle w:val="26"/>
        <w:tabs>
          <w:tab w:val="right" w:leader="dot" w:pos="8834"/>
        </w:tabs>
        <w:spacing w:line="600" w:lineRule="exact"/>
        <w:rPr>
          <w:rStyle w:val="36"/>
          <w:rFonts w:ascii="仿宋_GB2312" w:hAnsi="国标黑体" w:eastAsia="仿宋_GB2312" w:cs="国标黑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"_Toc235000760" </w:instrText>
      </w:r>
      <w:r>
        <w:rPr>
          <w:color w:val="000000" w:themeColor="text1"/>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第二节 发挥企业创新主体作用</w:t>
      </w:r>
      <w:r>
        <w:rPr>
          <w:rStyle w:val="36"/>
          <w:rFonts w:ascii="仿宋_GB2312" w:hAnsi="国标黑体" w:eastAsia="仿宋_GB2312" w:cs="国标黑体"/>
          <w:color w:val="000000" w:themeColor="text1"/>
          <w:sz w:val="30"/>
          <w:szCs w:val="30"/>
          <w14:textFill>
            <w14:solidFill>
              <w14:schemeClr w14:val="tx1"/>
            </w14:solidFill>
          </w14:textFill>
        </w:rPr>
        <w:tab/>
      </w:r>
      <w:r>
        <w:rPr>
          <w:rStyle w:val="36"/>
          <w:rFonts w:ascii="仿宋_GB2312" w:hAnsi="国标黑体" w:eastAsia="仿宋_GB2312" w:cs="国标黑体"/>
          <w:color w:val="000000" w:themeColor="text1"/>
          <w:sz w:val="30"/>
          <w:szCs w:val="30"/>
          <w14:textFill>
            <w14:solidFill>
              <w14:schemeClr w14:val="tx1"/>
            </w14:solidFill>
          </w14:textFill>
        </w:rPr>
        <w:fldChar w:fldCharType="begin"/>
      </w:r>
      <w:r>
        <w:rPr>
          <w:rStyle w:val="36"/>
          <w:rFonts w:ascii="仿宋_GB2312" w:hAnsi="国标黑体" w:eastAsia="仿宋_GB2312" w:cs="国标黑体"/>
          <w:color w:val="000000" w:themeColor="text1"/>
          <w:sz w:val="30"/>
          <w:szCs w:val="30"/>
          <w14:textFill>
            <w14:solidFill>
              <w14:schemeClr w14:val="tx1"/>
            </w14:solidFill>
          </w14:textFill>
        </w:rPr>
        <w:instrText xml:space="preserve"> PAGEREF _Toc235000760 \h </w:instrText>
      </w:r>
      <w:r>
        <w:rPr>
          <w:rStyle w:val="36"/>
          <w:rFonts w:ascii="仿宋_GB2312" w:hAnsi="国标黑体" w:eastAsia="仿宋_GB2312" w:cs="国标黑体"/>
          <w:color w:val="000000" w:themeColor="text1"/>
          <w:sz w:val="30"/>
          <w:szCs w:val="30"/>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- 55 -</w:t>
      </w:r>
      <w:r>
        <w:rPr>
          <w:rStyle w:val="36"/>
          <w:rFonts w:ascii="仿宋_GB2312" w:hAnsi="国标黑体" w:eastAsia="仿宋_GB2312" w:cs="国标黑体"/>
          <w:color w:val="000000" w:themeColor="text1"/>
          <w:sz w:val="30"/>
          <w:szCs w:val="30"/>
          <w14:textFill>
            <w14:solidFill>
              <w14:schemeClr w14:val="tx1"/>
            </w14:solidFill>
          </w14:textFill>
        </w:rPr>
        <w:fldChar w:fldCharType="end"/>
      </w:r>
      <w:r>
        <w:rPr>
          <w:rStyle w:val="36"/>
          <w:rFonts w:ascii="仿宋_GB2312" w:hAnsi="国标黑体" w:eastAsia="仿宋_GB2312" w:cs="国标黑体"/>
          <w:color w:val="000000" w:themeColor="text1"/>
          <w:sz w:val="30"/>
          <w:szCs w:val="30"/>
          <w14:textFill>
            <w14:solidFill>
              <w14:schemeClr w14:val="tx1"/>
            </w14:solidFill>
          </w14:textFill>
        </w:rPr>
        <w:fldChar w:fldCharType="end"/>
      </w:r>
    </w:p>
    <w:p>
      <w:pPr>
        <w:pStyle w:val="26"/>
        <w:tabs>
          <w:tab w:val="right" w:leader="dot" w:pos="8834"/>
        </w:tabs>
        <w:spacing w:line="600" w:lineRule="exact"/>
        <w:rPr>
          <w:rStyle w:val="36"/>
          <w:rFonts w:ascii="仿宋_GB2312" w:hAnsi="国标黑体" w:eastAsia="仿宋_GB2312" w:cs="国标黑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"_Toc235000761" </w:instrText>
      </w:r>
      <w:r>
        <w:rPr>
          <w:color w:val="000000" w:themeColor="text1"/>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第三节 优化人才成长发展环境</w:t>
      </w:r>
      <w:r>
        <w:rPr>
          <w:rStyle w:val="36"/>
          <w:rFonts w:ascii="仿宋_GB2312" w:hAnsi="国标黑体" w:eastAsia="仿宋_GB2312" w:cs="国标黑体"/>
          <w:color w:val="000000" w:themeColor="text1"/>
          <w:sz w:val="30"/>
          <w:szCs w:val="30"/>
          <w14:textFill>
            <w14:solidFill>
              <w14:schemeClr w14:val="tx1"/>
            </w14:solidFill>
          </w14:textFill>
        </w:rPr>
        <w:tab/>
      </w:r>
      <w:r>
        <w:rPr>
          <w:rStyle w:val="36"/>
          <w:rFonts w:ascii="仿宋_GB2312" w:hAnsi="国标黑体" w:eastAsia="仿宋_GB2312" w:cs="国标黑体"/>
          <w:color w:val="000000" w:themeColor="text1"/>
          <w:sz w:val="30"/>
          <w:szCs w:val="30"/>
          <w14:textFill>
            <w14:solidFill>
              <w14:schemeClr w14:val="tx1"/>
            </w14:solidFill>
          </w14:textFill>
        </w:rPr>
        <w:fldChar w:fldCharType="begin"/>
      </w:r>
      <w:r>
        <w:rPr>
          <w:rStyle w:val="36"/>
          <w:rFonts w:ascii="仿宋_GB2312" w:hAnsi="国标黑体" w:eastAsia="仿宋_GB2312" w:cs="国标黑体"/>
          <w:color w:val="000000" w:themeColor="text1"/>
          <w:sz w:val="30"/>
          <w:szCs w:val="30"/>
          <w14:textFill>
            <w14:solidFill>
              <w14:schemeClr w14:val="tx1"/>
            </w14:solidFill>
          </w14:textFill>
        </w:rPr>
        <w:instrText xml:space="preserve"> PAGEREF _Toc235000761 \h </w:instrText>
      </w:r>
      <w:r>
        <w:rPr>
          <w:rStyle w:val="36"/>
          <w:rFonts w:ascii="仿宋_GB2312" w:hAnsi="国标黑体" w:eastAsia="仿宋_GB2312" w:cs="国标黑体"/>
          <w:color w:val="000000" w:themeColor="text1"/>
          <w:sz w:val="30"/>
          <w:szCs w:val="30"/>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- 56 -</w:t>
      </w:r>
      <w:r>
        <w:rPr>
          <w:rStyle w:val="36"/>
          <w:rFonts w:ascii="仿宋_GB2312" w:hAnsi="国标黑体" w:eastAsia="仿宋_GB2312" w:cs="国标黑体"/>
          <w:color w:val="000000" w:themeColor="text1"/>
          <w:sz w:val="30"/>
          <w:szCs w:val="30"/>
          <w14:textFill>
            <w14:solidFill>
              <w14:schemeClr w14:val="tx1"/>
            </w14:solidFill>
          </w14:textFill>
        </w:rPr>
        <w:fldChar w:fldCharType="end"/>
      </w:r>
      <w:r>
        <w:rPr>
          <w:rStyle w:val="36"/>
          <w:rFonts w:ascii="仿宋_GB2312" w:hAnsi="国标黑体" w:eastAsia="仿宋_GB2312" w:cs="国标黑体"/>
          <w:color w:val="000000" w:themeColor="text1"/>
          <w:sz w:val="30"/>
          <w:szCs w:val="30"/>
          <w14:textFill>
            <w14:solidFill>
              <w14:schemeClr w14:val="tx1"/>
            </w14:solidFill>
          </w14:textFill>
        </w:rPr>
        <w:fldChar w:fldCharType="end"/>
      </w:r>
    </w:p>
    <w:p>
      <w:pPr>
        <w:pStyle w:val="22"/>
        <w:tabs>
          <w:tab w:val="right" w:leader="dot" w:pos="8834"/>
        </w:tabs>
        <w:spacing w:line="600" w:lineRule="exact"/>
        <w:rPr>
          <w:rStyle w:val="36"/>
          <w:rFonts w:ascii="方正小标宋_GBK" w:hAnsi="方正小标宋简体" w:eastAsia="方正小标宋_GBK" w:cs="方正小标宋简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"_Toc235000762" </w:instrText>
      </w:r>
      <w:r>
        <w:rPr>
          <w:color w:val="000000" w:themeColor="text1"/>
          <w14:textFill>
            <w14:solidFill>
              <w14:schemeClr w14:val="tx1"/>
            </w14:solidFill>
          </w14:textFill>
        </w:rPr>
        <w:fldChar w:fldCharType="separate"/>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t>第六章 全方位扩大内需，主动融入新发展格局</w:t>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tab/>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fldChar w:fldCharType="begin"/>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instrText xml:space="preserve"> PAGEREF _Toc235000762 \h </w:instrText>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fldChar w:fldCharType="separate"/>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t>- 60 -</w:t>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fldChar w:fldCharType="end"/>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fldChar w:fldCharType="end"/>
      </w:r>
    </w:p>
    <w:p>
      <w:pPr>
        <w:pStyle w:val="26"/>
        <w:tabs>
          <w:tab w:val="right" w:leader="dot" w:pos="8834"/>
        </w:tabs>
        <w:spacing w:line="600" w:lineRule="exact"/>
        <w:rPr>
          <w:rStyle w:val="36"/>
          <w:rFonts w:ascii="仿宋_GB2312" w:hAnsi="国标黑体" w:eastAsia="仿宋_GB2312" w:cs="国标黑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"_Toc235000763" </w:instrText>
      </w:r>
      <w:r>
        <w:rPr>
          <w:color w:val="000000" w:themeColor="text1"/>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第一节 全面激发消费潜力</w:t>
      </w:r>
      <w:r>
        <w:rPr>
          <w:rStyle w:val="36"/>
          <w:rFonts w:ascii="仿宋_GB2312" w:hAnsi="国标黑体" w:eastAsia="仿宋_GB2312" w:cs="国标黑体"/>
          <w:color w:val="000000" w:themeColor="text1"/>
          <w:sz w:val="30"/>
          <w:szCs w:val="30"/>
          <w14:textFill>
            <w14:solidFill>
              <w14:schemeClr w14:val="tx1"/>
            </w14:solidFill>
          </w14:textFill>
        </w:rPr>
        <w:tab/>
      </w:r>
      <w:r>
        <w:rPr>
          <w:rStyle w:val="36"/>
          <w:rFonts w:ascii="仿宋_GB2312" w:hAnsi="国标黑体" w:eastAsia="仿宋_GB2312" w:cs="国标黑体"/>
          <w:color w:val="000000" w:themeColor="text1"/>
          <w:sz w:val="30"/>
          <w:szCs w:val="30"/>
          <w14:textFill>
            <w14:solidFill>
              <w14:schemeClr w14:val="tx1"/>
            </w14:solidFill>
          </w14:textFill>
        </w:rPr>
        <w:fldChar w:fldCharType="begin"/>
      </w:r>
      <w:r>
        <w:rPr>
          <w:rStyle w:val="36"/>
          <w:rFonts w:ascii="仿宋_GB2312" w:hAnsi="国标黑体" w:eastAsia="仿宋_GB2312" w:cs="国标黑体"/>
          <w:color w:val="000000" w:themeColor="text1"/>
          <w:sz w:val="30"/>
          <w:szCs w:val="30"/>
          <w14:textFill>
            <w14:solidFill>
              <w14:schemeClr w14:val="tx1"/>
            </w14:solidFill>
          </w14:textFill>
        </w:rPr>
        <w:instrText xml:space="preserve"> PAGEREF _Toc235000763 \h </w:instrText>
      </w:r>
      <w:r>
        <w:rPr>
          <w:rStyle w:val="36"/>
          <w:rFonts w:ascii="仿宋_GB2312" w:hAnsi="国标黑体" w:eastAsia="仿宋_GB2312" w:cs="国标黑体"/>
          <w:color w:val="000000" w:themeColor="text1"/>
          <w:sz w:val="30"/>
          <w:szCs w:val="30"/>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- 60 -</w:t>
      </w:r>
      <w:r>
        <w:rPr>
          <w:rStyle w:val="36"/>
          <w:rFonts w:ascii="仿宋_GB2312" w:hAnsi="国标黑体" w:eastAsia="仿宋_GB2312" w:cs="国标黑体"/>
          <w:color w:val="000000" w:themeColor="text1"/>
          <w:sz w:val="30"/>
          <w:szCs w:val="30"/>
          <w14:textFill>
            <w14:solidFill>
              <w14:schemeClr w14:val="tx1"/>
            </w14:solidFill>
          </w14:textFill>
        </w:rPr>
        <w:fldChar w:fldCharType="end"/>
      </w:r>
      <w:r>
        <w:rPr>
          <w:rStyle w:val="36"/>
          <w:rFonts w:ascii="仿宋_GB2312" w:hAnsi="国标黑体" w:eastAsia="仿宋_GB2312" w:cs="国标黑体"/>
          <w:color w:val="000000" w:themeColor="text1"/>
          <w:sz w:val="30"/>
          <w:szCs w:val="30"/>
          <w14:textFill>
            <w14:solidFill>
              <w14:schemeClr w14:val="tx1"/>
            </w14:solidFill>
          </w14:textFill>
        </w:rPr>
        <w:fldChar w:fldCharType="end"/>
      </w:r>
    </w:p>
    <w:p>
      <w:pPr>
        <w:pStyle w:val="26"/>
        <w:tabs>
          <w:tab w:val="right" w:leader="dot" w:pos="8834"/>
        </w:tabs>
        <w:spacing w:line="600" w:lineRule="exact"/>
        <w:rPr>
          <w:rStyle w:val="36"/>
          <w:rFonts w:ascii="仿宋_GB2312" w:hAnsi="国标黑体" w:eastAsia="仿宋_GB2312" w:cs="国标黑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"_Toc235000764" </w:instrText>
      </w:r>
      <w:r>
        <w:rPr>
          <w:color w:val="000000" w:themeColor="text1"/>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第二节 推动投资提质增效</w:t>
      </w:r>
      <w:r>
        <w:rPr>
          <w:rStyle w:val="36"/>
          <w:rFonts w:ascii="仿宋_GB2312" w:hAnsi="国标黑体" w:eastAsia="仿宋_GB2312" w:cs="国标黑体"/>
          <w:color w:val="000000" w:themeColor="text1"/>
          <w:sz w:val="30"/>
          <w:szCs w:val="30"/>
          <w14:textFill>
            <w14:solidFill>
              <w14:schemeClr w14:val="tx1"/>
            </w14:solidFill>
          </w14:textFill>
        </w:rPr>
        <w:tab/>
      </w:r>
      <w:r>
        <w:rPr>
          <w:rStyle w:val="36"/>
          <w:rFonts w:ascii="仿宋_GB2312" w:hAnsi="国标黑体" w:eastAsia="仿宋_GB2312" w:cs="国标黑体"/>
          <w:color w:val="000000" w:themeColor="text1"/>
          <w:sz w:val="30"/>
          <w:szCs w:val="30"/>
          <w14:textFill>
            <w14:solidFill>
              <w14:schemeClr w14:val="tx1"/>
            </w14:solidFill>
          </w14:textFill>
        </w:rPr>
        <w:fldChar w:fldCharType="begin"/>
      </w:r>
      <w:r>
        <w:rPr>
          <w:rStyle w:val="36"/>
          <w:rFonts w:ascii="仿宋_GB2312" w:hAnsi="国标黑体" w:eastAsia="仿宋_GB2312" w:cs="国标黑体"/>
          <w:color w:val="000000" w:themeColor="text1"/>
          <w:sz w:val="30"/>
          <w:szCs w:val="30"/>
          <w14:textFill>
            <w14:solidFill>
              <w14:schemeClr w14:val="tx1"/>
            </w14:solidFill>
          </w14:textFill>
        </w:rPr>
        <w:instrText xml:space="preserve"> PAGEREF _Toc235000764 \h </w:instrText>
      </w:r>
      <w:r>
        <w:rPr>
          <w:rStyle w:val="36"/>
          <w:rFonts w:ascii="仿宋_GB2312" w:hAnsi="国标黑体" w:eastAsia="仿宋_GB2312" w:cs="国标黑体"/>
          <w:color w:val="000000" w:themeColor="text1"/>
          <w:sz w:val="30"/>
          <w:szCs w:val="30"/>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- 62 -</w:t>
      </w:r>
      <w:r>
        <w:rPr>
          <w:rStyle w:val="36"/>
          <w:rFonts w:ascii="仿宋_GB2312" w:hAnsi="国标黑体" w:eastAsia="仿宋_GB2312" w:cs="国标黑体"/>
          <w:color w:val="000000" w:themeColor="text1"/>
          <w:sz w:val="30"/>
          <w:szCs w:val="30"/>
          <w14:textFill>
            <w14:solidFill>
              <w14:schemeClr w14:val="tx1"/>
            </w14:solidFill>
          </w14:textFill>
        </w:rPr>
        <w:fldChar w:fldCharType="end"/>
      </w:r>
      <w:r>
        <w:rPr>
          <w:rStyle w:val="36"/>
          <w:rFonts w:ascii="仿宋_GB2312" w:hAnsi="国标黑体" w:eastAsia="仿宋_GB2312" w:cs="国标黑体"/>
          <w:color w:val="000000" w:themeColor="text1"/>
          <w:sz w:val="30"/>
          <w:szCs w:val="30"/>
          <w14:textFill>
            <w14:solidFill>
              <w14:schemeClr w14:val="tx1"/>
            </w14:solidFill>
          </w14:textFill>
        </w:rPr>
        <w:fldChar w:fldCharType="end"/>
      </w:r>
    </w:p>
    <w:p>
      <w:pPr>
        <w:pStyle w:val="26"/>
        <w:tabs>
          <w:tab w:val="right" w:leader="dot" w:pos="8834"/>
        </w:tabs>
        <w:spacing w:line="600" w:lineRule="exact"/>
        <w:rPr>
          <w:rStyle w:val="36"/>
          <w:rFonts w:ascii="仿宋_GB2312" w:hAnsi="国标黑体" w:eastAsia="仿宋_GB2312" w:cs="国标黑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"_Toc235000765" </w:instrText>
      </w:r>
      <w:r>
        <w:rPr>
          <w:color w:val="000000" w:themeColor="text1"/>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第三节 融入国内统一大市场</w:t>
      </w:r>
      <w:r>
        <w:rPr>
          <w:rStyle w:val="36"/>
          <w:rFonts w:ascii="仿宋_GB2312" w:hAnsi="国标黑体" w:eastAsia="仿宋_GB2312" w:cs="国标黑体"/>
          <w:color w:val="000000" w:themeColor="text1"/>
          <w:sz w:val="30"/>
          <w:szCs w:val="30"/>
          <w14:textFill>
            <w14:solidFill>
              <w14:schemeClr w14:val="tx1"/>
            </w14:solidFill>
          </w14:textFill>
        </w:rPr>
        <w:tab/>
      </w:r>
      <w:r>
        <w:rPr>
          <w:rStyle w:val="36"/>
          <w:rFonts w:ascii="仿宋_GB2312" w:hAnsi="国标黑体" w:eastAsia="仿宋_GB2312" w:cs="国标黑体"/>
          <w:color w:val="000000" w:themeColor="text1"/>
          <w:sz w:val="30"/>
          <w:szCs w:val="30"/>
          <w14:textFill>
            <w14:solidFill>
              <w14:schemeClr w14:val="tx1"/>
            </w14:solidFill>
          </w14:textFill>
        </w:rPr>
        <w:fldChar w:fldCharType="begin"/>
      </w:r>
      <w:r>
        <w:rPr>
          <w:rStyle w:val="36"/>
          <w:rFonts w:ascii="仿宋_GB2312" w:hAnsi="国标黑体" w:eastAsia="仿宋_GB2312" w:cs="国标黑体"/>
          <w:color w:val="000000" w:themeColor="text1"/>
          <w:sz w:val="30"/>
          <w:szCs w:val="30"/>
          <w14:textFill>
            <w14:solidFill>
              <w14:schemeClr w14:val="tx1"/>
            </w14:solidFill>
          </w14:textFill>
        </w:rPr>
        <w:instrText xml:space="preserve"> PAGEREF _Toc235000765 \h </w:instrText>
      </w:r>
      <w:r>
        <w:rPr>
          <w:rStyle w:val="36"/>
          <w:rFonts w:ascii="仿宋_GB2312" w:hAnsi="国标黑体" w:eastAsia="仿宋_GB2312" w:cs="国标黑体"/>
          <w:color w:val="000000" w:themeColor="text1"/>
          <w:sz w:val="30"/>
          <w:szCs w:val="30"/>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- 64 -</w:t>
      </w:r>
      <w:r>
        <w:rPr>
          <w:rStyle w:val="36"/>
          <w:rFonts w:ascii="仿宋_GB2312" w:hAnsi="国标黑体" w:eastAsia="仿宋_GB2312" w:cs="国标黑体"/>
          <w:color w:val="000000" w:themeColor="text1"/>
          <w:sz w:val="30"/>
          <w:szCs w:val="30"/>
          <w14:textFill>
            <w14:solidFill>
              <w14:schemeClr w14:val="tx1"/>
            </w14:solidFill>
          </w14:textFill>
        </w:rPr>
        <w:fldChar w:fldCharType="end"/>
      </w:r>
      <w:r>
        <w:rPr>
          <w:rStyle w:val="36"/>
          <w:rFonts w:ascii="仿宋_GB2312" w:hAnsi="国标黑体" w:eastAsia="仿宋_GB2312" w:cs="国标黑体"/>
          <w:color w:val="000000" w:themeColor="text1"/>
          <w:sz w:val="30"/>
          <w:szCs w:val="30"/>
          <w14:textFill>
            <w14:solidFill>
              <w14:schemeClr w14:val="tx1"/>
            </w14:solidFill>
          </w14:textFill>
        </w:rPr>
        <w:fldChar w:fldCharType="end"/>
      </w:r>
    </w:p>
    <w:p>
      <w:pPr>
        <w:pStyle w:val="22"/>
        <w:tabs>
          <w:tab w:val="right" w:leader="dot" w:pos="8834"/>
        </w:tabs>
        <w:spacing w:line="600" w:lineRule="exact"/>
        <w:rPr>
          <w:rStyle w:val="36"/>
          <w:rFonts w:ascii="方正小标宋_GBK" w:hAnsi="方正小标宋简体" w:eastAsia="方正小标宋_GBK" w:cs="方正小标宋简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"_Toc235000766" </w:instrText>
      </w:r>
      <w:r>
        <w:rPr>
          <w:color w:val="000000" w:themeColor="text1"/>
          <w14:textFill>
            <w14:solidFill>
              <w14:schemeClr w14:val="tx1"/>
            </w14:solidFill>
          </w14:textFill>
        </w:rPr>
        <w:fldChar w:fldCharType="separate"/>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t>第七章 推进全面深化改革，增强高质量发展动力</w:t>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tab/>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fldChar w:fldCharType="begin"/>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instrText xml:space="preserve"> PAGEREF _Toc235000766 \h </w:instrText>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fldChar w:fldCharType="separate"/>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t>- 67 -</w:t>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fldChar w:fldCharType="end"/>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fldChar w:fldCharType="end"/>
      </w:r>
    </w:p>
    <w:p>
      <w:pPr>
        <w:pStyle w:val="26"/>
        <w:tabs>
          <w:tab w:val="right" w:leader="dot" w:pos="8834"/>
        </w:tabs>
        <w:spacing w:line="600" w:lineRule="exact"/>
        <w:rPr>
          <w:rStyle w:val="36"/>
          <w:rFonts w:ascii="仿宋_GB2312" w:hAnsi="国标黑体" w:eastAsia="仿宋_GB2312" w:cs="国标黑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"_Toc235000767" </w:instrText>
      </w:r>
      <w:r>
        <w:rPr>
          <w:color w:val="000000" w:themeColor="text1"/>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第一节 充分激发各类经营主体活力</w:t>
      </w:r>
      <w:r>
        <w:rPr>
          <w:rStyle w:val="36"/>
          <w:rFonts w:ascii="仿宋_GB2312" w:hAnsi="国标黑体" w:eastAsia="仿宋_GB2312" w:cs="国标黑体"/>
          <w:color w:val="000000" w:themeColor="text1"/>
          <w:sz w:val="30"/>
          <w:szCs w:val="30"/>
          <w14:textFill>
            <w14:solidFill>
              <w14:schemeClr w14:val="tx1"/>
            </w14:solidFill>
          </w14:textFill>
        </w:rPr>
        <w:tab/>
      </w:r>
      <w:r>
        <w:rPr>
          <w:rStyle w:val="36"/>
          <w:rFonts w:ascii="仿宋_GB2312" w:hAnsi="国标黑体" w:eastAsia="仿宋_GB2312" w:cs="国标黑体"/>
          <w:color w:val="000000" w:themeColor="text1"/>
          <w:sz w:val="30"/>
          <w:szCs w:val="30"/>
          <w14:textFill>
            <w14:solidFill>
              <w14:schemeClr w14:val="tx1"/>
            </w14:solidFill>
          </w14:textFill>
        </w:rPr>
        <w:fldChar w:fldCharType="begin"/>
      </w:r>
      <w:r>
        <w:rPr>
          <w:rStyle w:val="36"/>
          <w:rFonts w:ascii="仿宋_GB2312" w:hAnsi="国标黑体" w:eastAsia="仿宋_GB2312" w:cs="国标黑体"/>
          <w:color w:val="000000" w:themeColor="text1"/>
          <w:sz w:val="30"/>
          <w:szCs w:val="30"/>
          <w14:textFill>
            <w14:solidFill>
              <w14:schemeClr w14:val="tx1"/>
            </w14:solidFill>
          </w14:textFill>
        </w:rPr>
        <w:instrText xml:space="preserve"> PAGEREF _Toc235000767 \h </w:instrText>
      </w:r>
      <w:r>
        <w:rPr>
          <w:rStyle w:val="36"/>
          <w:rFonts w:ascii="仿宋_GB2312" w:hAnsi="国标黑体" w:eastAsia="仿宋_GB2312" w:cs="国标黑体"/>
          <w:color w:val="000000" w:themeColor="text1"/>
          <w:sz w:val="30"/>
          <w:szCs w:val="30"/>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- 67 -</w:t>
      </w:r>
      <w:r>
        <w:rPr>
          <w:rStyle w:val="36"/>
          <w:rFonts w:ascii="仿宋_GB2312" w:hAnsi="国标黑体" w:eastAsia="仿宋_GB2312" w:cs="国标黑体"/>
          <w:color w:val="000000" w:themeColor="text1"/>
          <w:sz w:val="30"/>
          <w:szCs w:val="30"/>
          <w14:textFill>
            <w14:solidFill>
              <w14:schemeClr w14:val="tx1"/>
            </w14:solidFill>
          </w14:textFill>
        </w:rPr>
        <w:fldChar w:fldCharType="end"/>
      </w:r>
      <w:r>
        <w:rPr>
          <w:rStyle w:val="36"/>
          <w:rFonts w:ascii="仿宋_GB2312" w:hAnsi="国标黑体" w:eastAsia="仿宋_GB2312" w:cs="国标黑体"/>
          <w:color w:val="000000" w:themeColor="text1"/>
          <w:sz w:val="30"/>
          <w:szCs w:val="30"/>
          <w14:textFill>
            <w14:solidFill>
              <w14:schemeClr w14:val="tx1"/>
            </w14:solidFill>
          </w14:textFill>
        </w:rPr>
        <w:fldChar w:fldCharType="end"/>
      </w:r>
    </w:p>
    <w:p>
      <w:pPr>
        <w:pStyle w:val="26"/>
        <w:tabs>
          <w:tab w:val="right" w:leader="dot" w:pos="8834"/>
        </w:tabs>
        <w:spacing w:line="600" w:lineRule="exact"/>
        <w:rPr>
          <w:rStyle w:val="36"/>
          <w:rFonts w:ascii="仿宋_GB2312" w:hAnsi="国标黑体" w:eastAsia="仿宋_GB2312" w:cs="国标黑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"_Toc235000768" </w:instrText>
      </w:r>
      <w:r>
        <w:rPr>
          <w:color w:val="000000" w:themeColor="text1"/>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第二节 深化要素市场化配置改革</w:t>
      </w:r>
      <w:r>
        <w:rPr>
          <w:rStyle w:val="36"/>
          <w:rFonts w:ascii="仿宋_GB2312" w:hAnsi="国标黑体" w:eastAsia="仿宋_GB2312" w:cs="国标黑体"/>
          <w:color w:val="000000" w:themeColor="text1"/>
          <w:sz w:val="30"/>
          <w:szCs w:val="30"/>
          <w14:textFill>
            <w14:solidFill>
              <w14:schemeClr w14:val="tx1"/>
            </w14:solidFill>
          </w14:textFill>
        </w:rPr>
        <w:tab/>
      </w:r>
      <w:r>
        <w:rPr>
          <w:rStyle w:val="36"/>
          <w:rFonts w:ascii="仿宋_GB2312" w:hAnsi="国标黑体" w:eastAsia="仿宋_GB2312" w:cs="国标黑体"/>
          <w:color w:val="000000" w:themeColor="text1"/>
          <w:sz w:val="30"/>
          <w:szCs w:val="30"/>
          <w14:textFill>
            <w14:solidFill>
              <w14:schemeClr w14:val="tx1"/>
            </w14:solidFill>
          </w14:textFill>
        </w:rPr>
        <w:fldChar w:fldCharType="begin"/>
      </w:r>
      <w:r>
        <w:rPr>
          <w:rStyle w:val="36"/>
          <w:rFonts w:ascii="仿宋_GB2312" w:hAnsi="国标黑体" w:eastAsia="仿宋_GB2312" w:cs="国标黑体"/>
          <w:color w:val="000000" w:themeColor="text1"/>
          <w:sz w:val="30"/>
          <w:szCs w:val="30"/>
          <w14:textFill>
            <w14:solidFill>
              <w14:schemeClr w14:val="tx1"/>
            </w14:solidFill>
          </w14:textFill>
        </w:rPr>
        <w:instrText xml:space="preserve"> PAGEREF _Toc235000768 \h </w:instrText>
      </w:r>
      <w:r>
        <w:rPr>
          <w:rStyle w:val="36"/>
          <w:rFonts w:ascii="仿宋_GB2312" w:hAnsi="国标黑体" w:eastAsia="仿宋_GB2312" w:cs="国标黑体"/>
          <w:color w:val="000000" w:themeColor="text1"/>
          <w:sz w:val="30"/>
          <w:szCs w:val="30"/>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- 69 -</w:t>
      </w:r>
      <w:r>
        <w:rPr>
          <w:rStyle w:val="36"/>
          <w:rFonts w:ascii="仿宋_GB2312" w:hAnsi="国标黑体" w:eastAsia="仿宋_GB2312" w:cs="国标黑体"/>
          <w:color w:val="000000" w:themeColor="text1"/>
          <w:sz w:val="30"/>
          <w:szCs w:val="30"/>
          <w14:textFill>
            <w14:solidFill>
              <w14:schemeClr w14:val="tx1"/>
            </w14:solidFill>
          </w14:textFill>
        </w:rPr>
        <w:fldChar w:fldCharType="end"/>
      </w:r>
      <w:r>
        <w:rPr>
          <w:rStyle w:val="36"/>
          <w:rFonts w:ascii="仿宋_GB2312" w:hAnsi="国标黑体" w:eastAsia="仿宋_GB2312" w:cs="国标黑体"/>
          <w:color w:val="000000" w:themeColor="text1"/>
          <w:sz w:val="30"/>
          <w:szCs w:val="30"/>
          <w14:textFill>
            <w14:solidFill>
              <w14:schemeClr w14:val="tx1"/>
            </w14:solidFill>
          </w14:textFill>
        </w:rPr>
        <w:fldChar w:fldCharType="end"/>
      </w:r>
    </w:p>
    <w:p>
      <w:pPr>
        <w:pStyle w:val="26"/>
        <w:tabs>
          <w:tab w:val="right" w:leader="dot" w:pos="8834"/>
        </w:tabs>
        <w:spacing w:line="600" w:lineRule="exact"/>
        <w:rPr>
          <w:rStyle w:val="36"/>
          <w:rFonts w:ascii="仿宋_GB2312" w:hAnsi="国标黑体" w:eastAsia="仿宋_GB2312" w:cs="国标黑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"_Toc235000769" </w:instrText>
      </w:r>
      <w:r>
        <w:rPr>
          <w:color w:val="000000" w:themeColor="text1"/>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第三节 落实积极财政金融政策</w:t>
      </w:r>
      <w:r>
        <w:rPr>
          <w:rStyle w:val="36"/>
          <w:rFonts w:ascii="仿宋_GB2312" w:hAnsi="国标黑体" w:eastAsia="仿宋_GB2312" w:cs="国标黑体"/>
          <w:color w:val="000000" w:themeColor="text1"/>
          <w:sz w:val="30"/>
          <w:szCs w:val="30"/>
          <w14:textFill>
            <w14:solidFill>
              <w14:schemeClr w14:val="tx1"/>
            </w14:solidFill>
          </w14:textFill>
        </w:rPr>
        <w:tab/>
      </w:r>
      <w:r>
        <w:rPr>
          <w:rStyle w:val="36"/>
          <w:rFonts w:ascii="仿宋_GB2312" w:hAnsi="国标黑体" w:eastAsia="仿宋_GB2312" w:cs="国标黑体"/>
          <w:color w:val="000000" w:themeColor="text1"/>
          <w:sz w:val="30"/>
          <w:szCs w:val="30"/>
          <w14:textFill>
            <w14:solidFill>
              <w14:schemeClr w14:val="tx1"/>
            </w14:solidFill>
          </w14:textFill>
        </w:rPr>
        <w:fldChar w:fldCharType="begin"/>
      </w:r>
      <w:r>
        <w:rPr>
          <w:rStyle w:val="36"/>
          <w:rFonts w:ascii="仿宋_GB2312" w:hAnsi="国标黑体" w:eastAsia="仿宋_GB2312" w:cs="国标黑体"/>
          <w:color w:val="000000" w:themeColor="text1"/>
          <w:sz w:val="30"/>
          <w:szCs w:val="30"/>
          <w14:textFill>
            <w14:solidFill>
              <w14:schemeClr w14:val="tx1"/>
            </w14:solidFill>
          </w14:textFill>
        </w:rPr>
        <w:instrText xml:space="preserve"> PAGEREF _Toc235000769 \h </w:instrText>
      </w:r>
      <w:r>
        <w:rPr>
          <w:rStyle w:val="36"/>
          <w:rFonts w:ascii="仿宋_GB2312" w:hAnsi="国标黑体" w:eastAsia="仿宋_GB2312" w:cs="国标黑体"/>
          <w:color w:val="000000" w:themeColor="text1"/>
          <w:sz w:val="30"/>
          <w:szCs w:val="30"/>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- 70 -</w:t>
      </w:r>
      <w:r>
        <w:rPr>
          <w:rStyle w:val="36"/>
          <w:rFonts w:ascii="仿宋_GB2312" w:hAnsi="国标黑体" w:eastAsia="仿宋_GB2312" w:cs="国标黑体"/>
          <w:color w:val="000000" w:themeColor="text1"/>
          <w:sz w:val="30"/>
          <w:szCs w:val="30"/>
          <w14:textFill>
            <w14:solidFill>
              <w14:schemeClr w14:val="tx1"/>
            </w14:solidFill>
          </w14:textFill>
        </w:rPr>
        <w:fldChar w:fldCharType="end"/>
      </w:r>
      <w:r>
        <w:rPr>
          <w:rStyle w:val="36"/>
          <w:rFonts w:ascii="仿宋_GB2312" w:hAnsi="国标黑体" w:eastAsia="仿宋_GB2312" w:cs="国标黑体"/>
          <w:color w:val="000000" w:themeColor="text1"/>
          <w:sz w:val="30"/>
          <w:szCs w:val="30"/>
          <w14:textFill>
            <w14:solidFill>
              <w14:schemeClr w14:val="tx1"/>
            </w14:solidFill>
          </w14:textFill>
        </w:rPr>
        <w:fldChar w:fldCharType="end"/>
      </w:r>
    </w:p>
    <w:p>
      <w:pPr>
        <w:pStyle w:val="22"/>
        <w:tabs>
          <w:tab w:val="right" w:leader="dot" w:pos="8834"/>
        </w:tabs>
        <w:spacing w:line="600" w:lineRule="exact"/>
        <w:rPr>
          <w:rStyle w:val="36"/>
          <w:rFonts w:ascii="方正小标宋_GBK" w:hAnsi="方正小标宋简体" w:eastAsia="方正小标宋_GBK" w:cs="方正小标宋简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"_Toc235000770" </w:instrText>
      </w:r>
      <w:r>
        <w:rPr>
          <w:color w:val="000000" w:themeColor="text1"/>
          <w14:textFill>
            <w14:solidFill>
              <w14:schemeClr w14:val="tx1"/>
            </w14:solidFill>
          </w14:textFill>
        </w:rPr>
        <w:fldChar w:fldCharType="separate"/>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t>第八章 强化区域协同共进，开创开放发展新局面</w:t>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tab/>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fldChar w:fldCharType="begin"/>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instrText xml:space="preserve"> PAGEREF _Toc235000770 \h </w:instrText>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fldChar w:fldCharType="separate"/>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t>- 72 -</w:t>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fldChar w:fldCharType="end"/>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fldChar w:fldCharType="end"/>
      </w:r>
    </w:p>
    <w:p>
      <w:pPr>
        <w:pStyle w:val="26"/>
        <w:tabs>
          <w:tab w:val="right" w:leader="dot" w:pos="8834"/>
        </w:tabs>
        <w:spacing w:line="600" w:lineRule="exact"/>
        <w:rPr>
          <w:rStyle w:val="36"/>
          <w:rFonts w:ascii="仿宋_GB2312" w:hAnsi="国标黑体" w:eastAsia="仿宋_GB2312" w:cs="国标黑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"_Toc235000771" </w:instrText>
      </w:r>
      <w:r>
        <w:rPr>
          <w:color w:val="000000" w:themeColor="text1"/>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第一节 全力打造会同分港发展新平台</w:t>
      </w:r>
      <w:r>
        <w:rPr>
          <w:rStyle w:val="36"/>
          <w:rFonts w:ascii="仿宋_GB2312" w:hAnsi="国标黑体" w:eastAsia="仿宋_GB2312" w:cs="国标黑体"/>
          <w:color w:val="000000" w:themeColor="text1"/>
          <w:sz w:val="30"/>
          <w:szCs w:val="30"/>
          <w14:textFill>
            <w14:solidFill>
              <w14:schemeClr w14:val="tx1"/>
            </w14:solidFill>
          </w14:textFill>
        </w:rPr>
        <w:tab/>
      </w:r>
      <w:r>
        <w:rPr>
          <w:rStyle w:val="36"/>
          <w:rFonts w:ascii="仿宋_GB2312" w:hAnsi="国标黑体" w:eastAsia="仿宋_GB2312" w:cs="国标黑体"/>
          <w:color w:val="000000" w:themeColor="text1"/>
          <w:sz w:val="30"/>
          <w:szCs w:val="30"/>
          <w14:textFill>
            <w14:solidFill>
              <w14:schemeClr w14:val="tx1"/>
            </w14:solidFill>
          </w14:textFill>
        </w:rPr>
        <w:fldChar w:fldCharType="begin"/>
      </w:r>
      <w:r>
        <w:rPr>
          <w:rStyle w:val="36"/>
          <w:rFonts w:ascii="仿宋_GB2312" w:hAnsi="国标黑体" w:eastAsia="仿宋_GB2312" w:cs="国标黑体"/>
          <w:color w:val="000000" w:themeColor="text1"/>
          <w:sz w:val="30"/>
          <w:szCs w:val="30"/>
          <w14:textFill>
            <w14:solidFill>
              <w14:schemeClr w14:val="tx1"/>
            </w14:solidFill>
          </w14:textFill>
        </w:rPr>
        <w:instrText xml:space="preserve"> PAGEREF _Toc235000771 \h </w:instrText>
      </w:r>
      <w:r>
        <w:rPr>
          <w:rStyle w:val="36"/>
          <w:rFonts w:ascii="仿宋_GB2312" w:hAnsi="国标黑体" w:eastAsia="仿宋_GB2312" w:cs="国标黑体"/>
          <w:color w:val="000000" w:themeColor="text1"/>
          <w:sz w:val="30"/>
          <w:szCs w:val="30"/>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- 72 -</w:t>
      </w:r>
      <w:r>
        <w:rPr>
          <w:rStyle w:val="36"/>
          <w:rFonts w:ascii="仿宋_GB2312" w:hAnsi="国标黑体" w:eastAsia="仿宋_GB2312" w:cs="国标黑体"/>
          <w:color w:val="000000" w:themeColor="text1"/>
          <w:sz w:val="30"/>
          <w:szCs w:val="30"/>
          <w14:textFill>
            <w14:solidFill>
              <w14:schemeClr w14:val="tx1"/>
            </w14:solidFill>
          </w14:textFill>
        </w:rPr>
        <w:fldChar w:fldCharType="end"/>
      </w:r>
      <w:r>
        <w:rPr>
          <w:rStyle w:val="36"/>
          <w:rFonts w:ascii="仿宋_GB2312" w:hAnsi="国标黑体" w:eastAsia="仿宋_GB2312" w:cs="国标黑体"/>
          <w:color w:val="000000" w:themeColor="text1"/>
          <w:sz w:val="30"/>
          <w:szCs w:val="30"/>
          <w14:textFill>
            <w14:solidFill>
              <w14:schemeClr w14:val="tx1"/>
            </w14:solidFill>
          </w14:textFill>
        </w:rPr>
        <w:fldChar w:fldCharType="end"/>
      </w:r>
    </w:p>
    <w:p>
      <w:pPr>
        <w:pStyle w:val="26"/>
        <w:tabs>
          <w:tab w:val="right" w:leader="dot" w:pos="8834"/>
        </w:tabs>
        <w:spacing w:line="600" w:lineRule="exact"/>
        <w:rPr>
          <w:rStyle w:val="36"/>
          <w:rFonts w:ascii="仿宋_GB2312" w:hAnsi="国标黑体" w:eastAsia="仿宋_GB2312" w:cs="国标黑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"_Toc235000772" </w:instrText>
      </w:r>
      <w:r>
        <w:rPr>
          <w:color w:val="000000" w:themeColor="text1"/>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第二节 抢抓外向型经济发展新机遇</w:t>
      </w:r>
      <w:r>
        <w:rPr>
          <w:rStyle w:val="36"/>
          <w:rFonts w:ascii="仿宋_GB2312" w:hAnsi="国标黑体" w:eastAsia="仿宋_GB2312" w:cs="国标黑体"/>
          <w:color w:val="000000" w:themeColor="text1"/>
          <w:sz w:val="30"/>
          <w:szCs w:val="30"/>
          <w14:textFill>
            <w14:solidFill>
              <w14:schemeClr w14:val="tx1"/>
            </w14:solidFill>
          </w14:textFill>
        </w:rPr>
        <w:tab/>
      </w:r>
      <w:r>
        <w:rPr>
          <w:rStyle w:val="36"/>
          <w:rFonts w:ascii="仿宋_GB2312" w:hAnsi="国标黑体" w:eastAsia="仿宋_GB2312" w:cs="国标黑体"/>
          <w:color w:val="000000" w:themeColor="text1"/>
          <w:sz w:val="30"/>
          <w:szCs w:val="30"/>
          <w14:textFill>
            <w14:solidFill>
              <w14:schemeClr w14:val="tx1"/>
            </w14:solidFill>
          </w14:textFill>
        </w:rPr>
        <w:fldChar w:fldCharType="begin"/>
      </w:r>
      <w:r>
        <w:rPr>
          <w:rStyle w:val="36"/>
          <w:rFonts w:ascii="仿宋_GB2312" w:hAnsi="国标黑体" w:eastAsia="仿宋_GB2312" w:cs="国标黑体"/>
          <w:color w:val="000000" w:themeColor="text1"/>
          <w:sz w:val="30"/>
          <w:szCs w:val="30"/>
          <w14:textFill>
            <w14:solidFill>
              <w14:schemeClr w14:val="tx1"/>
            </w14:solidFill>
          </w14:textFill>
        </w:rPr>
        <w:instrText xml:space="preserve"> PAGEREF _Toc235000772 \h </w:instrText>
      </w:r>
      <w:r>
        <w:rPr>
          <w:rStyle w:val="36"/>
          <w:rFonts w:ascii="仿宋_GB2312" w:hAnsi="国标黑体" w:eastAsia="仿宋_GB2312" w:cs="国标黑体"/>
          <w:color w:val="000000" w:themeColor="text1"/>
          <w:sz w:val="30"/>
          <w:szCs w:val="30"/>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- 73 -</w:t>
      </w:r>
      <w:r>
        <w:rPr>
          <w:rStyle w:val="36"/>
          <w:rFonts w:ascii="仿宋_GB2312" w:hAnsi="国标黑体" w:eastAsia="仿宋_GB2312" w:cs="国标黑体"/>
          <w:color w:val="000000" w:themeColor="text1"/>
          <w:sz w:val="30"/>
          <w:szCs w:val="30"/>
          <w14:textFill>
            <w14:solidFill>
              <w14:schemeClr w14:val="tx1"/>
            </w14:solidFill>
          </w14:textFill>
        </w:rPr>
        <w:fldChar w:fldCharType="end"/>
      </w:r>
      <w:r>
        <w:rPr>
          <w:rStyle w:val="36"/>
          <w:rFonts w:ascii="仿宋_GB2312" w:hAnsi="国标黑体" w:eastAsia="仿宋_GB2312" w:cs="国标黑体"/>
          <w:color w:val="000000" w:themeColor="text1"/>
          <w:sz w:val="30"/>
          <w:szCs w:val="30"/>
          <w14:textFill>
            <w14:solidFill>
              <w14:schemeClr w14:val="tx1"/>
            </w14:solidFill>
          </w14:textFill>
        </w:rPr>
        <w:fldChar w:fldCharType="end"/>
      </w:r>
    </w:p>
    <w:p>
      <w:pPr>
        <w:pStyle w:val="26"/>
        <w:tabs>
          <w:tab w:val="right" w:leader="dot" w:pos="8834"/>
        </w:tabs>
        <w:spacing w:line="600" w:lineRule="exact"/>
        <w:rPr>
          <w:rStyle w:val="36"/>
          <w:rFonts w:ascii="仿宋_GB2312" w:hAnsi="国标黑体" w:eastAsia="仿宋_GB2312" w:cs="国标黑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"_Toc235000773" </w:instrText>
      </w:r>
      <w:r>
        <w:rPr>
          <w:color w:val="000000" w:themeColor="text1"/>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第三节 构建区域协同发展新空间</w:t>
      </w:r>
      <w:r>
        <w:rPr>
          <w:rStyle w:val="36"/>
          <w:rFonts w:ascii="仿宋_GB2312" w:hAnsi="国标黑体" w:eastAsia="仿宋_GB2312" w:cs="国标黑体"/>
          <w:color w:val="000000" w:themeColor="text1"/>
          <w:sz w:val="30"/>
          <w:szCs w:val="30"/>
          <w14:textFill>
            <w14:solidFill>
              <w14:schemeClr w14:val="tx1"/>
            </w14:solidFill>
          </w14:textFill>
        </w:rPr>
        <w:tab/>
      </w:r>
      <w:r>
        <w:rPr>
          <w:rStyle w:val="36"/>
          <w:rFonts w:ascii="仿宋_GB2312" w:hAnsi="国标黑体" w:eastAsia="仿宋_GB2312" w:cs="国标黑体"/>
          <w:color w:val="000000" w:themeColor="text1"/>
          <w:sz w:val="30"/>
          <w:szCs w:val="30"/>
          <w14:textFill>
            <w14:solidFill>
              <w14:schemeClr w14:val="tx1"/>
            </w14:solidFill>
          </w14:textFill>
        </w:rPr>
        <w:fldChar w:fldCharType="begin"/>
      </w:r>
      <w:r>
        <w:rPr>
          <w:rStyle w:val="36"/>
          <w:rFonts w:ascii="仿宋_GB2312" w:hAnsi="国标黑体" w:eastAsia="仿宋_GB2312" w:cs="国标黑体"/>
          <w:color w:val="000000" w:themeColor="text1"/>
          <w:sz w:val="30"/>
          <w:szCs w:val="30"/>
          <w14:textFill>
            <w14:solidFill>
              <w14:schemeClr w14:val="tx1"/>
            </w14:solidFill>
          </w14:textFill>
        </w:rPr>
        <w:instrText xml:space="preserve"> PAGEREF _Toc235000773 \h </w:instrText>
      </w:r>
      <w:r>
        <w:rPr>
          <w:rStyle w:val="36"/>
          <w:rFonts w:ascii="仿宋_GB2312" w:hAnsi="国标黑体" w:eastAsia="仿宋_GB2312" w:cs="国标黑体"/>
          <w:color w:val="000000" w:themeColor="text1"/>
          <w:sz w:val="30"/>
          <w:szCs w:val="30"/>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- 75 -</w:t>
      </w:r>
      <w:r>
        <w:rPr>
          <w:rStyle w:val="36"/>
          <w:rFonts w:ascii="仿宋_GB2312" w:hAnsi="国标黑体" w:eastAsia="仿宋_GB2312" w:cs="国标黑体"/>
          <w:color w:val="000000" w:themeColor="text1"/>
          <w:sz w:val="30"/>
          <w:szCs w:val="30"/>
          <w14:textFill>
            <w14:solidFill>
              <w14:schemeClr w14:val="tx1"/>
            </w14:solidFill>
          </w14:textFill>
        </w:rPr>
        <w:fldChar w:fldCharType="end"/>
      </w:r>
      <w:r>
        <w:rPr>
          <w:rStyle w:val="36"/>
          <w:rFonts w:ascii="仿宋_GB2312" w:hAnsi="国标黑体" w:eastAsia="仿宋_GB2312" w:cs="国标黑体"/>
          <w:color w:val="000000" w:themeColor="text1"/>
          <w:sz w:val="30"/>
          <w:szCs w:val="30"/>
          <w14:textFill>
            <w14:solidFill>
              <w14:schemeClr w14:val="tx1"/>
            </w14:solidFill>
          </w14:textFill>
        </w:rPr>
        <w:fldChar w:fldCharType="end"/>
      </w:r>
    </w:p>
    <w:p>
      <w:pPr>
        <w:pStyle w:val="22"/>
        <w:tabs>
          <w:tab w:val="right" w:leader="dot" w:pos="8834"/>
        </w:tabs>
        <w:spacing w:line="600" w:lineRule="exact"/>
        <w:rPr>
          <w:rStyle w:val="36"/>
          <w:rFonts w:ascii="方正小标宋_GBK" w:hAnsi="方正小标宋简体" w:eastAsia="方正小标宋_GBK" w:cs="方正小标宋简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"_Toc235000774" </w:instrText>
      </w:r>
      <w:r>
        <w:rPr>
          <w:color w:val="000000" w:themeColor="text1"/>
          <w14:textFill>
            <w14:solidFill>
              <w14:schemeClr w14:val="tx1"/>
            </w14:solidFill>
          </w14:textFill>
        </w:rPr>
        <w:fldChar w:fldCharType="separate"/>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t>第九章 坚持农业农村优先发展，深入推进乡村全面振兴</w:t>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tab/>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fldChar w:fldCharType="begin"/>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instrText xml:space="preserve"> PAGEREF _Toc235000774 \h </w:instrText>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fldChar w:fldCharType="separate"/>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t>- 78 -</w:t>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fldChar w:fldCharType="end"/>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fldChar w:fldCharType="end"/>
      </w:r>
    </w:p>
    <w:p>
      <w:pPr>
        <w:pStyle w:val="26"/>
        <w:tabs>
          <w:tab w:val="right" w:leader="dot" w:pos="8834"/>
        </w:tabs>
        <w:spacing w:line="600" w:lineRule="exact"/>
        <w:rPr>
          <w:rStyle w:val="36"/>
          <w:rFonts w:ascii="仿宋_GB2312" w:hAnsi="国标黑体" w:eastAsia="仿宋_GB2312" w:cs="国标黑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"_Toc235000775" </w:instrText>
      </w:r>
      <w:r>
        <w:rPr>
          <w:color w:val="000000" w:themeColor="text1"/>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第一节 推动农业产业提质增效</w:t>
      </w:r>
      <w:r>
        <w:rPr>
          <w:rStyle w:val="36"/>
          <w:rFonts w:ascii="仿宋_GB2312" w:hAnsi="国标黑体" w:eastAsia="仿宋_GB2312" w:cs="国标黑体"/>
          <w:color w:val="000000" w:themeColor="text1"/>
          <w:sz w:val="30"/>
          <w:szCs w:val="30"/>
          <w14:textFill>
            <w14:solidFill>
              <w14:schemeClr w14:val="tx1"/>
            </w14:solidFill>
          </w14:textFill>
        </w:rPr>
        <w:tab/>
      </w:r>
      <w:r>
        <w:rPr>
          <w:rStyle w:val="36"/>
          <w:rFonts w:ascii="仿宋_GB2312" w:hAnsi="国标黑体" w:eastAsia="仿宋_GB2312" w:cs="国标黑体"/>
          <w:color w:val="000000" w:themeColor="text1"/>
          <w:sz w:val="30"/>
          <w:szCs w:val="30"/>
          <w14:textFill>
            <w14:solidFill>
              <w14:schemeClr w14:val="tx1"/>
            </w14:solidFill>
          </w14:textFill>
        </w:rPr>
        <w:fldChar w:fldCharType="begin"/>
      </w:r>
      <w:r>
        <w:rPr>
          <w:rStyle w:val="36"/>
          <w:rFonts w:ascii="仿宋_GB2312" w:hAnsi="国标黑体" w:eastAsia="仿宋_GB2312" w:cs="国标黑体"/>
          <w:color w:val="000000" w:themeColor="text1"/>
          <w:sz w:val="30"/>
          <w:szCs w:val="30"/>
          <w14:textFill>
            <w14:solidFill>
              <w14:schemeClr w14:val="tx1"/>
            </w14:solidFill>
          </w14:textFill>
        </w:rPr>
        <w:instrText xml:space="preserve"> PAGEREF _Toc235000775 \h </w:instrText>
      </w:r>
      <w:r>
        <w:rPr>
          <w:rStyle w:val="36"/>
          <w:rFonts w:ascii="仿宋_GB2312" w:hAnsi="国标黑体" w:eastAsia="仿宋_GB2312" w:cs="国标黑体"/>
          <w:color w:val="000000" w:themeColor="text1"/>
          <w:sz w:val="30"/>
          <w:szCs w:val="30"/>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- 78 -</w:t>
      </w:r>
      <w:r>
        <w:rPr>
          <w:rStyle w:val="36"/>
          <w:rFonts w:ascii="仿宋_GB2312" w:hAnsi="国标黑体" w:eastAsia="仿宋_GB2312" w:cs="国标黑体"/>
          <w:color w:val="000000" w:themeColor="text1"/>
          <w:sz w:val="30"/>
          <w:szCs w:val="30"/>
          <w14:textFill>
            <w14:solidFill>
              <w14:schemeClr w14:val="tx1"/>
            </w14:solidFill>
          </w14:textFill>
        </w:rPr>
        <w:fldChar w:fldCharType="end"/>
      </w:r>
      <w:r>
        <w:rPr>
          <w:rStyle w:val="36"/>
          <w:rFonts w:ascii="仿宋_GB2312" w:hAnsi="国标黑体" w:eastAsia="仿宋_GB2312" w:cs="国标黑体"/>
          <w:color w:val="000000" w:themeColor="text1"/>
          <w:sz w:val="30"/>
          <w:szCs w:val="30"/>
          <w14:textFill>
            <w14:solidFill>
              <w14:schemeClr w14:val="tx1"/>
            </w14:solidFill>
          </w14:textFill>
        </w:rPr>
        <w:fldChar w:fldCharType="end"/>
      </w:r>
    </w:p>
    <w:p>
      <w:pPr>
        <w:pStyle w:val="26"/>
        <w:tabs>
          <w:tab w:val="right" w:leader="dot" w:pos="8834"/>
        </w:tabs>
        <w:spacing w:line="600" w:lineRule="exact"/>
        <w:rPr>
          <w:rStyle w:val="36"/>
          <w:rFonts w:ascii="仿宋_GB2312" w:hAnsi="国标黑体" w:eastAsia="仿宋_GB2312" w:cs="国标黑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"_Toc235000776" </w:instrText>
      </w:r>
      <w:r>
        <w:rPr>
          <w:color w:val="000000" w:themeColor="text1"/>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第二节 建设宜居宜业和美乡村</w:t>
      </w:r>
      <w:r>
        <w:rPr>
          <w:rStyle w:val="36"/>
          <w:rFonts w:ascii="仿宋_GB2312" w:hAnsi="国标黑体" w:eastAsia="仿宋_GB2312" w:cs="国标黑体"/>
          <w:color w:val="000000" w:themeColor="text1"/>
          <w:sz w:val="30"/>
          <w:szCs w:val="30"/>
          <w14:textFill>
            <w14:solidFill>
              <w14:schemeClr w14:val="tx1"/>
            </w14:solidFill>
          </w14:textFill>
        </w:rPr>
        <w:tab/>
      </w:r>
      <w:r>
        <w:rPr>
          <w:rStyle w:val="36"/>
          <w:rFonts w:ascii="仿宋_GB2312" w:hAnsi="国标黑体" w:eastAsia="仿宋_GB2312" w:cs="国标黑体"/>
          <w:color w:val="000000" w:themeColor="text1"/>
          <w:sz w:val="30"/>
          <w:szCs w:val="30"/>
          <w14:textFill>
            <w14:solidFill>
              <w14:schemeClr w14:val="tx1"/>
            </w14:solidFill>
          </w14:textFill>
        </w:rPr>
        <w:fldChar w:fldCharType="begin"/>
      </w:r>
      <w:r>
        <w:rPr>
          <w:rStyle w:val="36"/>
          <w:rFonts w:ascii="仿宋_GB2312" w:hAnsi="国标黑体" w:eastAsia="仿宋_GB2312" w:cs="国标黑体"/>
          <w:color w:val="000000" w:themeColor="text1"/>
          <w:sz w:val="30"/>
          <w:szCs w:val="30"/>
          <w14:textFill>
            <w14:solidFill>
              <w14:schemeClr w14:val="tx1"/>
            </w14:solidFill>
          </w14:textFill>
        </w:rPr>
        <w:instrText xml:space="preserve"> PAGEREF _Toc235000776 \h </w:instrText>
      </w:r>
      <w:r>
        <w:rPr>
          <w:rStyle w:val="36"/>
          <w:rFonts w:ascii="仿宋_GB2312" w:hAnsi="国标黑体" w:eastAsia="仿宋_GB2312" w:cs="国标黑体"/>
          <w:color w:val="000000" w:themeColor="text1"/>
          <w:sz w:val="30"/>
          <w:szCs w:val="30"/>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- 82 -</w:t>
      </w:r>
      <w:r>
        <w:rPr>
          <w:rStyle w:val="36"/>
          <w:rFonts w:ascii="仿宋_GB2312" w:hAnsi="国标黑体" w:eastAsia="仿宋_GB2312" w:cs="国标黑体"/>
          <w:color w:val="000000" w:themeColor="text1"/>
          <w:sz w:val="30"/>
          <w:szCs w:val="30"/>
          <w14:textFill>
            <w14:solidFill>
              <w14:schemeClr w14:val="tx1"/>
            </w14:solidFill>
          </w14:textFill>
        </w:rPr>
        <w:fldChar w:fldCharType="end"/>
      </w:r>
      <w:r>
        <w:rPr>
          <w:rStyle w:val="36"/>
          <w:rFonts w:ascii="仿宋_GB2312" w:hAnsi="国标黑体" w:eastAsia="仿宋_GB2312" w:cs="国标黑体"/>
          <w:color w:val="000000" w:themeColor="text1"/>
          <w:sz w:val="30"/>
          <w:szCs w:val="30"/>
          <w14:textFill>
            <w14:solidFill>
              <w14:schemeClr w14:val="tx1"/>
            </w14:solidFill>
          </w14:textFill>
        </w:rPr>
        <w:fldChar w:fldCharType="end"/>
      </w:r>
    </w:p>
    <w:p>
      <w:pPr>
        <w:pStyle w:val="26"/>
        <w:tabs>
          <w:tab w:val="right" w:leader="dot" w:pos="8834"/>
        </w:tabs>
        <w:spacing w:line="600" w:lineRule="exact"/>
        <w:rPr>
          <w:rStyle w:val="36"/>
          <w:rFonts w:ascii="仿宋_GB2312" w:hAnsi="国标黑体" w:eastAsia="仿宋_GB2312" w:cs="国标黑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"_Toc235000777" </w:instrText>
      </w:r>
      <w:r>
        <w:rPr>
          <w:color w:val="000000" w:themeColor="text1"/>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第三节 提升强农惠农富农政策效能</w:t>
      </w:r>
      <w:r>
        <w:rPr>
          <w:rStyle w:val="36"/>
          <w:rFonts w:ascii="仿宋_GB2312" w:hAnsi="国标黑体" w:eastAsia="仿宋_GB2312" w:cs="国标黑体"/>
          <w:color w:val="000000" w:themeColor="text1"/>
          <w:sz w:val="30"/>
          <w:szCs w:val="30"/>
          <w14:textFill>
            <w14:solidFill>
              <w14:schemeClr w14:val="tx1"/>
            </w14:solidFill>
          </w14:textFill>
        </w:rPr>
        <w:tab/>
      </w:r>
      <w:r>
        <w:rPr>
          <w:rStyle w:val="36"/>
          <w:rFonts w:ascii="仿宋_GB2312" w:hAnsi="国标黑体" w:eastAsia="仿宋_GB2312" w:cs="国标黑体"/>
          <w:color w:val="000000" w:themeColor="text1"/>
          <w:sz w:val="30"/>
          <w:szCs w:val="30"/>
          <w14:textFill>
            <w14:solidFill>
              <w14:schemeClr w14:val="tx1"/>
            </w14:solidFill>
          </w14:textFill>
        </w:rPr>
        <w:fldChar w:fldCharType="begin"/>
      </w:r>
      <w:r>
        <w:rPr>
          <w:rStyle w:val="36"/>
          <w:rFonts w:ascii="仿宋_GB2312" w:hAnsi="国标黑体" w:eastAsia="仿宋_GB2312" w:cs="国标黑体"/>
          <w:color w:val="000000" w:themeColor="text1"/>
          <w:sz w:val="30"/>
          <w:szCs w:val="30"/>
          <w14:textFill>
            <w14:solidFill>
              <w14:schemeClr w14:val="tx1"/>
            </w14:solidFill>
          </w14:textFill>
        </w:rPr>
        <w:instrText xml:space="preserve"> PAGEREF _Toc235000777 \h </w:instrText>
      </w:r>
      <w:r>
        <w:rPr>
          <w:rStyle w:val="36"/>
          <w:rFonts w:ascii="仿宋_GB2312" w:hAnsi="国标黑体" w:eastAsia="仿宋_GB2312" w:cs="国标黑体"/>
          <w:color w:val="000000" w:themeColor="text1"/>
          <w:sz w:val="30"/>
          <w:szCs w:val="30"/>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- 85 -</w:t>
      </w:r>
      <w:r>
        <w:rPr>
          <w:rStyle w:val="36"/>
          <w:rFonts w:ascii="仿宋_GB2312" w:hAnsi="国标黑体" w:eastAsia="仿宋_GB2312" w:cs="国标黑体"/>
          <w:color w:val="000000" w:themeColor="text1"/>
          <w:sz w:val="30"/>
          <w:szCs w:val="30"/>
          <w14:textFill>
            <w14:solidFill>
              <w14:schemeClr w14:val="tx1"/>
            </w14:solidFill>
          </w14:textFill>
        </w:rPr>
        <w:fldChar w:fldCharType="end"/>
      </w:r>
      <w:r>
        <w:rPr>
          <w:rStyle w:val="36"/>
          <w:rFonts w:ascii="仿宋_GB2312" w:hAnsi="国标黑体" w:eastAsia="仿宋_GB2312" w:cs="国标黑体"/>
          <w:color w:val="000000" w:themeColor="text1"/>
          <w:sz w:val="30"/>
          <w:szCs w:val="30"/>
          <w14:textFill>
            <w14:solidFill>
              <w14:schemeClr w14:val="tx1"/>
            </w14:solidFill>
          </w14:textFill>
        </w:rPr>
        <w:fldChar w:fldCharType="end"/>
      </w:r>
    </w:p>
    <w:p>
      <w:pPr>
        <w:rPr>
          <w:rFonts w:hint="eastAsia"/>
          <w:color w:val="000000" w:themeColor="text1"/>
          <w:sz w:val="30"/>
          <w:szCs w:val="30"/>
          <w14:textFill>
            <w14:solidFill>
              <w14:schemeClr w14:val="tx1"/>
            </w14:solidFill>
          </w14:textFill>
        </w:rPr>
      </w:pPr>
    </w:p>
    <w:p>
      <w:pPr>
        <w:pStyle w:val="22"/>
        <w:tabs>
          <w:tab w:val="right" w:leader="dot" w:pos="8834"/>
        </w:tabs>
        <w:spacing w:line="600" w:lineRule="exact"/>
        <w:rPr>
          <w:rStyle w:val="36"/>
          <w:rFonts w:ascii="方正小标宋_GBK" w:hAnsi="方正小标宋简体" w:eastAsia="方正小标宋_GBK" w:cs="方正小标宋简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"_Toc235000778" </w:instrText>
      </w:r>
      <w:r>
        <w:rPr>
          <w:color w:val="000000" w:themeColor="text1"/>
          <w14:textFill>
            <w14:solidFill>
              <w14:schemeClr w14:val="tx1"/>
            </w14:solidFill>
          </w14:textFill>
        </w:rPr>
        <w:fldChar w:fldCharType="separate"/>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t>第十章 推动基础设施升级，促进城乡融合发展</w:t>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tab/>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fldChar w:fldCharType="begin"/>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instrText xml:space="preserve"> PAGEREF _Toc235000778 \h </w:instrText>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fldChar w:fldCharType="separate"/>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t>- 88 -</w:t>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fldChar w:fldCharType="end"/>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fldChar w:fldCharType="end"/>
      </w:r>
    </w:p>
    <w:p>
      <w:pPr>
        <w:pStyle w:val="26"/>
        <w:tabs>
          <w:tab w:val="right" w:leader="dot" w:pos="8834"/>
        </w:tabs>
        <w:spacing w:line="600" w:lineRule="exact"/>
        <w:rPr>
          <w:rStyle w:val="36"/>
          <w:rFonts w:ascii="仿宋_GB2312" w:hAnsi="国标黑体" w:eastAsia="仿宋_GB2312" w:cs="国标黑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"_Toc235000779" </w:instrText>
      </w:r>
      <w:r>
        <w:rPr>
          <w:color w:val="000000" w:themeColor="text1"/>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第一节 优化国土空间发展格局</w:t>
      </w:r>
      <w:r>
        <w:rPr>
          <w:rStyle w:val="36"/>
          <w:rFonts w:ascii="仿宋_GB2312" w:hAnsi="国标黑体" w:eastAsia="仿宋_GB2312" w:cs="国标黑体"/>
          <w:color w:val="000000" w:themeColor="text1"/>
          <w:sz w:val="30"/>
          <w:szCs w:val="30"/>
          <w14:textFill>
            <w14:solidFill>
              <w14:schemeClr w14:val="tx1"/>
            </w14:solidFill>
          </w14:textFill>
        </w:rPr>
        <w:tab/>
      </w:r>
      <w:r>
        <w:rPr>
          <w:rStyle w:val="36"/>
          <w:rFonts w:ascii="仿宋_GB2312" w:hAnsi="国标黑体" w:eastAsia="仿宋_GB2312" w:cs="国标黑体"/>
          <w:color w:val="000000" w:themeColor="text1"/>
          <w:sz w:val="30"/>
          <w:szCs w:val="30"/>
          <w14:textFill>
            <w14:solidFill>
              <w14:schemeClr w14:val="tx1"/>
            </w14:solidFill>
          </w14:textFill>
        </w:rPr>
        <w:fldChar w:fldCharType="begin"/>
      </w:r>
      <w:r>
        <w:rPr>
          <w:rStyle w:val="36"/>
          <w:rFonts w:ascii="仿宋_GB2312" w:hAnsi="国标黑体" w:eastAsia="仿宋_GB2312" w:cs="国标黑体"/>
          <w:color w:val="000000" w:themeColor="text1"/>
          <w:sz w:val="30"/>
          <w:szCs w:val="30"/>
          <w14:textFill>
            <w14:solidFill>
              <w14:schemeClr w14:val="tx1"/>
            </w14:solidFill>
          </w14:textFill>
        </w:rPr>
        <w:instrText xml:space="preserve"> PAGEREF _Toc235000779 \h </w:instrText>
      </w:r>
      <w:r>
        <w:rPr>
          <w:rStyle w:val="36"/>
          <w:rFonts w:ascii="仿宋_GB2312" w:hAnsi="国标黑体" w:eastAsia="仿宋_GB2312" w:cs="国标黑体"/>
          <w:color w:val="000000" w:themeColor="text1"/>
          <w:sz w:val="30"/>
          <w:szCs w:val="30"/>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- 88 -</w:t>
      </w:r>
      <w:r>
        <w:rPr>
          <w:rStyle w:val="36"/>
          <w:rFonts w:ascii="仿宋_GB2312" w:hAnsi="国标黑体" w:eastAsia="仿宋_GB2312" w:cs="国标黑体"/>
          <w:color w:val="000000" w:themeColor="text1"/>
          <w:sz w:val="30"/>
          <w:szCs w:val="30"/>
          <w14:textFill>
            <w14:solidFill>
              <w14:schemeClr w14:val="tx1"/>
            </w14:solidFill>
          </w14:textFill>
        </w:rPr>
        <w:fldChar w:fldCharType="end"/>
      </w:r>
      <w:r>
        <w:rPr>
          <w:rStyle w:val="36"/>
          <w:rFonts w:ascii="仿宋_GB2312" w:hAnsi="国标黑体" w:eastAsia="仿宋_GB2312" w:cs="国标黑体"/>
          <w:color w:val="000000" w:themeColor="text1"/>
          <w:sz w:val="30"/>
          <w:szCs w:val="30"/>
          <w14:textFill>
            <w14:solidFill>
              <w14:schemeClr w14:val="tx1"/>
            </w14:solidFill>
          </w14:textFill>
        </w:rPr>
        <w:fldChar w:fldCharType="end"/>
      </w:r>
    </w:p>
    <w:p>
      <w:pPr>
        <w:pStyle w:val="26"/>
        <w:tabs>
          <w:tab w:val="right" w:leader="dot" w:pos="8834"/>
        </w:tabs>
        <w:spacing w:line="600" w:lineRule="exact"/>
        <w:rPr>
          <w:rStyle w:val="36"/>
          <w:rFonts w:ascii="仿宋_GB2312" w:hAnsi="国标黑体" w:eastAsia="仿宋_GB2312" w:cs="国标黑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"_Toc235000780" </w:instrText>
      </w:r>
      <w:r>
        <w:rPr>
          <w:color w:val="000000" w:themeColor="text1"/>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第二节 构建现代化综合交通体系</w:t>
      </w:r>
      <w:r>
        <w:rPr>
          <w:rStyle w:val="36"/>
          <w:rFonts w:ascii="仿宋_GB2312" w:hAnsi="国标黑体" w:eastAsia="仿宋_GB2312" w:cs="国标黑体"/>
          <w:color w:val="000000" w:themeColor="text1"/>
          <w:sz w:val="30"/>
          <w:szCs w:val="30"/>
          <w14:textFill>
            <w14:solidFill>
              <w14:schemeClr w14:val="tx1"/>
            </w14:solidFill>
          </w14:textFill>
        </w:rPr>
        <w:tab/>
      </w:r>
      <w:r>
        <w:rPr>
          <w:rStyle w:val="36"/>
          <w:rFonts w:ascii="仿宋_GB2312" w:hAnsi="国标黑体" w:eastAsia="仿宋_GB2312" w:cs="国标黑体"/>
          <w:color w:val="000000" w:themeColor="text1"/>
          <w:sz w:val="30"/>
          <w:szCs w:val="30"/>
          <w14:textFill>
            <w14:solidFill>
              <w14:schemeClr w14:val="tx1"/>
            </w14:solidFill>
          </w14:textFill>
        </w:rPr>
        <w:fldChar w:fldCharType="begin"/>
      </w:r>
      <w:r>
        <w:rPr>
          <w:rStyle w:val="36"/>
          <w:rFonts w:ascii="仿宋_GB2312" w:hAnsi="国标黑体" w:eastAsia="仿宋_GB2312" w:cs="国标黑体"/>
          <w:color w:val="000000" w:themeColor="text1"/>
          <w:sz w:val="30"/>
          <w:szCs w:val="30"/>
          <w14:textFill>
            <w14:solidFill>
              <w14:schemeClr w14:val="tx1"/>
            </w14:solidFill>
          </w14:textFill>
        </w:rPr>
        <w:instrText xml:space="preserve"> PAGEREF _Toc235000780 \h </w:instrText>
      </w:r>
      <w:r>
        <w:rPr>
          <w:rStyle w:val="36"/>
          <w:rFonts w:ascii="仿宋_GB2312" w:hAnsi="国标黑体" w:eastAsia="仿宋_GB2312" w:cs="国标黑体"/>
          <w:color w:val="000000" w:themeColor="text1"/>
          <w:sz w:val="30"/>
          <w:szCs w:val="30"/>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- 90 -</w:t>
      </w:r>
      <w:r>
        <w:rPr>
          <w:rStyle w:val="36"/>
          <w:rFonts w:ascii="仿宋_GB2312" w:hAnsi="国标黑体" w:eastAsia="仿宋_GB2312" w:cs="国标黑体"/>
          <w:color w:val="000000" w:themeColor="text1"/>
          <w:sz w:val="30"/>
          <w:szCs w:val="30"/>
          <w14:textFill>
            <w14:solidFill>
              <w14:schemeClr w14:val="tx1"/>
            </w14:solidFill>
          </w14:textFill>
        </w:rPr>
        <w:fldChar w:fldCharType="end"/>
      </w:r>
      <w:r>
        <w:rPr>
          <w:rStyle w:val="36"/>
          <w:rFonts w:ascii="仿宋_GB2312" w:hAnsi="国标黑体" w:eastAsia="仿宋_GB2312" w:cs="国标黑体"/>
          <w:color w:val="000000" w:themeColor="text1"/>
          <w:sz w:val="30"/>
          <w:szCs w:val="30"/>
          <w14:textFill>
            <w14:solidFill>
              <w14:schemeClr w14:val="tx1"/>
            </w14:solidFill>
          </w14:textFill>
        </w:rPr>
        <w:fldChar w:fldCharType="end"/>
      </w:r>
    </w:p>
    <w:p>
      <w:pPr>
        <w:pStyle w:val="26"/>
        <w:tabs>
          <w:tab w:val="right" w:leader="dot" w:pos="8834"/>
        </w:tabs>
        <w:spacing w:line="600" w:lineRule="exact"/>
        <w:rPr>
          <w:rStyle w:val="36"/>
          <w:rFonts w:ascii="仿宋_GB2312" w:hAnsi="国标黑体" w:eastAsia="仿宋_GB2312" w:cs="国标黑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"_Toc235000781" </w:instrText>
      </w:r>
      <w:r>
        <w:rPr>
          <w:color w:val="000000" w:themeColor="text1"/>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第三节 建设安全韧性的现代化水网</w:t>
      </w:r>
      <w:r>
        <w:rPr>
          <w:rStyle w:val="36"/>
          <w:rFonts w:ascii="仿宋_GB2312" w:hAnsi="国标黑体" w:eastAsia="仿宋_GB2312" w:cs="国标黑体"/>
          <w:color w:val="000000" w:themeColor="text1"/>
          <w:sz w:val="30"/>
          <w:szCs w:val="30"/>
          <w14:textFill>
            <w14:solidFill>
              <w14:schemeClr w14:val="tx1"/>
            </w14:solidFill>
          </w14:textFill>
        </w:rPr>
        <w:tab/>
      </w:r>
      <w:r>
        <w:rPr>
          <w:rStyle w:val="36"/>
          <w:rFonts w:ascii="仿宋_GB2312" w:hAnsi="国标黑体" w:eastAsia="仿宋_GB2312" w:cs="国标黑体"/>
          <w:color w:val="000000" w:themeColor="text1"/>
          <w:sz w:val="30"/>
          <w:szCs w:val="30"/>
          <w14:textFill>
            <w14:solidFill>
              <w14:schemeClr w14:val="tx1"/>
            </w14:solidFill>
          </w14:textFill>
        </w:rPr>
        <w:fldChar w:fldCharType="begin"/>
      </w:r>
      <w:r>
        <w:rPr>
          <w:rStyle w:val="36"/>
          <w:rFonts w:ascii="仿宋_GB2312" w:hAnsi="国标黑体" w:eastAsia="仿宋_GB2312" w:cs="国标黑体"/>
          <w:color w:val="000000" w:themeColor="text1"/>
          <w:sz w:val="30"/>
          <w:szCs w:val="30"/>
          <w14:textFill>
            <w14:solidFill>
              <w14:schemeClr w14:val="tx1"/>
            </w14:solidFill>
          </w14:textFill>
        </w:rPr>
        <w:instrText xml:space="preserve"> PAGEREF _Toc235000781 \h </w:instrText>
      </w:r>
      <w:r>
        <w:rPr>
          <w:rStyle w:val="36"/>
          <w:rFonts w:ascii="仿宋_GB2312" w:hAnsi="国标黑体" w:eastAsia="仿宋_GB2312" w:cs="国标黑体"/>
          <w:color w:val="000000" w:themeColor="text1"/>
          <w:sz w:val="30"/>
          <w:szCs w:val="30"/>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- 93 -</w:t>
      </w:r>
      <w:r>
        <w:rPr>
          <w:rStyle w:val="36"/>
          <w:rFonts w:ascii="仿宋_GB2312" w:hAnsi="国标黑体" w:eastAsia="仿宋_GB2312" w:cs="国标黑体"/>
          <w:color w:val="000000" w:themeColor="text1"/>
          <w:sz w:val="30"/>
          <w:szCs w:val="30"/>
          <w14:textFill>
            <w14:solidFill>
              <w14:schemeClr w14:val="tx1"/>
            </w14:solidFill>
          </w14:textFill>
        </w:rPr>
        <w:fldChar w:fldCharType="end"/>
      </w:r>
      <w:r>
        <w:rPr>
          <w:rStyle w:val="36"/>
          <w:rFonts w:ascii="仿宋_GB2312" w:hAnsi="国标黑体" w:eastAsia="仿宋_GB2312" w:cs="国标黑体"/>
          <w:color w:val="000000" w:themeColor="text1"/>
          <w:sz w:val="30"/>
          <w:szCs w:val="30"/>
          <w14:textFill>
            <w14:solidFill>
              <w14:schemeClr w14:val="tx1"/>
            </w14:solidFill>
          </w14:textFill>
        </w:rPr>
        <w:fldChar w:fldCharType="end"/>
      </w:r>
    </w:p>
    <w:p>
      <w:pPr>
        <w:pStyle w:val="26"/>
        <w:tabs>
          <w:tab w:val="right" w:leader="dot" w:pos="8834"/>
        </w:tabs>
        <w:spacing w:line="600" w:lineRule="exact"/>
        <w:rPr>
          <w:rStyle w:val="36"/>
          <w:rFonts w:ascii="仿宋_GB2312" w:hAnsi="国标黑体" w:eastAsia="仿宋_GB2312" w:cs="国标黑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"_Toc235000782" </w:instrText>
      </w:r>
      <w:r>
        <w:rPr>
          <w:color w:val="000000" w:themeColor="text1"/>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第四节 推进县域新型城镇化提质增效</w:t>
      </w:r>
      <w:r>
        <w:rPr>
          <w:rStyle w:val="36"/>
          <w:rFonts w:ascii="仿宋_GB2312" w:hAnsi="国标黑体" w:eastAsia="仿宋_GB2312" w:cs="国标黑体"/>
          <w:color w:val="000000" w:themeColor="text1"/>
          <w:sz w:val="30"/>
          <w:szCs w:val="30"/>
          <w14:textFill>
            <w14:solidFill>
              <w14:schemeClr w14:val="tx1"/>
            </w14:solidFill>
          </w14:textFill>
        </w:rPr>
        <w:tab/>
      </w:r>
      <w:r>
        <w:rPr>
          <w:rStyle w:val="36"/>
          <w:rFonts w:ascii="仿宋_GB2312" w:hAnsi="国标黑体" w:eastAsia="仿宋_GB2312" w:cs="国标黑体"/>
          <w:color w:val="000000" w:themeColor="text1"/>
          <w:sz w:val="30"/>
          <w:szCs w:val="30"/>
          <w14:textFill>
            <w14:solidFill>
              <w14:schemeClr w14:val="tx1"/>
            </w14:solidFill>
          </w14:textFill>
        </w:rPr>
        <w:fldChar w:fldCharType="begin"/>
      </w:r>
      <w:r>
        <w:rPr>
          <w:rStyle w:val="36"/>
          <w:rFonts w:ascii="仿宋_GB2312" w:hAnsi="国标黑体" w:eastAsia="仿宋_GB2312" w:cs="国标黑体"/>
          <w:color w:val="000000" w:themeColor="text1"/>
          <w:sz w:val="30"/>
          <w:szCs w:val="30"/>
          <w14:textFill>
            <w14:solidFill>
              <w14:schemeClr w14:val="tx1"/>
            </w14:solidFill>
          </w14:textFill>
        </w:rPr>
        <w:instrText xml:space="preserve"> PAGEREF _Toc235000782 \h </w:instrText>
      </w:r>
      <w:r>
        <w:rPr>
          <w:rStyle w:val="36"/>
          <w:rFonts w:ascii="仿宋_GB2312" w:hAnsi="国标黑体" w:eastAsia="仿宋_GB2312" w:cs="国标黑体"/>
          <w:color w:val="000000" w:themeColor="text1"/>
          <w:sz w:val="30"/>
          <w:szCs w:val="30"/>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- 96 -</w:t>
      </w:r>
      <w:r>
        <w:rPr>
          <w:rStyle w:val="36"/>
          <w:rFonts w:ascii="仿宋_GB2312" w:hAnsi="国标黑体" w:eastAsia="仿宋_GB2312" w:cs="国标黑体"/>
          <w:color w:val="000000" w:themeColor="text1"/>
          <w:sz w:val="30"/>
          <w:szCs w:val="30"/>
          <w14:textFill>
            <w14:solidFill>
              <w14:schemeClr w14:val="tx1"/>
            </w14:solidFill>
          </w14:textFill>
        </w:rPr>
        <w:fldChar w:fldCharType="end"/>
      </w:r>
      <w:r>
        <w:rPr>
          <w:rStyle w:val="36"/>
          <w:rFonts w:ascii="仿宋_GB2312" w:hAnsi="国标黑体" w:eastAsia="仿宋_GB2312" w:cs="国标黑体"/>
          <w:color w:val="000000" w:themeColor="text1"/>
          <w:sz w:val="30"/>
          <w:szCs w:val="30"/>
          <w14:textFill>
            <w14:solidFill>
              <w14:schemeClr w14:val="tx1"/>
            </w14:solidFill>
          </w14:textFill>
        </w:rPr>
        <w:fldChar w:fldCharType="end"/>
      </w:r>
    </w:p>
    <w:p>
      <w:pPr>
        <w:pStyle w:val="22"/>
        <w:tabs>
          <w:tab w:val="right" w:leader="dot" w:pos="8834"/>
        </w:tabs>
        <w:spacing w:line="600" w:lineRule="exact"/>
        <w:rPr>
          <w:rStyle w:val="36"/>
          <w:rFonts w:ascii="方正小标宋_GBK" w:hAnsi="方正小标宋简体" w:eastAsia="方正小标宋_GBK" w:cs="方正小标宋简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"_Toc235000783" </w:instrText>
      </w:r>
      <w:r>
        <w:rPr>
          <w:color w:val="000000" w:themeColor="text1"/>
          <w14:textFill>
            <w14:solidFill>
              <w14:schemeClr w14:val="tx1"/>
            </w14:solidFill>
          </w14:textFill>
        </w:rPr>
        <w:fldChar w:fldCharType="separate"/>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t>第十一章 激发文化创新创造活力，繁荣发展社会主义文化</w:t>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tab/>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fldChar w:fldCharType="begin"/>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instrText xml:space="preserve"> PAGEREF _Toc235000783 \h </w:instrText>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fldChar w:fldCharType="separate"/>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t>- 100 -</w:t>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fldChar w:fldCharType="end"/>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fldChar w:fldCharType="end"/>
      </w:r>
    </w:p>
    <w:p>
      <w:pPr>
        <w:pStyle w:val="26"/>
        <w:tabs>
          <w:tab w:val="right" w:leader="dot" w:pos="8834"/>
        </w:tabs>
        <w:spacing w:line="600" w:lineRule="exact"/>
        <w:rPr>
          <w:rStyle w:val="36"/>
          <w:rFonts w:ascii="仿宋_GB2312" w:hAnsi="国标黑体" w:eastAsia="仿宋_GB2312" w:cs="国标黑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"_Toc235000784" </w:instrText>
      </w:r>
      <w:r>
        <w:rPr>
          <w:color w:val="000000" w:themeColor="text1"/>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第一节 弘扬和践行社会主义核心价值观</w:t>
      </w:r>
      <w:r>
        <w:rPr>
          <w:rStyle w:val="36"/>
          <w:rFonts w:ascii="仿宋_GB2312" w:hAnsi="国标黑体" w:eastAsia="仿宋_GB2312" w:cs="国标黑体"/>
          <w:color w:val="000000" w:themeColor="text1"/>
          <w:sz w:val="30"/>
          <w:szCs w:val="30"/>
          <w14:textFill>
            <w14:solidFill>
              <w14:schemeClr w14:val="tx1"/>
            </w14:solidFill>
          </w14:textFill>
        </w:rPr>
        <w:tab/>
      </w:r>
      <w:r>
        <w:rPr>
          <w:rStyle w:val="36"/>
          <w:rFonts w:ascii="仿宋_GB2312" w:hAnsi="国标黑体" w:eastAsia="仿宋_GB2312" w:cs="国标黑体"/>
          <w:color w:val="000000" w:themeColor="text1"/>
          <w:sz w:val="30"/>
          <w:szCs w:val="30"/>
          <w14:textFill>
            <w14:solidFill>
              <w14:schemeClr w14:val="tx1"/>
            </w14:solidFill>
          </w14:textFill>
        </w:rPr>
        <w:fldChar w:fldCharType="begin"/>
      </w:r>
      <w:r>
        <w:rPr>
          <w:rStyle w:val="36"/>
          <w:rFonts w:ascii="仿宋_GB2312" w:hAnsi="国标黑体" w:eastAsia="仿宋_GB2312" w:cs="国标黑体"/>
          <w:color w:val="000000" w:themeColor="text1"/>
          <w:sz w:val="30"/>
          <w:szCs w:val="30"/>
          <w14:textFill>
            <w14:solidFill>
              <w14:schemeClr w14:val="tx1"/>
            </w14:solidFill>
          </w14:textFill>
        </w:rPr>
        <w:instrText xml:space="preserve"> PAGEREF _Toc235000784 \h </w:instrText>
      </w:r>
      <w:r>
        <w:rPr>
          <w:rStyle w:val="36"/>
          <w:rFonts w:ascii="仿宋_GB2312" w:hAnsi="国标黑体" w:eastAsia="仿宋_GB2312" w:cs="国标黑体"/>
          <w:color w:val="000000" w:themeColor="text1"/>
          <w:sz w:val="30"/>
          <w:szCs w:val="30"/>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- 100 -</w:t>
      </w:r>
      <w:r>
        <w:rPr>
          <w:rStyle w:val="36"/>
          <w:rFonts w:ascii="仿宋_GB2312" w:hAnsi="国标黑体" w:eastAsia="仿宋_GB2312" w:cs="国标黑体"/>
          <w:color w:val="000000" w:themeColor="text1"/>
          <w:sz w:val="30"/>
          <w:szCs w:val="30"/>
          <w14:textFill>
            <w14:solidFill>
              <w14:schemeClr w14:val="tx1"/>
            </w14:solidFill>
          </w14:textFill>
        </w:rPr>
        <w:fldChar w:fldCharType="end"/>
      </w:r>
      <w:r>
        <w:rPr>
          <w:rStyle w:val="36"/>
          <w:rFonts w:ascii="仿宋_GB2312" w:hAnsi="国标黑体" w:eastAsia="仿宋_GB2312" w:cs="国标黑体"/>
          <w:color w:val="000000" w:themeColor="text1"/>
          <w:sz w:val="30"/>
          <w:szCs w:val="30"/>
          <w14:textFill>
            <w14:solidFill>
              <w14:schemeClr w14:val="tx1"/>
            </w14:solidFill>
          </w14:textFill>
        </w:rPr>
        <w:fldChar w:fldCharType="end"/>
      </w:r>
    </w:p>
    <w:p>
      <w:pPr>
        <w:pStyle w:val="26"/>
        <w:tabs>
          <w:tab w:val="right" w:leader="dot" w:pos="8834"/>
        </w:tabs>
        <w:spacing w:line="600" w:lineRule="exact"/>
        <w:rPr>
          <w:rStyle w:val="36"/>
          <w:rFonts w:ascii="仿宋_GB2312" w:hAnsi="国标黑体" w:eastAsia="仿宋_GB2312" w:cs="国标黑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"_Toc235000785" </w:instrText>
      </w:r>
      <w:r>
        <w:rPr>
          <w:color w:val="000000" w:themeColor="text1"/>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第二节 完善公共文化服务体系</w:t>
      </w:r>
      <w:r>
        <w:rPr>
          <w:rStyle w:val="36"/>
          <w:rFonts w:ascii="仿宋_GB2312" w:hAnsi="国标黑体" w:eastAsia="仿宋_GB2312" w:cs="国标黑体"/>
          <w:color w:val="000000" w:themeColor="text1"/>
          <w:sz w:val="30"/>
          <w:szCs w:val="30"/>
          <w14:textFill>
            <w14:solidFill>
              <w14:schemeClr w14:val="tx1"/>
            </w14:solidFill>
          </w14:textFill>
        </w:rPr>
        <w:tab/>
      </w:r>
      <w:r>
        <w:rPr>
          <w:rStyle w:val="36"/>
          <w:rFonts w:ascii="仿宋_GB2312" w:hAnsi="国标黑体" w:eastAsia="仿宋_GB2312" w:cs="国标黑体"/>
          <w:color w:val="000000" w:themeColor="text1"/>
          <w:sz w:val="30"/>
          <w:szCs w:val="30"/>
          <w14:textFill>
            <w14:solidFill>
              <w14:schemeClr w14:val="tx1"/>
            </w14:solidFill>
          </w14:textFill>
        </w:rPr>
        <w:fldChar w:fldCharType="begin"/>
      </w:r>
      <w:r>
        <w:rPr>
          <w:rStyle w:val="36"/>
          <w:rFonts w:ascii="仿宋_GB2312" w:hAnsi="国标黑体" w:eastAsia="仿宋_GB2312" w:cs="国标黑体"/>
          <w:color w:val="000000" w:themeColor="text1"/>
          <w:sz w:val="30"/>
          <w:szCs w:val="30"/>
          <w14:textFill>
            <w14:solidFill>
              <w14:schemeClr w14:val="tx1"/>
            </w14:solidFill>
          </w14:textFill>
        </w:rPr>
        <w:instrText xml:space="preserve"> PAGEREF _Toc235000785 \h </w:instrText>
      </w:r>
      <w:r>
        <w:rPr>
          <w:rStyle w:val="36"/>
          <w:rFonts w:ascii="仿宋_GB2312" w:hAnsi="国标黑体" w:eastAsia="仿宋_GB2312" w:cs="国标黑体"/>
          <w:color w:val="000000" w:themeColor="text1"/>
          <w:sz w:val="30"/>
          <w:szCs w:val="30"/>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- 101 -</w:t>
      </w:r>
      <w:r>
        <w:rPr>
          <w:rStyle w:val="36"/>
          <w:rFonts w:ascii="仿宋_GB2312" w:hAnsi="国标黑体" w:eastAsia="仿宋_GB2312" w:cs="国标黑体"/>
          <w:color w:val="000000" w:themeColor="text1"/>
          <w:sz w:val="30"/>
          <w:szCs w:val="30"/>
          <w14:textFill>
            <w14:solidFill>
              <w14:schemeClr w14:val="tx1"/>
            </w14:solidFill>
          </w14:textFill>
        </w:rPr>
        <w:fldChar w:fldCharType="end"/>
      </w:r>
      <w:r>
        <w:rPr>
          <w:rStyle w:val="36"/>
          <w:rFonts w:ascii="仿宋_GB2312" w:hAnsi="国标黑体" w:eastAsia="仿宋_GB2312" w:cs="国标黑体"/>
          <w:color w:val="000000" w:themeColor="text1"/>
          <w:sz w:val="30"/>
          <w:szCs w:val="30"/>
          <w14:textFill>
            <w14:solidFill>
              <w14:schemeClr w14:val="tx1"/>
            </w14:solidFill>
          </w14:textFill>
        </w:rPr>
        <w:fldChar w:fldCharType="end"/>
      </w:r>
    </w:p>
    <w:p>
      <w:pPr>
        <w:pStyle w:val="26"/>
        <w:tabs>
          <w:tab w:val="right" w:leader="dot" w:pos="8834"/>
        </w:tabs>
        <w:spacing w:line="600" w:lineRule="exact"/>
        <w:rPr>
          <w:rStyle w:val="36"/>
          <w:rFonts w:ascii="仿宋_GB2312" w:hAnsi="国标黑体" w:eastAsia="仿宋_GB2312" w:cs="国标黑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"_Toc235000786" </w:instrText>
      </w:r>
      <w:r>
        <w:rPr>
          <w:color w:val="000000" w:themeColor="text1"/>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第三节 保护传承优秀传统文化</w:t>
      </w:r>
      <w:r>
        <w:rPr>
          <w:rStyle w:val="36"/>
          <w:rFonts w:ascii="仿宋_GB2312" w:hAnsi="国标黑体" w:eastAsia="仿宋_GB2312" w:cs="国标黑体"/>
          <w:color w:val="000000" w:themeColor="text1"/>
          <w:sz w:val="30"/>
          <w:szCs w:val="30"/>
          <w14:textFill>
            <w14:solidFill>
              <w14:schemeClr w14:val="tx1"/>
            </w14:solidFill>
          </w14:textFill>
        </w:rPr>
        <w:tab/>
      </w:r>
      <w:r>
        <w:rPr>
          <w:rStyle w:val="36"/>
          <w:rFonts w:ascii="仿宋_GB2312" w:hAnsi="国标黑体" w:eastAsia="仿宋_GB2312" w:cs="国标黑体"/>
          <w:color w:val="000000" w:themeColor="text1"/>
          <w:sz w:val="30"/>
          <w:szCs w:val="30"/>
          <w14:textFill>
            <w14:solidFill>
              <w14:schemeClr w14:val="tx1"/>
            </w14:solidFill>
          </w14:textFill>
        </w:rPr>
        <w:fldChar w:fldCharType="begin"/>
      </w:r>
      <w:r>
        <w:rPr>
          <w:rStyle w:val="36"/>
          <w:rFonts w:ascii="仿宋_GB2312" w:hAnsi="国标黑体" w:eastAsia="仿宋_GB2312" w:cs="国标黑体"/>
          <w:color w:val="000000" w:themeColor="text1"/>
          <w:sz w:val="30"/>
          <w:szCs w:val="30"/>
          <w14:textFill>
            <w14:solidFill>
              <w14:schemeClr w14:val="tx1"/>
            </w14:solidFill>
          </w14:textFill>
        </w:rPr>
        <w:instrText xml:space="preserve"> PAGEREF _Toc235000786 \h </w:instrText>
      </w:r>
      <w:r>
        <w:rPr>
          <w:rStyle w:val="36"/>
          <w:rFonts w:ascii="仿宋_GB2312" w:hAnsi="国标黑体" w:eastAsia="仿宋_GB2312" w:cs="国标黑体"/>
          <w:color w:val="000000" w:themeColor="text1"/>
          <w:sz w:val="30"/>
          <w:szCs w:val="30"/>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- 102 -</w:t>
      </w:r>
      <w:r>
        <w:rPr>
          <w:rStyle w:val="36"/>
          <w:rFonts w:ascii="仿宋_GB2312" w:hAnsi="国标黑体" w:eastAsia="仿宋_GB2312" w:cs="国标黑体"/>
          <w:color w:val="000000" w:themeColor="text1"/>
          <w:sz w:val="30"/>
          <w:szCs w:val="30"/>
          <w14:textFill>
            <w14:solidFill>
              <w14:schemeClr w14:val="tx1"/>
            </w14:solidFill>
          </w14:textFill>
        </w:rPr>
        <w:fldChar w:fldCharType="end"/>
      </w:r>
      <w:r>
        <w:rPr>
          <w:rStyle w:val="36"/>
          <w:rFonts w:ascii="仿宋_GB2312" w:hAnsi="国标黑体" w:eastAsia="仿宋_GB2312" w:cs="国标黑体"/>
          <w:color w:val="000000" w:themeColor="text1"/>
          <w:sz w:val="30"/>
          <w:szCs w:val="30"/>
          <w14:textFill>
            <w14:solidFill>
              <w14:schemeClr w14:val="tx1"/>
            </w14:solidFill>
          </w14:textFill>
        </w:rPr>
        <w:fldChar w:fldCharType="end"/>
      </w:r>
    </w:p>
    <w:p>
      <w:pPr>
        <w:pStyle w:val="26"/>
        <w:tabs>
          <w:tab w:val="right" w:leader="dot" w:pos="8834"/>
        </w:tabs>
        <w:spacing w:line="600" w:lineRule="exact"/>
        <w:rPr>
          <w:rStyle w:val="36"/>
          <w:rFonts w:ascii="仿宋_GB2312" w:hAnsi="国标黑体" w:eastAsia="仿宋_GB2312" w:cs="国标黑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"_Toc235000787" </w:instrText>
      </w:r>
      <w:r>
        <w:rPr>
          <w:color w:val="000000" w:themeColor="text1"/>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第四节 提升文化创新与传播能力</w:t>
      </w:r>
      <w:r>
        <w:rPr>
          <w:rStyle w:val="36"/>
          <w:rFonts w:ascii="仿宋_GB2312" w:hAnsi="国标黑体" w:eastAsia="仿宋_GB2312" w:cs="国标黑体"/>
          <w:color w:val="000000" w:themeColor="text1"/>
          <w:sz w:val="30"/>
          <w:szCs w:val="30"/>
          <w14:textFill>
            <w14:solidFill>
              <w14:schemeClr w14:val="tx1"/>
            </w14:solidFill>
          </w14:textFill>
        </w:rPr>
        <w:tab/>
      </w:r>
      <w:r>
        <w:rPr>
          <w:rStyle w:val="36"/>
          <w:rFonts w:ascii="仿宋_GB2312" w:hAnsi="国标黑体" w:eastAsia="仿宋_GB2312" w:cs="国标黑体"/>
          <w:color w:val="000000" w:themeColor="text1"/>
          <w:sz w:val="30"/>
          <w:szCs w:val="30"/>
          <w14:textFill>
            <w14:solidFill>
              <w14:schemeClr w14:val="tx1"/>
            </w14:solidFill>
          </w14:textFill>
        </w:rPr>
        <w:fldChar w:fldCharType="begin"/>
      </w:r>
      <w:r>
        <w:rPr>
          <w:rStyle w:val="36"/>
          <w:rFonts w:ascii="仿宋_GB2312" w:hAnsi="国标黑体" w:eastAsia="仿宋_GB2312" w:cs="国标黑体"/>
          <w:color w:val="000000" w:themeColor="text1"/>
          <w:sz w:val="30"/>
          <w:szCs w:val="30"/>
          <w14:textFill>
            <w14:solidFill>
              <w14:schemeClr w14:val="tx1"/>
            </w14:solidFill>
          </w14:textFill>
        </w:rPr>
        <w:instrText xml:space="preserve"> PAGEREF _Toc235000787 \h </w:instrText>
      </w:r>
      <w:r>
        <w:rPr>
          <w:rStyle w:val="36"/>
          <w:rFonts w:ascii="仿宋_GB2312" w:hAnsi="国标黑体" w:eastAsia="仿宋_GB2312" w:cs="国标黑体"/>
          <w:color w:val="000000" w:themeColor="text1"/>
          <w:sz w:val="30"/>
          <w:szCs w:val="30"/>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- 103 -</w:t>
      </w:r>
      <w:r>
        <w:rPr>
          <w:rStyle w:val="36"/>
          <w:rFonts w:ascii="仿宋_GB2312" w:hAnsi="国标黑体" w:eastAsia="仿宋_GB2312" w:cs="国标黑体"/>
          <w:color w:val="000000" w:themeColor="text1"/>
          <w:sz w:val="30"/>
          <w:szCs w:val="30"/>
          <w14:textFill>
            <w14:solidFill>
              <w14:schemeClr w14:val="tx1"/>
            </w14:solidFill>
          </w14:textFill>
        </w:rPr>
        <w:fldChar w:fldCharType="end"/>
      </w:r>
      <w:r>
        <w:rPr>
          <w:rStyle w:val="36"/>
          <w:rFonts w:ascii="仿宋_GB2312" w:hAnsi="国标黑体" w:eastAsia="仿宋_GB2312" w:cs="国标黑体"/>
          <w:color w:val="000000" w:themeColor="text1"/>
          <w:sz w:val="30"/>
          <w:szCs w:val="30"/>
          <w14:textFill>
            <w14:solidFill>
              <w14:schemeClr w14:val="tx1"/>
            </w14:solidFill>
          </w14:textFill>
        </w:rPr>
        <w:fldChar w:fldCharType="end"/>
      </w:r>
    </w:p>
    <w:p>
      <w:pPr>
        <w:pStyle w:val="22"/>
        <w:tabs>
          <w:tab w:val="right" w:leader="dot" w:pos="8834"/>
        </w:tabs>
        <w:spacing w:line="600" w:lineRule="exact"/>
        <w:rPr>
          <w:rStyle w:val="36"/>
          <w:rFonts w:ascii="方正小标宋_GBK" w:hAnsi="方正小标宋简体" w:eastAsia="方正小标宋_GBK" w:cs="方正小标宋简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"_Toc235000788" </w:instrText>
      </w:r>
      <w:r>
        <w:rPr>
          <w:color w:val="000000" w:themeColor="text1"/>
          <w14:textFill>
            <w14:solidFill>
              <w14:schemeClr w14:val="tx1"/>
            </w14:solidFill>
          </w14:textFill>
        </w:rPr>
        <w:fldChar w:fldCharType="separate"/>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t>第十二章 持续增进民生福祉，扎实推进共同富裕</w:t>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tab/>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fldChar w:fldCharType="begin"/>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instrText xml:space="preserve"> PAGEREF _Toc235000788 \h </w:instrText>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fldChar w:fldCharType="separate"/>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t>- 106 -</w:t>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fldChar w:fldCharType="end"/>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fldChar w:fldCharType="end"/>
      </w:r>
    </w:p>
    <w:p>
      <w:pPr>
        <w:pStyle w:val="26"/>
        <w:tabs>
          <w:tab w:val="right" w:leader="dot" w:pos="8834"/>
        </w:tabs>
        <w:spacing w:line="600" w:lineRule="exact"/>
        <w:rPr>
          <w:rStyle w:val="36"/>
          <w:rFonts w:ascii="仿宋_GB2312" w:hAnsi="国标黑体" w:eastAsia="仿宋_GB2312" w:cs="国标黑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"_Toc235000789" </w:instrText>
      </w:r>
      <w:r>
        <w:rPr>
          <w:color w:val="000000" w:themeColor="text1"/>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第一节 促进高质量充分就业</w:t>
      </w:r>
      <w:r>
        <w:rPr>
          <w:rStyle w:val="36"/>
          <w:rFonts w:ascii="仿宋_GB2312" w:hAnsi="国标黑体" w:eastAsia="仿宋_GB2312" w:cs="国标黑体"/>
          <w:color w:val="000000" w:themeColor="text1"/>
          <w:sz w:val="30"/>
          <w:szCs w:val="30"/>
          <w14:textFill>
            <w14:solidFill>
              <w14:schemeClr w14:val="tx1"/>
            </w14:solidFill>
          </w14:textFill>
        </w:rPr>
        <w:tab/>
      </w:r>
      <w:r>
        <w:rPr>
          <w:rStyle w:val="36"/>
          <w:rFonts w:ascii="仿宋_GB2312" w:hAnsi="国标黑体" w:eastAsia="仿宋_GB2312" w:cs="国标黑体"/>
          <w:color w:val="000000" w:themeColor="text1"/>
          <w:sz w:val="30"/>
          <w:szCs w:val="30"/>
          <w14:textFill>
            <w14:solidFill>
              <w14:schemeClr w14:val="tx1"/>
            </w14:solidFill>
          </w14:textFill>
        </w:rPr>
        <w:fldChar w:fldCharType="begin"/>
      </w:r>
      <w:r>
        <w:rPr>
          <w:rStyle w:val="36"/>
          <w:rFonts w:ascii="仿宋_GB2312" w:hAnsi="国标黑体" w:eastAsia="仿宋_GB2312" w:cs="国标黑体"/>
          <w:color w:val="000000" w:themeColor="text1"/>
          <w:sz w:val="30"/>
          <w:szCs w:val="30"/>
          <w14:textFill>
            <w14:solidFill>
              <w14:schemeClr w14:val="tx1"/>
            </w14:solidFill>
          </w14:textFill>
        </w:rPr>
        <w:instrText xml:space="preserve"> PAGEREF _Toc235000789 \h </w:instrText>
      </w:r>
      <w:r>
        <w:rPr>
          <w:rStyle w:val="36"/>
          <w:rFonts w:ascii="仿宋_GB2312" w:hAnsi="国标黑体" w:eastAsia="仿宋_GB2312" w:cs="国标黑体"/>
          <w:color w:val="000000" w:themeColor="text1"/>
          <w:sz w:val="30"/>
          <w:szCs w:val="30"/>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- 106 -</w:t>
      </w:r>
      <w:r>
        <w:rPr>
          <w:rStyle w:val="36"/>
          <w:rFonts w:ascii="仿宋_GB2312" w:hAnsi="国标黑体" w:eastAsia="仿宋_GB2312" w:cs="国标黑体"/>
          <w:color w:val="000000" w:themeColor="text1"/>
          <w:sz w:val="30"/>
          <w:szCs w:val="30"/>
          <w14:textFill>
            <w14:solidFill>
              <w14:schemeClr w14:val="tx1"/>
            </w14:solidFill>
          </w14:textFill>
        </w:rPr>
        <w:fldChar w:fldCharType="end"/>
      </w:r>
      <w:r>
        <w:rPr>
          <w:rStyle w:val="36"/>
          <w:rFonts w:ascii="仿宋_GB2312" w:hAnsi="国标黑体" w:eastAsia="仿宋_GB2312" w:cs="国标黑体"/>
          <w:color w:val="000000" w:themeColor="text1"/>
          <w:sz w:val="30"/>
          <w:szCs w:val="30"/>
          <w14:textFill>
            <w14:solidFill>
              <w14:schemeClr w14:val="tx1"/>
            </w14:solidFill>
          </w14:textFill>
        </w:rPr>
        <w:fldChar w:fldCharType="end"/>
      </w:r>
    </w:p>
    <w:p>
      <w:pPr>
        <w:pStyle w:val="26"/>
        <w:tabs>
          <w:tab w:val="right" w:leader="dot" w:pos="8834"/>
        </w:tabs>
        <w:spacing w:line="600" w:lineRule="exact"/>
        <w:rPr>
          <w:rStyle w:val="36"/>
          <w:rFonts w:ascii="仿宋_GB2312" w:hAnsi="国标黑体" w:eastAsia="仿宋_GB2312" w:cs="国标黑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"_Toc235000790" </w:instrText>
      </w:r>
      <w:r>
        <w:rPr>
          <w:color w:val="000000" w:themeColor="text1"/>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第二节 推动教育高质量发展</w:t>
      </w:r>
      <w:r>
        <w:rPr>
          <w:rStyle w:val="36"/>
          <w:rFonts w:ascii="仿宋_GB2312" w:hAnsi="国标黑体" w:eastAsia="仿宋_GB2312" w:cs="国标黑体"/>
          <w:color w:val="000000" w:themeColor="text1"/>
          <w:sz w:val="30"/>
          <w:szCs w:val="30"/>
          <w14:textFill>
            <w14:solidFill>
              <w14:schemeClr w14:val="tx1"/>
            </w14:solidFill>
          </w14:textFill>
        </w:rPr>
        <w:tab/>
      </w:r>
      <w:r>
        <w:rPr>
          <w:rStyle w:val="36"/>
          <w:rFonts w:ascii="仿宋_GB2312" w:hAnsi="国标黑体" w:eastAsia="仿宋_GB2312" w:cs="国标黑体"/>
          <w:color w:val="000000" w:themeColor="text1"/>
          <w:sz w:val="30"/>
          <w:szCs w:val="30"/>
          <w14:textFill>
            <w14:solidFill>
              <w14:schemeClr w14:val="tx1"/>
            </w14:solidFill>
          </w14:textFill>
        </w:rPr>
        <w:fldChar w:fldCharType="begin"/>
      </w:r>
      <w:r>
        <w:rPr>
          <w:rStyle w:val="36"/>
          <w:rFonts w:ascii="仿宋_GB2312" w:hAnsi="国标黑体" w:eastAsia="仿宋_GB2312" w:cs="国标黑体"/>
          <w:color w:val="000000" w:themeColor="text1"/>
          <w:sz w:val="30"/>
          <w:szCs w:val="30"/>
          <w14:textFill>
            <w14:solidFill>
              <w14:schemeClr w14:val="tx1"/>
            </w14:solidFill>
          </w14:textFill>
        </w:rPr>
        <w:instrText xml:space="preserve"> PAGEREF _Toc235000790 \h </w:instrText>
      </w:r>
      <w:r>
        <w:rPr>
          <w:rStyle w:val="36"/>
          <w:rFonts w:ascii="仿宋_GB2312" w:hAnsi="国标黑体" w:eastAsia="仿宋_GB2312" w:cs="国标黑体"/>
          <w:color w:val="000000" w:themeColor="text1"/>
          <w:sz w:val="30"/>
          <w:szCs w:val="30"/>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- 107 -</w:t>
      </w:r>
      <w:r>
        <w:rPr>
          <w:rStyle w:val="36"/>
          <w:rFonts w:ascii="仿宋_GB2312" w:hAnsi="国标黑体" w:eastAsia="仿宋_GB2312" w:cs="国标黑体"/>
          <w:color w:val="000000" w:themeColor="text1"/>
          <w:sz w:val="30"/>
          <w:szCs w:val="30"/>
          <w14:textFill>
            <w14:solidFill>
              <w14:schemeClr w14:val="tx1"/>
            </w14:solidFill>
          </w14:textFill>
        </w:rPr>
        <w:fldChar w:fldCharType="end"/>
      </w:r>
      <w:r>
        <w:rPr>
          <w:rStyle w:val="36"/>
          <w:rFonts w:ascii="仿宋_GB2312" w:hAnsi="国标黑体" w:eastAsia="仿宋_GB2312" w:cs="国标黑体"/>
          <w:color w:val="000000" w:themeColor="text1"/>
          <w:sz w:val="30"/>
          <w:szCs w:val="30"/>
          <w14:textFill>
            <w14:solidFill>
              <w14:schemeClr w14:val="tx1"/>
            </w14:solidFill>
          </w14:textFill>
        </w:rPr>
        <w:fldChar w:fldCharType="end"/>
      </w:r>
    </w:p>
    <w:p>
      <w:pPr>
        <w:pStyle w:val="26"/>
        <w:tabs>
          <w:tab w:val="right" w:leader="dot" w:pos="8834"/>
        </w:tabs>
        <w:spacing w:line="600" w:lineRule="exact"/>
        <w:rPr>
          <w:rStyle w:val="36"/>
          <w:rFonts w:ascii="仿宋_GB2312" w:hAnsi="国标黑体" w:eastAsia="仿宋_GB2312" w:cs="国标黑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"_Toc235000791" </w:instrText>
      </w:r>
      <w:r>
        <w:rPr>
          <w:color w:val="000000" w:themeColor="text1"/>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第三节 深化健康会同建设</w:t>
      </w:r>
      <w:r>
        <w:rPr>
          <w:rStyle w:val="36"/>
          <w:rFonts w:ascii="仿宋_GB2312" w:hAnsi="国标黑体" w:eastAsia="仿宋_GB2312" w:cs="国标黑体"/>
          <w:color w:val="000000" w:themeColor="text1"/>
          <w:sz w:val="30"/>
          <w:szCs w:val="30"/>
          <w14:textFill>
            <w14:solidFill>
              <w14:schemeClr w14:val="tx1"/>
            </w14:solidFill>
          </w14:textFill>
        </w:rPr>
        <w:tab/>
      </w:r>
      <w:r>
        <w:rPr>
          <w:rStyle w:val="36"/>
          <w:rFonts w:ascii="仿宋_GB2312" w:hAnsi="国标黑体" w:eastAsia="仿宋_GB2312" w:cs="国标黑体"/>
          <w:color w:val="000000" w:themeColor="text1"/>
          <w:sz w:val="30"/>
          <w:szCs w:val="30"/>
          <w14:textFill>
            <w14:solidFill>
              <w14:schemeClr w14:val="tx1"/>
            </w14:solidFill>
          </w14:textFill>
        </w:rPr>
        <w:fldChar w:fldCharType="begin"/>
      </w:r>
      <w:r>
        <w:rPr>
          <w:rStyle w:val="36"/>
          <w:rFonts w:ascii="仿宋_GB2312" w:hAnsi="国标黑体" w:eastAsia="仿宋_GB2312" w:cs="国标黑体"/>
          <w:color w:val="000000" w:themeColor="text1"/>
          <w:sz w:val="30"/>
          <w:szCs w:val="30"/>
          <w14:textFill>
            <w14:solidFill>
              <w14:schemeClr w14:val="tx1"/>
            </w14:solidFill>
          </w14:textFill>
        </w:rPr>
        <w:instrText xml:space="preserve"> PAGEREF _Toc235000791 \h </w:instrText>
      </w:r>
      <w:r>
        <w:rPr>
          <w:rStyle w:val="36"/>
          <w:rFonts w:ascii="仿宋_GB2312" w:hAnsi="国标黑体" w:eastAsia="仿宋_GB2312" w:cs="国标黑体"/>
          <w:color w:val="000000" w:themeColor="text1"/>
          <w:sz w:val="30"/>
          <w:szCs w:val="30"/>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- 111 -</w:t>
      </w:r>
      <w:r>
        <w:rPr>
          <w:rStyle w:val="36"/>
          <w:rFonts w:ascii="仿宋_GB2312" w:hAnsi="国标黑体" w:eastAsia="仿宋_GB2312" w:cs="国标黑体"/>
          <w:color w:val="000000" w:themeColor="text1"/>
          <w:sz w:val="30"/>
          <w:szCs w:val="30"/>
          <w14:textFill>
            <w14:solidFill>
              <w14:schemeClr w14:val="tx1"/>
            </w14:solidFill>
          </w14:textFill>
        </w:rPr>
        <w:fldChar w:fldCharType="end"/>
      </w:r>
      <w:r>
        <w:rPr>
          <w:rStyle w:val="36"/>
          <w:rFonts w:ascii="仿宋_GB2312" w:hAnsi="国标黑体" w:eastAsia="仿宋_GB2312" w:cs="国标黑体"/>
          <w:color w:val="000000" w:themeColor="text1"/>
          <w:sz w:val="30"/>
          <w:szCs w:val="30"/>
          <w14:textFill>
            <w14:solidFill>
              <w14:schemeClr w14:val="tx1"/>
            </w14:solidFill>
          </w14:textFill>
        </w:rPr>
        <w:fldChar w:fldCharType="end"/>
      </w:r>
    </w:p>
    <w:p>
      <w:pPr>
        <w:pStyle w:val="26"/>
        <w:tabs>
          <w:tab w:val="right" w:leader="dot" w:pos="8834"/>
        </w:tabs>
        <w:spacing w:line="600" w:lineRule="exact"/>
        <w:rPr>
          <w:rStyle w:val="36"/>
          <w:rFonts w:ascii="仿宋_GB2312" w:hAnsi="国标黑体" w:eastAsia="仿宋_GB2312" w:cs="国标黑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"_Toc235000792" </w:instrText>
      </w:r>
      <w:r>
        <w:rPr>
          <w:color w:val="000000" w:themeColor="text1"/>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第四节 促进人口高质量发展</w:t>
      </w:r>
      <w:r>
        <w:rPr>
          <w:rStyle w:val="36"/>
          <w:rFonts w:ascii="仿宋_GB2312" w:hAnsi="国标黑体" w:eastAsia="仿宋_GB2312" w:cs="国标黑体"/>
          <w:color w:val="000000" w:themeColor="text1"/>
          <w:sz w:val="30"/>
          <w:szCs w:val="30"/>
          <w14:textFill>
            <w14:solidFill>
              <w14:schemeClr w14:val="tx1"/>
            </w14:solidFill>
          </w14:textFill>
        </w:rPr>
        <w:tab/>
      </w:r>
      <w:r>
        <w:rPr>
          <w:rStyle w:val="36"/>
          <w:rFonts w:ascii="仿宋_GB2312" w:hAnsi="国标黑体" w:eastAsia="仿宋_GB2312" w:cs="国标黑体"/>
          <w:color w:val="000000" w:themeColor="text1"/>
          <w:sz w:val="30"/>
          <w:szCs w:val="30"/>
          <w14:textFill>
            <w14:solidFill>
              <w14:schemeClr w14:val="tx1"/>
            </w14:solidFill>
          </w14:textFill>
        </w:rPr>
        <w:fldChar w:fldCharType="begin"/>
      </w:r>
      <w:r>
        <w:rPr>
          <w:rStyle w:val="36"/>
          <w:rFonts w:ascii="仿宋_GB2312" w:hAnsi="国标黑体" w:eastAsia="仿宋_GB2312" w:cs="国标黑体"/>
          <w:color w:val="000000" w:themeColor="text1"/>
          <w:sz w:val="30"/>
          <w:szCs w:val="30"/>
          <w14:textFill>
            <w14:solidFill>
              <w14:schemeClr w14:val="tx1"/>
            </w14:solidFill>
          </w14:textFill>
        </w:rPr>
        <w:instrText xml:space="preserve"> PAGEREF _Toc235000792 \h </w:instrText>
      </w:r>
      <w:r>
        <w:rPr>
          <w:rStyle w:val="36"/>
          <w:rFonts w:ascii="仿宋_GB2312" w:hAnsi="国标黑体" w:eastAsia="仿宋_GB2312" w:cs="国标黑体"/>
          <w:color w:val="000000" w:themeColor="text1"/>
          <w:sz w:val="30"/>
          <w:szCs w:val="30"/>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- 114 -</w:t>
      </w:r>
      <w:r>
        <w:rPr>
          <w:rStyle w:val="36"/>
          <w:rFonts w:ascii="仿宋_GB2312" w:hAnsi="国标黑体" w:eastAsia="仿宋_GB2312" w:cs="国标黑体"/>
          <w:color w:val="000000" w:themeColor="text1"/>
          <w:sz w:val="30"/>
          <w:szCs w:val="30"/>
          <w14:textFill>
            <w14:solidFill>
              <w14:schemeClr w14:val="tx1"/>
            </w14:solidFill>
          </w14:textFill>
        </w:rPr>
        <w:fldChar w:fldCharType="end"/>
      </w:r>
      <w:r>
        <w:rPr>
          <w:rStyle w:val="36"/>
          <w:rFonts w:ascii="仿宋_GB2312" w:hAnsi="国标黑体" w:eastAsia="仿宋_GB2312" w:cs="国标黑体"/>
          <w:color w:val="000000" w:themeColor="text1"/>
          <w:sz w:val="30"/>
          <w:szCs w:val="30"/>
          <w14:textFill>
            <w14:solidFill>
              <w14:schemeClr w14:val="tx1"/>
            </w14:solidFill>
          </w14:textFill>
        </w:rPr>
        <w:fldChar w:fldCharType="end"/>
      </w:r>
    </w:p>
    <w:p>
      <w:pPr>
        <w:pStyle w:val="26"/>
        <w:tabs>
          <w:tab w:val="right" w:leader="dot" w:pos="8834"/>
        </w:tabs>
        <w:spacing w:line="600" w:lineRule="exact"/>
        <w:rPr>
          <w:rStyle w:val="36"/>
          <w:rFonts w:ascii="仿宋_GB2312" w:hAnsi="国标黑体" w:eastAsia="仿宋_GB2312" w:cs="国标黑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"_Toc235000793" </w:instrText>
      </w:r>
      <w:r>
        <w:rPr>
          <w:color w:val="000000" w:themeColor="text1"/>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第五节 提升社会保障水平</w:t>
      </w:r>
      <w:r>
        <w:rPr>
          <w:rStyle w:val="36"/>
          <w:rFonts w:ascii="仿宋_GB2312" w:hAnsi="国标黑体" w:eastAsia="仿宋_GB2312" w:cs="国标黑体"/>
          <w:color w:val="000000" w:themeColor="text1"/>
          <w:sz w:val="30"/>
          <w:szCs w:val="30"/>
          <w14:textFill>
            <w14:solidFill>
              <w14:schemeClr w14:val="tx1"/>
            </w14:solidFill>
          </w14:textFill>
        </w:rPr>
        <w:tab/>
      </w:r>
      <w:r>
        <w:rPr>
          <w:rStyle w:val="36"/>
          <w:rFonts w:ascii="仿宋_GB2312" w:hAnsi="国标黑体" w:eastAsia="仿宋_GB2312" w:cs="国标黑体"/>
          <w:color w:val="000000" w:themeColor="text1"/>
          <w:sz w:val="30"/>
          <w:szCs w:val="30"/>
          <w14:textFill>
            <w14:solidFill>
              <w14:schemeClr w14:val="tx1"/>
            </w14:solidFill>
          </w14:textFill>
        </w:rPr>
        <w:fldChar w:fldCharType="begin"/>
      </w:r>
      <w:r>
        <w:rPr>
          <w:rStyle w:val="36"/>
          <w:rFonts w:ascii="仿宋_GB2312" w:hAnsi="国标黑体" w:eastAsia="仿宋_GB2312" w:cs="国标黑体"/>
          <w:color w:val="000000" w:themeColor="text1"/>
          <w:sz w:val="30"/>
          <w:szCs w:val="30"/>
          <w14:textFill>
            <w14:solidFill>
              <w14:schemeClr w14:val="tx1"/>
            </w14:solidFill>
          </w14:textFill>
        </w:rPr>
        <w:instrText xml:space="preserve"> PAGEREF _Toc235000793 \h </w:instrText>
      </w:r>
      <w:r>
        <w:rPr>
          <w:rStyle w:val="36"/>
          <w:rFonts w:ascii="仿宋_GB2312" w:hAnsi="国标黑体" w:eastAsia="仿宋_GB2312" w:cs="国标黑体"/>
          <w:color w:val="000000" w:themeColor="text1"/>
          <w:sz w:val="30"/>
          <w:szCs w:val="30"/>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- 116 -</w:t>
      </w:r>
      <w:r>
        <w:rPr>
          <w:rStyle w:val="36"/>
          <w:rFonts w:ascii="仿宋_GB2312" w:hAnsi="国标黑体" w:eastAsia="仿宋_GB2312" w:cs="国标黑体"/>
          <w:color w:val="000000" w:themeColor="text1"/>
          <w:sz w:val="30"/>
          <w:szCs w:val="30"/>
          <w14:textFill>
            <w14:solidFill>
              <w14:schemeClr w14:val="tx1"/>
            </w14:solidFill>
          </w14:textFill>
        </w:rPr>
        <w:fldChar w:fldCharType="end"/>
      </w:r>
      <w:r>
        <w:rPr>
          <w:rStyle w:val="36"/>
          <w:rFonts w:ascii="仿宋_GB2312" w:hAnsi="国标黑体" w:eastAsia="仿宋_GB2312" w:cs="国标黑体"/>
          <w:color w:val="000000" w:themeColor="text1"/>
          <w:sz w:val="30"/>
          <w:szCs w:val="30"/>
          <w14:textFill>
            <w14:solidFill>
              <w14:schemeClr w14:val="tx1"/>
            </w14:solidFill>
          </w14:textFill>
        </w:rPr>
        <w:fldChar w:fldCharType="end"/>
      </w:r>
    </w:p>
    <w:p>
      <w:pPr>
        <w:pStyle w:val="26"/>
        <w:tabs>
          <w:tab w:val="right" w:leader="dot" w:pos="8834"/>
        </w:tabs>
        <w:spacing w:line="600" w:lineRule="exact"/>
        <w:rPr>
          <w:rStyle w:val="36"/>
          <w:rFonts w:ascii="仿宋_GB2312" w:hAnsi="国标黑体" w:eastAsia="仿宋_GB2312" w:cs="国标黑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"_Toc235000794" </w:instrText>
      </w:r>
      <w:r>
        <w:rPr>
          <w:color w:val="000000" w:themeColor="text1"/>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第六节 推动房地产高质量发展</w:t>
      </w:r>
      <w:r>
        <w:rPr>
          <w:rStyle w:val="36"/>
          <w:rFonts w:ascii="仿宋_GB2312" w:hAnsi="国标黑体" w:eastAsia="仿宋_GB2312" w:cs="国标黑体"/>
          <w:color w:val="000000" w:themeColor="text1"/>
          <w:sz w:val="30"/>
          <w:szCs w:val="30"/>
          <w14:textFill>
            <w14:solidFill>
              <w14:schemeClr w14:val="tx1"/>
            </w14:solidFill>
          </w14:textFill>
        </w:rPr>
        <w:tab/>
      </w:r>
      <w:r>
        <w:rPr>
          <w:rStyle w:val="36"/>
          <w:rFonts w:ascii="仿宋_GB2312" w:hAnsi="国标黑体" w:eastAsia="仿宋_GB2312" w:cs="国标黑体"/>
          <w:color w:val="000000" w:themeColor="text1"/>
          <w:sz w:val="30"/>
          <w:szCs w:val="30"/>
          <w14:textFill>
            <w14:solidFill>
              <w14:schemeClr w14:val="tx1"/>
            </w14:solidFill>
          </w14:textFill>
        </w:rPr>
        <w:fldChar w:fldCharType="begin"/>
      </w:r>
      <w:r>
        <w:rPr>
          <w:rStyle w:val="36"/>
          <w:rFonts w:ascii="仿宋_GB2312" w:hAnsi="国标黑体" w:eastAsia="仿宋_GB2312" w:cs="国标黑体"/>
          <w:color w:val="000000" w:themeColor="text1"/>
          <w:sz w:val="30"/>
          <w:szCs w:val="30"/>
          <w14:textFill>
            <w14:solidFill>
              <w14:schemeClr w14:val="tx1"/>
            </w14:solidFill>
          </w14:textFill>
        </w:rPr>
        <w:instrText xml:space="preserve"> PAGEREF _Toc235000794 \h </w:instrText>
      </w:r>
      <w:r>
        <w:rPr>
          <w:rStyle w:val="36"/>
          <w:rFonts w:ascii="仿宋_GB2312" w:hAnsi="国标黑体" w:eastAsia="仿宋_GB2312" w:cs="国标黑体"/>
          <w:color w:val="000000" w:themeColor="text1"/>
          <w:sz w:val="30"/>
          <w:szCs w:val="30"/>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- 117 -</w:t>
      </w:r>
      <w:r>
        <w:rPr>
          <w:rStyle w:val="36"/>
          <w:rFonts w:ascii="仿宋_GB2312" w:hAnsi="国标黑体" w:eastAsia="仿宋_GB2312" w:cs="国标黑体"/>
          <w:color w:val="000000" w:themeColor="text1"/>
          <w:sz w:val="30"/>
          <w:szCs w:val="30"/>
          <w14:textFill>
            <w14:solidFill>
              <w14:schemeClr w14:val="tx1"/>
            </w14:solidFill>
          </w14:textFill>
        </w:rPr>
        <w:fldChar w:fldCharType="end"/>
      </w:r>
      <w:r>
        <w:rPr>
          <w:rStyle w:val="36"/>
          <w:rFonts w:ascii="仿宋_GB2312" w:hAnsi="国标黑体" w:eastAsia="仿宋_GB2312" w:cs="国标黑体"/>
          <w:color w:val="000000" w:themeColor="text1"/>
          <w:sz w:val="30"/>
          <w:szCs w:val="30"/>
          <w14:textFill>
            <w14:solidFill>
              <w14:schemeClr w14:val="tx1"/>
            </w14:solidFill>
          </w14:textFill>
        </w:rPr>
        <w:fldChar w:fldCharType="end"/>
      </w:r>
    </w:p>
    <w:p>
      <w:pPr>
        <w:pStyle w:val="26"/>
        <w:tabs>
          <w:tab w:val="right" w:leader="dot" w:pos="8834"/>
        </w:tabs>
        <w:spacing w:line="600" w:lineRule="exact"/>
        <w:rPr>
          <w:rStyle w:val="36"/>
          <w:rFonts w:ascii="仿宋_GB2312" w:hAnsi="国标黑体" w:eastAsia="仿宋_GB2312" w:cs="国标黑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"_Toc235000795" </w:instrText>
      </w:r>
      <w:r>
        <w:rPr>
          <w:color w:val="000000" w:themeColor="text1"/>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第七节 保障基本公共服务均等化</w:t>
      </w:r>
      <w:r>
        <w:rPr>
          <w:rStyle w:val="36"/>
          <w:rFonts w:ascii="仿宋_GB2312" w:hAnsi="国标黑体" w:eastAsia="仿宋_GB2312" w:cs="国标黑体"/>
          <w:color w:val="000000" w:themeColor="text1"/>
          <w:sz w:val="30"/>
          <w:szCs w:val="30"/>
          <w14:textFill>
            <w14:solidFill>
              <w14:schemeClr w14:val="tx1"/>
            </w14:solidFill>
          </w14:textFill>
        </w:rPr>
        <w:tab/>
      </w:r>
      <w:r>
        <w:rPr>
          <w:rStyle w:val="36"/>
          <w:rFonts w:ascii="仿宋_GB2312" w:hAnsi="国标黑体" w:eastAsia="仿宋_GB2312" w:cs="国标黑体"/>
          <w:color w:val="000000" w:themeColor="text1"/>
          <w:sz w:val="30"/>
          <w:szCs w:val="30"/>
          <w14:textFill>
            <w14:solidFill>
              <w14:schemeClr w14:val="tx1"/>
            </w14:solidFill>
          </w14:textFill>
        </w:rPr>
        <w:fldChar w:fldCharType="begin"/>
      </w:r>
      <w:r>
        <w:rPr>
          <w:rStyle w:val="36"/>
          <w:rFonts w:ascii="仿宋_GB2312" w:hAnsi="国标黑体" w:eastAsia="仿宋_GB2312" w:cs="国标黑体"/>
          <w:color w:val="000000" w:themeColor="text1"/>
          <w:sz w:val="30"/>
          <w:szCs w:val="30"/>
          <w14:textFill>
            <w14:solidFill>
              <w14:schemeClr w14:val="tx1"/>
            </w14:solidFill>
          </w14:textFill>
        </w:rPr>
        <w:instrText xml:space="preserve"> PAGEREF _Toc235000795 \h </w:instrText>
      </w:r>
      <w:r>
        <w:rPr>
          <w:rStyle w:val="36"/>
          <w:rFonts w:ascii="仿宋_GB2312" w:hAnsi="国标黑体" w:eastAsia="仿宋_GB2312" w:cs="国标黑体"/>
          <w:color w:val="000000" w:themeColor="text1"/>
          <w:sz w:val="30"/>
          <w:szCs w:val="30"/>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- 119 -</w:t>
      </w:r>
      <w:r>
        <w:rPr>
          <w:rStyle w:val="36"/>
          <w:rFonts w:ascii="仿宋_GB2312" w:hAnsi="国标黑体" w:eastAsia="仿宋_GB2312" w:cs="国标黑体"/>
          <w:color w:val="000000" w:themeColor="text1"/>
          <w:sz w:val="30"/>
          <w:szCs w:val="30"/>
          <w14:textFill>
            <w14:solidFill>
              <w14:schemeClr w14:val="tx1"/>
            </w14:solidFill>
          </w14:textFill>
        </w:rPr>
        <w:fldChar w:fldCharType="end"/>
      </w:r>
      <w:r>
        <w:rPr>
          <w:rStyle w:val="36"/>
          <w:rFonts w:ascii="仿宋_GB2312" w:hAnsi="国标黑体" w:eastAsia="仿宋_GB2312" w:cs="国标黑体"/>
          <w:color w:val="000000" w:themeColor="text1"/>
          <w:sz w:val="30"/>
          <w:szCs w:val="30"/>
          <w14:textFill>
            <w14:solidFill>
              <w14:schemeClr w14:val="tx1"/>
            </w14:solidFill>
          </w14:textFill>
        </w:rPr>
        <w:fldChar w:fldCharType="end"/>
      </w:r>
    </w:p>
    <w:p>
      <w:pPr>
        <w:pStyle w:val="22"/>
        <w:tabs>
          <w:tab w:val="right" w:leader="dot" w:pos="8834"/>
        </w:tabs>
        <w:spacing w:line="600" w:lineRule="exact"/>
        <w:rPr>
          <w:rStyle w:val="36"/>
          <w:rFonts w:ascii="方正小标宋_GBK" w:hAnsi="方正小标宋简体" w:eastAsia="方正小标宋_GBK" w:cs="方正小标宋简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"_Toc235000796" </w:instrText>
      </w:r>
      <w:r>
        <w:rPr>
          <w:color w:val="000000" w:themeColor="text1"/>
          <w14:textFill>
            <w14:solidFill>
              <w14:schemeClr w14:val="tx1"/>
            </w14:solidFill>
          </w14:textFill>
        </w:rPr>
        <w:fldChar w:fldCharType="separate"/>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t>第十三章 促进经济社会发展全面绿色转型，建设美丽会同</w:t>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tab/>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fldChar w:fldCharType="begin"/>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instrText xml:space="preserve"> PAGEREF _Toc235000796 \h </w:instrText>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fldChar w:fldCharType="separate"/>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t>- 120 -</w:t>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fldChar w:fldCharType="end"/>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fldChar w:fldCharType="end"/>
      </w:r>
    </w:p>
    <w:p>
      <w:pPr>
        <w:pStyle w:val="26"/>
        <w:tabs>
          <w:tab w:val="right" w:leader="dot" w:pos="8834"/>
        </w:tabs>
        <w:spacing w:line="600" w:lineRule="exact"/>
        <w:rPr>
          <w:rStyle w:val="36"/>
          <w:rFonts w:ascii="仿宋_GB2312" w:hAnsi="国标黑体" w:eastAsia="仿宋_GB2312" w:cs="国标黑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"_Toc235000797" </w:instrText>
      </w:r>
      <w:r>
        <w:rPr>
          <w:color w:val="000000" w:themeColor="text1"/>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第一节 持续推进环境综合治理</w:t>
      </w:r>
      <w:r>
        <w:rPr>
          <w:rStyle w:val="36"/>
          <w:rFonts w:ascii="仿宋_GB2312" w:hAnsi="国标黑体" w:eastAsia="仿宋_GB2312" w:cs="国标黑体"/>
          <w:color w:val="000000" w:themeColor="text1"/>
          <w:sz w:val="30"/>
          <w:szCs w:val="30"/>
          <w14:textFill>
            <w14:solidFill>
              <w14:schemeClr w14:val="tx1"/>
            </w14:solidFill>
          </w14:textFill>
        </w:rPr>
        <w:tab/>
      </w:r>
      <w:r>
        <w:rPr>
          <w:rStyle w:val="36"/>
          <w:rFonts w:ascii="仿宋_GB2312" w:hAnsi="国标黑体" w:eastAsia="仿宋_GB2312" w:cs="国标黑体"/>
          <w:color w:val="000000" w:themeColor="text1"/>
          <w:sz w:val="30"/>
          <w:szCs w:val="30"/>
          <w14:textFill>
            <w14:solidFill>
              <w14:schemeClr w14:val="tx1"/>
            </w14:solidFill>
          </w14:textFill>
        </w:rPr>
        <w:fldChar w:fldCharType="begin"/>
      </w:r>
      <w:r>
        <w:rPr>
          <w:rStyle w:val="36"/>
          <w:rFonts w:ascii="仿宋_GB2312" w:hAnsi="国标黑体" w:eastAsia="仿宋_GB2312" w:cs="国标黑体"/>
          <w:color w:val="000000" w:themeColor="text1"/>
          <w:sz w:val="30"/>
          <w:szCs w:val="30"/>
          <w14:textFill>
            <w14:solidFill>
              <w14:schemeClr w14:val="tx1"/>
            </w14:solidFill>
          </w14:textFill>
        </w:rPr>
        <w:instrText xml:space="preserve"> PAGEREF _Toc235000797 \h </w:instrText>
      </w:r>
      <w:r>
        <w:rPr>
          <w:rStyle w:val="36"/>
          <w:rFonts w:ascii="仿宋_GB2312" w:hAnsi="国标黑体" w:eastAsia="仿宋_GB2312" w:cs="国标黑体"/>
          <w:color w:val="000000" w:themeColor="text1"/>
          <w:sz w:val="30"/>
          <w:szCs w:val="30"/>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- 120 -</w:t>
      </w:r>
      <w:r>
        <w:rPr>
          <w:rStyle w:val="36"/>
          <w:rFonts w:ascii="仿宋_GB2312" w:hAnsi="国标黑体" w:eastAsia="仿宋_GB2312" w:cs="国标黑体"/>
          <w:color w:val="000000" w:themeColor="text1"/>
          <w:sz w:val="30"/>
          <w:szCs w:val="30"/>
          <w14:textFill>
            <w14:solidFill>
              <w14:schemeClr w14:val="tx1"/>
            </w14:solidFill>
          </w14:textFill>
        </w:rPr>
        <w:fldChar w:fldCharType="end"/>
      </w:r>
      <w:r>
        <w:rPr>
          <w:rStyle w:val="36"/>
          <w:rFonts w:ascii="仿宋_GB2312" w:hAnsi="国标黑体" w:eastAsia="仿宋_GB2312" w:cs="国标黑体"/>
          <w:color w:val="000000" w:themeColor="text1"/>
          <w:sz w:val="30"/>
          <w:szCs w:val="30"/>
          <w14:textFill>
            <w14:solidFill>
              <w14:schemeClr w14:val="tx1"/>
            </w14:solidFill>
          </w14:textFill>
        </w:rPr>
        <w:fldChar w:fldCharType="end"/>
      </w:r>
    </w:p>
    <w:p>
      <w:pPr>
        <w:pStyle w:val="26"/>
        <w:tabs>
          <w:tab w:val="right" w:leader="dot" w:pos="8834"/>
        </w:tabs>
        <w:spacing w:line="600" w:lineRule="exact"/>
        <w:rPr>
          <w:rStyle w:val="36"/>
          <w:rFonts w:ascii="仿宋_GB2312" w:hAnsi="国标黑体" w:eastAsia="仿宋_GB2312" w:cs="国标黑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"_Toc235000798" </w:instrText>
      </w:r>
      <w:r>
        <w:rPr>
          <w:color w:val="000000" w:themeColor="text1"/>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第二节 稳妥推进和实现碳达峰</w:t>
      </w:r>
      <w:r>
        <w:rPr>
          <w:rStyle w:val="36"/>
          <w:rFonts w:ascii="仿宋_GB2312" w:hAnsi="国标黑体" w:eastAsia="仿宋_GB2312" w:cs="国标黑体"/>
          <w:color w:val="000000" w:themeColor="text1"/>
          <w:sz w:val="30"/>
          <w:szCs w:val="30"/>
          <w14:textFill>
            <w14:solidFill>
              <w14:schemeClr w14:val="tx1"/>
            </w14:solidFill>
          </w14:textFill>
        </w:rPr>
        <w:tab/>
      </w:r>
      <w:r>
        <w:rPr>
          <w:rStyle w:val="36"/>
          <w:rFonts w:ascii="仿宋_GB2312" w:hAnsi="国标黑体" w:eastAsia="仿宋_GB2312" w:cs="国标黑体"/>
          <w:color w:val="000000" w:themeColor="text1"/>
          <w:sz w:val="30"/>
          <w:szCs w:val="30"/>
          <w14:textFill>
            <w14:solidFill>
              <w14:schemeClr w14:val="tx1"/>
            </w14:solidFill>
          </w14:textFill>
        </w:rPr>
        <w:fldChar w:fldCharType="begin"/>
      </w:r>
      <w:r>
        <w:rPr>
          <w:rStyle w:val="36"/>
          <w:rFonts w:ascii="仿宋_GB2312" w:hAnsi="国标黑体" w:eastAsia="仿宋_GB2312" w:cs="国标黑体"/>
          <w:color w:val="000000" w:themeColor="text1"/>
          <w:sz w:val="30"/>
          <w:szCs w:val="30"/>
          <w14:textFill>
            <w14:solidFill>
              <w14:schemeClr w14:val="tx1"/>
            </w14:solidFill>
          </w14:textFill>
        </w:rPr>
        <w:instrText xml:space="preserve"> PAGEREF _Toc235000798 \h </w:instrText>
      </w:r>
      <w:r>
        <w:rPr>
          <w:rStyle w:val="36"/>
          <w:rFonts w:ascii="仿宋_GB2312" w:hAnsi="国标黑体" w:eastAsia="仿宋_GB2312" w:cs="国标黑体"/>
          <w:color w:val="000000" w:themeColor="text1"/>
          <w:sz w:val="30"/>
          <w:szCs w:val="30"/>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- 123 -</w:t>
      </w:r>
      <w:r>
        <w:rPr>
          <w:rStyle w:val="36"/>
          <w:rFonts w:ascii="仿宋_GB2312" w:hAnsi="国标黑体" w:eastAsia="仿宋_GB2312" w:cs="国标黑体"/>
          <w:color w:val="000000" w:themeColor="text1"/>
          <w:sz w:val="30"/>
          <w:szCs w:val="30"/>
          <w14:textFill>
            <w14:solidFill>
              <w14:schemeClr w14:val="tx1"/>
            </w14:solidFill>
          </w14:textFill>
        </w:rPr>
        <w:fldChar w:fldCharType="end"/>
      </w:r>
      <w:r>
        <w:rPr>
          <w:rStyle w:val="36"/>
          <w:rFonts w:ascii="仿宋_GB2312" w:hAnsi="国标黑体" w:eastAsia="仿宋_GB2312" w:cs="国标黑体"/>
          <w:color w:val="000000" w:themeColor="text1"/>
          <w:sz w:val="30"/>
          <w:szCs w:val="30"/>
          <w14:textFill>
            <w14:solidFill>
              <w14:schemeClr w14:val="tx1"/>
            </w14:solidFill>
          </w14:textFill>
        </w:rPr>
        <w:fldChar w:fldCharType="end"/>
      </w:r>
    </w:p>
    <w:p>
      <w:pPr>
        <w:pStyle w:val="26"/>
        <w:tabs>
          <w:tab w:val="right" w:leader="dot" w:pos="8834"/>
        </w:tabs>
        <w:spacing w:line="600" w:lineRule="exact"/>
        <w:rPr>
          <w:rStyle w:val="36"/>
          <w:rFonts w:ascii="仿宋_GB2312" w:hAnsi="国标黑体" w:eastAsia="仿宋_GB2312" w:cs="国标黑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"_Toc235000799" </w:instrText>
      </w:r>
      <w:r>
        <w:rPr>
          <w:color w:val="000000" w:themeColor="text1"/>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第三节 加快形成绿色生产生活方式</w:t>
      </w:r>
      <w:r>
        <w:rPr>
          <w:rStyle w:val="36"/>
          <w:rFonts w:ascii="仿宋_GB2312" w:hAnsi="国标黑体" w:eastAsia="仿宋_GB2312" w:cs="国标黑体"/>
          <w:color w:val="000000" w:themeColor="text1"/>
          <w:sz w:val="30"/>
          <w:szCs w:val="30"/>
          <w14:textFill>
            <w14:solidFill>
              <w14:schemeClr w14:val="tx1"/>
            </w14:solidFill>
          </w14:textFill>
        </w:rPr>
        <w:tab/>
      </w:r>
      <w:r>
        <w:rPr>
          <w:rStyle w:val="36"/>
          <w:rFonts w:ascii="仿宋_GB2312" w:hAnsi="国标黑体" w:eastAsia="仿宋_GB2312" w:cs="国标黑体"/>
          <w:color w:val="000000" w:themeColor="text1"/>
          <w:sz w:val="30"/>
          <w:szCs w:val="30"/>
          <w14:textFill>
            <w14:solidFill>
              <w14:schemeClr w14:val="tx1"/>
            </w14:solidFill>
          </w14:textFill>
        </w:rPr>
        <w:fldChar w:fldCharType="begin"/>
      </w:r>
      <w:r>
        <w:rPr>
          <w:rStyle w:val="36"/>
          <w:rFonts w:ascii="仿宋_GB2312" w:hAnsi="国标黑体" w:eastAsia="仿宋_GB2312" w:cs="国标黑体"/>
          <w:color w:val="000000" w:themeColor="text1"/>
          <w:sz w:val="30"/>
          <w:szCs w:val="30"/>
          <w14:textFill>
            <w14:solidFill>
              <w14:schemeClr w14:val="tx1"/>
            </w14:solidFill>
          </w14:textFill>
        </w:rPr>
        <w:instrText xml:space="preserve"> PAGEREF _Toc235000799 \h </w:instrText>
      </w:r>
      <w:r>
        <w:rPr>
          <w:rStyle w:val="36"/>
          <w:rFonts w:ascii="仿宋_GB2312" w:hAnsi="国标黑体" w:eastAsia="仿宋_GB2312" w:cs="国标黑体"/>
          <w:color w:val="000000" w:themeColor="text1"/>
          <w:sz w:val="30"/>
          <w:szCs w:val="30"/>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- 126 -</w:t>
      </w:r>
      <w:r>
        <w:rPr>
          <w:rStyle w:val="36"/>
          <w:rFonts w:ascii="仿宋_GB2312" w:hAnsi="国标黑体" w:eastAsia="仿宋_GB2312" w:cs="国标黑体"/>
          <w:color w:val="000000" w:themeColor="text1"/>
          <w:sz w:val="30"/>
          <w:szCs w:val="30"/>
          <w14:textFill>
            <w14:solidFill>
              <w14:schemeClr w14:val="tx1"/>
            </w14:solidFill>
          </w14:textFill>
        </w:rPr>
        <w:fldChar w:fldCharType="end"/>
      </w:r>
      <w:r>
        <w:rPr>
          <w:rStyle w:val="36"/>
          <w:rFonts w:ascii="仿宋_GB2312" w:hAnsi="国标黑体" w:eastAsia="仿宋_GB2312" w:cs="国标黑体"/>
          <w:color w:val="000000" w:themeColor="text1"/>
          <w:sz w:val="30"/>
          <w:szCs w:val="30"/>
          <w14:textFill>
            <w14:solidFill>
              <w14:schemeClr w14:val="tx1"/>
            </w14:solidFill>
          </w14:textFill>
        </w:rPr>
        <w:fldChar w:fldCharType="end"/>
      </w:r>
    </w:p>
    <w:p>
      <w:pPr>
        <w:pStyle w:val="26"/>
        <w:tabs>
          <w:tab w:val="right" w:leader="dot" w:pos="8834"/>
        </w:tabs>
        <w:spacing w:line="600" w:lineRule="exact"/>
        <w:rPr>
          <w:rStyle w:val="36"/>
          <w:rFonts w:ascii="仿宋_GB2312" w:hAnsi="国标黑体" w:eastAsia="仿宋_GB2312" w:cs="国标黑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"_Toc235000800" </w:instrText>
      </w:r>
      <w:r>
        <w:rPr>
          <w:color w:val="000000" w:themeColor="text1"/>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第四节 探索生态产品价值实现会同路径</w:t>
      </w:r>
      <w:r>
        <w:rPr>
          <w:rStyle w:val="36"/>
          <w:rFonts w:ascii="仿宋_GB2312" w:hAnsi="国标黑体" w:eastAsia="仿宋_GB2312" w:cs="国标黑体"/>
          <w:color w:val="000000" w:themeColor="text1"/>
          <w:sz w:val="30"/>
          <w:szCs w:val="30"/>
          <w14:textFill>
            <w14:solidFill>
              <w14:schemeClr w14:val="tx1"/>
            </w14:solidFill>
          </w14:textFill>
        </w:rPr>
        <w:tab/>
      </w:r>
      <w:r>
        <w:rPr>
          <w:rStyle w:val="36"/>
          <w:rFonts w:ascii="仿宋_GB2312" w:hAnsi="国标黑体" w:eastAsia="仿宋_GB2312" w:cs="国标黑体"/>
          <w:color w:val="000000" w:themeColor="text1"/>
          <w:sz w:val="30"/>
          <w:szCs w:val="30"/>
          <w14:textFill>
            <w14:solidFill>
              <w14:schemeClr w14:val="tx1"/>
            </w14:solidFill>
          </w14:textFill>
        </w:rPr>
        <w:fldChar w:fldCharType="begin"/>
      </w:r>
      <w:r>
        <w:rPr>
          <w:rStyle w:val="36"/>
          <w:rFonts w:ascii="仿宋_GB2312" w:hAnsi="国标黑体" w:eastAsia="仿宋_GB2312" w:cs="国标黑体"/>
          <w:color w:val="000000" w:themeColor="text1"/>
          <w:sz w:val="30"/>
          <w:szCs w:val="30"/>
          <w14:textFill>
            <w14:solidFill>
              <w14:schemeClr w14:val="tx1"/>
            </w14:solidFill>
          </w14:textFill>
        </w:rPr>
        <w:instrText xml:space="preserve"> PAGEREF _Toc235000800 \h </w:instrText>
      </w:r>
      <w:r>
        <w:rPr>
          <w:rStyle w:val="36"/>
          <w:rFonts w:ascii="仿宋_GB2312" w:hAnsi="国标黑体" w:eastAsia="仿宋_GB2312" w:cs="国标黑体"/>
          <w:color w:val="000000" w:themeColor="text1"/>
          <w:sz w:val="30"/>
          <w:szCs w:val="30"/>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- 127 -</w:t>
      </w:r>
      <w:r>
        <w:rPr>
          <w:rStyle w:val="36"/>
          <w:rFonts w:ascii="仿宋_GB2312" w:hAnsi="国标黑体" w:eastAsia="仿宋_GB2312" w:cs="国标黑体"/>
          <w:color w:val="000000" w:themeColor="text1"/>
          <w:sz w:val="30"/>
          <w:szCs w:val="30"/>
          <w14:textFill>
            <w14:solidFill>
              <w14:schemeClr w14:val="tx1"/>
            </w14:solidFill>
          </w14:textFill>
        </w:rPr>
        <w:fldChar w:fldCharType="end"/>
      </w:r>
      <w:r>
        <w:rPr>
          <w:rStyle w:val="36"/>
          <w:rFonts w:ascii="仿宋_GB2312" w:hAnsi="国标黑体" w:eastAsia="仿宋_GB2312" w:cs="国标黑体"/>
          <w:color w:val="000000" w:themeColor="text1"/>
          <w:sz w:val="30"/>
          <w:szCs w:val="30"/>
          <w14:textFill>
            <w14:solidFill>
              <w14:schemeClr w14:val="tx1"/>
            </w14:solidFill>
          </w14:textFill>
        </w:rPr>
        <w:fldChar w:fldCharType="end"/>
      </w:r>
    </w:p>
    <w:p>
      <w:pPr>
        <w:pStyle w:val="22"/>
        <w:tabs>
          <w:tab w:val="right" w:leader="dot" w:pos="8834"/>
        </w:tabs>
        <w:spacing w:line="600" w:lineRule="exact"/>
        <w:rPr>
          <w:rStyle w:val="36"/>
          <w:rFonts w:ascii="方正小标宋_GBK" w:hAnsi="方正小标宋简体" w:eastAsia="方正小标宋_GBK" w:cs="方正小标宋简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"_Toc235000801" </w:instrText>
      </w:r>
      <w:r>
        <w:rPr>
          <w:color w:val="000000" w:themeColor="text1"/>
          <w14:textFill>
            <w14:solidFill>
              <w14:schemeClr w14:val="tx1"/>
            </w14:solidFill>
          </w14:textFill>
        </w:rPr>
        <w:fldChar w:fldCharType="separate"/>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t>第十四章 统筹发展与安全，建设更高水平平安会同</w:t>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tab/>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fldChar w:fldCharType="begin"/>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instrText xml:space="preserve"> PAGEREF _Toc235000801 \h </w:instrText>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fldChar w:fldCharType="separate"/>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t>- 130 -</w:t>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fldChar w:fldCharType="end"/>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fldChar w:fldCharType="end"/>
      </w:r>
    </w:p>
    <w:p>
      <w:pPr>
        <w:pStyle w:val="26"/>
        <w:tabs>
          <w:tab w:val="right" w:leader="dot" w:pos="8834"/>
        </w:tabs>
        <w:spacing w:line="600" w:lineRule="exact"/>
        <w:rPr>
          <w:rStyle w:val="36"/>
          <w:rFonts w:ascii="仿宋_GB2312" w:hAnsi="国标黑体" w:eastAsia="仿宋_GB2312" w:cs="国标黑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"_Toc235000802" </w:instrText>
      </w:r>
      <w:r>
        <w:rPr>
          <w:color w:val="000000" w:themeColor="text1"/>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第一节 完善基层治理体系</w:t>
      </w:r>
      <w:r>
        <w:rPr>
          <w:rStyle w:val="36"/>
          <w:rFonts w:ascii="仿宋_GB2312" w:hAnsi="国标黑体" w:eastAsia="仿宋_GB2312" w:cs="国标黑体"/>
          <w:color w:val="000000" w:themeColor="text1"/>
          <w:sz w:val="30"/>
          <w:szCs w:val="30"/>
          <w14:textFill>
            <w14:solidFill>
              <w14:schemeClr w14:val="tx1"/>
            </w14:solidFill>
          </w14:textFill>
        </w:rPr>
        <w:tab/>
      </w:r>
      <w:r>
        <w:rPr>
          <w:rStyle w:val="36"/>
          <w:rFonts w:ascii="仿宋_GB2312" w:hAnsi="国标黑体" w:eastAsia="仿宋_GB2312" w:cs="国标黑体"/>
          <w:color w:val="000000" w:themeColor="text1"/>
          <w:sz w:val="30"/>
          <w:szCs w:val="30"/>
          <w14:textFill>
            <w14:solidFill>
              <w14:schemeClr w14:val="tx1"/>
            </w14:solidFill>
          </w14:textFill>
        </w:rPr>
        <w:fldChar w:fldCharType="begin"/>
      </w:r>
      <w:r>
        <w:rPr>
          <w:rStyle w:val="36"/>
          <w:rFonts w:ascii="仿宋_GB2312" w:hAnsi="国标黑体" w:eastAsia="仿宋_GB2312" w:cs="国标黑体"/>
          <w:color w:val="000000" w:themeColor="text1"/>
          <w:sz w:val="30"/>
          <w:szCs w:val="30"/>
          <w14:textFill>
            <w14:solidFill>
              <w14:schemeClr w14:val="tx1"/>
            </w14:solidFill>
          </w14:textFill>
        </w:rPr>
        <w:instrText xml:space="preserve"> PAGEREF _Toc235000802 \h </w:instrText>
      </w:r>
      <w:r>
        <w:rPr>
          <w:rStyle w:val="36"/>
          <w:rFonts w:ascii="仿宋_GB2312" w:hAnsi="国标黑体" w:eastAsia="仿宋_GB2312" w:cs="国标黑体"/>
          <w:color w:val="000000" w:themeColor="text1"/>
          <w:sz w:val="30"/>
          <w:szCs w:val="30"/>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- 130 -</w:t>
      </w:r>
      <w:r>
        <w:rPr>
          <w:rStyle w:val="36"/>
          <w:rFonts w:ascii="仿宋_GB2312" w:hAnsi="国标黑体" w:eastAsia="仿宋_GB2312" w:cs="国标黑体"/>
          <w:color w:val="000000" w:themeColor="text1"/>
          <w:sz w:val="30"/>
          <w:szCs w:val="30"/>
          <w14:textFill>
            <w14:solidFill>
              <w14:schemeClr w14:val="tx1"/>
            </w14:solidFill>
          </w14:textFill>
        </w:rPr>
        <w:fldChar w:fldCharType="end"/>
      </w:r>
      <w:r>
        <w:rPr>
          <w:rStyle w:val="36"/>
          <w:rFonts w:ascii="仿宋_GB2312" w:hAnsi="国标黑体" w:eastAsia="仿宋_GB2312" w:cs="国标黑体"/>
          <w:color w:val="000000" w:themeColor="text1"/>
          <w:sz w:val="30"/>
          <w:szCs w:val="30"/>
          <w14:textFill>
            <w14:solidFill>
              <w14:schemeClr w14:val="tx1"/>
            </w14:solidFill>
          </w14:textFill>
        </w:rPr>
        <w:fldChar w:fldCharType="end"/>
      </w:r>
    </w:p>
    <w:p>
      <w:pPr>
        <w:pStyle w:val="26"/>
        <w:tabs>
          <w:tab w:val="right" w:leader="dot" w:pos="8834"/>
        </w:tabs>
        <w:spacing w:line="600" w:lineRule="exact"/>
        <w:rPr>
          <w:rStyle w:val="36"/>
          <w:rFonts w:ascii="仿宋_GB2312" w:hAnsi="国标黑体" w:eastAsia="仿宋_GB2312" w:cs="国标黑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"_Toc235000803" </w:instrText>
      </w:r>
      <w:r>
        <w:rPr>
          <w:color w:val="000000" w:themeColor="text1"/>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第二节 提升公共安全治理和应急管理能力</w:t>
      </w:r>
      <w:r>
        <w:rPr>
          <w:rStyle w:val="36"/>
          <w:rFonts w:ascii="仿宋_GB2312" w:hAnsi="国标黑体" w:eastAsia="仿宋_GB2312" w:cs="国标黑体"/>
          <w:color w:val="000000" w:themeColor="text1"/>
          <w:sz w:val="30"/>
          <w:szCs w:val="30"/>
          <w14:textFill>
            <w14:solidFill>
              <w14:schemeClr w14:val="tx1"/>
            </w14:solidFill>
          </w14:textFill>
        </w:rPr>
        <w:tab/>
      </w:r>
      <w:r>
        <w:rPr>
          <w:rStyle w:val="36"/>
          <w:rFonts w:ascii="仿宋_GB2312" w:hAnsi="国标黑体" w:eastAsia="仿宋_GB2312" w:cs="国标黑体"/>
          <w:color w:val="000000" w:themeColor="text1"/>
          <w:sz w:val="30"/>
          <w:szCs w:val="30"/>
          <w14:textFill>
            <w14:solidFill>
              <w14:schemeClr w14:val="tx1"/>
            </w14:solidFill>
          </w14:textFill>
        </w:rPr>
        <w:fldChar w:fldCharType="begin"/>
      </w:r>
      <w:r>
        <w:rPr>
          <w:rStyle w:val="36"/>
          <w:rFonts w:ascii="仿宋_GB2312" w:hAnsi="国标黑体" w:eastAsia="仿宋_GB2312" w:cs="国标黑体"/>
          <w:color w:val="000000" w:themeColor="text1"/>
          <w:sz w:val="30"/>
          <w:szCs w:val="30"/>
          <w14:textFill>
            <w14:solidFill>
              <w14:schemeClr w14:val="tx1"/>
            </w14:solidFill>
          </w14:textFill>
        </w:rPr>
        <w:instrText xml:space="preserve"> PAGEREF _Toc235000803 \h </w:instrText>
      </w:r>
      <w:r>
        <w:rPr>
          <w:rStyle w:val="36"/>
          <w:rFonts w:ascii="仿宋_GB2312" w:hAnsi="国标黑体" w:eastAsia="仿宋_GB2312" w:cs="国标黑体"/>
          <w:color w:val="000000" w:themeColor="text1"/>
          <w:sz w:val="30"/>
          <w:szCs w:val="30"/>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- 131 -</w:t>
      </w:r>
      <w:r>
        <w:rPr>
          <w:rStyle w:val="36"/>
          <w:rFonts w:ascii="仿宋_GB2312" w:hAnsi="国标黑体" w:eastAsia="仿宋_GB2312" w:cs="国标黑体"/>
          <w:color w:val="000000" w:themeColor="text1"/>
          <w:sz w:val="30"/>
          <w:szCs w:val="30"/>
          <w14:textFill>
            <w14:solidFill>
              <w14:schemeClr w14:val="tx1"/>
            </w14:solidFill>
          </w14:textFill>
        </w:rPr>
        <w:fldChar w:fldCharType="end"/>
      </w:r>
      <w:r>
        <w:rPr>
          <w:rStyle w:val="36"/>
          <w:rFonts w:ascii="仿宋_GB2312" w:hAnsi="国标黑体" w:eastAsia="仿宋_GB2312" w:cs="国标黑体"/>
          <w:color w:val="000000" w:themeColor="text1"/>
          <w:sz w:val="30"/>
          <w:szCs w:val="30"/>
          <w14:textFill>
            <w14:solidFill>
              <w14:schemeClr w14:val="tx1"/>
            </w14:solidFill>
          </w14:textFill>
        </w:rPr>
        <w:fldChar w:fldCharType="end"/>
      </w:r>
    </w:p>
    <w:p>
      <w:pPr>
        <w:pStyle w:val="26"/>
        <w:tabs>
          <w:tab w:val="right" w:leader="dot" w:pos="8834"/>
        </w:tabs>
        <w:spacing w:line="600" w:lineRule="exact"/>
        <w:rPr>
          <w:rStyle w:val="36"/>
          <w:rFonts w:ascii="仿宋_GB2312" w:hAnsi="国标黑体" w:eastAsia="仿宋_GB2312" w:cs="国标黑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"_Toc235000804" </w:instrText>
      </w:r>
      <w:r>
        <w:rPr>
          <w:color w:val="000000" w:themeColor="text1"/>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第三节 夯实社会治安防控基础</w:t>
      </w:r>
      <w:r>
        <w:rPr>
          <w:rStyle w:val="36"/>
          <w:rFonts w:ascii="仿宋_GB2312" w:hAnsi="国标黑体" w:eastAsia="仿宋_GB2312" w:cs="国标黑体"/>
          <w:color w:val="000000" w:themeColor="text1"/>
          <w:sz w:val="30"/>
          <w:szCs w:val="30"/>
          <w14:textFill>
            <w14:solidFill>
              <w14:schemeClr w14:val="tx1"/>
            </w14:solidFill>
          </w14:textFill>
        </w:rPr>
        <w:tab/>
      </w:r>
      <w:r>
        <w:rPr>
          <w:rStyle w:val="36"/>
          <w:rFonts w:ascii="仿宋_GB2312" w:hAnsi="国标黑体" w:eastAsia="仿宋_GB2312" w:cs="国标黑体"/>
          <w:color w:val="000000" w:themeColor="text1"/>
          <w:sz w:val="30"/>
          <w:szCs w:val="30"/>
          <w14:textFill>
            <w14:solidFill>
              <w14:schemeClr w14:val="tx1"/>
            </w14:solidFill>
          </w14:textFill>
        </w:rPr>
        <w:fldChar w:fldCharType="begin"/>
      </w:r>
      <w:r>
        <w:rPr>
          <w:rStyle w:val="36"/>
          <w:rFonts w:ascii="仿宋_GB2312" w:hAnsi="国标黑体" w:eastAsia="仿宋_GB2312" w:cs="国标黑体"/>
          <w:color w:val="000000" w:themeColor="text1"/>
          <w:sz w:val="30"/>
          <w:szCs w:val="30"/>
          <w14:textFill>
            <w14:solidFill>
              <w14:schemeClr w14:val="tx1"/>
            </w14:solidFill>
          </w14:textFill>
        </w:rPr>
        <w:instrText xml:space="preserve"> PAGEREF _Toc235000804 \h </w:instrText>
      </w:r>
      <w:r>
        <w:rPr>
          <w:rStyle w:val="36"/>
          <w:rFonts w:ascii="仿宋_GB2312" w:hAnsi="国标黑体" w:eastAsia="仿宋_GB2312" w:cs="国标黑体"/>
          <w:color w:val="000000" w:themeColor="text1"/>
          <w:sz w:val="30"/>
          <w:szCs w:val="30"/>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- 133 -</w:t>
      </w:r>
      <w:r>
        <w:rPr>
          <w:rStyle w:val="36"/>
          <w:rFonts w:ascii="仿宋_GB2312" w:hAnsi="国标黑体" w:eastAsia="仿宋_GB2312" w:cs="国标黑体"/>
          <w:color w:val="000000" w:themeColor="text1"/>
          <w:sz w:val="30"/>
          <w:szCs w:val="30"/>
          <w14:textFill>
            <w14:solidFill>
              <w14:schemeClr w14:val="tx1"/>
            </w14:solidFill>
          </w14:textFill>
        </w:rPr>
        <w:fldChar w:fldCharType="end"/>
      </w:r>
      <w:r>
        <w:rPr>
          <w:rStyle w:val="36"/>
          <w:rFonts w:ascii="仿宋_GB2312" w:hAnsi="国标黑体" w:eastAsia="仿宋_GB2312" w:cs="国标黑体"/>
          <w:color w:val="000000" w:themeColor="text1"/>
          <w:sz w:val="30"/>
          <w:szCs w:val="30"/>
          <w14:textFill>
            <w14:solidFill>
              <w14:schemeClr w14:val="tx1"/>
            </w14:solidFill>
          </w14:textFill>
        </w:rPr>
        <w:fldChar w:fldCharType="end"/>
      </w:r>
    </w:p>
    <w:p>
      <w:pPr>
        <w:pStyle w:val="26"/>
        <w:tabs>
          <w:tab w:val="right" w:leader="dot" w:pos="8834"/>
        </w:tabs>
        <w:spacing w:line="600" w:lineRule="exact"/>
        <w:rPr>
          <w:rStyle w:val="36"/>
          <w:rFonts w:ascii="仿宋_GB2312" w:hAnsi="国标黑体" w:eastAsia="仿宋_GB2312" w:cs="国标黑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"_Toc235000805" </w:instrText>
      </w:r>
      <w:r>
        <w:rPr>
          <w:color w:val="000000" w:themeColor="text1"/>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第四节 突出重点领域安全能力建设</w:t>
      </w:r>
      <w:r>
        <w:rPr>
          <w:rStyle w:val="36"/>
          <w:rFonts w:ascii="仿宋_GB2312" w:hAnsi="国标黑体" w:eastAsia="仿宋_GB2312" w:cs="国标黑体"/>
          <w:color w:val="000000" w:themeColor="text1"/>
          <w:sz w:val="30"/>
          <w:szCs w:val="30"/>
          <w14:textFill>
            <w14:solidFill>
              <w14:schemeClr w14:val="tx1"/>
            </w14:solidFill>
          </w14:textFill>
        </w:rPr>
        <w:tab/>
      </w:r>
      <w:r>
        <w:rPr>
          <w:rStyle w:val="36"/>
          <w:rFonts w:ascii="仿宋_GB2312" w:hAnsi="国标黑体" w:eastAsia="仿宋_GB2312" w:cs="国标黑体"/>
          <w:color w:val="000000" w:themeColor="text1"/>
          <w:sz w:val="30"/>
          <w:szCs w:val="30"/>
          <w14:textFill>
            <w14:solidFill>
              <w14:schemeClr w14:val="tx1"/>
            </w14:solidFill>
          </w14:textFill>
        </w:rPr>
        <w:fldChar w:fldCharType="begin"/>
      </w:r>
      <w:r>
        <w:rPr>
          <w:rStyle w:val="36"/>
          <w:rFonts w:ascii="仿宋_GB2312" w:hAnsi="国标黑体" w:eastAsia="仿宋_GB2312" w:cs="国标黑体"/>
          <w:color w:val="000000" w:themeColor="text1"/>
          <w:sz w:val="30"/>
          <w:szCs w:val="30"/>
          <w14:textFill>
            <w14:solidFill>
              <w14:schemeClr w14:val="tx1"/>
            </w14:solidFill>
          </w14:textFill>
        </w:rPr>
        <w:instrText xml:space="preserve"> PAGEREF _Toc235000805 \h </w:instrText>
      </w:r>
      <w:r>
        <w:rPr>
          <w:rStyle w:val="36"/>
          <w:rFonts w:ascii="仿宋_GB2312" w:hAnsi="国标黑体" w:eastAsia="仿宋_GB2312" w:cs="国标黑体"/>
          <w:color w:val="000000" w:themeColor="text1"/>
          <w:sz w:val="30"/>
          <w:szCs w:val="30"/>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- 134 -</w:t>
      </w:r>
      <w:r>
        <w:rPr>
          <w:rStyle w:val="36"/>
          <w:rFonts w:ascii="仿宋_GB2312" w:hAnsi="国标黑体" w:eastAsia="仿宋_GB2312" w:cs="国标黑体"/>
          <w:color w:val="000000" w:themeColor="text1"/>
          <w:sz w:val="30"/>
          <w:szCs w:val="30"/>
          <w14:textFill>
            <w14:solidFill>
              <w14:schemeClr w14:val="tx1"/>
            </w14:solidFill>
          </w14:textFill>
        </w:rPr>
        <w:fldChar w:fldCharType="end"/>
      </w:r>
      <w:r>
        <w:rPr>
          <w:rStyle w:val="36"/>
          <w:rFonts w:ascii="仿宋_GB2312" w:hAnsi="国标黑体" w:eastAsia="仿宋_GB2312" w:cs="国标黑体"/>
          <w:color w:val="000000" w:themeColor="text1"/>
          <w:sz w:val="30"/>
          <w:szCs w:val="30"/>
          <w14:textFill>
            <w14:solidFill>
              <w14:schemeClr w14:val="tx1"/>
            </w14:solidFill>
          </w14:textFill>
        </w:rPr>
        <w:fldChar w:fldCharType="end"/>
      </w:r>
    </w:p>
    <w:p>
      <w:pPr>
        <w:pStyle w:val="26"/>
        <w:tabs>
          <w:tab w:val="right" w:leader="dot" w:pos="8834"/>
        </w:tabs>
        <w:spacing w:line="600" w:lineRule="exact"/>
        <w:rPr>
          <w:rStyle w:val="36"/>
          <w:rFonts w:ascii="仿宋_GB2312" w:hAnsi="国标黑体" w:eastAsia="仿宋_GB2312" w:cs="国标黑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"_Toc235000806" </w:instrText>
      </w:r>
      <w:r>
        <w:rPr>
          <w:color w:val="000000" w:themeColor="text1"/>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第五节 强化国防动员能力建设</w:t>
      </w:r>
      <w:r>
        <w:rPr>
          <w:rStyle w:val="36"/>
          <w:rFonts w:ascii="仿宋_GB2312" w:hAnsi="国标黑体" w:eastAsia="仿宋_GB2312" w:cs="国标黑体"/>
          <w:color w:val="000000" w:themeColor="text1"/>
          <w:sz w:val="30"/>
          <w:szCs w:val="30"/>
          <w14:textFill>
            <w14:solidFill>
              <w14:schemeClr w14:val="tx1"/>
            </w14:solidFill>
          </w14:textFill>
        </w:rPr>
        <w:tab/>
      </w:r>
      <w:r>
        <w:rPr>
          <w:rStyle w:val="36"/>
          <w:rFonts w:ascii="仿宋_GB2312" w:hAnsi="国标黑体" w:eastAsia="仿宋_GB2312" w:cs="国标黑体"/>
          <w:color w:val="000000" w:themeColor="text1"/>
          <w:sz w:val="30"/>
          <w:szCs w:val="30"/>
          <w14:textFill>
            <w14:solidFill>
              <w14:schemeClr w14:val="tx1"/>
            </w14:solidFill>
          </w14:textFill>
        </w:rPr>
        <w:fldChar w:fldCharType="begin"/>
      </w:r>
      <w:r>
        <w:rPr>
          <w:rStyle w:val="36"/>
          <w:rFonts w:ascii="仿宋_GB2312" w:hAnsi="国标黑体" w:eastAsia="仿宋_GB2312" w:cs="国标黑体"/>
          <w:color w:val="000000" w:themeColor="text1"/>
          <w:sz w:val="30"/>
          <w:szCs w:val="30"/>
          <w14:textFill>
            <w14:solidFill>
              <w14:schemeClr w14:val="tx1"/>
            </w14:solidFill>
          </w14:textFill>
        </w:rPr>
        <w:instrText xml:space="preserve"> PAGEREF _Toc235000806 \h </w:instrText>
      </w:r>
      <w:r>
        <w:rPr>
          <w:rStyle w:val="36"/>
          <w:rFonts w:ascii="仿宋_GB2312" w:hAnsi="国标黑体" w:eastAsia="仿宋_GB2312" w:cs="国标黑体"/>
          <w:color w:val="000000" w:themeColor="text1"/>
          <w:sz w:val="30"/>
          <w:szCs w:val="30"/>
          <w14:textFill>
            <w14:solidFill>
              <w14:schemeClr w14:val="tx1"/>
            </w14:solidFill>
          </w14:textFill>
        </w:rPr>
        <w:fldChar w:fldCharType="separate"/>
      </w:r>
      <w:r>
        <w:rPr>
          <w:rStyle w:val="36"/>
          <w:rFonts w:ascii="仿宋_GB2312" w:hAnsi="国标黑体" w:eastAsia="仿宋_GB2312" w:cs="国标黑体"/>
          <w:color w:val="000000" w:themeColor="text1"/>
          <w:sz w:val="30"/>
          <w:szCs w:val="30"/>
          <w14:textFill>
            <w14:solidFill>
              <w14:schemeClr w14:val="tx1"/>
            </w14:solidFill>
          </w14:textFill>
        </w:rPr>
        <w:t>- 135 -</w:t>
      </w:r>
      <w:r>
        <w:rPr>
          <w:rStyle w:val="36"/>
          <w:rFonts w:ascii="仿宋_GB2312" w:hAnsi="国标黑体" w:eastAsia="仿宋_GB2312" w:cs="国标黑体"/>
          <w:color w:val="000000" w:themeColor="text1"/>
          <w:sz w:val="30"/>
          <w:szCs w:val="30"/>
          <w14:textFill>
            <w14:solidFill>
              <w14:schemeClr w14:val="tx1"/>
            </w14:solidFill>
          </w14:textFill>
        </w:rPr>
        <w:fldChar w:fldCharType="end"/>
      </w:r>
      <w:r>
        <w:rPr>
          <w:rStyle w:val="36"/>
          <w:rFonts w:ascii="仿宋_GB2312" w:hAnsi="国标黑体" w:eastAsia="仿宋_GB2312" w:cs="国标黑体"/>
          <w:color w:val="000000" w:themeColor="text1"/>
          <w:sz w:val="30"/>
          <w:szCs w:val="30"/>
          <w14:textFill>
            <w14:solidFill>
              <w14:schemeClr w14:val="tx1"/>
            </w14:solidFill>
          </w14:textFill>
        </w:rPr>
        <w:fldChar w:fldCharType="end"/>
      </w:r>
    </w:p>
    <w:p>
      <w:pPr>
        <w:pStyle w:val="22"/>
        <w:tabs>
          <w:tab w:val="right" w:leader="dot" w:pos="8834"/>
        </w:tabs>
        <w:spacing w:line="600" w:lineRule="exact"/>
        <w:rPr>
          <w:rStyle w:val="36"/>
          <w:rFonts w:ascii="方正小标宋_GBK" w:hAnsi="方正小标宋简体" w:eastAsia="方正小标宋_GBK" w:cs="方正小标宋简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"_Toc235000807" </w:instrText>
      </w:r>
      <w:r>
        <w:rPr>
          <w:color w:val="000000" w:themeColor="text1"/>
          <w14:textFill>
            <w14:solidFill>
              <w14:schemeClr w14:val="tx1"/>
            </w14:solidFill>
          </w14:textFill>
        </w:rPr>
        <w:fldChar w:fldCharType="separate"/>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t>第十五章 全</w:t>
      </w:r>
      <w:r>
        <w:rPr>
          <w:rStyle w:val="36"/>
          <w:rFonts w:ascii="方正小标宋_GBK" w:hAnsi="方正小标宋简体" w:eastAsia="方正小标宋_GBK" w:cs="方正小标宋简体"/>
          <w:color w:val="000000" w:themeColor="text1"/>
          <w:spacing w:val="-11"/>
          <w:sz w:val="30"/>
          <w:szCs w:val="30"/>
          <w14:textFill>
            <w14:solidFill>
              <w14:schemeClr w14:val="tx1"/>
            </w14:solidFill>
          </w14:textFill>
        </w:rPr>
        <w:t>县各族人民团结起来为实现“十五五”规划而奋斗</w:t>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tab/>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fldChar w:fldCharType="begin"/>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instrText xml:space="preserve"> PAGEREF _Toc235000807 \h </w:instrText>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fldChar w:fldCharType="separate"/>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t>- 136 -</w:t>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fldChar w:fldCharType="end"/>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fldChar w:fldCharType="end"/>
      </w:r>
    </w:p>
    <w:p>
      <w:pPr>
        <w:pStyle w:val="26"/>
        <w:tabs>
          <w:tab w:val="right" w:leader="dot" w:pos="8834"/>
        </w:tabs>
        <w:spacing w:line="600" w:lineRule="exact"/>
        <w:rPr>
          <w:rFonts w:hint="eastAsia" w:ascii="仿宋_GB2312" w:eastAsia="仿宋_GB2312"/>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"_Toc235000808" </w:instrText>
      </w:r>
      <w:r>
        <w:rPr>
          <w:color w:val="000000" w:themeColor="text1"/>
          <w14:textFill>
            <w14:solidFill>
              <w14:schemeClr w14:val="tx1"/>
            </w14:solidFill>
          </w14:textFill>
        </w:rPr>
        <w:fldChar w:fldCharType="separate"/>
      </w:r>
      <w:r>
        <w:rPr>
          <w:rStyle w:val="36"/>
          <w:rFonts w:hint="eastAsia" w:ascii="仿宋_GB2312" w:hAnsi="黑体" w:eastAsia="仿宋_GB2312" w:cs="黑体"/>
          <w:color w:val="000000" w:themeColor="text1"/>
          <w:sz w:val="30"/>
          <w:szCs w:val="30"/>
          <w14:textFill>
            <w14:solidFill>
              <w14:schemeClr w14:val="tx1"/>
            </w14:solidFill>
          </w14:textFill>
        </w:rPr>
        <w:t>第一节 坚持党的全面领导</w:t>
      </w:r>
      <w:r>
        <w:rPr>
          <w:rFonts w:hint="eastAsia" w:ascii="仿宋_GB2312" w:eastAsia="仿宋_GB2312"/>
          <w:color w:val="000000" w:themeColor="text1"/>
          <w:sz w:val="30"/>
          <w:szCs w:val="30"/>
          <w14:textFill>
            <w14:solidFill>
              <w14:schemeClr w14:val="tx1"/>
            </w14:solidFill>
          </w14:textFill>
        </w:rPr>
        <w:tab/>
      </w:r>
      <w:r>
        <w:rPr>
          <w:rFonts w:hint="eastAsia" w:ascii="仿宋_GB2312" w:eastAsia="仿宋_GB2312"/>
          <w:color w:val="000000" w:themeColor="text1"/>
          <w:sz w:val="30"/>
          <w:szCs w:val="30"/>
          <w14:textFill>
            <w14:solidFill>
              <w14:schemeClr w14:val="tx1"/>
            </w14:solidFill>
          </w14:textFill>
        </w:rPr>
        <w:fldChar w:fldCharType="begin"/>
      </w:r>
      <w:r>
        <w:rPr>
          <w:rFonts w:hint="eastAsia" w:ascii="仿宋_GB2312" w:eastAsia="仿宋_GB2312"/>
          <w:color w:val="000000" w:themeColor="text1"/>
          <w:sz w:val="30"/>
          <w:szCs w:val="30"/>
          <w14:textFill>
            <w14:solidFill>
              <w14:schemeClr w14:val="tx1"/>
            </w14:solidFill>
          </w14:textFill>
        </w:rPr>
        <w:instrText xml:space="preserve"> PAGEREF _Toc235000808 \h </w:instrText>
      </w:r>
      <w:r>
        <w:rPr>
          <w:rFonts w:hint="eastAsia" w:ascii="仿宋_GB2312" w:eastAsia="仿宋_GB2312"/>
          <w:color w:val="000000" w:themeColor="text1"/>
          <w:sz w:val="30"/>
          <w:szCs w:val="30"/>
          <w14:textFill>
            <w14:solidFill>
              <w14:schemeClr w14:val="tx1"/>
            </w14:solidFill>
          </w14:textFill>
        </w:rPr>
        <w:fldChar w:fldCharType="separate"/>
      </w:r>
      <w:r>
        <w:rPr>
          <w:rFonts w:hint="eastAsia" w:ascii="仿宋_GB2312" w:eastAsia="仿宋_GB2312"/>
          <w:color w:val="000000" w:themeColor="text1"/>
          <w:sz w:val="30"/>
          <w:szCs w:val="30"/>
          <w14:textFill>
            <w14:solidFill>
              <w14:schemeClr w14:val="tx1"/>
            </w14:solidFill>
          </w14:textFill>
        </w:rPr>
        <w:t>- 136 -</w:t>
      </w:r>
      <w:r>
        <w:rPr>
          <w:rFonts w:hint="eastAsia" w:ascii="仿宋_GB2312" w:eastAsia="仿宋_GB2312"/>
          <w:color w:val="000000" w:themeColor="text1"/>
          <w:sz w:val="30"/>
          <w:szCs w:val="30"/>
          <w14:textFill>
            <w14:solidFill>
              <w14:schemeClr w14:val="tx1"/>
            </w14:solidFill>
          </w14:textFill>
        </w:rPr>
        <w:fldChar w:fldCharType="end"/>
      </w:r>
      <w:r>
        <w:rPr>
          <w:rFonts w:hint="eastAsia" w:ascii="仿宋_GB2312" w:eastAsia="仿宋_GB2312"/>
          <w:color w:val="000000" w:themeColor="text1"/>
          <w:sz w:val="30"/>
          <w:szCs w:val="30"/>
          <w14:textFill>
            <w14:solidFill>
              <w14:schemeClr w14:val="tx1"/>
            </w14:solidFill>
          </w14:textFill>
        </w:rPr>
        <w:fldChar w:fldCharType="end"/>
      </w:r>
    </w:p>
    <w:p>
      <w:pPr>
        <w:pStyle w:val="26"/>
        <w:tabs>
          <w:tab w:val="right" w:leader="dot" w:pos="8834"/>
        </w:tabs>
        <w:spacing w:line="600" w:lineRule="exact"/>
        <w:rPr>
          <w:rFonts w:hint="eastAsia" w:ascii="仿宋_GB2312" w:eastAsia="仿宋_GB2312"/>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"_Toc235000809" </w:instrText>
      </w:r>
      <w:r>
        <w:rPr>
          <w:color w:val="000000" w:themeColor="text1"/>
          <w14:textFill>
            <w14:solidFill>
              <w14:schemeClr w14:val="tx1"/>
            </w14:solidFill>
          </w14:textFill>
        </w:rPr>
        <w:fldChar w:fldCharType="separate"/>
      </w:r>
      <w:r>
        <w:rPr>
          <w:rStyle w:val="36"/>
          <w:rFonts w:hint="eastAsia" w:ascii="仿宋_GB2312" w:hAnsi="黑体" w:eastAsia="仿宋_GB2312" w:cs="黑体"/>
          <w:color w:val="000000" w:themeColor="text1"/>
          <w:sz w:val="30"/>
          <w:szCs w:val="30"/>
          <w14:textFill>
            <w14:solidFill>
              <w14:schemeClr w14:val="tx1"/>
            </w14:solidFill>
          </w14:textFill>
        </w:rPr>
        <w:t>第二节 推进社会主义民主法治建设与规划协同</w:t>
      </w:r>
      <w:r>
        <w:rPr>
          <w:rFonts w:hint="eastAsia" w:ascii="仿宋_GB2312" w:eastAsia="仿宋_GB2312"/>
          <w:color w:val="000000" w:themeColor="text1"/>
          <w:sz w:val="30"/>
          <w:szCs w:val="30"/>
          <w14:textFill>
            <w14:solidFill>
              <w14:schemeClr w14:val="tx1"/>
            </w14:solidFill>
          </w14:textFill>
        </w:rPr>
        <w:tab/>
      </w:r>
      <w:r>
        <w:rPr>
          <w:rFonts w:hint="eastAsia" w:ascii="仿宋_GB2312" w:eastAsia="仿宋_GB2312"/>
          <w:color w:val="000000" w:themeColor="text1"/>
          <w:sz w:val="30"/>
          <w:szCs w:val="30"/>
          <w14:textFill>
            <w14:solidFill>
              <w14:schemeClr w14:val="tx1"/>
            </w14:solidFill>
          </w14:textFill>
        </w:rPr>
        <w:fldChar w:fldCharType="begin"/>
      </w:r>
      <w:r>
        <w:rPr>
          <w:rFonts w:hint="eastAsia" w:ascii="仿宋_GB2312" w:eastAsia="仿宋_GB2312"/>
          <w:color w:val="000000" w:themeColor="text1"/>
          <w:sz w:val="30"/>
          <w:szCs w:val="30"/>
          <w14:textFill>
            <w14:solidFill>
              <w14:schemeClr w14:val="tx1"/>
            </w14:solidFill>
          </w14:textFill>
        </w:rPr>
        <w:instrText xml:space="preserve"> PAGEREF _Toc235000809 \h </w:instrText>
      </w:r>
      <w:r>
        <w:rPr>
          <w:rFonts w:hint="eastAsia" w:ascii="仿宋_GB2312" w:eastAsia="仿宋_GB2312"/>
          <w:color w:val="000000" w:themeColor="text1"/>
          <w:sz w:val="30"/>
          <w:szCs w:val="30"/>
          <w14:textFill>
            <w14:solidFill>
              <w14:schemeClr w14:val="tx1"/>
            </w14:solidFill>
          </w14:textFill>
        </w:rPr>
        <w:fldChar w:fldCharType="separate"/>
      </w:r>
      <w:r>
        <w:rPr>
          <w:rFonts w:hint="eastAsia" w:ascii="仿宋_GB2312" w:eastAsia="仿宋_GB2312"/>
          <w:color w:val="000000" w:themeColor="text1"/>
          <w:sz w:val="30"/>
          <w:szCs w:val="30"/>
          <w14:textFill>
            <w14:solidFill>
              <w14:schemeClr w14:val="tx1"/>
            </w14:solidFill>
          </w14:textFill>
        </w:rPr>
        <w:t>- 137 -</w:t>
      </w:r>
      <w:r>
        <w:rPr>
          <w:rFonts w:hint="eastAsia" w:ascii="仿宋_GB2312" w:eastAsia="仿宋_GB2312"/>
          <w:color w:val="000000" w:themeColor="text1"/>
          <w:sz w:val="30"/>
          <w:szCs w:val="30"/>
          <w14:textFill>
            <w14:solidFill>
              <w14:schemeClr w14:val="tx1"/>
            </w14:solidFill>
          </w14:textFill>
        </w:rPr>
        <w:fldChar w:fldCharType="end"/>
      </w:r>
      <w:r>
        <w:rPr>
          <w:rFonts w:hint="eastAsia" w:ascii="仿宋_GB2312" w:eastAsia="仿宋_GB2312"/>
          <w:color w:val="000000" w:themeColor="text1"/>
          <w:sz w:val="30"/>
          <w:szCs w:val="30"/>
          <w14:textFill>
            <w14:solidFill>
              <w14:schemeClr w14:val="tx1"/>
            </w14:solidFill>
          </w14:textFill>
        </w:rPr>
        <w:fldChar w:fldCharType="end"/>
      </w:r>
    </w:p>
    <w:p>
      <w:pPr>
        <w:pStyle w:val="26"/>
        <w:tabs>
          <w:tab w:val="right" w:leader="dot" w:pos="8834"/>
        </w:tabs>
        <w:spacing w:line="600" w:lineRule="exact"/>
        <w:rPr>
          <w:rFonts w:hint="eastAsia" w:ascii="仿宋_GB2312" w:eastAsia="仿宋_GB2312"/>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"_Toc235000810" </w:instrText>
      </w:r>
      <w:r>
        <w:rPr>
          <w:color w:val="000000" w:themeColor="text1"/>
          <w14:textFill>
            <w14:solidFill>
              <w14:schemeClr w14:val="tx1"/>
            </w14:solidFill>
          </w14:textFill>
        </w:rPr>
        <w:fldChar w:fldCharType="separate"/>
      </w:r>
      <w:r>
        <w:rPr>
          <w:rStyle w:val="36"/>
          <w:rFonts w:hint="eastAsia" w:ascii="仿宋_GB2312" w:hAnsi="黑体" w:eastAsia="仿宋_GB2312" w:cs="黑体"/>
          <w:color w:val="000000" w:themeColor="text1"/>
          <w:sz w:val="30"/>
          <w:szCs w:val="30"/>
          <w14:textFill>
            <w14:solidFill>
              <w14:schemeClr w14:val="tx1"/>
            </w14:solidFill>
          </w14:textFill>
        </w:rPr>
        <w:t>第三节 加强政策与要素保障</w:t>
      </w:r>
      <w:r>
        <w:rPr>
          <w:rFonts w:hint="eastAsia" w:ascii="仿宋_GB2312" w:eastAsia="仿宋_GB2312"/>
          <w:color w:val="000000" w:themeColor="text1"/>
          <w:sz w:val="30"/>
          <w:szCs w:val="30"/>
          <w14:textFill>
            <w14:solidFill>
              <w14:schemeClr w14:val="tx1"/>
            </w14:solidFill>
          </w14:textFill>
        </w:rPr>
        <w:tab/>
      </w:r>
      <w:r>
        <w:rPr>
          <w:rFonts w:hint="eastAsia" w:ascii="仿宋_GB2312" w:eastAsia="仿宋_GB2312"/>
          <w:color w:val="000000" w:themeColor="text1"/>
          <w:sz w:val="30"/>
          <w:szCs w:val="30"/>
          <w14:textFill>
            <w14:solidFill>
              <w14:schemeClr w14:val="tx1"/>
            </w14:solidFill>
          </w14:textFill>
        </w:rPr>
        <w:fldChar w:fldCharType="begin"/>
      </w:r>
      <w:r>
        <w:rPr>
          <w:rFonts w:hint="eastAsia" w:ascii="仿宋_GB2312" w:eastAsia="仿宋_GB2312"/>
          <w:color w:val="000000" w:themeColor="text1"/>
          <w:sz w:val="30"/>
          <w:szCs w:val="30"/>
          <w14:textFill>
            <w14:solidFill>
              <w14:schemeClr w14:val="tx1"/>
            </w14:solidFill>
          </w14:textFill>
        </w:rPr>
        <w:instrText xml:space="preserve"> PAGEREF _Toc235000810 \h </w:instrText>
      </w:r>
      <w:r>
        <w:rPr>
          <w:rFonts w:hint="eastAsia" w:ascii="仿宋_GB2312" w:eastAsia="仿宋_GB2312"/>
          <w:color w:val="000000" w:themeColor="text1"/>
          <w:sz w:val="30"/>
          <w:szCs w:val="30"/>
          <w14:textFill>
            <w14:solidFill>
              <w14:schemeClr w14:val="tx1"/>
            </w14:solidFill>
          </w14:textFill>
        </w:rPr>
        <w:fldChar w:fldCharType="separate"/>
      </w:r>
      <w:r>
        <w:rPr>
          <w:rFonts w:hint="eastAsia" w:ascii="仿宋_GB2312" w:eastAsia="仿宋_GB2312"/>
          <w:color w:val="000000" w:themeColor="text1"/>
          <w:sz w:val="30"/>
          <w:szCs w:val="30"/>
          <w14:textFill>
            <w14:solidFill>
              <w14:schemeClr w14:val="tx1"/>
            </w14:solidFill>
          </w14:textFill>
        </w:rPr>
        <w:t>- 138 -</w:t>
      </w:r>
      <w:r>
        <w:rPr>
          <w:rFonts w:hint="eastAsia" w:ascii="仿宋_GB2312" w:eastAsia="仿宋_GB2312"/>
          <w:color w:val="000000" w:themeColor="text1"/>
          <w:sz w:val="30"/>
          <w:szCs w:val="30"/>
          <w14:textFill>
            <w14:solidFill>
              <w14:schemeClr w14:val="tx1"/>
            </w14:solidFill>
          </w14:textFill>
        </w:rPr>
        <w:fldChar w:fldCharType="end"/>
      </w:r>
      <w:r>
        <w:rPr>
          <w:rFonts w:hint="eastAsia" w:ascii="仿宋_GB2312" w:eastAsia="仿宋_GB2312"/>
          <w:color w:val="000000" w:themeColor="text1"/>
          <w:sz w:val="30"/>
          <w:szCs w:val="30"/>
          <w14:textFill>
            <w14:solidFill>
              <w14:schemeClr w14:val="tx1"/>
            </w14:solidFill>
          </w14:textFill>
        </w:rPr>
        <w:fldChar w:fldCharType="end"/>
      </w:r>
    </w:p>
    <w:p>
      <w:pPr>
        <w:pStyle w:val="26"/>
        <w:tabs>
          <w:tab w:val="right" w:leader="dot" w:pos="8834"/>
        </w:tabs>
        <w:spacing w:line="600" w:lineRule="exact"/>
        <w:rPr>
          <w:rFonts w:hint="eastAsia" w:ascii="仿宋_GB2312" w:eastAsia="仿宋_GB2312"/>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"_Toc235000811" </w:instrText>
      </w:r>
      <w:r>
        <w:rPr>
          <w:color w:val="000000" w:themeColor="text1"/>
          <w14:textFill>
            <w14:solidFill>
              <w14:schemeClr w14:val="tx1"/>
            </w14:solidFill>
          </w14:textFill>
        </w:rPr>
        <w:fldChar w:fldCharType="separate"/>
      </w:r>
      <w:r>
        <w:rPr>
          <w:rStyle w:val="36"/>
          <w:rFonts w:hint="eastAsia" w:ascii="仿宋_GB2312" w:hAnsi="黑体" w:eastAsia="仿宋_GB2312" w:cs="黑体"/>
          <w:color w:val="000000" w:themeColor="text1"/>
          <w:sz w:val="30"/>
          <w:szCs w:val="30"/>
          <w14:textFill>
            <w14:solidFill>
              <w14:schemeClr w14:val="tx1"/>
            </w14:solidFill>
          </w14:textFill>
        </w:rPr>
        <w:t>第四节 强化重大项目支撑</w:t>
      </w:r>
      <w:r>
        <w:rPr>
          <w:rFonts w:hint="eastAsia" w:ascii="仿宋_GB2312" w:eastAsia="仿宋_GB2312"/>
          <w:color w:val="000000" w:themeColor="text1"/>
          <w:sz w:val="30"/>
          <w:szCs w:val="30"/>
          <w14:textFill>
            <w14:solidFill>
              <w14:schemeClr w14:val="tx1"/>
            </w14:solidFill>
          </w14:textFill>
        </w:rPr>
        <w:tab/>
      </w:r>
      <w:r>
        <w:rPr>
          <w:rFonts w:hint="eastAsia" w:ascii="仿宋_GB2312" w:eastAsia="仿宋_GB2312"/>
          <w:color w:val="000000" w:themeColor="text1"/>
          <w:sz w:val="30"/>
          <w:szCs w:val="30"/>
          <w14:textFill>
            <w14:solidFill>
              <w14:schemeClr w14:val="tx1"/>
            </w14:solidFill>
          </w14:textFill>
        </w:rPr>
        <w:fldChar w:fldCharType="begin"/>
      </w:r>
      <w:r>
        <w:rPr>
          <w:rFonts w:hint="eastAsia" w:ascii="仿宋_GB2312" w:eastAsia="仿宋_GB2312"/>
          <w:color w:val="000000" w:themeColor="text1"/>
          <w:sz w:val="30"/>
          <w:szCs w:val="30"/>
          <w14:textFill>
            <w14:solidFill>
              <w14:schemeClr w14:val="tx1"/>
            </w14:solidFill>
          </w14:textFill>
        </w:rPr>
        <w:instrText xml:space="preserve"> PAGEREF _Toc235000811 \h </w:instrText>
      </w:r>
      <w:r>
        <w:rPr>
          <w:rFonts w:hint="eastAsia" w:ascii="仿宋_GB2312" w:eastAsia="仿宋_GB2312"/>
          <w:color w:val="000000" w:themeColor="text1"/>
          <w:sz w:val="30"/>
          <w:szCs w:val="30"/>
          <w14:textFill>
            <w14:solidFill>
              <w14:schemeClr w14:val="tx1"/>
            </w14:solidFill>
          </w14:textFill>
        </w:rPr>
        <w:fldChar w:fldCharType="separate"/>
      </w:r>
      <w:r>
        <w:rPr>
          <w:rFonts w:hint="eastAsia" w:ascii="仿宋_GB2312" w:eastAsia="仿宋_GB2312"/>
          <w:color w:val="000000" w:themeColor="text1"/>
          <w:sz w:val="30"/>
          <w:szCs w:val="30"/>
          <w14:textFill>
            <w14:solidFill>
              <w14:schemeClr w14:val="tx1"/>
            </w14:solidFill>
          </w14:textFill>
        </w:rPr>
        <w:t>- 139 -</w:t>
      </w:r>
      <w:r>
        <w:rPr>
          <w:rFonts w:hint="eastAsia" w:ascii="仿宋_GB2312" w:eastAsia="仿宋_GB2312"/>
          <w:color w:val="000000" w:themeColor="text1"/>
          <w:sz w:val="30"/>
          <w:szCs w:val="30"/>
          <w14:textFill>
            <w14:solidFill>
              <w14:schemeClr w14:val="tx1"/>
            </w14:solidFill>
          </w14:textFill>
        </w:rPr>
        <w:fldChar w:fldCharType="end"/>
      </w:r>
      <w:r>
        <w:rPr>
          <w:rFonts w:hint="eastAsia" w:ascii="仿宋_GB2312" w:eastAsia="仿宋_GB2312"/>
          <w:color w:val="000000" w:themeColor="text1"/>
          <w:sz w:val="30"/>
          <w:szCs w:val="30"/>
          <w14:textFill>
            <w14:solidFill>
              <w14:schemeClr w14:val="tx1"/>
            </w14:solidFill>
          </w14:textFill>
        </w:rPr>
        <w:fldChar w:fldCharType="end"/>
      </w:r>
    </w:p>
    <w:p>
      <w:pPr>
        <w:pStyle w:val="26"/>
        <w:tabs>
          <w:tab w:val="right" w:leader="dot" w:pos="8834"/>
        </w:tabs>
        <w:spacing w:line="600" w:lineRule="exact"/>
        <w:rPr>
          <w:rFonts w:hint="eastAsia" w:ascii="仿宋_GB2312" w:eastAsia="仿宋_GB2312"/>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"_Toc235000812" </w:instrText>
      </w:r>
      <w:r>
        <w:rPr>
          <w:color w:val="000000" w:themeColor="text1"/>
          <w14:textFill>
            <w14:solidFill>
              <w14:schemeClr w14:val="tx1"/>
            </w14:solidFill>
          </w14:textFill>
        </w:rPr>
        <w:fldChar w:fldCharType="separate"/>
      </w:r>
      <w:r>
        <w:rPr>
          <w:rStyle w:val="36"/>
          <w:rFonts w:hint="eastAsia" w:ascii="仿宋_GB2312" w:hAnsi="黑体" w:eastAsia="仿宋_GB2312" w:cs="黑体"/>
          <w:color w:val="000000" w:themeColor="text1"/>
          <w:sz w:val="30"/>
          <w:szCs w:val="30"/>
          <w14:textFill>
            <w14:solidFill>
              <w14:schemeClr w14:val="tx1"/>
            </w14:solidFill>
          </w14:textFill>
        </w:rPr>
        <w:t>第五节 健全实施监测与反馈机制</w:t>
      </w:r>
      <w:r>
        <w:rPr>
          <w:rFonts w:hint="eastAsia" w:ascii="仿宋_GB2312" w:eastAsia="仿宋_GB2312"/>
          <w:color w:val="000000" w:themeColor="text1"/>
          <w:sz w:val="30"/>
          <w:szCs w:val="30"/>
          <w14:textFill>
            <w14:solidFill>
              <w14:schemeClr w14:val="tx1"/>
            </w14:solidFill>
          </w14:textFill>
        </w:rPr>
        <w:tab/>
      </w:r>
      <w:r>
        <w:rPr>
          <w:rFonts w:hint="eastAsia" w:ascii="仿宋_GB2312" w:eastAsia="仿宋_GB2312"/>
          <w:color w:val="000000" w:themeColor="text1"/>
          <w:sz w:val="30"/>
          <w:szCs w:val="30"/>
          <w14:textFill>
            <w14:solidFill>
              <w14:schemeClr w14:val="tx1"/>
            </w14:solidFill>
          </w14:textFill>
        </w:rPr>
        <w:fldChar w:fldCharType="begin"/>
      </w:r>
      <w:r>
        <w:rPr>
          <w:rFonts w:hint="eastAsia" w:ascii="仿宋_GB2312" w:eastAsia="仿宋_GB2312"/>
          <w:color w:val="000000" w:themeColor="text1"/>
          <w:sz w:val="30"/>
          <w:szCs w:val="30"/>
          <w14:textFill>
            <w14:solidFill>
              <w14:schemeClr w14:val="tx1"/>
            </w14:solidFill>
          </w14:textFill>
        </w:rPr>
        <w:instrText xml:space="preserve"> PAGEREF _Toc235000812 \h </w:instrText>
      </w:r>
      <w:r>
        <w:rPr>
          <w:rFonts w:hint="eastAsia" w:ascii="仿宋_GB2312" w:eastAsia="仿宋_GB2312"/>
          <w:color w:val="000000" w:themeColor="text1"/>
          <w:sz w:val="30"/>
          <w:szCs w:val="30"/>
          <w14:textFill>
            <w14:solidFill>
              <w14:schemeClr w14:val="tx1"/>
            </w14:solidFill>
          </w14:textFill>
        </w:rPr>
        <w:fldChar w:fldCharType="separate"/>
      </w:r>
      <w:r>
        <w:rPr>
          <w:rFonts w:hint="eastAsia" w:ascii="仿宋_GB2312" w:eastAsia="仿宋_GB2312"/>
          <w:color w:val="000000" w:themeColor="text1"/>
          <w:sz w:val="30"/>
          <w:szCs w:val="30"/>
          <w14:textFill>
            <w14:solidFill>
              <w14:schemeClr w14:val="tx1"/>
            </w14:solidFill>
          </w14:textFill>
        </w:rPr>
        <w:t>- 139 -</w:t>
      </w:r>
      <w:r>
        <w:rPr>
          <w:rFonts w:hint="eastAsia" w:ascii="仿宋_GB2312" w:eastAsia="仿宋_GB2312"/>
          <w:color w:val="000000" w:themeColor="text1"/>
          <w:sz w:val="30"/>
          <w:szCs w:val="30"/>
          <w14:textFill>
            <w14:solidFill>
              <w14:schemeClr w14:val="tx1"/>
            </w14:solidFill>
          </w14:textFill>
        </w:rPr>
        <w:fldChar w:fldCharType="end"/>
      </w:r>
      <w:r>
        <w:rPr>
          <w:rFonts w:hint="eastAsia" w:ascii="仿宋_GB2312" w:eastAsia="仿宋_GB2312"/>
          <w:color w:val="000000" w:themeColor="text1"/>
          <w:sz w:val="30"/>
          <w:szCs w:val="30"/>
          <w14:textFill>
            <w14:solidFill>
              <w14:schemeClr w14:val="tx1"/>
            </w14:solidFill>
          </w14:textFill>
        </w:rPr>
        <w:fldChar w:fldCharType="end"/>
      </w:r>
    </w:p>
    <w:p>
      <w:pPr>
        <w:pStyle w:val="26"/>
        <w:tabs>
          <w:tab w:val="right" w:leader="dot" w:pos="8834"/>
        </w:tabs>
        <w:spacing w:line="600" w:lineRule="exact"/>
        <w:rPr>
          <w:rFonts w:hint="eastAsia" w:ascii="仿宋_GB2312" w:eastAsia="仿宋_GB2312"/>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"_Toc235000813" </w:instrText>
      </w:r>
      <w:r>
        <w:rPr>
          <w:color w:val="000000" w:themeColor="text1"/>
          <w14:textFill>
            <w14:solidFill>
              <w14:schemeClr w14:val="tx1"/>
            </w14:solidFill>
          </w14:textFill>
        </w:rPr>
        <w:fldChar w:fldCharType="separate"/>
      </w:r>
      <w:r>
        <w:rPr>
          <w:rStyle w:val="36"/>
          <w:rFonts w:hint="eastAsia" w:ascii="仿宋_GB2312" w:hAnsi="黑体" w:eastAsia="仿宋_GB2312" w:cs="黑体"/>
          <w:color w:val="000000" w:themeColor="text1"/>
          <w:spacing w:val="-6"/>
          <w:sz w:val="30"/>
          <w:szCs w:val="30"/>
          <w14:textFill>
            <w14:solidFill>
              <w14:schemeClr w14:val="tx1"/>
            </w14:solidFill>
          </w14:textFill>
        </w:rPr>
        <w:t xml:space="preserve">第六节 </w:t>
      </w:r>
      <w:r>
        <w:rPr>
          <w:rStyle w:val="36"/>
          <w:rFonts w:hint="eastAsia" w:ascii="仿宋_GB2312" w:hAnsi="黑体" w:eastAsia="仿宋_GB2312" w:cs="黑体"/>
          <w:color w:val="000000" w:themeColor="text1"/>
          <w:spacing w:val="-23"/>
          <w:sz w:val="30"/>
          <w:szCs w:val="30"/>
          <w14:textFill>
            <w14:solidFill>
              <w14:schemeClr w14:val="tx1"/>
            </w14:solidFill>
          </w14:textFill>
        </w:rPr>
        <w:t>充分调动建设中国式现代化新会同的积极性主动性创造性</w:t>
      </w:r>
      <w:r>
        <w:rPr>
          <w:rFonts w:hint="eastAsia" w:ascii="仿宋_GB2312" w:eastAsia="仿宋_GB2312"/>
          <w:color w:val="000000" w:themeColor="text1"/>
          <w:sz w:val="30"/>
          <w:szCs w:val="30"/>
          <w14:textFill>
            <w14:solidFill>
              <w14:schemeClr w14:val="tx1"/>
            </w14:solidFill>
          </w14:textFill>
        </w:rPr>
        <w:tab/>
      </w:r>
      <w:r>
        <w:rPr>
          <w:rFonts w:hint="eastAsia" w:ascii="仿宋_GB2312" w:eastAsia="仿宋_GB2312"/>
          <w:color w:val="000000" w:themeColor="text1"/>
          <w:sz w:val="30"/>
          <w:szCs w:val="30"/>
          <w14:textFill>
            <w14:solidFill>
              <w14:schemeClr w14:val="tx1"/>
            </w14:solidFill>
          </w14:textFill>
        </w:rPr>
        <w:fldChar w:fldCharType="begin"/>
      </w:r>
      <w:r>
        <w:rPr>
          <w:rFonts w:hint="eastAsia" w:ascii="仿宋_GB2312" w:eastAsia="仿宋_GB2312"/>
          <w:color w:val="000000" w:themeColor="text1"/>
          <w:sz w:val="30"/>
          <w:szCs w:val="30"/>
          <w14:textFill>
            <w14:solidFill>
              <w14:schemeClr w14:val="tx1"/>
            </w14:solidFill>
          </w14:textFill>
        </w:rPr>
        <w:instrText xml:space="preserve"> PAGEREF _Toc235000813 \h </w:instrText>
      </w:r>
      <w:r>
        <w:rPr>
          <w:rFonts w:hint="eastAsia" w:ascii="仿宋_GB2312" w:eastAsia="仿宋_GB2312"/>
          <w:color w:val="000000" w:themeColor="text1"/>
          <w:sz w:val="30"/>
          <w:szCs w:val="30"/>
          <w14:textFill>
            <w14:solidFill>
              <w14:schemeClr w14:val="tx1"/>
            </w14:solidFill>
          </w14:textFill>
        </w:rPr>
        <w:fldChar w:fldCharType="separate"/>
      </w:r>
      <w:r>
        <w:rPr>
          <w:rFonts w:hint="eastAsia" w:ascii="仿宋_GB2312" w:eastAsia="仿宋_GB2312"/>
          <w:color w:val="000000" w:themeColor="text1"/>
          <w:sz w:val="30"/>
          <w:szCs w:val="30"/>
          <w14:textFill>
            <w14:solidFill>
              <w14:schemeClr w14:val="tx1"/>
            </w14:solidFill>
          </w14:textFill>
        </w:rPr>
        <w:t>- 140 -</w:t>
      </w:r>
      <w:r>
        <w:rPr>
          <w:rFonts w:hint="eastAsia" w:ascii="仿宋_GB2312" w:eastAsia="仿宋_GB2312"/>
          <w:color w:val="000000" w:themeColor="text1"/>
          <w:sz w:val="30"/>
          <w:szCs w:val="30"/>
          <w14:textFill>
            <w14:solidFill>
              <w14:schemeClr w14:val="tx1"/>
            </w14:solidFill>
          </w14:textFill>
        </w:rPr>
        <w:fldChar w:fldCharType="end"/>
      </w:r>
      <w:r>
        <w:rPr>
          <w:rFonts w:hint="eastAsia" w:ascii="仿宋_GB2312" w:eastAsia="仿宋_GB2312"/>
          <w:color w:val="000000" w:themeColor="text1"/>
          <w:sz w:val="30"/>
          <w:szCs w:val="30"/>
          <w14:textFill>
            <w14:solidFill>
              <w14:schemeClr w14:val="tx1"/>
            </w14:solidFill>
          </w14:textFill>
        </w:rPr>
        <w:fldChar w:fldCharType="end"/>
      </w:r>
    </w:p>
    <w:p>
      <w:pPr>
        <w:pStyle w:val="22"/>
        <w:tabs>
          <w:tab w:val="right" w:leader="dot" w:pos="8834"/>
        </w:tabs>
        <w:spacing w:line="600" w:lineRule="exact"/>
        <w:rPr>
          <w:rStyle w:val="36"/>
          <w:rFonts w:ascii="方正小标宋_GBK" w:hAnsi="方正小标宋简体" w:eastAsia="方正小标宋_GBK" w:cs="方正小标宋简体"/>
          <w:color w:val="000000" w:themeColor="text1"/>
          <w:sz w:val="30"/>
          <w:szCs w:val="30"/>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"_Toc235000814" </w:instrText>
      </w:r>
      <w:r>
        <w:rPr>
          <w:color w:val="000000" w:themeColor="text1"/>
          <w14:textFill>
            <w14:solidFill>
              <w14:schemeClr w14:val="tx1"/>
            </w14:solidFill>
          </w14:textFill>
        </w:rPr>
        <w:fldChar w:fldCharType="separate"/>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t>名词解释</w:t>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tab/>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fldChar w:fldCharType="begin"/>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instrText xml:space="preserve"> PAGEREF _Toc235000814 \h </w:instrText>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fldChar w:fldCharType="separate"/>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t>- 141 -</w:t>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fldChar w:fldCharType="end"/>
      </w:r>
      <w:r>
        <w:rPr>
          <w:rStyle w:val="36"/>
          <w:rFonts w:ascii="方正小标宋_GBK" w:hAnsi="方正小标宋简体" w:eastAsia="方正小标宋_GBK" w:cs="方正小标宋简体"/>
          <w:color w:val="000000" w:themeColor="text1"/>
          <w:sz w:val="30"/>
          <w:szCs w:val="30"/>
          <w14:textFill>
            <w14:solidFill>
              <w14:schemeClr w14:val="tx1"/>
            </w14:solidFill>
          </w14:textFill>
        </w:rPr>
        <w:fldChar w:fldCharType="end"/>
      </w:r>
    </w:p>
    <w:p>
      <w:pPr>
        <w:widowControl/>
        <w:adjustRightInd w:val="0"/>
        <w:snapToGrid w:val="0"/>
        <w:spacing w:line="600" w:lineRule="exact"/>
        <w:jc w:val="left"/>
        <w:rPr>
          <w:rFonts w:hint="eastAsia" w:ascii="仿宋_GB2312" w:hAnsi="仿宋_GB2312" w:eastAsia="仿宋_GB2312" w:cs="仿宋_GB2312"/>
          <w:color w:val="000000" w:themeColor="text1"/>
          <w:szCs w:val="28"/>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fldChar w:fldCharType="end"/>
      </w:r>
    </w:p>
    <w:p>
      <w:pPr>
        <w:widowControl/>
        <w:adjustRightInd w:val="0"/>
        <w:snapToGrid w:val="0"/>
        <w:spacing w:line="360" w:lineRule="auto"/>
        <w:jc w:val="left"/>
        <w:rPr>
          <w:rFonts w:hint="eastAsia" w:ascii="仿宋_GB2312" w:hAnsi="仿宋_GB2312" w:eastAsia="仿宋_GB2312" w:cs="仿宋_GB2312"/>
          <w:color w:val="000000" w:themeColor="text1"/>
          <w:szCs w:val="28"/>
          <w14:textFill>
            <w14:solidFill>
              <w14:schemeClr w14:val="tx1"/>
            </w14:solidFill>
          </w14:textFill>
        </w:rPr>
      </w:pPr>
    </w:p>
    <w:p>
      <w:pPr>
        <w:widowControl/>
        <w:adjustRightInd w:val="0"/>
        <w:snapToGrid w:val="0"/>
        <w:spacing w:line="360" w:lineRule="auto"/>
        <w:jc w:val="left"/>
        <w:rPr>
          <w:rFonts w:hint="eastAsia" w:ascii="仿宋_GB2312" w:hAnsi="仿宋_GB2312" w:eastAsia="仿宋_GB2312" w:cs="仿宋_GB2312"/>
          <w:color w:val="000000" w:themeColor="text1"/>
          <w:sz w:val="28"/>
          <w:szCs w:val="28"/>
          <w14:textFill>
            <w14:solidFill>
              <w14:schemeClr w14:val="tx1"/>
            </w14:solidFill>
          </w14:textFill>
        </w:rPr>
        <w:sectPr>
          <w:pgSz w:w="11906" w:h="16838"/>
          <w:pgMar w:top="2098" w:right="1531" w:bottom="1871" w:left="1531" w:header="851" w:footer="1418" w:gutter="0"/>
          <w:pgNumType w:fmt="numberInDash"/>
          <w:cols w:space="0" w:num="1"/>
          <w:docGrid w:type="lines" w:linePitch="312" w:charSpace="0"/>
        </w:sectPr>
      </w:pPr>
    </w:p>
    <w:p>
      <w:pPr>
        <w:adjustRightInd w:val="0"/>
        <w:snapToGrid w:val="0"/>
        <w:spacing w:line="680" w:lineRule="exact"/>
        <w:rPr>
          <w:rFonts w:hint="eastAsia" w:ascii="方正小标宋简体" w:hAnsi="方正小标宋简体" w:eastAsia="方正小标宋简体" w:cs="方正小标宋简体"/>
          <w:color w:val="000000" w:themeColor="text1"/>
          <w:sz w:val="44"/>
          <w:szCs w:val="44"/>
          <w14:textFill>
            <w14:solidFill>
              <w14:schemeClr w14:val="tx1"/>
            </w14:solidFill>
          </w14:textFill>
        </w:rPr>
      </w:pPr>
    </w:p>
    <w:p>
      <w:pPr>
        <w:adjustRightInd w:val="0"/>
        <w:snapToGrid w:val="0"/>
        <w:spacing w:line="680" w:lineRule="exact"/>
        <w:jc w:val="center"/>
        <w:rPr>
          <w:rFonts w:hint="eastAsia" w:ascii="方正小标宋简体" w:hAnsi="方正小标宋简体" w:eastAsia="方正小标宋简体" w:cs="方正小标宋简体"/>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前    言</w:t>
      </w:r>
    </w:p>
    <w:p>
      <w:pPr>
        <w:adjustRightInd w:val="0"/>
        <w:snapToGrid w:val="0"/>
        <w:spacing w:line="680" w:lineRule="exact"/>
        <w:rPr>
          <w:rFonts w:ascii="Times New Roman" w:hAnsi="Times New Roman" w:eastAsia="仿宋_GB2312" w:cs="Times New Roman"/>
          <w:color w:val="000000" w:themeColor="text1"/>
          <w:sz w:val="30"/>
          <w:szCs w:val="30"/>
          <w14:textFill>
            <w14:solidFill>
              <w14:schemeClr w14:val="tx1"/>
            </w14:solidFill>
          </w14:textFill>
        </w:rPr>
      </w:pPr>
    </w:p>
    <w:p>
      <w:pPr>
        <w:adjustRightInd w:val="0"/>
        <w:snapToGrid w:val="0"/>
        <w:spacing w:line="680" w:lineRule="exact"/>
        <w:ind w:firstLine="640" w:firstLineChars="200"/>
        <w:rPr>
          <w:rFonts w:hint="eastAsia" w:ascii="楷体_GB2312" w:hAnsi="仿宋_GB2312" w:eastAsia="楷体_GB2312" w:cs="仿宋_GB2312"/>
          <w:color w:val="000000" w:themeColor="text1"/>
          <w:sz w:val="32"/>
          <w:szCs w:val="32"/>
          <w14:textFill>
            <w14:solidFill>
              <w14:schemeClr w14:val="tx1"/>
            </w14:solidFill>
          </w14:textFill>
        </w:rPr>
      </w:pPr>
      <w:r>
        <w:rPr>
          <w:rFonts w:hint="eastAsia" w:ascii="楷体_GB2312" w:hAnsi="仿宋_GB2312" w:eastAsia="楷体_GB2312" w:cs="仿宋_GB2312"/>
          <w:color w:val="000000" w:themeColor="text1"/>
          <w:sz w:val="32"/>
          <w:szCs w:val="32"/>
          <w14:textFill>
            <w14:solidFill>
              <w14:schemeClr w14:val="tx1"/>
            </w14:solidFill>
          </w14:textFill>
        </w:rPr>
        <w:t>《会同县国民经济和社会发展第十五个五年规划纲要（2026年-2030年）（草案）》根据《中共会同县委关于制定国民经济和社会发展第十五个五年规划的建议》编制，主要阐述全县发展战略蓝图，明确经济社会发展宏伟目标、主要任务和重大举措，是政府履职的重要依据，是全县人民的共同愿景和行动指南，是制定相关规划和政策的重要遵循。</w:t>
      </w:r>
    </w:p>
    <w:p>
      <w:pPr>
        <w:adjustRightInd w:val="0"/>
        <w:snapToGrid w:val="0"/>
        <w:spacing w:line="680" w:lineRule="exact"/>
        <w:ind w:firstLine="640" w:firstLineChars="200"/>
        <w:rPr>
          <w:rFonts w:hint="eastAsia" w:ascii="楷体_GB2312" w:hAnsi="仿宋_GB2312" w:eastAsia="楷体_GB2312" w:cs="仿宋_GB2312"/>
          <w:color w:val="000000" w:themeColor="text1"/>
          <w:sz w:val="32"/>
          <w:szCs w:val="32"/>
          <w14:textFill>
            <w14:solidFill>
              <w14:schemeClr w14:val="tx1"/>
            </w14:solidFill>
          </w14:textFill>
        </w:rPr>
      </w:pPr>
    </w:p>
    <w:p>
      <w:pPr>
        <w:adjustRightInd w:val="0"/>
        <w:snapToGrid w:val="0"/>
        <w:spacing w:line="360" w:lineRule="auto"/>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p>
    <w:p>
      <w:pPr>
        <w:adjustRightInd w:val="0"/>
        <w:snapToGrid w:val="0"/>
        <w:spacing w:line="360" w:lineRule="auto"/>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p>
    <w:p>
      <w:pPr>
        <w:adjustRightInd w:val="0"/>
        <w:snapToGrid w:val="0"/>
        <w:spacing w:line="360" w:lineRule="auto"/>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p>
    <w:p>
      <w:pPr>
        <w:adjustRightInd w:val="0"/>
        <w:snapToGrid w:val="0"/>
        <w:spacing w:line="360" w:lineRule="auto"/>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p>
    <w:p>
      <w:pPr>
        <w:adjustRightInd w:val="0"/>
        <w:snapToGrid w:val="0"/>
        <w:spacing w:line="360" w:lineRule="auto"/>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p>
    <w:p>
      <w:pPr>
        <w:adjustRightInd w:val="0"/>
        <w:snapToGrid w:val="0"/>
        <w:spacing w:line="360" w:lineRule="auto"/>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p>
    <w:p>
      <w:pPr>
        <w:adjustRightInd w:val="0"/>
        <w:snapToGrid w:val="0"/>
        <w:spacing w:line="360" w:lineRule="auto"/>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p>
    <w:p>
      <w:pPr>
        <w:adjustRightInd w:val="0"/>
        <w:snapToGrid w:val="0"/>
        <w:spacing w:line="360" w:lineRule="auto"/>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p>
    <w:p>
      <w:pPr>
        <w:adjustRightInd w:val="0"/>
        <w:snapToGrid w:val="0"/>
        <w:spacing w:line="360" w:lineRule="auto"/>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p>
    <w:p>
      <w:pPr>
        <w:adjustRightInd w:val="0"/>
        <w:snapToGrid w:val="0"/>
        <w:spacing w:line="360" w:lineRule="auto"/>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p>
    <w:p>
      <w:pPr>
        <w:adjustRightInd w:val="0"/>
        <w:snapToGrid w:val="0"/>
        <w:spacing w:line="360" w:lineRule="auto"/>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p>
    <w:p>
      <w:pPr>
        <w:adjustRightInd w:val="0"/>
        <w:snapToGrid w:val="0"/>
        <w:spacing w:line="360" w:lineRule="auto"/>
        <w:rPr>
          <w:rFonts w:hint="eastAsia" w:ascii="仿宋_GB2312" w:hAnsi="仿宋_GB2312" w:eastAsia="仿宋_GB2312" w:cs="仿宋_GB2312"/>
          <w:color w:val="000000" w:themeColor="text1"/>
          <w:sz w:val="30"/>
          <w:szCs w:val="30"/>
          <w14:textFill>
            <w14:solidFill>
              <w14:schemeClr w14:val="tx1"/>
            </w14:solidFill>
          </w14:textFill>
        </w:rPr>
      </w:pPr>
    </w:p>
    <w:p>
      <w:pPr>
        <w:adjustRightInd w:val="0"/>
        <w:snapToGrid w:val="0"/>
        <w:spacing w:line="360" w:lineRule="auto"/>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p>
    <w:p>
      <w:pPr>
        <w:adjustRightInd w:val="0"/>
        <w:snapToGrid w:val="0"/>
        <w:spacing w:line="360" w:lineRule="auto"/>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sectPr>
          <w:footerReference r:id="rId5" w:type="default"/>
          <w:pgSz w:w="11906" w:h="16838"/>
          <w:pgMar w:top="2041" w:right="1531" w:bottom="1758" w:left="1531" w:header="851" w:footer="1021" w:gutter="0"/>
          <w:pgNumType w:fmt="numberInDash"/>
          <w:cols w:space="0" w:num="1"/>
          <w:docGrid w:type="lines" w:linePitch="312" w:charSpace="0"/>
        </w:sectPr>
      </w:pPr>
    </w:p>
    <w:bookmarkEnd w:id="0"/>
    <w:p>
      <w:pPr>
        <w:adjustRightInd w:val="0"/>
        <w:snapToGrid w:val="0"/>
        <w:spacing w:line="580" w:lineRule="exact"/>
        <w:jc w:val="center"/>
        <w:outlineLvl w:val="0"/>
        <w:rPr>
          <w:rFonts w:hint="eastAsia" w:ascii="华文中宋" w:hAnsi="华文中宋" w:eastAsia="华文中宋" w:cs="华文中宋"/>
          <w:color w:val="000000" w:themeColor="text1"/>
          <w:sz w:val="36"/>
          <w:szCs w:val="36"/>
          <w14:textFill>
            <w14:solidFill>
              <w14:schemeClr w14:val="tx1"/>
            </w14:solidFill>
          </w14:textFill>
        </w:rPr>
      </w:pPr>
      <w:bookmarkStart w:id="2" w:name="_Toc214552668"/>
      <w:bookmarkStart w:id="3" w:name="_Toc212042409"/>
      <w:bookmarkStart w:id="4" w:name="_Toc235000739"/>
      <w:bookmarkStart w:id="5" w:name="_Toc9600"/>
      <w:bookmarkStart w:id="6" w:name="_Toc212042416"/>
      <w:r>
        <w:rPr>
          <w:rFonts w:hint="eastAsia" w:ascii="方正小标宋简体" w:hAnsi="方正小标宋简体" w:eastAsia="方正小标宋简体" w:cs="方正小标宋简体"/>
          <w:color w:val="000000" w:themeColor="text1"/>
          <w:sz w:val="36"/>
          <w:szCs w:val="36"/>
          <w14:textFill>
            <w14:solidFill>
              <w14:schemeClr w14:val="tx1"/>
            </w14:solidFill>
          </w14:textFill>
        </w:rPr>
        <w:t>第一章 圆满完成“十四五”规划目标任务</w:t>
      </w:r>
      <w:bookmarkEnd w:id="2"/>
      <w:bookmarkEnd w:id="3"/>
      <w:bookmarkEnd w:id="4"/>
    </w:p>
    <w:p>
      <w:pPr>
        <w:adjustRightInd w:val="0"/>
        <w:snapToGrid w:val="0"/>
        <w:spacing w:line="580" w:lineRule="exact"/>
        <w:ind w:firstLine="600" w:firstLineChars="200"/>
        <w:rPr>
          <w:rFonts w:ascii="Times New Roman" w:hAnsi="Times New Roman" w:eastAsia="仿宋_GB2312" w:cs="Times New Roman"/>
          <w:color w:val="000000" w:themeColor="text1"/>
          <w:sz w:val="30"/>
          <w:szCs w:val="30"/>
          <w14:textFill>
            <w14:solidFill>
              <w14:schemeClr w14:val="tx1"/>
            </w14:solidFill>
          </w14:textFill>
        </w:rPr>
      </w:pPr>
    </w:p>
    <w:p>
      <w:pPr>
        <w:adjustRightInd w:val="0"/>
        <w:snapToGrid w:val="0"/>
        <w:spacing w:line="58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十四五”时期是我县爬坡过坎、奋勇争先的关键五年。面对世纪疫情冲击、复杂国际形势和繁重改革发展稳定任务，在市委、市政府坚强领导下，认真落实党中央、省和市决策部署，锚定“三高四新”美好蓝图，积极融入“五新四城”战略，深入实施“1354”工程，勇当发展探路者，奋力推动高质量发展取得了重大成就。</w:t>
      </w:r>
    </w:p>
    <w:p>
      <w:pPr>
        <w:pStyle w:val="24"/>
        <w:widowControl w:val="0"/>
        <w:adjustRightInd w:val="0"/>
        <w:snapToGrid w:val="0"/>
        <w:spacing w:line="580" w:lineRule="exact"/>
        <w:rPr>
          <w:rFonts w:hint="eastAsia"/>
          <w:color w:val="000000" w:themeColor="text1"/>
          <w14:textFill>
            <w14:solidFill>
              <w14:schemeClr w14:val="tx1"/>
            </w14:solidFill>
          </w14:textFill>
        </w:rPr>
      </w:pPr>
    </w:p>
    <w:p>
      <w:pPr>
        <w:adjustRightInd w:val="0"/>
        <w:snapToGrid w:val="0"/>
        <w:spacing w:line="580" w:lineRule="exact"/>
        <w:jc w:val="center"/>
        <w:outlineLvl w:val="1"/>
        <w:rPr>
          <w:rFonts w:hint="eastAsia" w:ascii="国标黑体" w:hAnsi="国标黑体" w:eastAsia="国标黑体" w:cs="国标黑体"/>
          <w:color w:val="000000" w:themeColor="text1"/>
          <w:sz w:val="32"/>
          <w:szCs w:val="32"/>
          <w14:textFill>
            <w14:solidFill>
              <w14:schemeClr w14:val="tx1"/>
            </w14:solidFill>
          </w14:textFill>
        </w:rPr>
      </w:pPr>
      <w:bookmarkStart w:id="7" w:name="_Toc214552669"/>
      <w:bookmarkStart w:id="8" w:name="_Toc235000740"/>
      <w:r>
        <w:rPr>
          <w:rFonts w:hint="eastAsia" w:ascii="国标黑体" w:hAnsi="国标黑体" w:eastAsia="国标黑体" w:cs="国标黑体"/>
          <w:color w:val="000000" w:themeColor="text1"/>
          <w:sz w:val="32"/>
          <w:szCs w:val="32"/>
          <w14:textFill>
            <w14:solidFill>
              <w14:schemeClr w14:val="tx1"/>
            </w14:solidFill>
          </w14:textFill>
        </w:rPr>
        <w:t>第一节 “十四五”时期发展成就</w:t>
      </w:r>
      <w:bookmarkEnd w:id="7"/>
      <w:bookmarkEnd w:id="8"/>
    </w:p>
    <w:p>
      <w:pPr>
        <w:adjustRightInd w:val="0"/>
        <w:snapToGrid w:val="0"/>
        <w:spacing w:line="58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p>
    <w:p>
      <w:pPr>
        <w:adjustRightInd w:val="0"/>
        <w:snapToGrid w:val="0"/>
        <w:spacing w:line="58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bookmarkStart w:id="9" w:name="_Hlk214552251"/>
      <w:r>
        <w:rPr>
          <w:rFonts w:hint="eastAsia" w:ascii="仿宋_GB2312" w:hAnsi="仿宋_GB2312" w:eastAsia="仿宋_GB2312" w:cs="仿宋_GB2312"/>
          <w:color w:val="000000" w:themeColor="text1"/>
          <w:sz w:val="32"/>
          <w:szCs w:val="32"/>
          <w14:textFill>
            <w14:solidFill>
              <w14:schemeClr w14:val="tx1"/>
            </w14:solidFill>
          </w14:textFill>
        </w:rPr>
        <w:t>“十四五”以来，我县积极应对经济下行压力，正确政绩观得到有力践行，全县经济呈现稳中向好、持续恢复的基本态势。全县地区生产总值从2020年的</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88.58</w:t>
      </w:r>
      <w:r>
        <w:rPr>
          <w:rFonts w:hint="eastAsia" w:ascii="仿宋_GB2312" w:hAnsi="仿宋_GB2312" w:eastAsia="仿宋_GB2312" w:cs="仿宋_GB2312"/>
          <w:color w:val="000000" w:themeColor="text1"/>
          <w:sz w:val="32"/>
          <w:szCs w:val="32"/>
          <w14:textFill>
            <w14:solidFill>
              <w14:schemeClr w14:val="tx1"/>
            </w14:solidFill>
          </w14:textFill>
        </w:rPr>
        <w:t>亿元增长到2025年的120.13亿元，年均增长5.6%，人均生产总值达到44573元。产业结构持续优化，三次产业比由17.3:17.9:64.8调整为16.6:26.3:57.1，规模以上工业增加值年均增长</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14</w:t>
      </w:r>
      <w:r>
        <w:rPr>
          <w:rFonts w:hint="eastAsia" w:ascii="仿宋_GB2312" w:hAnsi="仿宋_GB2312" w:eastAsia="仿宋_GB2312" w:cs="仿宋_GB2312"/>
          <w:color w:val="000000" w:themeColor="text1"/>
          <w:sz w:val="32"/>
          <w:szCs w:val="32"/>
          <w14:textFill>
            <w14:solidFill>
              <w14:schemeClr w14:val="tx1"/>
            </w14:solidFill>
          </w14:textFill>
        </w:rPr>
        <w:t>%，箱包、竹木、生猪等特色产业的规上企业产值占比从37%提升至70%。市场主体活力持续迸发，“四上”企业数量由</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85</w:t>
      </w:r>
      <w:r>
        <w:rPr>
          <w:rFonts w:hint="eastAsia" w:ascii="仿宋_GB2312" w:hAnsi="仿宋_GB2312" w:eastAsia="仿宋_GB2312" w:cs="仿宋_GB2312"/>
          <w:color w:val="000000" w:themeColor="text1"/>
          <w:sz w:val="32"/>
          <w:szCs w:val="32"/>
          <w14:textFill>
            <w14:solidFill>
              <w14:schemeClr w14:val="tx1"/>
            </w14:solidFill>
          </w14:textFill>
        </w:rPr>
        <w:t>家增至</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183</w:t>
      </w:r>
      <w:r>
        <w:rPr>
          <w:rFonts w:hint="eastAsia" w:ascii="仿宋_GB2312" w:hAnsi="仿宋_GB2312" w:eastAsia="仿宋_GB2312" w:cs="仿宋_GB2312"/>
          <w:color w:val="000000" w:themeColor="text1"/>
          <w:sz w:val="32"/>
          <w:szCs w:val="32"/>
          <w14:textFill>
            <w14:solidFill>
              <w14:schemeClr w14:val="tx1"/>
            </w14:solidFill>
          </w14:textFill>
        </w:rPr>
        <w:t>家，排名从全市末位升至第七。</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产业发展构建新格局。</w:t>
      </w:r>
      <w:r>
        <w:rPr>
          <w:rFonts w:hint="eastAsia" w:ascii="仿宋_GB2312" w:hAnsi="仿宋_GB2312" w:eastAsia="仿宋_GB2312" w:cs="仿宋_GB2312"/>
          <w:color w:val="000000" w:themeColor="text1"/>
          <w:sz w:val="32"/>
          <w:szCs w:val="32"/>
          <w14:textFill>
            <w14:solidFill>
              <w14:schemeClr w14:val="tx1"/>
            </w14:solidFill>
          </w14:textFill>
        </w:rPr>
        <w:t>着力建设“5+N”现代化产业体系，逐渐形成以先进制造业、绿色农林产品及其加工产业、医药大健康产业、新能源产业、生态文化旅游业等为主导的现代化特色产业体系，产业结构不断优化。</w:t>
      </w:r>
      <w:r>
        <w:rPr>
          <w:rFonts w:hint="eastAsia" w:ascii="楷体_GB2312" w:hAnsi="楷体_GB2312" w:eastAsia="楷体_GB2312" w:cs="楷体_GB2312"/>
          <w:b/>
          <w:bCs/>
          <w:color w:val="000000" w:themeColor="text1"/>
          <w:sz w:val="32"/>
          <w:szCs w:val="32"/>
          <w14:textFill>
            <w14:solidFill>
              <w14:schemeClr w14:val="tx1"/>
            </w14:solidFill>
          </w14:textFill>
        </w:rPr>
        <w:t>箱包产业全产业链从无到有、聚链集群。</w:t>
      </w:r>
      <w:r>
        <w:rPr>
          <w:rFonts w:hint="eastAsia" w:ascii="仿宋_GB2312" w:hAnsi="仿宋_GB2312" w:eastAsia="仿宋_GB2312" w:cs="仿宋_GB2312"/>
          <w:color w:val="000000" w:themeColor="text1"/>
          <w:sz w:val="32"/>
          <w:szCs w:val="32"/>
          <w14:textFill>
            <w14:solidFill>
              <w14:schemeClr w14:val="tx1"/>
            </w14:solidFill>
          </w14:textFill>
        </w:rPr>
        <w:t>湖南享同实业等企业龙头效应显现，2025年，完成技工贸收入25亿元，零部件本地配套率超89%，基本形成覆盖制造、配件、物流的全产业链体系。</w:t>
      </w:r>
      <w:r>
        <w:rPr>
          <w:rFonts w:hint="eastAsia" w:ascii="楷体_GB2312" w:hAnsi="楷体_GB2312" w:eastAsia="楷体_GB2312" w:cs="楷体_GB2312"/>
          <w:b/>
          <w:bCs/>
          <w:color w:val="000000" w:themeColor="text1"/>
          <w:sz w:val="32"/>
          <w:szCs w:val="32"/>
          <w14:textFill>
            <w14:solidFill>
              <w14:schemeClr w14:val="tx1"/>
            </w14:solidFill>
          </w14:textFill>
        </w:rPr>
        <w:t>竹木加工产业以竹代塑、转型升级。</w:t>
      </w:r>
      <w:r>
        <w:rPr>
          <w:rFonts w:hint="eastAsia" w:ascii="仿宋_GB2312" w:hAnsi="仿宋_GB2312" w:eastAsia="仿宋_GB2312" w:cs="仿宋_GB2312"/>
          <w:color w:val="000000" w:themeColor="text1"/>
          <w:sz w:val="32"/>
          <w:szCs w:val="32"/>
          <w14:textFill>
            <w14:solidFill>
              <w14:schemeClr w14:val="tx1"/>
            </w14:solidFill>
          </w14:textFill>
        </w:rPr>
        <w:t>引进浙江大庄、江西竹帝等企业，2025年竹产业综合产值达到22亿元，连山竹产业园纳入湖南省竹产业高质量发展示范园区、顺利通过竹林FSC、CFCC认证。</w:t>
      </w:r>
      <w:r>
        <w:rPr>
          <w:rFonts w:hint="eastAsia" w:ascii="楷体_GB2312" w:hAnsi="楷体_GB2312" w:eastAsia="楷体_GB2312" w:cs="楷体_GB2312"/>
          <w:b/>
          <w:bCs/>
          <w:color w:val="000000" w:themeColor="text1"/>
          <w:sz w:val="32"/>
          <w:szCs w:val="32"/>
          <w14:textFill>
            <w14:solidFill>
              <w14:schemeClr w14:val="tx1"/>
            </w14:solidFill>
          </w14:textFill>
        </w:rPr>
        <w:t>生猪产业链聚焦种质、链式推进。</w:t>
      </w:r>
      <w:r>
        <w:rPr>
          <w:rFonts w:hint="eastAsia" w:ascii="仿宋_GB2312" w:hAnsi="仿宋_GB2312" w:eastAsia="仿宋_GB2312" w:cs="仿宋_GB2312"/>
          <w:color w:val="000000" w:themeColor="text1"/>
          <w:sz w:val="32"/>
          <w:szCs w:val="32"/>
          <w14:textFill>
            <w14:solidFill>
              <w14:schemeClr w14:val="tx1"/>
            </w14:solidFill>
          </w14:textFill>
        </w:rPr>
        <w:t>湖南省农业发展投资集团带动下，加快推进种业、植全素有机肥、屠宰加工等项目建设，至2025年，生猪产业链国家级种公猪站和多个育肥猪场投产，植全素有机肥厂和生猪定点屠宰场等项目投入运营，综合产值达15.7亿元。</w:t>
      </w:r>
      <w:r>
        <w:rPr>
          <w:rFonts w:hint="eastAsia" w:ascii="楷体_GB2312" w:hAnsi="楷体_GB2312" w:eastAsia="楷体_GB2312" w:cs="楷体_GB2312"/>
          <w:b/>
          <w:bCs/>
          <w:color w:val="000000" w:themeColor="text1"/>
          <w:sz w:val="32"/>
          <w:szCs w:val="32"/>
          <w14:textFill>
            <w14:solidFill>
              <w14:schemeClr w14:val="tx1"/>
            </w14:solidFill>
          </w14:textFill>
        </w:rPr>
        <w:t>中药材产业资源赋能、不断壮大。</w:t>
      </w:r>
      <w:r>
        <w:rPr>
          <w:rFonts w:hint="eastAsia" w:ascii="仿宋_GB2312" w:hAnsi="仿宋_GB2312" w:eastAsia="仿宋_GB2312" w:cs="仿宋_GB2312"/>
          <w:color w:val="000000" w:themeColor="text1"/>
          <w:sz w:val="32"/>
          <w:szCs w:val="32"/>
          <w14:textFill>
            <w14:solidFill>
              <w14:schemeClr w14:val="tx1"/>
            </w14:solidFill>
          </w14:textFill>
        </w:rPr>
        <w:t>加快建设神农大健康产业园，稳步推进“中国淫羊藿之乡”等示范创建，淫羊藿、黄精、野菊花等中药材种植面积（含野生抚育）从2021年的10万亩增长至2025年的18.7万亩，综合产值15亿元，2025年获批全省林下经济重点县。</w:t>
      </w:r>
      <w:r>
        <w:rPr>
          <w:rFonts w:hint="eastAsia" w:ascii="楷体_GB2312" w:hAnsi="楷体_GB2312" w:eastAsia="楷体_GB2312" w:cs="楷体_GB2312"/>
          <w:b/>
          <w:bCs/>
          <w:color w:val="000000" w:themeColor="text1"/>
          <w:sz w:val="32"/>
          <w:szCs w:val="32"/>
          <w14:textFill>
            <w14:solidFill>
              <w14:schemeClr w14:val="tx1"/>
            </w14:solidFill>
          </w14:textFill>
        </w:rPr>
        <w:t>新能源产业场景赋能、蓬勃发展。</w:t>
      </w:r>
      <w:r>
        <w:rPr>
          <w:rFonts w:hint="eastAsia" w:ascii="仿宋_GB2312" w:hAnsi="仿宋_GB2312" w:eastAsia="仿宋_GB2312" w:cs="仿宋_GB2312"/>
          <w:color w:val="000000" w:themeColor="text1"/>
          <w:sz w:val="32"/>
          <w:szCs w:val="32"/>
          <w14:textFill>
            <w14:solidFill>
              <w14:schemeClr w14:val="tx1"/>
            </w14:solidFill>
          </w14:textFill>
        </w:rPr>
        <w:t>统筹推进能源结构转型、新能源开发、基础设施完善与民生能源保障。推动农电提质改造，农村供电可靠率达99.92%，综合电压合格率99.95%。</w:t>
      </w:r>
      <w:r>
        <w:rPr>
          <w:rFonts w:hint="eastAsia" w:ascii="楷体_GB2312" w:hAnsi="楷体_GB2312" w:eastAsia="楷体_GB2312" w:cs="楷体_GB2312"/>
          <w:b/>
          <w:bCs/>
          <w:color w:val="000000" w:themeColor="text1"/>
          <w:sz w:val="32"/>
          <w:szCs w:val="32"/>
          <w14:textFill>
            <w14:solidFill>
              <w14:schemeClr w14:val="tx1"/>
            </w14:solidFill>
          </w14:textFill>
        </w:rPr>
        <w:t>电子信息产业链增长迅速、重点聚焦，</w:t>
      </w:r>
      <w:r>
        <w:rPr>
          <w:rFonts w:hint="eastAsia" w:ascii="仿宋_GB2312" w:hAnsi="仿宋_GB2312" w:eastAsia="仿宋_GB2312" w:cs="仿宋_GB2312"/>
          <w:color w:val="000000" w:themeColor="text1"/>
          <w:sz w:val="32"/>
          <w:szCs w:val="32"/>
          <w14:textFill>
            <w14:solidFill>
              <w14:schemeClr w14:val="tx1"/>
            </w14:solidFill>
          </w14:textFill>
        </w:rPr>
        <w:t>紧盯‌微型电机等高附加值细分领域，2025年规工产值达3.86亿元。</w:t>
      </w:r>
      <w:r>
        <w:rPr>
          <w:rFonts w:hint="eastAsia" w:ascii="楷体_GB2312" w:hAnsi="楷体_GB2312" w:eastAsia="楷体_GB2312" w:cs="楷体_GB2312"/>
          <w:b/>
          <w:bCs/>
          <w:color w:val="000000" w:themeColor="text1"/>
          <w:sz w:val="32"/>
          <w:szCs w:val="32"/>
          <w14:textFill>
            <w14:solidFill>
              <w14:schemeClr w14:val="tx1"/>
            </w14:solidFill>
          </w14:textFill>
        </w:rPr>
        <w:t>文旅品牌提质升级，融合发展。</w:t>
      </w:r>
      <w:r>
        <w:rPr>
          <w:rFonts w:hint="eastAsia" w:ascii="仿宋_GB2312" w:hAnsi="仿宋_GB2312" w:eastAsia="仿宋_GB2312" w:cs="仿宋_GB2312"/>
          <w:color w:val="000000" w:themeColor="text1"/>
          <w:sz w:val="32"/>
          <w:szCs w:val="32"/>
          <w14:textFill>
            <w14:solidFill>
              <w14:schemeClr w14:val="tx1"/>
            </w14:solidFill>
          </w14:textFill>
        </w:rPr>
        <w:t>粟裕故里景区和高椅古村成功创建国家4A级旅游景区，连山炎帝故里成功创建3A级旅游景区，堡子万亩油菜花节持续打造“稻田公园”农旅综合体，实现多个“零”的突破；至2025年，全年接待国内游客人数277.82万人次，年均增长14.17%；接待国内游客总花费25.95亿元，年均增长16.60％。凭借在农产品加工转化主导型县域发展中的优秀表现，获评2024年度湖南省“县域经济突出贡献县”。</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城乡发展焕发新气象。</w:t>
      </w:r>
      <w:r>
        <w:rPr>
          <w:rFonts w:hint="eastAsia" w:ascii="仿宋_GB2312" w:hAnsi="仿宋_GB2312" w:eastAsia="仿宋_GB2312" w:cs="仿宋_GB2312"/>
          <w:color w:val="000000" w:themeColor="text1"/>
          <w:sz w:val="32"/>
          <w:szCs w:val="32"/>
          <w14:textFill>
            <w14:solidFill>
              <w14:schemeClr w14:val="tx1"/>
            </w14:solidFill>
          </w14:textFill>
        </w:rPr>
        <w:t>城市功能不断完善，改造老旧小区176个，建成专业市场3个，完成城东农贸市场改造，启动地下供排水管网改造，新增停车位</w:t>
      </w:r>
      <w:r>
        <w:rPr>
          <w:rFonts w:hint="eastAsia" w:ascii="仿宋_GB2312" w:hAnsi="仿宋_GB2312" w:eastAsia="仿宋_GB2312" w:cs="仿宋_GB2312"/>
          <w:color w:val="000000" w:themeColor="text1"/>
          <w:sz w:val="32"/>
          <w:szCs w:val="32"/>
          <w:lang w:val="en"/>
          <w14:textFill>
            <w14:solidFill>
              <w14:schemeClr w14:val="tx1"/>
            </w14:solidFill>
          </w14:textFill>
        </w:rPr>
        <w:t>6000余</w:t>
      </w:r>
      <w:r>
        <w:rPr>
          <w:rFonts w:hint="eastAsia" w:ascii="仿宋_GB2312" w:hAnsi="仿宋_GB2312" w:eastAsia="仿宋_GB2312" w:cs="仿宋_GB2312"/>
          <w:color w:val="000000" w:themeColor="text1"/>
          <w:sz w:val="32"/>
          <w:szCs w:val="32"/>
          <w14:textFill>
            <w14:solidFill>
              <w14:schemeClr w14:val="tx1"/>
            </w14:solidFill>
          </w14:textFill>
        </w:rPr>
        <w:t>个，成功入列全国文明城市提名城市。交通物流体系不断优化，洞天高速（会同段）开工建设，农村公路新建及改造317公里。全县建制村通畅率、快递服务覆盖率均实现100%，基本构建覆盖县域“1.5小时交通圈”，获评“四好农村路”全国示范县、城乡客运一体化全省示范县、农村客货邮融合发展全省改革县。农村基础设施大幅改善，建成高标准农田12万亩；城乡供水一体化稳步推进，完成40座病险水库除险加固，实施175处农村小水源恢复工程，新增蓄水能力126万方；“智慧会同”建设加快推进，实现5G信号全覆盖，获评湖南省数字乡村试点县。持续巩固拓展脱贫攻坚成果同乡村振兴有效衔接，县域治理现代化加快推进，获评湖南省推进乡村振兴战略先进县。茶叶、油茶、魔芋、苦瓜茶等特色产业稳步发展，宝田茶业、新有爱农业等一批本土农业企业较快成长，获评“全国魔芋产业重点县”“国家首批生态低碳茶整建制推进试点县”“2024湖南茶叶新质生产力十强先行县”等荣誉。</w:t>
      </w:r>
    </w:p>
    <w:p>
      <w:pPr>
        <w:adjustRightInd w:val="0"/>
        <w:snapToGrid w:val="0"/>
        <w:spacing w:line="580" w:lineRule="exact"/>
        <w:ind w:firstLine="643"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改革创新闯出新路子。</w:t>
      </w:r>
      <w:r>
        <w:rPr>
          <w:rFonts w:hint="eastAsia" w:ascii="仿宋_GB2312" w:hAnsi="仿宋_GB2312" w:eastAsia="仿宋_GB2312" w:cs="仿宋_GB2312"/>
          <w:color w:val="000000" w:themeColor="text1"/>
          <w:sz w:val="32"/>
          <w:szCs w:val="32"/>
          <w14:textFill>
            <w14:solidFill>
              <w14:schemeClr w14:val="tx1"/>
            </w14:solidFill>
          </w14:textFill>
        </w:rPr>
        <w:t>举全县之力建设怀化国际陆港·会同分港，积极发展箱包、家具、竹制品等临港产业，打造怀化南片区重要港口物流节点。“五村联创”、林权、乡村车间建设等改革获国家、省、市认可推广。国家级、省级科研平台分别新增1个、6个，成立博士工作站1个，搭建校企合作研究中心4个，持续推动箱包、生猪种业、竹材料、茶叶等产业研发创新。培育国家高新技术企业38家、国家级专精特新“小巨人”企业1家。打造推广“身在会同 办事畅通”营商环境品牌，市场主体满意度逐年递升。</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生态底色彰显新魅力。</w:t>
      </w:r>
      <w:r>
        <w:rPr>
          <w:rFonts w:hint="eastAsia" w:ascii="仿宋_GB2312" w:hAnsi="仿宋_GB2312" w:eastAsia="仿宋_GB2312" w:cs="仿宋_GB2312"/>
          <w:color w:val="000000" w:themeColor="text1"/>
          <w:sz w:val="32"/>
          <w:szCs w:val="32"/>
          <w14:textFill>
            <w14:solidFill>
              <w14:schemeClr w14:val="tx1"/>
            </w14:solidFill>
          </w14:textFill>
        </w:rPr>
        <w:t>生态底色越擦越亮，森林覆盖率达73.88%，获评“中国天然氧吧”“中国杉木之乡”，入选国家级生态文明建设示范区，鹰嘴界自然保护区获评全国国家级自然保护区生态环境保护成效评估优秀等次。持续推进蓝天、碧水、净土三大保卫战，创新生态环境“底单制”和“底单交接制”，水、大气等环境质量位居全市前列，土壤环境稳定可控。生态产品价值实现机制不断完善，深入推进林权抵押贷款“会同模式”，获批湖南首张“湘林碳票”。</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宣传思想文化开创新局面。</w:t>
      </w:r>
      <w:r>
        <w:rPr>
          <w:rFonts w:hint="eastAsia" w:ascii="仿宋_GB2312" w:hAnsi="仿宋_GB2312" w:eastAsia="仿宋_GB2312" w:cs="仿宋_GB2312"/>
          <w:color w:val="000000" w:themeColor="text1"/>
          <w:sz w:val="32"/>
          <w:szCs w:val="32"/>
          <w14:textFill>
            <w14:solidFill>
              <w14:schemeClr w14:val="tx1"/>
            </w14:solidFill>
          </w14:textFill>
        </w:rPr>
        <w:t>持续巩固文化阵地，乡镇综合文化站、村（社区）综合性文化服务中心和新时代文明实践中心、所、站实现全覆盖，县文化馆获评国家一级馆、“最美潇湘文化阵地”。文化品牌熠熠生辉，“田野诗班”荣登2025年央视春晚，诗集《田野诗班》入选中宣部主题出版重点出版物，李柏霖老师获评“中国好人”“全国模范教师”“全国先进工作者”。文化保护传承成效显著，粟裕故居获评“全国爱国主义教育示范基地”。非遗民俗文化焕发新生机，支持木雕、傩戏等非遗传承与活化，成功推动“手工柴火月饼”制作技艺等非遗产品连续五年登上央视。</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民生福祉达到新水平。</w:t>
      </w:r>
      <w:r>
        <w:rPr>
          <w:rFonts w:hint="eastAsia" w:ascii="仿宋_GB2312" w:hAnsi="仿宋_GB2312" w:eastAsia="仿宋_GB2312" w:cs="仿宋_GB2312"/>
          <w:color w:val="000000" w:themeColor="text1"/>
          <w:sz w:val="32"/>
          <w:szCs w:val="32"/>
          <w14:textFill>
            <w14:solidFill>
              <w14:schemeClr w14:val="tx1"/>
            </w14:solidFill>
          </w14:textFill>
        </w:rPr>
        <w:t>“五个家门口”工程深入推进，居民人均可支配收入累计增长42.77%。高考本科上线率从53.51%提升至64.6%，家校共育模式获《中国教育报》宣传推介；县人民医院创成三级综合医院，成为省级边界内区域医疗中心；扶持创业主体202家，发放创业担保贷款超</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1.42</w:t>
      </w:r>
      <w:r>
        <w:rPr>
          <w:rFonts w:hint="eastAsia" w:ascii="仿宋_GB2312" w:hAnsi="仿宋_GB2312" w:eastAsia="仿宋_GB2312" w:cs="仿宋_GB2312"/>
          <w:color w:val="000000" w:themeColor="text1"/>
          <w:sz w:val="32"/>
          <w:szCs w:val="32"/>
          <w14:textFill>
            <w14:solidFill>
              <w14:schemeClr w14:val="tx1"/>
            </w14:solidFill>
          </w14:textFill>
        </w:rPr>
        <w:t>亿元；创新开展“链上就业”模式，零就业家庭动态清零，为园区企业输送劳动力1.5万余人次；社会保障体系不断完善，持续巩固“无欠薪县城”创建成果，城乡居民医保、养老保险参保率保持高位运行，基础养老金提高到每月201.23元，居民人均预期寿命稳步提升至78.5岁。安全生产形势持续稳定，社会大局安定和谐。获评湖南省农村创业典型、湖南省民族团结进步示范县，连续七次荣获“全国双拥模范县”、八次获评“全省双拥模范县”等荣誉。</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全面从严治党取得新成效。</w:t>
      </w:r>
      <w:r>
        <w:rPr>
          <w:rFonts w:hint="eastAsia" w:ascii="仿宋_GB2312" w:hAnsi="仿宋_GB2312" w:eastAsia="仿宋_GB2312" w:cs="仿宋_GB2312"/>
          <w:color w:val="000000" w:themeColor="text1"/>
          <w:sz w:val="32"/>
          <w:szCs w:val="32"/>
          <w14:textFill>
            <w14:solidFill>
              <w14:schemeClr w14:val="tx1"/>
            </w14:solidFill>
          </w14:textFill>
        </w:rPr>
        <w:t>反腐败斗争纵深推进，清廉会同、法治会同、平安会同建设成绩斐然，获评全省平安建设先进县、全省信访工作示范县、全省扶贫领域腐败和作风问题专项治理工作先进县等荣誉，基层党组织凝聚力、创造力、战斗力显著提高。</w:t>
      </w:r>
    </w:p>
    <w:p>
      <w:pPr>
        <w:adjustRightInd w:val="0"/>
        <w:snapToGrid w:val="0"/>
        <w:spacing w:line="58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国防动员、统计、机关事务、民族宗教、妇女儿童、共青团、红十字会、气象、水文、移民等各项事业取得新进步。</w:t>
      </w:r>
    </w:p>
    <w:p>
      <w:pPr>
        <w:adjustRightInd w:val="0"/>
        <w:snapToGrid w:val="0"/>
        <w:spacing w:line="580" w:lineRule="exact"/>
        <w:ind w:firstLine="640" w:firstLineChars="200"/>
        <w:jc w:val="left"/>
        <w:rPr>
          <w:rFonts w:hint="eastAsia" w:ascii="黑体" w:hAnsi="黑体" w:eastAsia="黑体" w:cs="黑体"/>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这些成就的取得，根本在于以习近平同志为核心的党中央领航掌舵，在于习近平新时代中国特色社会主义思想科学指引，在于省委、市委的坚强领导。</w:t>
      </w:r>
      <w:bookmarkEnd w:id="9"/>
      <w:bookmarkStart w:id="10" w:name="_Toc214552670"/>
      <w:bookmarkStart w:id="11" w:name="_Toc11241"/>
    </w:p>
    <w:p>
      <w:pPr>
        <w:pStyle w:val="2"/>
        <w:spacing w:after="0" w:line="580" w:lineRule="exact"/>
        <w:rPr>
          <w:color w:val="000000" w:themeColor="text1"/>
          <w14:textFill>
            <w14:solidFill>
              <w14:schemeClr w14:val="tx1"/>
            </w14:solidFill>
          </w14:textFill>
        </w:rPr>
      </w:pPr>
    </w:p>
    <w:p>
      <w:pPr>
        <w:adjustRightInd w:val="0"/>
        <w:snapToGrid w:val="0"/>
        <w:spacing w:line="580" w:lineRule="exact"/>
        <w:jc w:val="center"/>
        <w:outlineLvl w:val="1"/>
        <w:rPr>
          <w:rFonts w:hint="eastAsia" w:ascii="国标黑体" w:hAnsi="国标黑体" w:eastAsia="国标黑体" w:cs="国标黑体"/>
          <w:color w:val="000000" w:themeColor="text1"/>
          <w:sz w:val="32"/>
          <w:szCs w:val="32"/>
          <w14:textFill>
            <w14:solidFill>
              <w14:schemeClr w14:val="tx1"/>
            </w14:solidFill>
          </w14:textFill>
        </w:rPr>
      </w:pPr>
      <w:bookmarkStart w:id="12" w:name="_Toc235000741"/>
      <w:r>
        <w:rPr>
          <w:rFonts w:hint="eastAsia" w:ascii="国标黑体" w:hAnsi="国标黑体" w:eastAsia="国标黑体" w:cs="国标黑体"/>
          <w:color w:val="000000" w:themeColor="text1"/>
          <w:sz w:val="32"/>
          <w:szCs w:val="32"/>
          <w14:textFill>
            <w14:solidFill>
              <w14:schemeClr w14:val="tx1"/>
            </w14:solidFill>
          </w14:textFill>
        </w:rPr>
        <w:t>第二节 “十四五”时期发展经验</w:t>
      </w:r>
      <w:bookmarkEnd w:id="10"/>
      <w:bookmarkEnd w:id="12"/>
    </w:p>
    <w:p>
      <w:pPr>
        <w:pStyle w:val="2"/>
        <w:spacing w:after="0" w:line="580" w:lineRule="exact"/>
        <w:rPr>
          <w:color w:val="000000" w:themeColor="text1"/>
          <w14:textFill>
            <w14:solidFill>
              <w14:schemeClr w14:val="tx1"/>
            </w14:solidFill>
          </w14:textFill>
        </w:rPr>
      </w:pPr>
    </w:p>
    <w:p>
      <w:pPr>
        <w:adjustRightInd w:val="0"/>
        <w:snapToGrid w:val="0"/>
        <w:spacing w:line="58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回顾近五年会同县经济社会发展实践，关键经验在于做到了“四个坚持”。</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——坚持政治引领，把准战略发展方向。</w:t>
      </w:r>
      <w:r>
        <w:rPr>
          <w:rFonts w:hint="eastAsia" w:ascii="仿宋_GB2312" w:hAnsi="仿宋_GB2312" w:eastAsia="仿宋_GB2312" w:cs="仿宋_GB2312"/>
          <w:color w:val="000000" w:themeColor="text1"/>
          <w:sz w:val="32"/>
          <w:szCs w:val="32"/>
          <w14:textFill>
            <w14:solidFill>
              <w14:schemeClr w14:val="tx1"/>
            </w14:solidFill>
          </w14:textFill>
        </w:rPr>
        <w:t>会同县坚持把习近平新时代中国特色社会主义思想作为根本遵循，全面落实省委“三高四新”战略和市委“五新四城”部署，确保各项工作沿着正确方向推进。通过强化党的领导，将顶层设计与本地实际紧密结合，围绕“1354”工程目标统筹产业发展、生态建设等重点任务，在经济下行压力下仍基本实现“十四五”规划发展目标，体现了政策执行的一致性与战略韧性。</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——坚持特色发展，构建现代产业体系。</w:t>
      </w:r>
      <w:r>
        <w:rPr>
          <w:rFonts w:hint="eastAsia" w:ascii="仿宋_GB2312" w:hAnsi="仿宋_GB2312" w:eastAsia="仿宋_GB2312" w:cs="仿宋_GB2312"/>
          <w:color w:val="000000" w:themeColor="text1"/>
          <w:sz w:val="32"/>
          <w:szCs w:val="32"/>
          <w14:textFill>
            <w14:solidFill>
              <w14:schemeClr w14:val="tx1"/>
            </w14:solidFill>
          </w14:textFill>
        </w:rPr>
        <w:t>立足本地资源禀赋，会同县聚焦“土特产”文章，持之以恒构建现代化产业体系。通过培育箱包、竹木等特色产业集群，推动产业链纵向延伸与横向融合，箱包产业全链条综合产值迎来爆发式增长，竹木加工产值实现突破。“一业一策”的精细化培育模式实现了产业从分散布局到集群发展的跃升，为县域经济注入持久动力。</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——坚持民生为本，强化发展成果共享。</w:t>
      </w:r>
      <w:r>
        <w:rPr>
          <w:rFonts w:hint="eastAsia" w:ascii="仿宋_GB2312" w:hAnsi="仿宋_GB2312" w:eastAsia="仿宋_GB2312" w:cs="仿宋_GB2312"/>
          <w:color w:val="000000" w:themeColor="text1"/>
          <w:sz w:val="32"/>
          <w:szCs w:val="32"/>
          <w14:textFill>
            <w14:solidFill>
              <w14:schemeClr w14:val="tx1"/>
            </w14:solidFill>
          </w14:textFill>
        </w:rPr>
        <w:t>会同县始终将民生福祉作为发展的出发点和落脚点，使改革发展成果更多更公平惠及全体人民。持续加大民生投入，通过新建校舍、培养师资等措施提升教育质量；着力改善城乡人居环境，着力实施老旧小区改造、农村供水提质等工程；创新“乡村智理”平台并壮大村集体经济，推动解决了群众在教育、医疗、养老、出行等领域的一批“急难愁盼”问题，人民群众的获得感、幸福感、安全感持续增强。</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——坚持系统协同，提升基层治理效能。</w:t>
      </w:r>
      <w:r>
        <w:rPr>
          <w:rFonts w:hint="eastAsia" w:ascii="仿宋_GB2312" w:hAnsi="仿宋_GB2312" w:eastAsia="仿宋_GB2312" w:cs="仿宋_GB2312"/>
          <w:color w:val="000000" w:themeColor="text1"/>
          <w:sz w:val="32"/>
          <w:szCs w:val="32"/>
          <w14:textFill>
            <w14:solidFill>
              <w14:schemeClr w14:val="tx1"/>
            </w14:solidFill>
          </w14:textFill>
        </w:rPr>
        <w:t>强化全局思维，打破行政区划与领域壁垒，推动城乡要素高效流动。一方面，创新推行“五村联创”模式，以堡子镇为核心，通过组织联建、产业联培、人才联育、生态联治、文化联融的“五联五共”机制，实现资源共享、优势互补。另一方面，以“智慧会同”建设为抓手，推动数字化治理覆盖城乡，提升公共服务均衡性。</w:t>
      </w:r>
      <w:r>
        <w:rPr>
          <w:rFonts w:hint="eastAsia" w:ascii="仿宋_GB2312" w:hAnsi="仿宋_GB2312" w:eastAsia="仿宋_GB2312" w:cs="仿宋_GB2312"/>
          <w:color w:val="000000" w:themeColor="text1"/>
          <w:sz w:val="32"/>
          <w:szCs w:val="32"/>
          <w14:textFill>
            <w14:solidFill>
              <w14:schemeClr w14:val="tx1"/>
            </w14:solidFill>
          </w14:textFill>
        </w:rPr>
        <w:br w:type="page"/>
      </w:r>
    </w:p>
    <w:p>
      <w:pPr>
        <w:adjustRightInd w:val="0"/>
        <w:snapToGrid w:val="0"/>
        <w:spacing w:line="600" w:lineRule="exact"/>
        <w:jc w:val="center"/>
        <w:rPr>
          <w:rFonts w:hint="eastAsia" w:ascii="楷体_GB2312" w:hAnsi="楷体_GB2312" w:eastAsia="楷体_GB2312" w:cs="楷体_GB2312"/>
          <w:b/>
          <w:bCs/>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表1 会同县“十四五”规划主要指标完成情况</w:t>
      </w:r>
    </w:p>
    <w:tbl>
      <w:tblPr>
        <w:tblStyle w:val="33"/>
        <w:tblW w:w="101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2"/>
        <w:gridCol w:w="558"/>
        <w:gridCol w:w="2585"/>
        <w:gridCol w:w="1195"/>
        <w:gridCol w:w="1275"/>
        <w:gridCol w:w="1287"/>
        <w:gridCol w:w="29"/>
        <w:gridCol w:w="1255"/>
        <w:gridCol w:w="12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652" w:type="dxa"/>
            <w:vMerge w:val="restart"/>
            <w:noWrap/>
            <w:vAlign w:val="center"/>
          </w:tcPr>
          <w:p>
            <w:pPr>
              <w:adjustRightInd w:val="0"/>
              <w:snapToGrid w:val="0"/>
              <w:jc w:val="center"/>
              <w:rPr>
                <w:rFonts w:hint="eastAsia" w:ascii="黑体" w:hAnsi="黑体" w:eastAsia="黑体" w:cs="黑体"/>
                <w:color w:val="000000" w:themeColor="text1"/>
                <w:kern w:val="0"/>
                <w:sz w:val="24"/>
                <w:szCs w:val="24"/>
                <w14:textFill>
                  <w14:solidFill>
                    <w14:schemeClr w14:val="tx1"/>
                  </w14:solidFill>
                </w14:textFill>
              </w:rPr>
            </w:pPr>
            <w:r>
              <w:rPr>
                <w:rFonts w:hint="eastAsia" w:ascii="黑体" w:hAnsi="黑体" w:eastAsia="黑体" w:cs="黑体"/>
                <w:color w:val="000000" w:themeColor="text1"/>
                <w:kern w:val="0"/>
                <w:sz w:val="24"/>
                <w:szCs w:val="24"/>
                <w14:textFill>
                  <w14:solidFill>
                    <w14:schemeClr w14:val="tx1"/>
                  </w14:solidFill>
                </w14:textFill>
              </w:rPr>
              <w:t>类别</w:t>
            </w:r>
          </w:p>
        </w:tc>
        <w:tc>
          <w:tcPr>
            <w:tcW w:w="558" w:type="dxa"/>
            <w:vMerge w:val="restart"/>
            <w:noWrap/>
            <w:vAlign w:val="center"/>
          </w:tcPr>
          <w:p>
            <w:pPr>
              <w:adjustRightInd w:val="0"/>
              <w:snapToGrid w:val="0"/>
              <w:jc w:val="center"/>
              <w:rPr>
                <w:rFonts w:hint="eastAsia" w:ascii="黑体" w:hAnsi="黑体" w:eastAsia="黑体" w:cs="黑体"/>
                <w:color w:val="000000" w:themeColor="text1"/>
                <w:kern w:val="0"/>
                <w:sz w:val="24"/>
                <w:szCs w:val="24"/>
                <w14:textFill>
                  <w14:solidFill>
                    <w14:schemeClr w14:val="tx1"/>
                  </w14:solidFill>
                </w14:textFill>
              </w:rPr>
            </w:pPr>
            <w:r>
              <w:rPr>
                <w:rFonts w:hint="eastAsia" w:ascii="黑体" w:hAnsi="黑体" w:eastAsia="黑体" w:cs="黑体"/>
                <w:color w:val="000000" w:themeColor="text1"/>
                <w:kern w:val="0"/>
                <w:sz w:val="24"/>
                <w:szCs w:val="24"/>
                <w14:textFill>
                  <w14:solidFill>
                    <w14:schemeClr w14:val="tx1"/>
                  </w14:solidFill>
                </w14:textFill>
              </w:rPr>
              <w:t>序号</w:t>
            </w:r>
          </w:p>
        </w:tc>
        <w:tc>
          <w:tcPr>
            <w:tcW w:w="2585" w:type="dxa"/>
            <w:vMerge w:val="restart"/>
            <w:noWrap/>
            <w:vAlign w:val="center"/>
          </w:tcPr>
          <w:p>
            <w:pPr>
              <w:adjustRightInd w:val="0"/>
              <w:snapToGrid w:val="0"/>
              <w:jc w:val="center"/>
              <w:rPr>
                <w:rFonts w:hint="eastAsia" w:ascii="黑体" w:hAnsi="黑体" w:eastAsia="黑体" w:cs="黑体"/>
                <w:color w:val="000000" w:themeColor="text1"/>
                <w:kern w:val="0"/>
                <w:sz w:val="24"/>
                <w:szCs w:val="24"/>
                <w14:textFill>
                  <w14:solidFill>
                    <w14:schemeClr w14:val="tx1"/>
                  </w14:solidFill>
                </w14:textFill>
              </w:rPr>
            </w:pPr>
            <w:r>
              <w:rPr>
                <w:rFonts w:hint="eastAsia" w:ascii="黑体" w:hAnsi="黑体" w:eastAsia="黑体" w:cs="黑体"/>
                <w:color w:val="000000" w:themeColor="text1"/>
                <w:kern w:val="0"/>
                <w:sz w:val="24"/>
                <w:szCs w:val="24"/>
                <w14:textFill>
                  <w14:solidFill>
                    <w14:schemeClr w14:val="tx1"/>
                  </w14:solidFill>
                </w14:textFill>
              </w:rPr>
              <w:t>指标名称</w:t>
            </w:r>
          </w:p>
        </w:tc>
        <w:tc>
          <w:tcPr>
            <w:tcW w:w="1195" w:type="dxa"/>
            <w:vMerge w:val="restart"/>
            <w:noWrap/>
            <w:vAlign w:val="center"/>
          </w:tcPr>
          <w:p>
            <w:pPr>
              <w:adjustRightInd w:val="0"/>
              <w:snapToGrid w:val="0"/>
              <w:jc w:val="center"/>
              <w:rPr>
                <w:rFonts w:hint="eastAsia" w:ascii="黑体" w:hAnsi="黑体" w:eastAsia="黑体" w:cs="黑体"/>
                <w:color w:val="000000" w:themeColor="text1"/>
                <w:kern w:val="0"/>
                <w:sz w:val="24"/>
                <w:szCs w:val="24"/>
                <w14:textFill>
                  <w14:solidFill>
                    <w14:schemeClr w14:val="tx1"/>
                  </w14:solidFill>
                </w14:textFill>
              </w:rPr>
            </w:pPr>
            <w:r>
              <w:rPr>
                <w:rFonts w:hint="eastAsia" w:ascii="黑体" w:hAnsi="黑体" w:eastAsia="黑体" w:cs="黑体"/>
                <w:color w:val="000000" w:themeColor="text1"/>
                <w:kern w:val="0"/>
                <w:sz w:val="24"/>
                <w:szCs w:val="24"/>
                <w14:textFill>
                  <w14:solidFill>
                    <w14:schemeClr w14:val="tx1"/>
                  </w14:solidFill>
                </w14:textFill>
              </w:rPr>
              <w:t>2020年</w:t>
            </w:r>
          </w:p>
          <w:p>
            <w:pPr>
              <w:adjustRightInd w:val="0"/>
              <w:snapToGrid w:val="0"/>
              <w:jc w:val="center"/>
              <w:rPr>
                <w:rFonts w:hint="eastAsia" w:ascii="黑体" w:hAnsi="黑体" w:eastAsia="黑体" w:cs="黑体"/>
                <w:color w:val="000000" w:themeColor="text1"/>
                <w:kern w:val="0"/>
                <w:sz w:val="24"/>
                <w:szCs w:val="24"/>
                <w14:textFill>
                  <w14:solidFill>
                    <w14:schemeClr w14:val="tx1"/>
                  </w14:solidFill>
                </w14:textFill>
              </w:rPr>
            </w:pPr>
            <w:r>
              <w:rPr>
                <w:rFonts w:hint="eastAsia" w:ascii="黑体" w:hAnsi="黑体" w:eastAsia="黑体" w:cs="黑体"/>
                <w:color w:val="000000" w:themeColor="text1"/>
                <w:kern w:val="0"/>
                <w:sz w:val="24"/>
                <w:szCs w:val="24"/>
                <w14:textFill>
                  <w14:solidFill>
                    <w14:schemeClr w14:val="tx1"/>
                  </w14:solidFill>
                </w14:textFill>
              </w:rPr>
              <w:t>完成数</w:t>
            </w:r>
          </w:p>
        </w:tc>
        <w:tc>
          <w:tcPr>
            <w:tcW w:w="2591" w:type="dxa"/>
            <w:gridSpan w:val="3"/>
            <w:noWrap/>
            <w:vAlign w:val="center"/>
          </w:tcPr>
          <w:p>
            <w:pPr>
              <w:adjustRightInd w:val="0"/>
              <w:snapToGrid w:val="0"/>
              <w:jc w:val="center"/>
              <w:rPr>
                <w:rFonts w:hint="eastAsia" w:ascii="黑体" w:hAnsi="黑体" w:eastAsia="黑体" w:cs="黑体"/>
                <w:color w:val="000000" w:themeColor="text1"/>
                <w:kern w:val="0"/>
                <w:sz w:val="24"/>
                <w:szCs w:val="24"/>
                <w14:textFill>
                  <w14:solidFill>
                    <w14:schemeClr w14:val="tx1"/>
                  </w14:solidFill>
                </w14:textFill>
              </w:rPr>
            </w:pPr>
            <w:r>
              <w:rPr>
                <w:rFonts w:hint="eastAsia" w:ascii="黑体" w:hAnsi="黑体" w:eastAsia="黑体" w:cs="黑体"/>
                <w:color w:val="000000" w:themeColor="text1"/>
                <w:kern w:val="0"/>
                <w:sz w:val="24"/>
                <w:szCs w:val="24"/>
                <w14:textFill>
                  <w14:solidFill>
                    <w14:schemeClr w14:val="tx1"/>
                  </w14:solidFill>
                </w14:textFill>
              </w:rPr>
              <w:t>规划目标</w:t>
            </w:r>
          </w:p>
        </w:tc>
        <w:tc>
          <w:tcPr>
            <w:tcW w:w="2525" w:type="dxa"/>
            <w:gridSpan w:val="2"/>
            <w:noWrap/>
            <w:vAlign w:val="center"/>
          </w:tcPr>
          <w:p>
            <w:pPr>
              <w:adjustRightInd w:val="0"/>
              <w:snapToGrid w:val="0"/>
              <w:jc w:val="center"/>
              <w:rPr>
                <w:rFonts w:hint="eastAsia" w:ascii="黑体" w:hAnsi="黑体" w:eastAsia="黑体" w:cs="黑体"/>
                <w:color w:val="000000" w:themeColor="text1"/>
                <w:kern w:val="0"/>
                <w:sz w:val="24"/>
                <w:szCs w:val="24"/>
                <w14:textFill>
                  <w14:solidFill>
                    <w14:schemeClr w14:val="tx1"/>
                  </w14:solidFill>
                </w14:textFill>
              </w:rPr>
            </w:pPr>
            <w:r>
              <w:rPr>
                <w:rFonts w:hint="eastAsia" w:ascii="黑体" w:hAnsi="黑体" w:eastAsia="黑体" w:cs="黑体"/>
                <w:color w:val="000000" w:themeColor="text1"/>
                <w:kern w:val="0"/>
                <w:sz w:val="24"/>
                <w:szCs w:val="24"/>
                <w14:textFill>
                  <w14:solidFill>
                    <w14:schemeClr w14:val="tx1"/>
                  </w14:solidFill>
                </w14:textFill>
              </w:rPr>
              <w:t>实现情况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652" w:type="dxa"/>
            <w:vMerge w:val="continue"/>
            <w:vAlign w:val="center"/>
          </w:tcPr>
          <w:p>
            <w:pPr>
              <w:adjustRightInd w:val="0"/>
              <w:snapToGrid w:val="0"/>
              <w:rPr>
                <w:rFonts w:hint="eastAsia" w:ascii="黑体" w:hAnsi="黑体" w:eastAsia="黑体" w:cs="黑体"/>
                <w:color w:val="000000" w:themeColor="text1"/>
                <w:kern w:val="0"/>
                <w:sz w:val="24"/>
                <w:szCs w:val="24"/>
                <w14:textFill>
                  <w14:solidFill>
                    <w14:schemeClr w14:val="tx1"/>
                  </w14:solidFill>
                </w14:textFill>
              </w:rPr>
            </w:pPr>
          </w:p>
        </w:tc>
        <w:tc>
          <w:tcPr>
            <w:tcW w:w="558" w:type="dxa"/>
            <w:vMerge w:val="continue"/>
            <w:vAlign w:val="center"/>
          </w:tcPr>
          <w:p>
            <w:pPr>
              <w:adjustRightInd w:val="0"/>
              <w:snapToGrid w:val="0"/>
              <w:rPr>
                <w:rFonts w:hint="eastAsia" w:ascii="黑体" w:hAnsi="黑体" w:eastAsia="黑体" w:cs="黑体"/>
                <w:color w:val="000000" w:themeColor="text1"/>
                <w:kern w:val="0"/>
                <w:sz w:val="24"/>
                <w:szCs w:val="24"/>
                <w14:textFill>
                  <w14:solidFill>
                    <w14:schemeClr w14:val="tx1"/>
                  </w14:solidFill>
                </w14:textFill>
              </w:rPr>
            </w:pPr>
          </w:p>
        </w:tc>
        <w:tc>
          <w:tcPr>
            <w:tcW w:w="2585" w:type="dxa"/>
            <w:vMerge w:val="continue"/>
            <w:vAlign w:val="center"/>
          </w:tcPr>
          <w:p>
            <w:pPr>
              <w:adjustRightInd w:val="0"/>
              <w:snapToGrid w:val="0"/>
              <w:rPr>
                <w:rFonts w:hint="eastAsia" w:ascii="黑体" w:hAnsi="黑体" w:eastAsia="黑体" w:cs="黑体"/>
                <w:color w:val="000000" w:themeColor="text1"/>
                <w:kern w:val="0"/>
                <w:sz w:val="24"/>
                <w:szCs w:val="24"/>
                <w14:textFill>
                  <w14:solidFill>
                    <w14:schemeClr w14:val="tx1"/>
                  </w14:solidFill>
                </w14:textFill>
              </w:rPr>
            </w:pPr>
          </w:p>
        </w:tc>
        <w:tc>
          <w:tcPr>
            <w:tcW w:w="1195" w:type="dxa"/>
            <w:vMerge w:val="continue"/>
            <w:vAlign w:val="center"/>
          </w:tcPr>
          <w:p>
            <w:pPr>
              <w:adjustRightInd w:val="0"/>
              <w:snapToGrid w:val="0"/>
              <w:jc w:val="center"/>
              <w:rPr>
                <w:rFonts w:hint="eastAsia" w:ascii="黑体" w:hAnsi="黑体" w:eastAsia="黑体" w:cs="黑体"/>
                <w:color w:val="000000" w:themeColor="text1"/>
                <w:kern w:val="0"/>
                <w:sz w:val="24"/>
                <w:szCs w:val="24"/>
                <w14:textFill>
                  <w14:solidFill>
                    <w14:schemeClr w14:val="tx1"/>
                  </w14:solidFill>
                </w14:textFill>
              </w:rPr>
            </w:pPr>
          </w:p>
        </w:tc>
        <w:tc>
          <w:tcPr>
            <w:tcW w:w="1275" w:type="dxa"/>
            <w:noWrap/>
            <w:vAlign w:val="center"/>
          </w:tcPr>
          <w:p>
            <w:pPr>
              <w:adjustRightInd w:val="0"/>
              <w:snapToGrid w:val="0"/>
              <w:jc w:val="center"/>
              <w:rPr>
                <w:rFonts w:hint="eastAsia" w:ascii="黑体" w:hAnsi="黑体" w:eastAsia="黑体" w:cs="黑体"/>
                <w:color w:val="000000" w:themeColor="text1"/>
                <w:kern w:val="0"/>
                <w:sz w:val="24"/>
                <w:szCs w:val="24"/>
                <w14:textFill>
                  <w14:solidFill>
                    <w14:schemeClr w14:val="tx1"/>
                  </w14:solidFill>
                </w14:textFill>
              </w:rPr>
            </w:pPr>
            <w:r>
              <w:rPr>
                <w:rFonts w:hint="eastAsia" w:ascii="黑体" w:hAnsi="黑体" w:eastAsia="黑体" w:cs="黑体"/>
                <w:color w:val="000000" w:themeColor="text1"/>
                <w:kern w:val="0"/>
                <w:sz w:val="24"/>
                <w:szCs w:val="24"/>
                <w14:textFill>
                  <w14:solidFill>
                    <w14:schemeClr w14:val="tx1"/>
                  </w14:solidFill>
                </w14:textFill>
              </w:rPr>
              <w:t>2025年</w:t>
            </w:r>
          </w:p>
        </w:tc>
        <w:tc>
          <w:tcPr>
            <w:tcW w:w="1316" w:type="dxa"/>
            <w:gridSpan w:val="2"/>
            <w:noWrap/>
            <w:vAlign w:val="center"/>
          </w:tcPr>
          <w:p>
            <w:pPr>
              <w:adjustRightInd w:val="0"/>
              <w:snapToGrid w:val="0"/>
              <w:jc w:val="center"/>
              <w:rPr>
                <w:rFonts w:hint="eastAsia" w:ascii="黑体" w:hAnsi="黑体" w:eastAsia="黑体" w:cs="黑体"/>
                <w:color w:val="000000" w:themeColor="text1"/>
                <w:kern w:val="0"/>
                <w:sz w:val="24"/>
                <w:szCs w:val="24"/>
                <w14:textFill>
                  <w14:solidFill>
                    <w14:schemeClr w14:val="tx1"/>
                  </w14:solidFill>
                </w14:textFill>
              </w:rPr>
            </w:pPr>
            <w:r>
              <w:rPr>
                <w:rFonts w:hint="eastAsia" w:ascii="黑体" w:hAnsi="黑体" w:eastAsia="黑体" w:cs="黑体"/>
                <w:color w:val="000000" w:themeColor="text1"/>
                <w:kern w:val="0"/>
                <w:sz w:val="24"/>
                <w:szCs w:val="24"/>
                <w14:textFill>
                  <w14:solidFill>
                    <w14:schemeClr w14:val="tx1"/>
                  </w14:solidFill>
                </w14:textFill>
              </w:rPr>
              <w:t>年均增速</w:t>
            </w:r>
          </w:p>
          <w:p>
            <w:pPr>
              <w:adjustRightInd w:val="0"/>
              <w:snapToGrid w:val="0"/>
              <w:jc w:val="center"/>
              <w:rPr>
                <w:rFonts w:hint="eastAsia" w:ascii="黑体" w:hAnsi="黑体" w:eastAsia="黑体" w:cs="黑体"/>
                <w:color w:val="000000" w:themeColor="text1"/>
                <w:kern w:val="0"/>
                <w:sz w:val="24"/>
                <w:szCs w:val="24"/>
                <w14:textFill>
                  <w14:solidFill>
                    <w14:schemeClr w14:val="tx1"/>
                  </w14:solidFill>
                </w14:textFill>
              </w:rPr>
            </w:pPr>
            <w:r>
              <w:rPr>
                <w:rFonts w:hint="eastAsia" w:ascii="黑体" w:hAnsi="黑体" w:eastAsia="黑体" w:cs="黑体"/>
                <w:color w:val="000000" w:themeColor="text1"/>
                <w:kern w:val="0"/>
                <w:sz w:val="24"/>
                <w:szCs w:val="24"/>
                <w14:textFill>
                  <w14:solidFill>
                    <w14:schemeClr w14:val="tx1"/>
                  </w14:solidFill>
                </w14:textFill>
              </w:rPr>
              <w:t>[累计]</w:t>
            </w:r>
          </w:p>
        </w:tc>
        <w:tc>
          <w:tcPr>
            <w:tcW w:w="1255" w:type="dxa"/>
            <w:noWrap/>
            <w:vAlign w:val="center"/>
          </w:tcPr>
          <w:p>
            <w:pPr>
              <w:adjustRightInd w:val="0"/>
              <w:snapToGrid w:val="0"/>
              <w:jc w:val="center"/>
              <w:rPr>
                <w:rFonts w:hint="eastAsia" w:ascii="黑体" w:hAnsi="黑体" w:eastAsia="黑体" w:cs="黑体"/>
                <w:color w:val="000000" w:themeColor="text1"/>
                <w:kern w:val="0"/>
                <w:sz w:val="24"/>
                <w:szCs w:val="24"/>
                <w14:textFill>
                  <w14:solidFill>
                    <w14:schemeClr w14:val="tx1"/>
                  </w14:solidFill>
                </w14:textFill>
              </w:rPr>
            </w:pPr>
            <w:r>
              <w:rPr>
                <w:rFonts w:hint="eastAsia" w:ascii="黑体" w:hAnsi="黑体" w:eastAsia="黑体" w:cs="黑体"/>
                <w:color w:val="000000" w:themeColor="text1"/>
                <w:kern w:val="0"/>
                <w:sz w:val="24"/>
                <w:szCs w:val="24"/>
                <w14:textFill>
                  <w14:solidFill>
                    <w14:schemeClr w14:val="tx1"/>
                  </w14:solidFill>
                </w14:textFill>
              </w:rPr>
              <w:t>2025年</w:t>
            </w:r>
          </w:p>
        </w:tc>
        <w:tc>
          <w:tcPr>
            <w:tcW w:w="1270" w:type="dxa"/>
            <w:vAlign w:val="center"/>
          </w:tcPr>
          <w:p>
            <w:pPr>
              <w:adjustRightInd w:val="0"/>
              <w:snapToGrid w:val="0"/>
              <w:jc w:val="center"/>
              <w:rPr>
                <w:rFonts w:hint="eastAsia" w:ascii="黑体" w:hAnsi="黑体" w:eastAsia="黑体" w:cs="黑体"/>
                <w:color w:val="000000" w:themeColor="text1"/>
                <w:kern w:val="0"/>
                <w:sz w:val="24"/>
                <w:szCs w:val="24"/>
                <w14:textFill>
                  <w14:solidFill>
                    <w14:schemeClr w14:val="tx1"/>
                  </w14:solidFill>
                </w14:textFill>
              </w:rPr>
            </w:pPr>
            <w:r>
              <w:rPr>
                <w:rFonts w:hint="eastAsia" w:ascii="黑体" w:hAnsi="黑体" w:eastAsia="黑体" w:cs="黑体"/>
                <w:color w:val="000000" w:themeColor="text1"/>
                <w:kern w:val="0"/>
                <w:sz w:val="24"/>
                <w:szCs w:val="24"/>
                <w14:textFill>
                  <w14:solidFill>
                    <w14:schemeClr w14:val="tx1"/>
                  </w14:solidFill>
                </w14:textFill>
              </w:rPr>
              <w:t>年均增速</w:t>
            </w:r>
          </w:p>
          <w:p>
            <w:pPr>
              <w:adjustRightInd w:val="0"/>
              <w:snapToGrid w:val="0"/>
              <w:jc w:val="center"/>
              <w:rPr>
                <w:rFonts w:hint="eastAsia" w:ascii="黑体" w:hAnsi="黑体" w:eastAsia="黑体" w:cs="黑体"/>
                <w:color w:val="000000" w:themeColor="text1"/>
                <w:kern w:val="0"/>
                <w:sz w:val="24"/>
                <w:szCs w:val="24"/>
                <w14:textFill>
                  <w14:solidFill>
                    <w14:schemeClr w14:val="tx1"/>
                  </w14:solidFill>
                </w14:textFill>
              </w:rPr>
            </w:pPr>
            <w:r>
              <w:rPr>
                <w:rFonts w:hint="eastAsia" w:ascii="黑体" w:hAnsi="黑体" w:eastAsia="黑体" w:cs="黑体"/>
                <w:color w:val="000000" w:themeColor="text1"/>
                <w:kern w:val="0"/>
                <w:sz w:val="24"/>
                <w:szCs w:val="24"/>
                <w14:textFill>
                  <w14:solidFill>
                    <w14:schemeClr w14:val="tx1"/>
                  </w14:solidFill>
                </w14:textFill>
              </w:rPr>
              <w:t>[累计]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652" w:type="dxa"/>
            <w:vMerge w:val="restart"/>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经济</w:t>
            </w:r>
          </w:p>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发展</w:t>
            </w:r>
          </w:p>
        </w:tc>
        <w:tc>
          <w:tcPr>
            <w:tcW w:w="558"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1</w:t>
            </w:r>
          </w:p>
        </w:tc>
        <w:tc>
          <w:tcPr>
            <w:tcW w:w="2585" w:type="dxa"/>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地区生产总值增长（%）</w:t>
            </w:r>
          </w:p>
        </w:tc>
        <w:tc>
          <w:tcPr>
            <w:tcW w:w="119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3.5</w:t>
            </w:r>
          </w:p>
        </w:tc>
        <w:tc>
          <w:tcPr>
            <w:tcW w:w="127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w:t>
            </w:r>
          </w:p>
        </w:tc>
        <w:tc>
          <w:tcPr>
            <w:tcW w:w="1316" w:type="dxa"/>
            <w:gridSpan w:val="2"/>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5.5</w:t>
            </w:r>
            <w:r>
              <w:rPr>
                <w:rFonts w:hint="eastAsia" w:ascii="仿宋_GB2312" w:hAnsi="仿宋_GB2312" w:eastAsia="仿宋_GB2312" w:cs="仿宋_GB2312"/>
                <w:color w:val="000000" w:themeColor="text1"/>
                <w:kern w:val="0"/>
                <w:szCs w:val="21"/>
                <w14:textFill>
                  <w14:solidFill>
                    <w14:schemeClr w14:val="tx1"/>
                  </w14:solidFill>
                </w14:textFill>
              </w:rPr>
              <w:t>（中调）</w:t>
            </w:r>
          </w:p>
        </w:tc>
        <w:tc>
          <w:tcPr>
            <w:tcW w:w="125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w:t>
            </w:r>
          </w:p>
        </w:tc>
        <w:tc>
          <w:tcPr>
            <w:tcW w:w="1270"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652" w:type="dxa"/>
            <w:vMerge w:val="continue"/>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p>
        </w:tc>
        <w:tc>
          <w:tcPr>
            <w:tcW w:w="558"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2</w:t>
            </w:r>
          </w:p>
        </w:tc>
        <w:tc>
          <w:tcPr>
            <w:tcW w:w="2585" w:type="dxa"/>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全员劳动生产率增长（%）</w:t>
            </w:r>
          </w:p>
        </w:tc>
        <w:tc>
          <w:tcPr>
            <w:tcW w:w="119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w:t>
            </w:r>
          </w:p>
        </w:tc>
        <w:tc>
          <w:tcPr>
            <w:tcW w:w="127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w:t>
            </w:r>
          </w:p>
        </w:tc>
        <w:tc>
          <w:tcPr>
            <w:tcW w:w="1316" w:type="dxa"/>
            <w:gridSpan w:val="2"/>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6</w:t>
            </w:r>
            <w:r>
              <w:rPr>
                <w:rFonts w:hint="eastAsia" w:ascii="仿宋_GB2312" w:hAnsi="仿宋_GB2312" w:eastAsia="仿宋_GB2312" w:cs="仿宋_GB2312"/>
                <w:color w:val="000000" w:themeColor="text1"/>
                <w:kern w:val="0"/>
                <w:szCs w:val="21"/>
                <w14:textFill>
                  <w14:solidFill>
                    <w14:schemeClr w14:val="tx1"/>
                  </w14:solidFill>
                </w14:textFill>
              </w:rPr>
              <w:t>（中调）</w:t>
            </w:r>
          </w:p>
        </w:tc>
        <w:tc>
          <w:tcPr>
            <w:tcW w:w="125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w:t>
            </w:r>
          </w:p>
        </w:tc>
        <w:tc>
          <w:tcPr>
            <w:tcW w:w="1270"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10.2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652" w:type="dxa"/>
            <w:vMerge w:val="continue"/>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p>
        </w:tc>
        <w:tc>
          <w:tcPr>
            <w:tcW w:w="558"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3</w:t>
            </w:r>
          </w:p>
        </w:tc>
        <w:tc>
          <w:tcPr>
            <w:tcW w:w="2585" w:type="dxa"/>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制造业增加值占地区生产总值比重（%）</w:t>
            </w:r>
          </w:p>
        </w:tc>
        <w:tc>
          <w:tcPr>
            <w:tcW w:w="119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12.7</w:t>
            </w:r>
          </w:p>
        </w:tc>
        <w:tc>
          <w:tcPr>
            <w:tcW w:w="127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18</w:t>
            </w:r>
          </w:p>
        </w:tc>
        <w:tc>
          <w:tcPr>
            <w:tcW w:w="1316" w:type="dxa"/>
            <w:gridSpan w:val="2"/>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11.5</w:t>
            </w:r>
          </w:p>
        </w:tc>
        <w:tc>
          <w:tcPr>
            <w:tcW w:w="125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18</w:t>
            </w:r>
          </w:p>
        </w:tc>
        <w:tc>
          <w:tcPr>
            <w:tcW w:w="1270"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652" w:type="dxa"/>
            <w:vMerge w:val="continue"/>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p>
        </w:tc>
        <w:tc>
          <w:tcPr>
            <w:tcW w:w="558"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4</w:t>
            </w:r>
          </w:p>
        </w:tc>
        <w:tc>
          <w:tcPr>
            <w:tcW w:w="2585" w:type="dxa"/>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产业投资占固定资产投资比重（%）</w:t>
            </w:r>
          </w:p>
        </w:tc>
        <w:tc>
          <w:tcPr>
            <w:tcW w:w="119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50</w:t>
            </w:r>
          </w:p>
        </w:tc>
        <w:tc>
          <w:tcPr>
            <w:tcW w:w="127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65</w:t>
            </w:r>
          </w:p>
        </w:tc>
        <w:tc>
          <w:tcPr>
            <w:tcW w:w="1316" w:type="dxa"/>
            <w:gridSpan w:val="2"/>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w:t>
            </w:r>
          </w:p>
        </w:tc>
        <w:tc>
          <w:tcPr>
            <w:tcW w:w="125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84.5</w:t>
            </w:r>
          </w:p>
        </w:tc>
        <w:tc>
          <w:tcPr>
            <w:tcW w:w="1270"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652" w:type="dxa"/>
            <w:vMerge w:val="continue"/>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p>
        </w:tc>
        <w:tc>
          <w:tcPr>
            <w:tcW w:w="558"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5</w:t>
            </w:r>
          </w:p>
        </w:tc>
        <w:tc>
          <w:tcPr>
            <w:tcW w:w="2585" w:type="dxa"/>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最终消费支出对地区生产总值贡献率（%）</w:t>
            </w:r>
          </w:p>
        </w:tc>
        <w:tc>
          <w:tcPr>
            <w:tcW w:w="119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55</w:t>
            </w:r>
          </w:p>
        </w:tc>
        <w:tc>
          <w:tcPr>
            <w:tcW w:w="127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w:t>
            </w:r>
          </w:p>
        </w:tc>
        <w:tc>
          <w:tcPr>
            <w:tcW w:w="1316" w:type="dxa"/>
            <w:gridSpan w:val="2"/>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w:t>
            </w:r>
          </w:p>
        </w:tc>
        <w:tc>
          <w:tcPr>
            <w:tcW w:w="125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不再公布</w:t>
            </w:r>
          </w:p>
        </w:tc>
        <w:tc>
          <w:tcPr>
            <w:tcW w:w="1270"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652" w:type="dxa"/>
            <w:vMerge w:val="continue"/>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p>
        </w:tc>
        <w:tc>
          <w:tcPr>
            <w:tcW w:w="558"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6</w:t>
            </w:r>
          </w:p>
        </w:tc>
        <w:tc>
          <w:tcPr>
            <w:tcW w:w="2585" w:type="dxa"/>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对外贸易依存度（%）</w:t>
            </w:r>
          </w:p>
        </w:tc>
        <w:tc>
          <w:tcPr>
            <w:tcW w:w="119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0.73</w:t>
            </w:r>
          </w:p>
        </w:tc>
        <w:tc>
          <w:tcPr>
            <w:tcW w:w="127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0.98</w:t>
            </w:r>
          </w:p>
        </w:tc>
        <w:tc>
          <w:tcPr>
            <w:tcW w:w="1316" w:type="dxa"/>
            <w:gridSpan w:val="2"/>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w:t>
            </w:r>
          </w:p>
        </w:tc>
        <w:tc>
          <w:tcPr>
            <w:tcW w:w="125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3.25</w:t>
            </w:r>
          </w:p>
        </w:tc>
        <w:tc>
          <w:tcPr>
            <w:tcW w:w="1270"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 w:hRule="atLeast"/>
          <w:jc w:val="center"/>
        </w:trPr>
        <w:tc>
          <w:tcPr>
            <w:tcW w:w="652" w:type="dxa"/>
            <w:vMerge w:val="continue"/>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p>
        </w:tc>
        <w:tc>
          <w:tcPr>
            <w:tcW w:w="558"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7</w:t>
            </w:r>
          </w:p>
        </w:tc>
        <w:tc>
          <w:tcPr>
            <w:tcW w:w="2585" w:type="dxa"/>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地方一般公共预算收入占地区生产总值比重（%）</w:t>
            </w:r>
          </w:p>
        </w:tc>
        <w:tc>
          <w:tcPr>
            <w:tcW w:w="119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4.4</w:t>
            </w:r>
          </w:p>
        </w:tc>
        <w:tc>
          <w:tcPr>
            <w:tcW w:w="127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5.5（中调）</w:t>
            </w:r>
          </w:p>
        </w:tc>
        <w:tc>
          <w:tcPr>
            <w:tcW w:w="1316" w:type="dxa"/>
            <w:gridSpan w:val="2"/>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w:t>
            </w:r>
          </w:p>
        </w:tc>
        <w:tc>
          <w:tcPr>
            <w:tcW w:w="125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5.72</w:t>
            </w:r>
          </w:p>
        </w:tc>
        <w:tc>
          <w:tcPr>
            <w:tcW w:w="1270"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652" w:type="dxa"/>
            <w:vMerge w:val="continue"/>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p>
        </w:tc>
        <w:tc>
          <w:tcPr>
            <w:tcW w:w="558"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8</w:t>
            </w:r>
          </w:p>
        </w:tc>
        <w:tc>
          <w:tcPr>
            <w:tcW w:w="2585" w:type="dxa"/>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常住人口城镇化率（%）</w:t>
            </w:r>
          </w:p>
        </w:tc>
        <w:tc>
          <w:tcPr>
            <w:tcW w:w="119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38.69</w:t>
            </w:r>
          </w:p>
        </w:tc>
        <w:tc>
          <w:tcPr>
            <w:tcW w:w="1275" w:type="dxa"/>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Cs w:val="21"/>
                <w14:textFill>
                  <w14:solidFill>
                    <w14:schemeClr w14:val="tx1"/>
                  </w14:solidFill>
                </w14:textFill>
              </w:rPr>
              <w:t>41.5（中调）</w:t>
            </w:r>
          </w:p>
        </w:tc>
        <w:tc>
          <w:tcPr>
            <w:tcW w:w="1316" w:type="dxa"/>
            <w:gridSpan w:val="2"/>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w:t>
            </w:r>
          </w:p>
        </w:tc>
        <w:tc>
          <w:tcPr>
            <w:tcW w:w="125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43.82</w:t>
            </w:r>
          </w:p>
        </w:tc>
        <w:tc>
          <w:tcPr>
            <w:tcW w:w="1270"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jc w:val="center"/>
        </w:trPr>
        <w:tc>
          <w:tcPr>
            <w:tcW w:w="652" w:type="dxa"/>
            <w:vMerge w:val="restart"/>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创新</w:t>
            </w:r>
          </w:p>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驱动</w:t>
            </w:r>
          </w:p>
        </w:tc>
        <w:tc>
          <w:tcPr>
            <w:tcW w:w="558"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9</w:t>
            </w:r>
          </w:p>
        </w:tc>
        <w:tc>
          <w:tcPr>
            <w:tcW w:w="2585" w:type="dxa"/>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研发经费投入增长（%）</w:t>
            </w:r>
          </w:p>
        </w:tc>
        <w:tc>
          <w:tcPr>
            <w:tcW w:w="119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2.3</w:t>
            </w:r>
          </w:p>
        </w:tc>
        <w:tc>
          <w:tcPr>
            <w:tcW w:w="127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w:t>
            </w:r>
          </w:p>
        </w:tc>
        <w:tc>
          <w:tcPr>
            <w:tcW w:w="1316" w:type="dxa"/>
            <w:gridSpan w:val="2"/>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5（中调）</w:t>
            </w:r>
          </w:p>
        </w:tc>
        <w:tc>
          <w:tcPr>
            <w:tcW w:w="125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w:t>
            </w:r>
          </w:p>
        </w:tc>
        <w:tc>
          <w:tcPr>
            <w:tcW w:w="1270"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32.3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3" w:hRule="atLeast"/>
          <w:jc w:val="center"/>
        </w:trPr>
        <w:tc>
          <w:tcPr>
            <w:tcW w:w="652" w:type="dxa"/>
            <w:vMerge w:val="continue"/>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p>
        </w:tc>
        <w:tc>
          <w:tcPr>
            <w:tcW w:w="558"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10</w:t>
            </w:r>
          </w:p>
        </w:tc>
        <w:tc>
          <w:tcPr>
            <w:tcW w:w="2585" w:type="dxa"/>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每万人口高价值发明专利拥有量（件）</w:t>
            </w:r>
          </w:p>
        </w:tc>
        <w:tc>
          <w:tcPr>
            <w:tcW w:w="119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0.1</w:t>
            </w:r>
          </w:p>
        </w:tc>
        <w:tc>
          <w:tcPr>
            <w:tcW w:w="127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1.35</w:t>
            </w:r>
          </w:p>
        </w:tc>
        <w:tc>
          <w:tcPr>
            <w:tcW w:w="1316" w:type="dxa"/>
            <w:gridSpan w:val="2"/>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w:t>
            </w:r>
          </w:p>
        </w:tc>
        <w:tc>
          <w:tcPr>
            <w:tcW w:w="125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1.5</w:t>
            </w:r>
          </w:p>
        </w:tc>
        <w:tc>
          <w:tcPr>
            <w:tcW w:w="1270"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jc w:val="center"/>
        </w:trPr>
        <w:tc>
          <w:tcPr>
            <w:tcW w:w="652" w:type="dxa"/>
            <w:vMerge w:val="continue"/>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p>
        </w:tc>
        <w:tc>
          <w:tcPr>
            <w:tcW w:w="558"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11</w:t>
            </w:r>
          </w:p>
        </w:tc>
        <w:tc>
          <w:tcPr>
            <w:tcW w:w="2585" w:type="dxa"/>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数字经济核心产业增加值占地区生产总值比重（%）</w:t>
            </w:r>
          </w:p>
        </w:tc>
        <w:tc>
          <w:tcPr>
            <w:tcW w:w="119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3</w:t>
            </w:r>
          </w:p>
        </w:tc>
        <w:tc>
          <w:tcPr>
            <w:tcW w:w="127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5</w:t>
            </w:r>
          </w:p>
        </w:tc>
        <w:tc>
          <w:tcPr>
            <w:tcW w:w="1316" w:type="dxa"/>
            <w:gridSpan w:val="2"/>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w:t>
            </w:r>
          </w:p>
        </w:tc>
        <w:tc>
          <w:tcPr>
            <w:tcW w:w="125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5</w:t>
            </w:r>
          </w:p>
        </w:tc>
        <w:tc>
          <w:tcPr>
            <w:tcW w:w="1270"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2" w:type="dxa"/>
            <w:vMerge w:val="restart"/>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民生</w:t>
            </w:r>
          </w:p>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福祉</w:t>
            </w:r>
          </w:p>
        </w:tc>
        <w:tc>
          <w:tcPr>
            <w:tcW w:w="558"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12</w:t>
            </w:r>
          </w:p>
        </w:tc>
        <w:tc>
          <w:tcPr>
            <w:tcW w:w="2585" w:type="dxa"/>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居民人均可支配收入增长（%）</w:t>
            </w:r>
          </w:p>
        </w:tc>
        <w:tc>
          <w:tcPr>
            <w:tcW w:w="119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4.4</w:t>
            </w:r>
          </w:p>
        </w:tc>
        <w:tc>
          <w:tcPr>
            <w:tcW w:w="127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w:t>
            </w:r>
          </w:p>
        </w:tc>
        <w:tc>
          <w:tcPr>
            <w:tcW w:w="1316" w:type="dxa"/>
            <w:gridSpan w:val="2"/>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6</w:t>
            </w:r>
          </w:p>
        </w:tc>
        <w:tc>
          <w:tcPr>
            <w:tcW w:w="125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w:t>
            </w:r>
          </w:p>
        </w:tc>
        <w:tc>
          <w:tcPr>
            <w:tcW w:w="1270"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2" w:type="dxa"/>
            <w:vMerge w:val="continue"/>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p>
        </w:tc>
        <w:tc>
          <w:tcPr>
            <w:tcW w:w="558"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13</w:t>
            </w:r>
          </w:p>
        </w:tc>
        <w:tc>
          <w:tcPr>
            <w:tcW w:w="2585" w:type="dxa"/>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城镇调查失业率（%）</w:t>
            </w:r>
          </w:p>
        </w:tc>
        <w:tc>
          <w:tcPr>
            <w:tcW w:w="119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ascii="仿宋_GB2312" w:hAnsi="仿宋_GB2312" w:eastAsia="仿宋_GB2312" w:cs="仿宋_GB2312"/>
                <w:color w:val="000000" w:themeColor="text1"/>
                <w:kern w:val="0"/>
                <w:sz w:val="24"/>
                <w:szCs w:val="24"/>
                <w14:textFill>
                  <w14:solidFill>
                    <w14:schemeClr w14:val="tx1"/>
                  </w14:solidFill>
                </w14:textFill>
              </w:rPr>
              <w:t>5.7</w:t>
            </w:r>
          </w:p>
        </w:tc>
        <w:tc>
          <w:tcPr>
            <w:tcW w:w="127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&lt;</w:t>
            </w:r>
            <w:r>
              <w:rPr>
                <w:rFonts w:ascii="仿宋_GB2312" w:hAnsi="仿宋_GB2312" w:eastAsia="仿宋_GB2312" w:cs="仿宋_GB2312"/>
                <w:color w:val="000000" w:themeColor="text1"/>
                <w:kern w:val="0"/>
                <w:sz w:val="24"/>
                <w:szCs w:val="24"/>
                <w14:textFill>
                  <w14:solidFill>
                    <w14:schemeClr w14:val="tx1"/>
                  </w14:solidFill>
                </w14:textFill>
              </w:rPr>
              <w:t>5.6</w:t>
            </w:r>
          </w:p>
        </w:tc>
        <w:tc>
          <w:tcPr>
            <w:tcW w:w="1316" w:type="dxa"/>
            <w:gridSpan w:val="2"/>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w:t>
            </w:r>
          </w:p>
        </w:tc>
        <w:tc>
          <w:tcPr>
            <w:tcW w:w="125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ascii="仿宋_GB2312" w:hAnsi="仿宋_GB2312" w:eastAsia="仿宋_GB2312" w:cs="仿宋_GB2312"/>
                <w:color w:val="000000" w:themeColor="text1"/>
                <w:kern w:val="0"/>
                <w:sz w:val="24"/>
                <w:szCs w:val="24"/>
                <w14:textFill>
                  <w14:solidFill>
                    <w14:schemeClr w14:val="tx1"/>
                  </w14:solidFill>
                </w14:textFill>
              </w:rPr>
              <w:t>5.2</w:t>
            </w:r>
          </w:p>
        </w:tc>
        <w:tc>
          <w:tcPr>
            <w:tcW w:w="1270"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2" w:type="dxa"/>
            <w:vMerge w:val="continue"/>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p>
        </w:tc>
        <w:tc>
          <w:tcPr>
            <w:tcW w:w="558"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14</w:t>
            </w:r>
          </w:p>
        </w:tc>
        <w:tc>
          <w:tcPr>
            <w:tcW w:w="2585" w:type="dxa"/>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劳动年龄人口平均受教育年限（年）</w:t>
            </w:r>
          </w:p>
        </w:tc>
        <w:tc>
          <w:tcPr>
            <w:tcW w:w="119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13.5</w:t>
            </w:r>
          </w:p>
        </w:tc>
        <w:tc>
          <w:tcPr>
            <w:tcW w:w="127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Cs w:val="21"/>
                <w14:textFill>
                  <w14:solidFill>
                    <w14:schemeClr w14:val="tx1"/>
                  </w14:solidFill>
                </w14:textFill>
              </w:rPr>
              <w:t>13.8（中调）</w:t>
            </w:r>
          </w:p>
        </w:tc>
        <w:tc>
          <w:tcPr>
            <w:tcW w:w="1316" w:type="dxa"/>
            <w:gridSpan w:val="2"/>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w:t>
            </w:r>
          </w:p>
        </w:tc>
        <w:tc>
          <w:tcPr>
            <w:tcW w:w="125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14</w:t>
            </w:r>
          </w:p>
        </w:tc>
        <w:tc>
          <w:tcPr>
            <w:tcW w:w="1270"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2" w:type="dxa"/>
            <w:vMerge w:val="continue"/>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p>
        </w:tc>
        <w:tc>
          <w:tcPr>
            <w:tcW w:w="558"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15</w:t>
            </w:r>
          </w:p>
        </w:tc>
        <w:tc>
          <w:tcPr>
            <w:tcW w:w="2585" w:type="dxa"/>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每千人口拥有执业（助理）医师数（人）</w:t>
            </w:r>
          </w:p>
        </w:tc>
        <w:tc>
          <w:tcPr>
            <w:tcW w:w="119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2.87</w:t>
            </w:r>
          </w:p>
        </w:tc>
        <w:tc>
          <w:tcPr>
            <w:tcW w:w="127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3.39</w:t>
            </w:r>
          </w:p>
        </w:tc>
        <w:tc>
          <w:tcPr>
            <w:tcW w:w="1316" w:type="dxa"/>
            <w:gridSpan w:val="2"/>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w:t>
            </w:r>
          </w:p>
        </w:tc>
        <w:tc>
          <w:tcPr>
            <w:tcW w:w="125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3.46</w:t>
            </w:r>
          </w:p>
        </w:tc>
        <w:tc>
          <w:tcPr>
            <w:tcW w:w="1270"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2" w:type="dxa"/>
            <w:vMerge w:val="continue"/>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p>
        </w:tc>
        <w:tc>
          <w:tcPr>
            <w:tcW w:w="558"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16</w:t>
            </w:r>
          </w:p>
        </w:tc>
        <w:tc>
          <w:tcPr>
            <w:tcW w:w="2585" w:type="dxa"/>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基本养老保险参保率（%）</w:t>
            </w:r>
          </w:p>
        </w:tc>
        <w:tc>
          <w:tcPr>
            <w:tcW w:w="119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95</w:t>
            </w:r>
          </w:p>
        </w:tc>
        <w:tc>
          <w:tcPr>
            <w:tcW w:w="127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95以上</w:t>
            </w:r>
          </w:p>
        </w:tc>
        <w:tc>
          <w:tcPr>
            <w:tcW w:w="1316" w:type="dxa"/>
            <w:gridSpan w:val="2"/>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w:t>
            </w:r>
          </w:p>
        </w:tc>
        <w:tc>
          <w:tcPr>
            <w:tcW w:w="125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103.5</w:t>
            </w:r>
          </w:p>
        </w:tc>
        <w:tc>
          <w:tcPr>
            <w:tcW w:w="1270"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2" w:type="dxa"/>
            <w:vMerge w:val="continue"/>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p>
        </w:tc>
        <w:tc>
          <w:tcPr>
            <w:tcW w:w="558"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17</w:t>
            </w:r>
          </w:p>
        </w:tc>
        <w:tc>
          <w:tcPr>
            <w:tcW w:w="2585" w:type="dxa"/>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每千人口拥有三岁以下婴幼儿托位数（个）</w:t>
            </w:r>
          </w:p>
        </w:tc>
        <w:tc>
          <w:tcPr>
            <w:tcW w:w="119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0.9</w:t>
            </w:r>
          </w:p>
        </w:tc>
        <w:tc>
          <w:tcPr>
            <w:tcW w:w="127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4</w:t>
            </w:r>
          </w:p>
        </w:tc>
        <w:tc>
          <w:tcPr>
            <w:tcW w:w="1316" w:type="dxa"/>
            <w:gridSpan w:val="2"/>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w:t>
            </w:r>
          </w:p>
        </w:tc>
        <w:tc>
          <w:tcPr>
            <w:tcW w:w="125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4.5</w:t>
            </w:r>
          </w:p>
        </w:tc>
        <w:tc>
          <w:tcPr>
            <w:tcW w:w="1270"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2" w:type="dxa"/>
            <w:vMerge w:val="continue"/>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p>
        </w:tc>
        <w:tc>
          <w:tcPr>
            <w:tcW w:w="558"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18</w:t>
            </w:r>
          </w:p>
        </w:tc>
        <w:tc>
          <w:tcPr>
            <w:tcW w:w="2585" w:type="dxa"/>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人均预期寿命（岁）</w:t>
            </w:r>
          </w:p>
        </w:tc>
        <w:tc>
          <w:tcPr>
            <w:tcW w:w="119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77.4</w:t>
            </w:r>
          </w:p>
        </w:tc>
        <w:tc>
          <w:tcPr>
            <w:tcW w:w="127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78.5</w:t>
            </w:r>
          </w:p>
        </w:tc>
        <w:tc>
          <w:tcPr>
            <w:tcW w:w="1316" w:type="dxa"/>
            <w:gridSpan w:val="2"/>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w:t>
            </w:r>
          </w:p>
        </w:tc>
        <w:tc>
          <w:tcPr>
            <w:tcW w:w="125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79.3</w:t>
            </w:r>
          </w:p>
        </w:tc>
        <w:tc>
          <w:tcPr>
            <w:tcW w:w="1270"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2" w:type="dxa"/>
            <w:vMerge w:val="restart"/>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绿色</w:t>
            </w:r>
          </w:p>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转型</w:t>
            </w:r>
          </w:p>
        </w:tc>
        <w:tc>
          <w:tcPr>
            <w:tcW w:w="558"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19</w:t>
            </w:r>
          </w:p>
        </w:tc>
        <w:tc>
          <w:tcPr>
            <w:tcW w:w="2585" w:type="dxa"/>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单位地区生产总值能源消耗降幅（%）</w:t>
            </w:r>
          </w:p>
        </w:tc>
        <w:tc>
          <w:tcPr>
            <w:tcW w:w="119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w:t>
            </w:r>
          </w:p>
        </w:tc>
        <w:tc>
          <w:tcPr>
            <w:tcW w:w="2562" w:type="dxa"/>
            <w:gridSpan w:val="2"/>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完成省下达任务</w:t>
            </w:r>
          </w:p>
        </w:tc>
        <w:tc>
          <w:tcPr>
            <w:tcW w:w="2554" w:type="dxa"/>
            <w:gridSpan w:val="3"/>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完成“十四五”任务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2" w:type="dxa"/>
            <w:vMerge w:val="continue"/>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p>
        </w:tc>
        <w:tc>
          <w:tcPr>
            <w:tcW w:w="558"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20</w:t>
            </w:r>
          </w:p>
        </w:tc>
        <w:tc>
          <w:tcPr>
            <w:tcW w:w="2585" w:type="dxa"/>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单位地区生产总值二氧化碳排放降幅（%）</w:t>
            </w:r>
          </w:p>
        </w:tc>
        <w:tc>
          <w:tcPr>
            <w:tcW w:w="119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w:t>
            </w:r>
          </w:p>
        </w:tc>
        <w:tc>
          <w:tcPr>
            <w:tcW w:w="2562" w:type="dxa"/>
            <w:gridSpan w:val="2"/>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完成省下达任务</w:t>
            </w:r>
          </w:p>
        </w:tc>
        <w:tc>
          <w:tcPr>
            <w:tcW w:w="2554" w:type="dxa"/>
            <w:gridSpan w:val="3"/>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完成“十四五”任务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2" w:type="dxa"/>
            <w:vMerge w:val="continue"/>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p>
        </w:tc>
        <w:tc>
          <w:tcPr>
            <w:tcW w:w="558"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21</w:t>
            </w:r>
          </w:p>
        </w:tc>
        <w:tc>
          <w:tcPr>
            <w:tcW w:w="2585" w:type="dxa"/>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县级及以上城市空气质量优良天数比例（%）</w:t>
            </w:r>
          </w:p>
        </w:tc>
        <w:tc>
          <w:tcPr>
            <w:tcW w:w="119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95</w:t>
            </w:r>
          </w:p>
        </w:tc>
        <w:tc>
          <w:tcPr>
            <w:tcW w:w="127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96</w:t>
            </w:r>
          </w:p>
        </w:tc>
        <w:tc>
          <w:tcPr>
            <w:tcW w:w="1316" w:type="dxa"/>
            <w:gridSpan w:val="2"/>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w:t>
            </w:r>
          </w:p>
        </w:tc>
        <w:tc>
          <w:tcPr>
            <w:tcW w:w="125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98.6</w:t>
            </w:r>
          </w:p>
        </w:tc>
        <w:tc>
          <w:tcPr>
            <w:tcW w:w="1270"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2" w:type="dxa"/>
            <w:vMerge w:val="continue"/>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p>
        </w:tc>
        <w:tc>
          <w:tcPr>
            <w:tcW w:w="558"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22</w:t>
            </w:r>
          </w:p>
        </w:tc>
        <w:tc>
          <w:tcPr>
            <w:tcW w:w="2585" w:type="dxa"/>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地表水达到或优于Ⅲ类水体比例（%）</w:t>
            </w:r>
          </w:p>
        </w:tc>
        <w:tc>
          <w:tcPr>
            <w:tcW w:w="119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100</w:t>
            </w:r>
          </w:p>
        </w:tc>
        <w:tc>
          <w:tcPr>
            <w:tcW w:w="127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100</w:t>
            </w:r>
          </w:p>
        </w:tc>
        <w:tc>
          <w:tcPr>
            <w:tcW w:w="1316" w:type="dxa"/>
            <w:gridSpan w:val="2"/>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w:t>
            </w:r>
          </w:p>
        </w:tc>
        <w:tc>
          <w:tcPr>
            <w:tcW w:w="125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100</w:t>
            </w:r>
          </w:p>
        </w:tc>
        <w:tc>
          <w:tcPr>
            <w:tcW w:w="1270"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2" w:type="dxa"/>
            <w:vMerge w:val="continue"/>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p>
        </w:tc>
        <w:tc>
          <w:tcPr>
            <w:tcW w:w="558"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23</w:t>
            </w:r>
          </w:p>
        </w:tc>
        <w:tc>
          <w:tcPr>
            <w:tcW w:w="2585" w:type="dxa"/>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森林覆盖率（%）</w:t>
            </w:r>
          </w:p>
        </w:tc>
        <w:tc>
          <w:tcPr>
            <w:tcW w:w="119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73.87</w:t>
            </w:r>
          </w:p>
        </w:tc>
        <w:tc>
          <w:tcPr>
            <w:tcW w:w="127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73.87</w:t>
            </w:r>
          </w:p>
        </w:tc>
        <w:tc>
          <w:tcPr>
            <w:tcW w:w="1316" w:type="dxa"/>
            <w:gridSpan w:val="2"/>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w:t>
            </w:r>
          </w:p>
        </w:tc>
        <w:tc>
          <w:tcPr>
            <w:tcW w:w="1255" w:type="dxa"/>
            <w:noWrap/>
            <w:vAlign w:val="center"/>
          </w:tcPr>
          <w:p>
            <w:pPr>
              <w:adjustRightInd w:val="0"/>
              <w:snapToGrid w:val="0"/>
              <w:ind w:left="-105" w:leftChars="-50" w:right="-105" w:rightChars="-5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73.88</w:t>
            </w:r>
          </w:p>
        </w:tc>
        <w:tc>
          <w:tcPr>
            <w:tcW w:w="1270"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2" w:type="dxa"/>
            <w:vMerge w:val="restart"/>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安全</w:t>
            </w:r>
          </w:p>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保障</w:t>
            </w:r>
          </w:p>
        </w:tc>
        <w:tc>
          <w:tcPr>
            <w:tcW w:w="558"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24</w:t>
            </w:r>
          </w:p>
        </w:tc>
        <w:tc>
          <w:tcPr>
            <w:tcW w:w="2585" w:type="dxa"/>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粮食综合生产能力（亿斤）</w:t>
            </w:r>
          </w:p>
        </w:tc>
        <w:tc>
          <w:tcPr>
            <w:tcW w:w="119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13.27</w:t>
            </w:r>
          </w:p>
        </w:tc>
        <w:tc>
          <w:tcPr>
            <w:tcW w:w="127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13.3以上</w:t>
            </w:r>
          </w:p>
        </w:tc>
        <w:tc>
          <w:tcPr>
            <w:tcW w:w="1316" w:type="dxa"/>
            <w:gridSpan w:val="2"/>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w:t>
            </w:r>
          </w:p>
        </w:tc>
        <w:tc>
          <w:tcPr>
            <w:tcW w:w="125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13.46</w:t>
            </w:r>
          </w:p>
        </w:tc>
        <w:tc>
          <w:tcPr>
            <w:tcW w:w="1270"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2" w:type="dxa"/>
            <w:vMerge w:val="continue"/>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p>
        </w:tc>
        <w:tc>
          <w:tcPr>
            <w:tcW w:w="558"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25</w:t>
            </w:r>
          </w:p>
        </w:tc>
        <w:tc>
          <w:tcPr>
            <w:tcW w:w="2585" w:type="dxa"/>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能源综合生产能力（万吨标准煤）</w:t>
            </w:r>
          </w:p>
        </w:tc>
        <w:tc>
          <w:tcPr>
            <w:tcW w:w="119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w:t>
            </w:r>
          </w:p>
        </w:tc>
        <w:tc>
          <w:tcPr>
            <w:tcW w:w="2591" w:type="dxa"/>
            <w:gridSpan w:val="3"/>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完成市下达任务</w:t>
            </w:r>
          </w:p>
        </w:tc>
        <w:tc>
          <w:tcPr>
            <w:tcW w:w="2525" w:type="dxa"/>
            <w:gridSpan w:val="2"/>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完成“十四五”任务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2" w:type="dxa"/>
            <w:vMerge w:val="continue"/>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p>
        </w:tc>
        <w:tc>
          <w:tcPr>
            <w:tcW w:w="558"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26</w:t>
            </w:r>
          </w:p>
        </w:tc>
        <w:tc>
          <w:tcPr>
            <w:tcW w:w="2585" w:type="dxa"/>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亿元GDP生产安全事故死亡率（%）</w:t>
            </w:r>
          </w:p>
        </w:tc>
        <w:tc>
          <w:tcPr>
            <w:tcW w:w="119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w:t>
            </w:r>
          </w:p>
        </w:tc>
        <w:tc>
          <w:tcPr>
            <w:tcW w:w="2591" w:type="dxa"/>
            <w:gridSpan w:val="3"/>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东文宋体" w:hAnsi="东文宋体" w:eastAsia="东文宋体" w:cs="东文宋体"/>
                <w:color w:val="000000" w:themeColor="text1"/>
                <w:kern w:val="0"/>
                <w:sz w:val="24"/>
                <w:szCs w:val="24"/>
                <w14:textFill>
                  <w14:solidFill>
                    <w14:schemeClr w14:val="tx1"/>
                  </w14:solidFill>
                </w14:textFill>
              </w:rPr>
              <w:t>[-33％]</w:t>
            </w:r>
          </w:p>
        </w:tc>
        <w:tc>
          <w:tcPr>
            <w:tcW w:w="125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w:t>
            </w:r>
          </w:p>
        </w:tc>
        <w:tc>
          <w:tcPr>
            <w:tcW w:w="1270"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[-74.36]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106" w:type="dxa"/>
            <w:gridSpan w:val="9"/>
            <w:noWrap/>
            <w:vAlign w:val="center"/>
          </w:tcPr>
          <w:p>
            <w:pPr>
              <w:rPr>
                <w:rFonts w:hint="eastAsia"/>
                <w:color w:val="000000" w:themeColor="text1"/>
                <w14:textFill>
                  <w14:solidFill>
                    <w14:schemeClr w14:val="tx1"/>
                  </w14:solidFill>
                </w14:textFill>
              </w:rPr>
            </w:pPr>
            <w:r>
              <w:rPr>
                <w:rFonts w:ascii="Times New Roman" w:hAnsi="Times New Roman" w:eastAsia="仿宋_GB2312" w:cs="Times New Roman"/>
                <w:color w:val="000000" w:themeColor="text1"/>
                <w:szCs w:val="21"/>
                <w14:textFill>
                  <w14:solidFill>
                    <w14:schemeClr w14:val="tx1"/>
                  </w14:solidFill>
                </w14:textFill>
              </w:rPr>
              <w:t>［</w:t>
            </w:r>
            <w:r>
              <w:rPr>
                <w:rFonts w:hint="eastAsia" w:ascii="Times New Roman" w:hAnsi="Times New Roman" w:eastAsia="仿宋_GB2312" w:cs="Times New Roman"/>
                <w:color w:val="000000" w:themeColor="text1"/>
                <w:szCs w:val="21"/>
                <w14:textFill>
                  <w14:solidFill>
                    <w14:schemeClr w14:val="tx1"/>
                  </w14:solidFill>
                </w14:textFill>
              </w:rPr>
              <w:t xml:space="preserve"> </w:t>
            </w:r>
            <w:r>
              <w:rPr>
                <w:rFonts w:ascii="Times New Roman" w:hAnsi="Times New Roman" w:eastAsia="仿宋_GB2312" w:cs="Times New Roman"/>
                <w:color w:val="000000" w:themeColor="text1"/>
                <w:szCs w:val="21"/>
                <w14:textFill>
                  <w14:solidFill>
                    <w14:schemeClr w14:val="tx1"/>
                  </w14:solidFill>
                </w14:textFill>
              </w:rPr>
              <w:t>］表示累计数。</w:t>
            </w:r>
          </w:p>
        </w:tc>
      </w:tr>
    </w:tbl>
    <w:p>
      <w:pPr>
        <w:adjustRightInd w:val="0"/>
        <w:snapToGrid w:val="0"/>
        <w:spacing w:line="360" w:lineRule="auto"/>
        <w:jc w:val="left"/>
        <w:rPr>
          <w:rFonts w:hint="eastAsia" w:ascii="仿宋_GB2312" w:hAnsi="仿宋_GB2312" w:eastAsia="仿宋_GB2312" w:cs="仿宋_GB2312"/>
          <w:color w:val="000000" w:themeColor="text1"/>
          <w:sz w:val="32"/>
          <w:szCs w:val="32"/>
          <w14:textFill>
            <w14:solidFill>
              <w14:schemeClr w14:val="tx1"/>
            </w14:solidFill>
          </w14:textFill>
        </w:rPr>
      </w:pPr>
    </w:p>
    <w:p>
      <w:pPr>
        <w:widowControl/>
        <w:adjustRightInd w:val="0"/>
        <w:snapToGrid w:val="0"/>
        <w:spacing w:line="360" w:lineRule="auto"/>
        <w:jc w:val="lef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br w:type="page"/>
      </w:r>
    </w:p>
    <w:p>
      <w:pPr>
        <w:adjustRightInd w:val="0"/>
        <w:snapToGrid w:val="0"/>
        <w:spacing w:line="580" w:lineRule="exact"/>
        <w:jc w:val="center"/>
        <w:outlineLvl w:val="0"/>
        <w:rPr>
          <w:rFonts w:hint="eastAsia" w:ascii="方正小标宋简体" w:hAnsi="方正小标宋简体" w:eastAsia="方正小标宋简体" w:cs="方正小标宋简体"/>
          <w:color w:val="000000" w:themeColor="text1"/>
          <w:sz w:val="36"/>
          <w:szCs w:val="36"/>
          <w14:textFill>
            <w14:solidFill>
              <w14:schemeClr w14:val="tx1"/>
            </w14:solidFill>
          </w14:textFill>
        </w:rPr>
      </w:pPr>
      <w:bookmarkStart w:id="13" w:name="_Toc235000742"/>
      <w:bookmarkStart w:id="14" w:name="_Toc214552671"/>
      <w:r>
        <w:rPr>
          <w:rFonts w:hint="eastAsia" w:ascii="方正小标宋简体" w:hAnsi="方正小标宋简体" w:eastAsia="方正小标宋简体" w:cs="方正小标宋简体"/>
          <w:color w:val="000000" w:themeColor="text1"/>
          <w:sz w:val="36"/>
          <w:szCs w:val="36"/>
          <w14:textFill>
            <w14:solidFill>
              <w14:schemeClr w14:val="tx1"/>
            </w14:solidFill>
          </w14:textFill>
        </w:rPr>
        <w:t>第二章 会同县“十五五”时期</w:t>
      </w:r>
      <w:bookmarkEnd w:id="11"/>
      <w:r>
        <w:rPr>
          <w:rFonts w:hint="eastAsia" w:ascii="方正小标宋简体" w:hAnsi="方正小标宋简体" w:eastAsia="方正小标宋简体" w:cs="方正小标宋简体"/>
          <w:color w:val="000000" w:themeColor="text1"/>
          <w:sz w:val="36"/>
          <w:szCs w:val="36"/>
          <w14:textFill>
            <w14:solidFill>
              <w14:schemeClr w14:val="tx1"/>
            </w14:solidFill>
          </w14:textFill>
        </w:rPr>
        <w:t>发展形势</w:t>
      </w:r>
      <w:bookmarkEnd w:id="13"/>
      <w:bookmarkEnd w:id="14"/>
    </w:p>
    <w:p>
      <w:pPr>
        <w:adjustRightInd w:val="0"/>
        <w:snapToGrid w:val="0"/>
        <w:spacing w:line="580" w:lineRule="exact"/>
        <w:rPr>
          <w:rFonts w:ascii="Times New Roman" w:hAnsi="Times New Roman" w:eastAsia="仿宋_GB2312" w:cs="Times New Roman"/>
          <w:color w:val="000000" w:themeColor="text1"/>
          <w:sz w:val="30"/>
          <w:szCs w:val="30"/>
          <w14:textFill>
            <w14:solidFill>
              <w14:schemeClr w14:val="tx1"/>
            </w14:solidFill>
          </w14:textFill>
        </w:rPr>
      </w:pPr>
    </w:p>
    <w:p>
      <w:pPr>
        <w:adjustRightInd w:val="0"/>
        <w:snapToGrid w:val="0"/>
        <w:spacing w:line="58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十五五”时期是基本实现社会主义现代化夯实基础、全面发力的关键时期，在全面建设社会主义现代化国家新征程中承前启后。面对深刻复杂的变化，必须坚持高质量发展，抢抓机遇、应对挑战、主动作为、善作善成，努力开创会同发展新局面。</w:t>
      </w:r>
    </w:p>
    <w:p>
      <w:pPr>
        <w:pStyle w:val="24"/>
        <w:widowControl w:val="0"/>
        <w:adjustRightInd w:val="0"/>
        <w:snapToGrid w:val="0"/>
        <w:spacing w:line="580" w:lineRule="exact"/>
        <w:rPr>
          <w:rFonts w:hint="eastAsia"/>
          <w:color w:val="000000" w:themeColor="text1"/>
          <w14:textFill>
            <w14:solidFill>
              <w14:schemeClr w14:val="tx1"/>
            </w14:solidFill>
          </w14:textFill>
        </w:rPr>
      </w:pPr>
    </w:p>
    <w:p>
      <w:pPr>
        <w:adjustRightInd w:val="0"/>
        <w:snapToGrid w:val="0"/>
        <w:spacing w:line="580" w:lineRule="exact"/>
        <w:jc w:val="center"/>
        <w:outlineLvl w:val="1"/>
        <w:rPr>
          <w:rFonts w:hint="eastAsia" w:ascii="国标黑体" w:hAnsi="国标黑体" w:eastAsia="国标黑体" w:cs="国标黑体"/>
          <w:color w:val="000000" w:themeColor="text1"/>
          <w:sz w:val="32"/>
          <w:szCs w:val="32"/>
          <w14:textFill>
            <w14:solidFill>
              <w14:schemeClr w14:val="tx1"/>
            </w14:solidFill>
          </w14:textFill>
        </w:rPr>
      </w:pPr>
      <w:bookmarkStart w:id="15" w:name="_Toc235000743"/>
      <w:bookmarkStart w:id="16" w:name="_Toc214552672"/>
      <w:r>
        <w:rPr>
          <w:rFonts w:hint="eastAsia" w:ascii="国标黑体" w:hAnsi="国标黑体" w:eastAsia="国标黑体" w:cs="国标黑体"/>
          <w:color w:val="000000" w:themeColor="text1"/>
          <w:sz w:val="32"/>
          <w:szCs w:val="32"/>
          <w14:textFill>
            <w14:solidFill>
              <w14:schemeClr w14:val="tx1"/>
            </w14:solidFill>
          </w14:textFill>
        </w:rPr>
        <w:t>第一节 会同县“十五五”时期发展机遇</w:t>
      </w:r>
      <w:bookmarkEnd w:id="15"/>
      <w:bookmarkEnd w:id="16"/>
    </w:p>
    <w:p>
      <w:pPr>
        <w:adjustRightInd w:val="0"/>
        <w:snapToGrid w:val="0"/>
        <w:spacing w:line="580" w:lineRule="exact"/>
        <w:ind w:firstLine="643" w:firstLineChars="200"/>
        <w:rPr>
          <w:rFonts w:hint="eastAsia" w:ascii="楷体_GB2312" w:hAnsi="楷体_GB2312" w:eastAsia="楷体_GB2312" w:cs="楷体_GB2312"/>
          <w:b/>
          <w:bCs/>
          <w:color w:val="000000" w:themeColor="text1"/>
          <w:sz w:val="32"/>
          <w:szCs w:val="32"/>
          <w14:textFill>
            <w14:solidFill>
              <w14:schemeClr w14:val="tx1"/>
            </w14:solidFill>
          </w14:textFill>
        </w:rPr>
      </w:pP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新一轮科技革命和产业变革深入推进，为会同产业转型升级注入新动能。</w:t>
      </w:r>
      <w:r>
        <w:rPr>
          <w:rFonts w:hint="eastAsia" w:ascii="仿宋_GB2312" w:hAnsi="仿宋_GB2312" w:eastAsia="仿宋_GB2312" w:cs="仿宋_GB2312"/>
          <w:color w:val="000000" w:themeColor="text1"/>
          <w:sz w:val="32"/>
          <w:szCs w:val="32"/>
          <w14:textFill>
            <w14:solidFill>
              <w14:schemeClr w14:val="tx1"/>
            </w14:solidFill>
          </w14:textFill>
        </w:rPr>
        <w:t>当前，以人工智能为代表的新一轮科技革命和产业变革在全球范围内深入推进，新兴技术间高度融合、不断渗透，创造出了具有跨越传统产业边界的新产品、新业态、新模式。空天信息、人工智能、下一代材料、量子计算、再生能源等未来技术、未来产业正在加快涌现，呈现出蓬勃发展之势，推动人类经济发展迈向新的时代。这不仅开辟了大量产业新赛道，为会同培育壮大新兴产业和未来产业提供了更多的发展选择、拓展了新的发展空间。通过推动科技平台建设、发挥企业创新主体作用，助力会同摆脱传统的资源、要素、机制束缚，加快传统产业转型升级，推动经济高质量发展。</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国家扩内需促消费政策深入实施，为会同推动经济稳增长夯实新支柱。</w:t>
      </w:r>
      <w:r>
        <w:rPr>
          <w:rFonts w:hint="eastAsia" w:ascii="仿宋_GB2312" w:hAnsi="仿宋_GB2312" w:eastAsia="仿宋_GB2312" w:cs="仿宋_GB2312"/>
          <w:color w:val="000000" w:themeColor="text1"/>
          <w:sz w:val="32"/>
          <w:szCs w:val="32"/>
          <w14:textFill>
            <w14:solidFill>
              <w14:schemeClr w14:val="tx1"/>
            </w14:solidFill>
          </w14:textFill>
        </w:rPr>
        <w:t>国家持续加码扩内需促消费刺激政策，“以旧换新”政策扩围加力，通过培育新兴消费场景、扩大服务领域开放、提升消费能力等多种方式扩内需促消费，成为推动经济健康持续增长的重要支柱。会同是传统农业大县，经济发展受消费疲软、价格下滑影响严重，面临较大稳增长压力，国家大力度刺激内需，有助于会同更好地发挥怀化国际陆港·会同分港的开放平台优势，拓展会同特色产品的内外贸市场，为持续激发本地消费潜能注入新动能。</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新型城镇化战略深度落实，为会同推动城乡融合发展指明新方向。</w:t>
      </w:r>
      <w:r>
        <w:rPr>
          <w:rFonts w:hint="eastAsia" w:ascii="仿宋_GB2312" w:hAnsi="仿宋_GB2312" w:eastAsia="仿宋_GB2312" w:cs="仿宋_GB2312"/>
          <w:color w:val="000000" w:themeColor="text1"/>
          <w:sz w:val="32"/>
          <w:szCs w:val="32"/>
          <w14:textFill>
            <w14:solidFill>
              <w14:schemeClr w14:val="tx1"/>
            </w14:solidFill>
          </w14:textFill>
        </w:rPr>
        <w:t>近年来，国家深入实施以城乡统筹、城乡一体、产城互动、节约集约、生态宜居、和谐发展为特征的新型城镇化战略，以打破城乡分割壁垒、实现城乡要素自由流动和平等交换，加快推动乡村全面振兴、促进城乡深度融合。进入新时期以来，会同推动新型城镇化面临着新形势新任务，亟须找准新方向、探索新路径。国家深入实施新型城镇化战略，将引导会同聚焦促进城乡产业协同发展、推动城乡基础设施互联互通、推进城乡基本公共服务均等化、加强城乡生态建设和环境保护等关键举措，高质量打造城乡融合发展先行区，实现乡村全面振兴与新型城镇化有机统一，构建人与自然和谐共生的新型城乡关系。</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以人为本治理理念深入人心，为会同加快社会治理现代化拓展新路径。</w:t>
      </w:r>
      <w:r>
        <w:rPr>
          <w:rFonts w:hint="eastAsia" w:ascii="仿宋_GB2312" w:hAnsi="仿宋_GB2312" w:eastAsia="仿宋_GB2312" w:cs="仿宋_GB2312"/>
          <w:color w:val="000000" w:themeColor="text1"/>
          <w:sz w:val="32"/>
          <w:szCs w:val="32"/>
          <w14:textFill>
            <w14:solidFill>
              <w14:schemeClr w14:val="tx1"/>
            </w14:solidFill>
          </w14:textFill>
        </w:rPr>
        <w:t>随着经济发展质量和人民生活水平大幅提升，对社会治理现代化的需求不断上升，以人民为中心、尊重人的主体地位、保障人的基本权利、满足人的合理需求的治理理念逐步深入人心，成为推动国家治理现代化的核心价值观。会同作为后发地区，在经济发展、社会治理、民生保障等领域还有较大提升空间，以人为本治理理念的树立，有助于会同提前响应社会发展和民生需求变化趋势，加快在民生保障、应急安全、公共服务等领域深化改革，探索新的社会治理模式和路径，补足发展短板，增强吸引力和凝聚力，建设更高水平的平安会同、幸福会同，实现社会治理现代化转型和人的全面发展。</w:t>
      </w:r>
    </w:p>
    <w:p>
      <w:pPr>
        <w:adjustRightInd w:val="0"/>
        <w:snapToGrid w:val="0"/>
        <w:spacing w:line="580" w:lineRule="exact"/>
        <w:rPr>
          <w:rFonts w:hint="eastAsia"/>
          <w:color w:val="000000" w:themeColor="text1"/>
          <w14:textFill>
            <w14:solidFill>
              <w14:schemeClr w14:val="tx1"/>
            </w14:solidFill>
          </w14:textFill>
        </w:rPr>
      </w:pPr>
    </w:p>
    <w:p>
      <w:pPr>
        <w:adjustRightInd w:val="0"/>
        <w:snapToGrid w:val="0"/>
        <w:spacing w:line="580" w:lineRule="exact"/>
        <w:jc w:val="center"/>
        <w:outlineLvl w:val="1"/>
        <w:rPr>
          <w:rFonts w:hint="eastAsia" w:ascii="国标黑体" w:hAnsi="国标黑体" w:eastAsia="国标黑体" w:cs="国标黑体"/>
          <w:color w:val="000000" w:themeColor="text1"/>
          <w:sz w:val="32"/>
          <w:szCs w:val="32"/>
          <w14:textFill>
            <w14:solidFill>
              <w14:schemeClr w14:val="tx1"/>
            </w14:solidFill>
          </w14:textFill>
        </w:rPr>
      </w:pPr>
      <w:bookmarkStart w:id="17" w:name="_Toc214552673"/>
      <w:bookmarkStart w:id="18" w:name="_Toc235000744"/>
      <w:bookmarkStart w:id="19" w:name="_Toc7800"/>
      <w:bookmarkStart w:id="20" w:name="_Toc212042410"/>
      <w:r>
        <w:rPr>
          <w:rFonts w:hint="eastAsia" w:ascii="国标黑体" w:hAnsi="国标黑体" w:eastAsia="国标黑体" w:cs="国标黑体"/>
          <w:color w:val="000000" w:themeColor="text1"/>
          <w:sz w:val="32"/>
          <w:szCs w:val="32"/>
          <w14:textFill>
            <w14:solidFill>
              <w14:schemeClr w14:val="tx1"/>
            </w14:solidFill>
          </w14:textFill>
        </w:rPr>
        <w:t>第二节 会同县“十五五”时期面临挑战</w:t>
      </w:r>
      <w:bookmarkEnd w:id="17"/>
      <w:bookmarkEnd w:id="18"/>
      <w:bookmarkEnd w:id="19"/>
      <w:bookmarkEnd w:id="20"/>
    </w:p>
    <w:p>
      <w:pPr>
        <w:adjustRightInd w:val="0"/>
        <w:snapToGrid w:val="0"/>
        <w:spacing w:line="580" w:lineRule="exact"/>
        <w:ind w:firstLine="602" w:firstLineChars="200"/>
        <w:rPr>
          <w:rFonts w:ascii="Times New Roman" w:hAnsi="Times New Roman" w:eastAsia="楷体" w:cs="Times New Roman"/>
          <w:b/>
          <w:bCs/>
          <w:color w:val="000000" w:themeColor="text1"/>
          <w:sz w:val="30"/>
          <w:szCs w:val="30"/>
          <w14:textFill>
            <w14:solidFill>
              <w14:schemeClr w14:val="tx1"/>
            </w14:solidFill>
          </w14:textFill>
        </w:rPr>
      </w:pP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全球产业链重构与科技竞争对传统制造业形成冲击。</w:t>
      </w:r>
      <w:r>
        <w:rPr>
          <w:rFonts w:hint="eastAsia" w:ascii="仿宋_GB2312" w:hAnsi="仿宋_GB2312" w:eastAsia="仿宋_GB2312" w:cs="仿宋_GB2312"/>
          <w:color w:val="000000" w:themeColor="text1"/>
          <w:sz w:val="32"/>
          <w:szCs w:val="32"/>
          <w14:textFill>
            <w14:solidFill>
              <w14:schemeClr w14:val="tx1"/>
            </w14:solidFill>
          </w14:textFill>
        </w:rPr>
        <w:t>在新一轮科技革命的推动下，全球产业链供应链进入深度变革期，各主要经济体加大资源投入，掀起了科技和新兴产业争夺战，在一定程度上挤占了传统产业的资源、要素和空间。与此同时，传统产业跨区域转移的张力不断加大，发达经济体在积极推动传统制造业回流，新兴产业加快承接传统产业转移深入推进工业化，传统产业正逐步向要素成本低、环境约束小的地区聚集。传统产业是我县主导产业，不仅面临着激烈的全球竞争和两头挤压，也需要应对新兴产业的资源和要素争夺，稳住增长势头难度大、空间小。</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区域竞争加剧与资源虹吸效应延缓新型城镇化进程。</w:t>
      </w:r>
      <w:r>
        <w:rPr>
          <w:rFonts w:hint="eastAsia" w:ascii="仿宋_GB2312" w:hAnsi="仿宋_GB2312" w:eastAsia="仿宋_GB2312" w:cs="仿宋_GB2312"/>
          <w:color w:val="000000" w:themeColor="text1"/>
          <w:sz w:val="32"/>
          <w:szCs w:val="32"/>
          <w14:textFill>
            <w14:solidFill>
              <w14:schemeClr w14:val="tx1"/>
            </w14:solidFill>
          </w14:textFill>
        </w:rPr>
        <w:t>我国正处在新旧动能转换、要素结构优化升级的关键阶段，传统赛道顶板效应渐显，新兴产业和未来产业尚未发展成势，人口红利逐步消失，引发了区域间关于产业、人才的激烈竞争，大城市与中小城市、城镇与乡村、东部与中西部之间同质化、低水</w:t>
      </w:r>
      <w:r>
        <w:rPr>
          <w:rFonts w:hint="eastAsia" w:ascii="仿宋_GB2312" w:hAnsi="仿宋_GB2312" w:eastAsia="仿宋_GB2312" w:cs="仿宋_GB2312"/>
          <w:color w:val="000000" w:themeColor="text1"/>
          <w:spacing w:val="6"/>
          <w:sz w:val="32"/>
          <w:szCs w:val="32"/>
          <w14:textFill>
            <w14:solidFill>
              <w14:schemeClr w14:val="tx1"/>
            </w14:solidFill>
          </w14:textFill>
        </w:rPr>
        <w:t>平竞争加剧。我县作为西南小城，相较于中心城市，在产业发展、社会服务、城市品质方面缺乏比较竞争优势，可能会面临较大的资源被虹吸压力，如果人口大量减少、产业大量萎缩，将难以支撑经济社会健康发展，不利于长期推动新型城镇化进程。</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“双碳”目标的刚性约束加大绿色转型压力。</w:t>
      </w:r>
      <w:r>
        <w:rPr>
          <w:rFonts w:hint="eastAsia" w:ascii="仿宋_GB2312" w:hAnsi="仿宋_GB2312" w:eastAsia="仿宋_GB2312" w:cs="仿宋_GB2312"/>
          <w:color w:val="000000" w:themeColor="text1"/>
          <w:sz w:val="32"/>
          <w:szCs w:val="32"/>
          <w14:textFill>
            <w14:solidFill>
              <w14:schemeClr w14:val="tx1"/>
            </w14:solidFill>
          </w14:textFill>
        </w:rPr>
        <w:t>绿色发展是时代所趋、全球共识，实现碳达峰碳中和是贯彻新发展理念、构建新发展格局、推动高质量发展的内在要求，是党中央统筹国内国际两个大局作出的重大战略决策，更是中国面向全球的庄严承诺。随着2035年碳达峰时间节点即将临近，实现“双碳”目标的任务越来越重，经济社会发展的绿色约束越来越大。我县产业结构以传统产业为主，附加值偏低，财税增收空间有限，面临日益趋紧的“双碳”目标，社会转型将面临绿色发展与经济稳增长的双重压力，亟须加快产业结构优化调整，实现系统性转型升级。</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外部环境急剧变化的不确定性引致外向发展空间受限受阻。</w:t>
      </w:r>
      <w:r>
        <w:rPr>
          <w:rFonts w:hint="eastAsia" w:ascii="仿宋_GB2312" w:hAnsi="仿宋_GB2312" w:eastAsia="仿宋_GB2312" w:cs="仿宋_GB2312"/>
          <w:color w:val="000000" w:themeColor="text1"/>
          <w:sz w:val="32"/>
          <w:szCs w:val="32"/>
          <w14:textFill>
            <w14:solidFill>
              <w14:schemeClr w14:val="tx1"/>
            </w14:solidFill>
          </w14:textFill>
        </w:rPr>
        <w:t>在全球迎来百年未有之大变局的背景下，世界政治经济格局加快重塑，大国博弈不断升级加剧了全球经济的不确定性。我县经济发展对外依赖度不断提升，复杂多变的全球经济形势，加剧了会同拓展外向发展空间的不确定性，资源进口和产品出口可能严重受限受阻，导致企业生产经营严重承压，保持经济较快增长面临挑战。</w:t>
      </w:r>
      <w:bookmarkStart w:id="21" w:name="_Toc204113833"/>
    </w:p>
    <w:p>
      <w:pPr>
        <w:pStyle w:val="2"/>
        <w:spacing w:after="0" w:line="580" w:lineRule="exact"/>
        <w:rPr>
          <w:color w:val="000000" w:themeColor="text1"/>
          <w14:textFill>
            <w14:solidFill>
              <w14:schemeClr w14:val="tx1"/>
            </w14:solidFill>
          </w14:textFill>
        </w:rPr>
      </w:pPr>
    </w:p>
    <w:p>
      <w:pPr>
        <w:adjustRightInd w:val="0"/>
        <w:snapToGrid w:val="0"/>
        <w:spacing w:line="360" w:lineRule="auto"/>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sectPr>
          <w:footerReference r:id="rId6" w:type="default"/>
          <w:pgSz w:w="11906" w:h="16838"/>
          <w:pgMar w:top="2098" w:right="1531" w:bottom="1871" w:left="1531" w:header="851" w:footer="1021" w:gutter="0"/>
          <w:pgNumType w:fmt="numberInDash"/>
          <w:cols w:space="0" w:num="1"/>
          <w:docGrid w:type="lines" w:linePitch="312" w:charSpace="0"/>
        </w:sectPr>
      </w:pPr>
    </w:p>
    <w:bookmarkEnd w:id="21"/>
    <w:p>
      <w:pPr>
        <w:adjustRightInd w:val="0"/>
        <w:snapToGrid w:val="0"/>
        <w:spacing w:line="580" w:lineRule="exact"/>
        <w:jc w:val="center"/>
        <w:outlineLvl w:val="0"/>
        <w:rPr>
          <w:rFonts w:hint="eastAsia" w:ascii="方正小标宋简体" w:hAnsi="方正小标宋简体" w:eastAsia="方正小标宋简体" w:cs="方正小标宋简体"/>
          <w:color w:val="000000" w:themeColor="text1"/>
          <w:sz w:val="36"/>
          <w:szCs w:val="36"/>
          <w14:textFill>
            <w14:solidFill>
              <w14:schemeClr w14:val="tx1"/>
            </w14:solidFill>
          </w14:textFill>
        </w:rPr>
      </w:pPr>
      <w:bookmarkStart w:id="22" w:name="_Toc9414"/>
      <w:bookmarkStart w:id="23" w:name="_Toc212042411"/>
      <w:bookmarkStart w:id="24" w:name="_Toc214552674"/>
      <w:bookmarkStart w:id="25" w:name="_Toc235000745"/>
      <w:r>
        <w:rPr>
          <w:rFonts w:hint="eastAsia" w:ascii="方正小标宋简体" w:hAnsi="方正小标宋简体" w:eastAsia="方正小标宋简体" w:cs="方正小标宋简体"/>
          <w:color w:val="000000" w:themeColor="text1"/>
          <w:sz w:val="36"/>
          <w:szCs w:val="36"/>
          <w14:textFill>
            <w14:solidFill>
              <w14:schemeClr w14:val="tx1"/>
            </w14:solidFill>
          </w14:textFill>
        </w:rPr>
        <w:t>第三章</w:t>
      </w:r>
      <w:bookmarkEnd w:id="22"/>
      <w:bookmarkEnd w:id="23"/>
      <w:r>
        <w:rPr>
          <w:rFonts w:hint="eastAsia" w:ascii="方正小标宋简体" w:hAnsi="方正小标宋简体" w:eastAsia="方正小标宋简体" w:cs="方正小标宋简体"/>
          <w:color w:val="000000" w:themeColor="text1"/>
          <w:sz w:val="36"/>
          <w:szCs w:val="36"/>
          <w14:textFill>
            <w14:solidFill>
              <w14:schemeClr w14:val="tx1"/>
            </w14:solidFill>
          </w14:textFill>
        </w:rPr>
        <w:t xml:space="preserve"> 会同县“十五五”时期发展目标与总体思路</w:t>
      </w:r>
      <w:bookmarkEnd w:id="24"/>
      <w:bookmarkEnd w:id="25"/>
    </w:p>
    <w:p>
      <w:pPr>
        <w:adjustRightInd w:val="0"/>
        <w:snapToGrid w:val="0"/>
        <w:spacing w:line="580" w:lineRule="exact"/>
        <w:rPr>
          <w:rFonts w:ascii="Times New Roman" w:hAnsi="Times New Roman" w:eastAsia="方正小标宋_GBK" w:cs="Times New Roman"/>
          <w:color w:val="000000" w:themeColor="text1"/>
          <w:sz w:val="32"/>
          <w:szCs w:val="32"/>
          <w14:textFill>
            <w14:solidFill>
              <w14:schemeClr w14:val="tx1"/>
            </w14:solidFill>
          </w14:textFill>
        </w:rPr>
      </w:pPr>
    </w:p>
    <w:p>
      <w:pPr>
        <w:adjustRightInd w:val="0"/>
        <w:snapToGrid w:val="0"/>
        <w:spacing w:line="580" w:lineRule="exact"/>
        <w:jc w:val="center"/>
        <w:outlineLvl w:val="1"/>
        <w:rPr>
          <w:rFonts w:hint="eastAsia" w:ascii="黑体" w:hAnsi="黑体" w:eastAsia="黑体" w:cs="黑体"/>
          <w:color w:val="000000" w:themeColor="text1"/>
          <w:sz w:val="32"/>
          <w:szCs w:val="32"/>
          <w14:textFill>
            <w14:solidFill>
              <w14:schemeClr w14:val="tx1"/>
            </w14:solidFill>
          </w14:textFill>
        </w:rPr>
      </w:pPr>
      <w:bookmarkStart w:id="26" w:name="_Toc214552675"/>
      <w:bookmarkStart w:id="27" w:name="_Toc17183"/>
      <w:bookmarkStart w:id="28" w:name="_Toc235000746"/>
      <w:bookmarkStart w:id="29" w:name="_Toc212042412"/>
      <w:r>
        <w:rPr>
          <w:rFonts w:hint="eastAsia" w:ascii="黑体" w:hAnsi="黑体" w:eastAsia="黑体" w:cs="黑体"/>
          <w:color w:val="000000" w:themeColor="text1"/>
          <w:sz w:val="32"/>
          <w:szCs w:val="32"/>
          <w14:textFill>
            <w14:solidFill>
              <w14:schemeClr w14:val="tx1"/>
            </w14:solidFill>
          </w14:textFill>
        </w:rPr>
        <w:t>第一节 指导思想</w:t>
      </w:r>
      <w:bookmarkEnd w:id="26"/>
      <w:bookmarkEnd w:id="27"/>
      <w:bookmarkEnd w:id="28"/>
      <w:bookmarkEnd w:id="29"/>
    </w:p>
    <w:p>
      <w:pPr>
        <w:adjustRightInd w:val="0"/>
        <w:snapToGrid w:val="0"/>
        <w:spacing w:line="58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p>
    <w:p>
      <w:pPr>
        <w:adjustRightInd w:val="0"/>
        <w:snapToGrid w:val="0"/>
        <w:spacing w:line="58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坚持马克思列宁主义、毛泽东思想、邓小平理论、“三个代表”重要思想、科学发展观，全面贯彻习近平新时代中国特色社会主义思想，深入贯彻党的二十大和二十届历次全会精神，围绕全面建成社会主义现代化强国、实现第二个百年奋斗目标，以中国式现代化全面推进中华民族伟大复兴，统筹推进“五位一体”总体布局，协调推进“四个全面”战略布局，完整准确全面贯彻新发展理念，加快构建新发展格局，坚持稳中求进工作总基调，坚持以经济建设为中心，以推动高质量发展为主题，以改革创新为根本动力，以满足人民日益增长的美好生活需要为根本目的，以全面从严治党为根本保障，锚定“三高四新”美好蓝图，积极融入“五新四城”战略，深入实施“1354”工程，推动经济实现质的有效提升和量的合理增长，确保我县基本实现社会主义现代化取得决定性进展。</w:t>
      </w:r>
    </w:p>
    <w:p>
      <w:pPr>
        <w:adjustRightInd w:val="0"/>
        <w:snapToGrid w:val="0"/>
        <w:spacing w:line="580" w:lineRule="exact"/>
        <w:jc w:val="center"/>
        <w:rPr>
          <w:rFonts w:hint="eastAsia" w:ascii="黑体" w:hAnsi="黑体" w:eastAsia="黑体" w:cs="黑体"/>
          <w:color w:val="000000" w:themeColor="text1"/>
          <w:sz w:val="30"/>
          <w:szCs w:val="30"/>
          <w14:textFill>
            <w14:solidFill>
              <w14:schemeClr w14:val="tx1"/>
            </w14:solidFill>
          </w14:textFill>
        </w:rPr>
      </w:pPr>
      <w:bookmarkStart w:id="30" w:name="_Toc10433"/>
      <w:bookmarkStart w:id="31" w:name="_Toc212042414"/>
      <w:bookmarkStart w:id="32" w:name="_Toc214552677"/>
    </w:p>
    <w:p>
      <w:pPr>
        <w:adjustRightInd w:val="0"/>
        <w:snapToGrid w:val="0"/>
        <w:spacing w:line="580" w:lineRule="exact"/>
        <w:jc w:val="center"/>
        <w:outlineLvl w:val="1"/>
        <w:rPr>
          <w:rFonts w:hint="eastAsia" w:ascii="黑体" w:hAnsi="黑体" w:eastAsia="黑体" w:cs="黑体"/>
          <w:color w:val="000000" w:themeColor="text1"/>
          <w:sz w:val="32"/>
          <w:szCs w:val="32"/>
          <w14:textFill>
            <w14:solidFill>
              <w14:schemeClr w14:val="tx1"/>
            </w14:solidFill>
          </w14:textFill>
        </w:rPr>
      </w:pPr>
      <w:bookmarkStart w:id="33" w:name="_Toc235000747"/>
      <w:r>
        <w:rPr>
          <w:rFonts w:hint="eastAsia" w:ascii="黑体" w:hAnsi="黑体" w:eastAsia="黑体" w:cs="黑体"/>
          <w:color w:val="000000" w:themeColor="text1"/>
          <w:sz w:val="32"/>
          <w:szCs w:val="32"/>
          <w14:textFill>
            <w14:solidFill>
              <w14:schemeClr w14:val="tx1"/>
            </w14:solidFill>
          </w14:textFill>
        </w:rPr>
        <w:t>第二节 基本原则</w:t>
      </w:r>
      <w:bookmarkEnd w:id="30"/>
      <w:bookmarkEnd w:id="31"/>
      <w:bookmarkEnd w:id="32"/>
      <w:bookmarkEnd w:id="33"/>
    </w:p>
    <w:p>
      <w:pPr>
        <w:adjustRightInd w:val="0"/>
        <w:snapToGrid w:val="0"/>
        <w:spacing w:line="580" w:lineRule="exact"/>
        <w:ind w:firstLine="600"/>
        <w:rPr>
          <w:rFonts w:hint="eastAsia" w:ascii="楷体_GB2312" w:hAnsi="楷体_GB2312" w:eastAsia="楷体_GB2312" w:cs="楷体_GB2312"/>
          <w:b/>
          <w:bCs/>
          <w:color w:val="000000" w:themeColor="text1"/>
          <w:sz w:val="30"/>
          <w:szCs w:val="30"/>
          <w14:textFill>
            <w14:solidFill>
              <w14:schemeClr w14:val="tx1"/>
            </w14:solidFill>
          </w14:textFill>
        </w:rPr>
      </w:pPr>
    </w:p>
    <w:p>
      <w:pPr>
        <w:adjustRightInd w:val="0"/>
        <w:snapToGrid w:val="0"/>
        <w:spacing w:line="580" w:lineRule="exact"/>
        <w:ind w:firstLine="6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——坚持党的全面领导。</w:t>
      </w:r>
      <w:r>
        <w:rPr>
          <w:rFonts w:hint="eastAsia" w:ascii="仿宋_GB2312" w:hAnsi="仿宋_GB2312" w:eastAsia="仿宋_GB2312" w:cs="仿宋_GB2312"/>
          <w:color w:val="000000" w:themeColor="text1"/>
          <w:sz w:val="32"/>
          <w:szCs w:val="32"/>
          <w14:textFill>
            <w14:solidFill>
              <w14:schemeClr w14:val="tx1"/>
            </w14:solidFill>
          </w14:textFill>
        </w:rPr>
        <w:t>坚决维护党中央权威和集中统一领导，全面贯彻党中央决策部署，充分发挥党总揽全局、协调各方的领导核心作用。完善党领导经济社会发展的体制机制，将党的领导贯穿规划制定、实施和监督全过程，确保发展方向与党中央始终保持一致，为深入实施“1354”工程提供坚强政治保证。</w:t>
      </w:r>
    </w:p>
    <w:p>
      <w:pPr>
        <w:adjustRightInd w:val="0"/>
        <w:snapToGrid w:val="0"/>
        <w:spacing w:line="580" w:lineRule="exact"/>
        <w:ind w:firstLine="601"/>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——坚持人民至上。</w:t>
      </w:r>
      <w:r>
        <w:rPr>
          <w:rFonts w:hint="eastAsia" w:ascii="仿宋_GB2312" w:hAnsi="仿宋_GB2312" w:eastAsia="仿宋_GB2312" w:cs="仿宋_GB2312"/>
          <w:color w:val="000000" w:themeColor="text1"/>
          <w:sz w:val="32"/>
          <w:szCs w:val="32"/>
          <w14:textFill>
            <w14:solidFill>
              <w14:schemeClr w14:val="tx1"/>
            </w14:solidFill>
          </w14:textFill>
        </w:rPr>
        <w:t>认真践行以人民为中心的发展思想，紧紧依靠人民，维护人民根本利益，着力解决人民群众急难愁盼问题，促进社会公平正义，注重在发展中保障和改善民生，在满足民生需求中拓展发展空间，让发展成果更多更公平惠及全体人民。</w:t>
      </w:r>
    </w:p>
    <w:p>
      <w:pPr>
        <w:adjustRightInd w:val="0"/>
        <w:snapToGrid w:val="0"/>
        <w:spacing w:line="580" w:lineRule="exact"/>
        <w:ind w:firstLine="601"/>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——坚持高质量发展。</w:t>
      </w:r>
      <w:r>
        <w:rPr>
          <w:rFonts w:hint="eastAsia" w:ascii="仿宋_GB2312" w:hAnsi="仿宋_GB2312" w:eastAsia="仿宋_GB2312" w:cs="仿宋_GB2312"/>
          <w:color w:val="000000" w:themeColor="text1"/>
          <w:sz w:val="32"/>
          <w:szCs w:val="32"/>
          <w14:textFill>
            <w14:solidFill>
              <w14:schemeClr w14:val="tx1"/>
            </w14:solidFill>
          </w14:textFill>
        </w:rPr>
        <w:t>以新发展理念引领发展，围绕特色产业延链补链强链，因地制宜发展新质生产力，持续推动产业跃层升级，加快培育新动能，促进经济结构优化升级，做优增量、盘活存量，推动经济持续健康发展和社会全面进步。</w:t>
      </w:r>
    </w:p>
    <w:p>
      <w:pPr>
        <w:adjustRightInd w:val="0"/>
        <w:snapToGrid w:val="0"/>
        <w:spacing w:line="580" w:lineRule="exact"/>
        <w:ind w:firstLine="601"/>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——坚持全面深化改革。</w:t>
      </w:r>
      <w:r>
        <w:rPr>
          <w:rFonts w:hint="eastAsia" w:ascii="仿宋_GB2312" w:hAnsi="仿宋_GB2312" w:eastAsia="仿宋_GB2312" w:cs="仿宋_GB2312"/>
          <w:color w:val="000000" w:themeColor="text1"/>
          <w:sz w:val="32"/>
          <w:szCs w:val="32"/>
          <w14:textFill>
            <w14:solidFill>
              <w14:schemeClr w14:val="tx1"/>
            </w14:solidFill>
          </w14:textFill>
        </w:rPr>
        <w:t>聚焦制约高质量发展的体制机制障碍，深化重点领域体制机制改革，破除创新要素流动壁垒，建设区域性创新高地。扩大高水平开放，深化区域联动。不断加强和创新社会治理，持续增强发展动力和社会活力。</w:t>
      </w:r>
    </w:p>
    <w:p>
      <w:pPr>
        <w:adjustRightInd w:val="0"/>
        <w:snapToGrid w:val="0"/>
        <w:spacing w:line="580" w:lineRule="exact"/>
        <w:ind w:firstLine="6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——坚持有效市场和有为政府相结合。</w:t>
      </w:r>
      <w:r>
        <w:rPr>
          <w:rFonts w:hint="eastAsia" w:ascii="仿宋_GB2312" w:hAnsi="仿宋_GB2312" w:eastAsia="仿宋_GB2312" w:cs="仿宋_GB2312"/>
          <w:color w:val="000000" w:themeColor="text1"/>
          <w:sz w:val="32"/>
          <w:szCs w:val="32"/>
          <w14:textFill>
            <w14:solidFill>
              <w14:schemeClr w14:val="tx1"/>
            </w14:solidFill>
          </w14:textFill>
        </w:rPr>
        <w:t>深化要素市场化配置改革，充分发挥市场在资源配置中的决定性作用，更好发挥政府在政策引导、市场监管、公共服务中的作用，强化要素保障和惠企政策直达，打造市场化、法治化的一流营商环境。</w:t>
      </w:r>
    </w:p>
    <w:p>
      <w:pPr>
        <w:adjustRightInd w:val="0"/>
        <w:snapToGrid w:val="0"/>
        <w:spacing w:line="580" w:lineRule="exact"/>
        <w:ind w:firstLine="6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——坚持统筹发展和安全。</w:t>
      </w:r>
      <w:r>
        <w:rPr>
          <w:rFonts w:hint="eastAsia" w:ascii="仿宋_GB2312" w:hAnsi="仿宋_GB2312" w:eastAsia="仿宋_GB2312" w:cs="仿宋_GB2312"/>
          <w:color w:val="000000" w:themeColor="text1"/>
          <w:sz w:val="32"/>
          <w:szCs w:val="32"/>
          <w14:textFill>
            <w14:solidFill>
              <w14:schemeClr w14:val="tx1"/>
            </w14:solidFill>
          </w14:textFill>
        </w:rPr>
        <w:t>在发展中固安全，在安全中谋发展，强化底线思维，精准有效防范化解财政金融、生态环境、自然灾害等各类风险，守牢安全底线，以新安全格局保障新发展格局，以高水平安全保障高质量发展，推动构建更高水平平安会同。</w:t>
      </w:r>
      <w:bookmarkStart w:id="34" w:name="_Toc18983"/>
      <w:bookmarkStart w:id="35" w:name="_Toc212042415"/>
      <w:bookmarkStart w:id="36" w:name="_Toc214552678"/>
    </w:p>
    <w:p>
      <w:pPr>
        <w:adjustRightInd w:val="0"/>
        <w:snapToGrid w:val="0"/>
        <w:spacing w:line="580" w:lineRule="exact"/>
        <w:rPr>
          <w:rFonts w:hint="eastAsia" w:ascii="黑体" w:hAnsi="黑体" w:eastAsia="黑体" w:cs="黑体"/>
          <w:color w:val="000000" w:themeColor="text1"/>
          <w:sz w:val="30"/>
          <w:szCs w:val="30"/>
          <w14:textFill>
            <w14:solidFill>
              <w14:schemeClr w14:val="tx1"/>
            </w14:solidFill>
          </w14:textFill>
        </w:rPr>
      </w:pPr>
    </w:p>
    <w:p>
      <w:pPr>
        <w:adjustRightInd w:val="0"/>
        <w:snapToGrid w:val="0"/>
        <w:spacing w:line="580" w:lineRule="exact"/>
        <w:jc w:val="center"/>
        <w:outlineLvl w:val="1"/>
        <w:rPr>
          <w:rFonts w:hint="eastAsia" w:ascii="黑体" w:hAnsi="黑体" w:eastAsia="黑体" w:cs="黑体"/>
          <w:color w:val="000000" w:themeColor="text1"/>
          <w:sz w:val="32"/>
          <w:szCs w:val="32"/>
          <w14:textFill>
            <w14:solidFill>
              <w14:schemeClr w14:val="tx1"/>
            </w14:solidFill>
          </w14:textFill>
        </w:rPr>
      </w:pPr>
      <w:bookmarkStart w:id="37" w:name="_Toc235000748"/>
      <w:r>
        <w:rPr>
          <w:rFonts w:hint="eastAsia" w:ascii="黑体" w:hAnsi="黑体" w:eastAsia="黑体" w:cs="黑体"/>
          <w:color w:val="000000" w:themeColor="text1"/>
          <w:sz w:val="32"/>
          <w:szCs w:val="32"/>
          <w14:textFill>
            <w14:solidFill>
              <w14:schemeClr w14:val="tx1"/>
            </w14:solidFill>
          </w14:textFill>
        </w:rPr>
        <w:t>第三节 发展战略</w:t>
      </w:r>
      <w:bookmarkEnd w:id="37"/>
    </w:p>
    <w:p>
      <w:pPr>
        <w:pStyle w:val="83"/>
        <w:widowControl w:val="0"/>
        <w:adjustRightInd w:val="0"/>
        <w:snapToGrid w:val="0"/>
        <w:spacing w:line="580" w:lineRule="exact"/>
        <w:ind w:firstLine="601"/>
        <w:rPr>
          <w:rFonts w:hint="eastAsia" w:ascii="仿宋_GB2312" w:hAnsi="仿宋_GB2312" w:eastAsia="仿宋_GB2312" w:cs="仿宋_GB2312"/>
          <w:color w:val="000000" w:themeColor="text1"/>
          <w:sz w:val="30"/>
          <w:szCs w:val="30"/>
          <w14:textFill>
            <w14:solidFill>
              <w14:schemeClr w14:val="tx1"/>
            </w14:solidFill>
          </w14:textFill>
        </w:rPr>
      </w:pPr>
    </w:p>
    <w:p>
      <w:pPr>
        <w:adjustRightInd w:val="0"/>
        <w:snapToGrid w:val="0"/>
        <w:spacing w:line="580" w:lineRule="exact"/>
        <w:ind w:firstLine="6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1354”工程是“十四五”时期县委县政府对会同发展趋势的系统分析和科学谋划，必须长期坚持、久久为功。为巩固“1354”工程实施以来我县经济社会发展的良好势头，更好把握“十五五”发展的“时”与“势”，我县“十五五”期间战略构架为：持续实施“1354”工程，打造湘西南高质量发展新标杆。</w:t>
      </w:r>
    </w:p>
    <w:p>
      <w:pPr>
        <w:adjustRightInd w:val="0"/>
        <w:snapToGrid w:val="0"/>
        <w:spacing w:line="580" w:lineRule="exact"/>
        <w:ind w:firstLine="6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即以做强县城为总揽。“3”：即坚持生态立县、产业强县、科教兴县。“5”：即大力发展先进制造、绿色农林产品及其加工、医药大健康、新能源和生态文化旅游等五大产业。“4”：即建设特色产业发展样板区、城乡融合发展先行区、湘黔边区红色文化引领区、绿色低碳循环发展示范区。在“十五五”承前启后的关键时期，我县持续实施“1354”工程，将原“生态立县、产业兴县、教育强县”三大支柱迭代升级为“生态立县、产业强县、科教兴县”。</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——以做强县城为总揽。</w:t>
      </w:r>
      <w:r>
        <w:rPr>
          <w:rFonts w:hint="eastAsia" w:ascii="仿宋_GB2312" w:hAnsi="仿宋_GB2312" w:eastAsia="仿宋_GB2312" w:cs="仿宋_GB2312"/>
          <w:color w:val="000000" w:themeColor="text1"/>
          <w:sz w:val="32"/>
          <w:szCs w:val="32"/>
          <w14:textFill>
            <w14:solidFill>
              <w14:schemeClr w14:val="tx1"/>
            </w14:solidFill>
          </w14:textFill>
        </w:rPr>
        <w:t>依托县城作为县域政治、经济、文化中心的核心地位，统筹城乡融合发展，实施“北进、中提、西拓、南融”战略，推动空间扩容和路网升级、构建“三横五纵”城市骨架路网，深化“产城景”融合，挖掘产业潜力，串联工业园区、鹰嘴界生态区、城北新区等资源，持续提升县城能级，打造“产业强、功能优、生态美、活力足、辐射广”的现代化县城。</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——坚持生态立县。</w:t>
      </w:r>
      <w:r>
        <w:rPr>
          <w:rFonts w:hint="eastAsia" w:ascii="仿宋_GB2312" w:hAnsi="仿宋_GB2312" w:eastAsia="仿宋_GB2312" w:cs="仿宋_GB2312"/>
          <w:color w:val="000000" w:themeColor="text1"/>
          <w:sz w:val="32"/>
          <w:szCs w:val="32"/>
          <w14:textFill>
            <w14:solidFill>
              <w14:schemeClr w14:val="tx1"/>
            </w14:solidFill>
          </w14:textFill>
        </w:rPr>
        <w:t>深化“山水林田湖草沙”系统治理，实施生态资源保育工程，稳妥推进碳达峰碳中和，加快构建绿色低碳的生产方式和生活方式。依托鹰嘴界国家级自然保护区、渠水国家湿地公园等核心生态资源，积极探索生态产品价值实现的“会同路径”，加快推动生态保护与绿色产业、康养旅游深度融合。串联高椅古村、会同稻香诗田等原生态资源，打造生态康养旅游精品线路，擦亮“生态会同”名片。</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——坚持产业强县。</w:t>
      </w:r>
      <w:r>
        <w:rPr>
          <w:rFonts w:hint="eastAsia" w:ascii="仿宋_GB2312" w:hAnsi="仿宋_GB2312" w:eastAsia="仿宋_GB2312" w:cs="仿宋_GB2312"/>
          <w:color w:val="000000" w:themeColor="text1"/>
          <w:sz w:val="32"/>
          <w:szCs w:val="32"/>
          <w14:textFill>
            <w14:solidFill>
              <w14:schemeClr w14:val="tx1"/>
            </w14:solidFill>
          </w14:textFill>
        </w:rPr>
        <w:t>依托箱包、生猪、竹木加工等特色产业基础及龙头企业优势，以会同产业开发区为基础，重点发展高质量先进制造、高附加值绿色农林产品加工、高品质医药大健康、高效能新能源、高品味生态文旅等产业板块，挖掘产业链上下游资源，实施产业能级跃升工程，推动主导产业高端化、智能化、绿色化发展，打造特色工业集群发展精品带，为县域经济高质量发展注入新动能。</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——坚持科教兴县。</w:t>
      </w:r>
      <w:r>
        <w:rPr>
          <w:rFonts w:hint="eastAsia" w:ascii="仿宋_GB2312" w:hAnsi="仿宋_GB2312" w:eastAsia="仿宋_GB2312" w:cs="仿宋_GB2312"/>
          <w:color w:val="000000" w:themeColor="text1"/>
          <w:sz w:val="32"/>
          <w:szCs w:val="32"/>
          <w14:textFill>
            <w14:solidFill>
              <w14:schemeClr w14:val="tx1"/>
            </w14:solidFill>
          </w14:textFill>
        </w:rPr>
        <w:t>夯实“科创会同”发展根基，依托中科院和中南林业科技大学等国家级科研机构，共建产学研用一体化平台，深化“订单式”培养与校企协同攻关，将“产教融合”嵌入技术创新与成果转化链条。聚焦特色产业，依托链主企业积极建设省级以上企业技术中心和工程研究中心，加快培育高新技术企业、专精特新“小巨人”企业，创新科技成果转化方式。强化教育投入保障，持续改善中小学办学条件，有序扩大优质普通高中学位资源，大力实施教师素养提升工程，推动基础教育优质均衡发展。</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——建设特色产业发展样板区。</w:t>
      </w:r>
      <w:r>
        <w:rPr>
          <w:rFonts w:hint="eastAsia" w:ascii="仿宋_GB2312" w:hAnsi="仿宋_GB2312" w:eastAsia="仿宋_GB2312" w:cs="仿宋_GB2312"/>
          <w:color w:val="000000" w:themeColor="text1"/>
          <w:sz w:val="32"/>
          <w:szCs w:val="32"/>
          <w14:textFill>
            <w14:solidFill>
              <w14:schemeClr w14:val="tx1"/>
            </w14:solidFill>
          </w14:textFill>
        </w:rPr>
        <w:t>坚持特色资源、龙头企业、产业链条、产业园区“四位一体”，因地制宜培育壮大优势特色产业集群。持续加大产业扶持力度、优化产业布局、完善基础设施配套、提升产业服务水平。健全特色产业发展长效机制，培育壮大市场主体，不断优化特色产业发展环境，构建特色鲜明、优势突出的产业生态体系。加强与科研院所合作开展特色产业技术攻关，推进产学研用深度融合，加快特色产业专业人才培养体系建设，全力打造区域特色产业人才高地。</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——建设城乡融合发展先行区。</w:t>
      </w:r>
      <w:r>
        <w:rPr>
          <w:rFonts w:hint="eastAsia" w:ascii="仿宋_GB2312" w:hAnsi="仿宋_GB2312" w:eastAsia="仿宋_GB2312" w:cs="仿宋_GB2312"/>
          <w:color w:val="000000" w:themeColor="text1"/>
          <w:sz w:val="32"/>
          <w:szCs w:val="32"/>
          <w14:textFill>
            <w14:solidFill>
              <w14:schemeClr w14:val="tx1"/>
            </w14:solidFill>
          </w14:textFill>
        </w:rPr>
        <w:t>坚持以城乡统筹引领协调发展，因地制宜破解城乡二元结构。加强城乡融合发展研究实践，推进城乡规划一张蓝图、基础设施互联互通、公共服务普惠共享，加快体制机制创新。持续优化城乡空间布局、改善城乡人居环境、健全城乡要素流通机制、提升城乡治理效能，完善城乡融合发展政策体系，激发城乡发展内生动力。</w:t>
      </w:r>
    </w:p>
    <w:p>
      <w:pPr>
        <w:keepNext w:val="0"/>
        <w:keepLines w:val="0"/>
        <w:pageBreakBefore w:val="0"/>
        <w:widowControl w:val="0"/>
        <w:kinsoku/>
        <w:wordWrap/>
        <w:overflowPunct/>
        <w:topLinePunct w:val="0"/>
        <w:autoSpaceDE/>
        <w:autoSpaceDN/>
        <w:bidi w:val="0"/>
        <w:adjustRightInd w:val="0"/>
        <w:snapToGrid w:val="0"/>
        <w:spacing w:line="540" w:lineRule="exact"/>
        <w:ind w:firstLine="643" w:firstLineChars="200"/>
        <w:textAlignment w:val="auto"/>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——建设湘黔边区红色文化引领区。</w:t>
      </w:r>
      <w:r>
        <w:rPr>
          <w:rFonts w:hint="eastAsia" w:ascii="仿宋_GB2312" w:hAnsi="仿宋_GB2312" w:eastAsia="仿宋_GB2312" w:cs="仿宋_GB2312"/>
          <w:color w:val="000000" w:themeColor="text1"/>
          <w:sz w:val="32"/>
          <w:szCs w:val="32"/>
          <w14:textFill>
            <w14:solidFill>
              <w14:schemeClr w14:val="tx1"/>
            </w14:solidFill>
          </w14:textFill>
        </w:rPr>
        <w:t>坚持以红色精神引领文明建设，因地制宜传承弘扬红色文化，提升红色文化辐射带动力。持续加大红色资源保护力度，推进红色教育与文旅产业深度融合，完善红色文旅设施，提高会同红色文化知名度。培育壮大红色文化市场主体，不断优化红色文化发展环境，健全红色文化传承发展机制，构建“红色引领、文旅融合”的文化生态体系。</w:t>
      </w:r>
    </w:p>
    <w:p>
      <w:pPr>
        <w:keepNext w:val="0"/>
        <w:keepLines w:val="0"/>
        <w:pageBreakBefore w:val="0"/>
        <w:widowControl w:val="0"/>
        <w:kinsoku/>
        <w:wordWrap/>
        <w:overflowPunct/>
        <w:topLinePunct w:val="0"/>
        <w:autoSpaceDE/>
        <w:autoSpaceDN/>
        <w:bidi w:val="0"/>
        <w:adjustRightInd w:val="0"/>
        <w:snapToGrid w:val="0"/>
        <w:spacing w:line="540" w:lineRule="exact"/>
        <w:ind w:firstLine="643"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——建设绿色低碳循环发展示范区。</w:t>
      </w:r>
      <w:r>
        <w:rPr>
          <w:rFonts w:hint="eastAsia" w:ascii="仿宋_GB2312" w:hAnsi="仿宋_GB2312" w:eastAsia="仿宋_GB2312" w:cs="仿宋_GB2312"/>
          <w:color w:val="000000" w:themeColor="text1"/>
          <w:sz w:val="32"/>
          <w:szCs w:val="32"/>
          <w14:textFill>
            <w14:solidFill>
              <w14:schemeClr w14:val="tx1"/>
            </w14:solidFill>
          </w14:textFill>
        </w:rPr>
        <w:t>坚持生态优先、绿色引领，持续实施“双碳”行动，探索绿色低碳转型路径。推进产业绿色转型与能源结构优化，持续加大节能减排力度、推广循环经济模式、完善绿色基础设施、加强生态修复治理，健全绿色低碳发展长效机制。培育壮大绿色市场主体，发展生态经济，不断优化绿色低碳发展环境，构建“绿色低碳、循环高效”的发展生态体系。</w:t>
      </w:r>
    </w:p>
    <w:p>
      <w:pPr>
        <w:keepNext w:val="0"/>
        <w:keepLines w:val="0"/>
        <w:pageBreakBefore w:val="0"/>
        <w:widowControl w:val="0"/>
        <w:kinsoku/>
        <w:wordWrap/>
        <w:overflowPunct/>
        <w:topLinePunct w:val="0"/>
        <w:autoSpaceDE/>
        <w:autoSpaceDN/>
        <w:bidi w:val="0"/>
        <w:adjustRightInd w:val="0"/>
        <w:snapToGrid w:val="0"/>
        <w:spacing w:line="540" w:lineRule="exact"/>
        <w:ind w:firstLine="643"/>
        <w:textAlignment w:val="auto"/>
        <w:rPr>
          <w:rFonts w:hint="eastAsia"/>
          <w:color w:val="000000" w:themeColor="text1"/>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val="0"/>
        <w:snapToGrid w:val="0"/>
        <w:spacing w:line="540" w:lineRule="exact"/>
        <w:jc w:val="center"/>
        <w:textAlignment w:val="auto"/>
        <w:outlineLvl w:val="1"/>
        <w:rPr>
          <w:rFonts w:hint="eastAsia" w:ascii="黑体" w:hAnsi="黑体" w:eastAsia="黑体" w:cs="黑体"/>
          <w:color w:val="000000" w:themeColor="text1"/>
          <w:sz w:val="30"/>
          <w:szCs w:val="30"/>
          <w14:textFill>
            <w14:solidFill>
              <w14:schemeClr w14:val="tx1"/>
            </w14:solidFill>
          </w14:textFill>
        </w:rPr>
      </w:pPr>
      <w:bookmarkStart w:id="38" w:name="_Toc235000749"/>
      <w:r>
        <w:rPr>
          <w:rFonts w:hint="eastAsia" w:ascii="黑体" w:hAnsi="黑体" w:eastAsia="黑体" w:cs="黑体"/>
          <w:color w:val="000000" w:themeColor="text1"/>
          <w:sz w:val="30"/>
          <w:szCs w:val="30"/>
          <w14:textFill>
            <w14:solidFill>
              <w14:schemeClr w14:val="tx1"/>
            </w14:solidFill>
          </w14:textFill>
        </w:rPr>
        <w:t>第四节 发展目标</w:t>
      </w:r>
      <w:bookmarkEnd w:id="34"/>
      <w:bookmarkEnd w:id="35"/>
      <w:bookmarkEnd w:id="36"/>
      <w:bookmarkEnd w:id="38"/>
    </w:p>
    <w:p>
      <w:pPr>
        <w:keepNext w:val="0"/>
        <w:keepLines w:val="0"/>
        <w:pageBreakBefore w:val="0"/>
        <w:widowControl w:val="0"/>
        <w:kinsoku/>
        <w:wordWrap/>
        <w:overflowPunct/>
        <w:topLinePunct w:val="0"/>
        <w:autoSpaceDE/>
        <w:autoSpaceDN/>
        <w:bidi w:val="0"/>
        <w:adjustRightInd w:val="0"/>
        <w:snapToGrid w:val="0"/>
        <w:spacing w:line="540" w:lineRule="exact"/>
        <w:ind w:firstLine="602" w:firstLineChars="200"/>
        <w:textAlignment w:val="auto"/>
        <w:rPr>
          <w:rFonts w:hint="eastAsia" w:ascii="楷体_GB2312" w:hAnsi="楷体_GB2312" w:eastAsia="楷体_GB2312" w:cs="楷体_GB2312"/>
          <w:b/>
          <w:bCs/>
          <w:color w:val="000000" w:themeColor="text1"/>
          <w:sz w:val="30"/>
          <w:szCs w:val="30"/>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val="0"/>
        <w:snapToGrid w:val="0"/>
        <w:spacing w:line="540" w:lineRule="exact"/>
        <w:ind w:firstLine="643"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高质量发展取得显著成效。</w:t>
      </w:r>
      <w:r>
        <w:rPr>
          <w:rFonts w:hint="eastAsia" w:ascii="仿宋_GB2312" w:hAnsi="仿宋_GB2312" w:eastAsia="仿宋_GB2312" w:cs="仿宋_GB2312"/>
          <w:color w:val="000000" w:themeColor="text1"/>
          <w:sz w:val="32"/>
          <w:szCs w:val="32"/>
          <w14:textFill>
            <w14:solidFill>
              <w14:schemeClr w14:val="tx1"/>
            </w14:solidFill>
          </w14:textFill>
        </w:rPr>
        <w:t>到2030年，全县地区生产总值突破163亿元，年均增长6.2%以上，全要素生产率稳步提升，居民消费率明显提高，内需拉动经济增长主动力作用持续增强，经济增长潜力得到充分释放。产业链通过延链补链强链实现能级跃升，发展新质生产力，构建新发展格局，建设现代化经济体系取得重大突破。依托怀化国际陆港·会同分港，打造内陆开放平台，外贸出口总额实现快速增长。</w:t>
      </w:r>
    </w:p>
    <w:p>
      <w:pPr>
        <w:adjustRightInd w:val="0"/>
        <w:snapToGrid w:val="0"/>
        <w:spacing w:line="580" w:lineRule="exact"/>
        <w:ind w:firstLine="643" w:firstLineChars="200"/>
        <w:rPr>
          <w:rFonts w:hint="eastAsia" w:ascii="仿宋_GB2312" w:hAnsi="仿宋_GB2312" w:eastAsia="仿宋_GB2312" w:cs="仿宋_GB2312"/>
          <w:color w:val="000000" w:themeColor="text1"/>
          <w:spacing w:val="6"/>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美丽会同建设取得重大进展。</w:t>
      </w:r>
      <w:r>
        <w:rPr>
          <w:rFonts w:hint="eastAsia" w:ascii="仿宋_GB2312" w:hAnsi="仿宋_GB2312" w:eastAsia="仿宋_GB2312" w:cs="仿宋_GB2312"/>
          <w:color w:val="000000" w:themeColor="text1"/>
          <w:sz w:val="32"/>
          <w:szCs w:val="32"/>
          <w14:textFill>
            <w14:solidFill>
              <w14:schemeClr w14:val="tx1"/>
            </w14:solidFill>
          </w14:textFill>
        </w:rPr>
        <w:t>巩固全国生态功能区优势，森林覆盖率稳定在73.88%以上，空气质量优良率达99%以上，</w:t>
      </w:r>
      <w:r>
        <w:rPr>
          <w:rFonts w:hint="eastAsia" w:ascii="仿宋_GB2312" w:hAnsi="仿宋_GB2312" w:eastAsia="仿宋_GB2312" w:cs="仿宋_GB2312"/>
          <w:color w:val="000000" w:themeColor="text1"/>
          <w:spacing w:val="6"/>
          <w:sz w:val="32"/>
          <w:szCs w:val="32"/>
          <w14:textFill>
            <w14:solidFill>
              <w14:schemeClr w14:val="tx1"/>
            </w14:solidFill>
          </w14:textFill>
        </w:rPr>
        <w:t>城镇集中式饮用水水源地水质达标率100%。推进广坪、宝田等风电场建设，实施山水林田湖草沙一体化修复工程，推进水土流失治理。建立林业碳汇交易机制，探索生态产品价值实现路径，将生态优势变为发展优势，打造“两山”理论实践创新基地。</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科技创新能力大幅提升。</w:t>
      </w:r>
      <w:r>
        <w:rPr>
          <w:rFonts w:hint="eastAsia" w:ascii="仿宋_GB2312" w:hAnsi="仿宋_GB2312" w:eastAsia="仿宋_GB2312" w:cs="仿宋_GB2312"/>
          <w:color w:val="000000" w:themeColor="text1"/>
          <w:sz w:val="32"/>
          <w:szCs w:val="32"/>
          <w14:textFill>
            <w14:solidFill>
              <w14:schemeClr w14:val="tx1"/>
            </w14:solidFill>
          </w14:textFill>
        </w:rPr>
        <w:t>大力发展先进制造业，加快省级以上工程技术研究中心、企业技术中心建设，引育高新技术企业集群。深化与高校、科研院所合作，共建新型研发平台、提高研发强度。加快实施“数字会同”行动，提高5G基站覆盖水平，工业互联网标识解析二级节点落地应用，数字经济增加值占GDP比重提升，建成1个省级数字化转型示范园区。加强知识产权保护运用，每万人口高价值发明专利拥有量（件）2件，技术合同成交额持续增长，科技创新对经济增长贡献率提升，跻身怀化市创新型县域前列。</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城乡融合发展步伐加快。</w:t>
      </w:r>
      <w:r>
        <w:rPr>
          <w:rFonts w:hint="eastAsia" w:ascii="仿宋_GB2312" w:hAnsi="仿宋_GB2312" w:eastAsia="仿宋_GB2312" w:cs="仿宋_GB2312"/>
          <w:color w:val="000000" w:themeColor="text1"/>
          <w:sz w:val="32"/>
          <w:szCs w:val="32"/>
          <w14:textFill>
            <w14:solidFill>
              <w14:schemeClr w14:val="tx1"/>
            </w14:solidFill>
          </w14:textFill>
        </w:rPr>
        <w:t>构建“一高地、三走廊、多节点”的城乡发展空间布局，形成城乡互补、产城融合的发展格局。大力推进以县城为核心的新型城镇化建设，增强县城产业实力和综合承载力，到2030年，常住人口城镇化率达47%以上。充分发挥会同产业开发区集聚效应，推动会同特色产业集约发展，强化城乡产业协同。加快洞天高速建设，推进连山公铁联运物流园等项目，实现县内“1小时交通圈”和怀化国际陆港“同港同价”政策落地，货物吞吐量实现突破。扎实推动乡村产业、人才、文化、生态、组织振兴，农村居民人均可支配收入年均增长6.5%，加快高标准农田建设。促进城乡要素双向流动，推动教育、医疗、文化等公共服务向农村延伸，提升城乡公共服务均等化水平。</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社会文明程度不断加强。</w:t>
      </w:r>
      <w:r>
        <w:rPr>
          <w:rFonts w:hint="eastAsia" w:ascii="仿宋_GB2312" w:hAnsi="仿宋_GB2312" w:eastAsia="仿宋_GB2312" w:cs="仿宋_GB2312"/>
          <w:color w:val="000000" w:themeColor="text1"/>
          <w:sz w:val="32"/>
          <w:szCs w:val="32"/>
          <w14:textFill>
            <w14:solidFill>
              <w14:schemeClr w14:val="tx1"/>
            </w14:solidFill>
          </w14:textFill>
        </w:rPr>
        <w:t>挖掘文化资源，完善公共文化服务体系和文化基础设施，提升乡镇社区综合文化站、文化服务中心服务质量，年均开展文化活动场次提升，培育本土工匠、非遗传承人。加强精神文明建设，创建全国文明城市，公民道德素质和社会文明程度显著提升。打响文旅品牌，年接待游客总人次与旅游总花费实现双突破。</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全面深化改革取得新突破。</w:t>
      </w:r>
      <w:r>
        <w:rPr>
          <w:rFonts w:hint="eastAsia" w:ascii="仿宋_GB2312" w:hAnsi="仿宋_GB2312" w:eastAsia="仿宋_GB2312" w:cs="仿宋_GB2312"/>
          <w:color w:val="000000" w:themeColor="text1"/>
          <w:sz w:val="32"/>
          <w:szCs w:val="32"/>
          <w14:textFill>
            <w14:solidFill>
              <w14:schemeClr w14:val="tx1"/>
            </w14:solidFill>
          </w14:textFill>
        </w:rPr>
        <w:t>聚焦林权制度、五村联创、乡村“智”理和社会体制等关键领域深化改革，争取新突破。持续优化营商环境，实现市场主体数量增长和质量优化，做优“身在会同 办事畅通”政务服务品牌。推进数字政府建设，建设智慧交通、智慧城管等应用场景。完善社会治理体系，建成县社会治理指挥中心，公众安全感满意度持续提升。</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人民生活品质持续提高。</w:t>
      </w:r>
      <w:r>
        <w:rPr>
          <w:rFonts w:hint="eastAsia" w:ascii="仿宋_GB2312" w:hAnsi="仿宋_GB2312" w:eastAsia="仿宋_GB2312" w:cs="仿宋_GB2312"/>
          <w:color w:val="000000" w:themeColor="text1"/>
          <w:sz w:val="32"/>
          <w:szCs w:val="32"/>
          <w14:textFill>
            <w14:solidFill>
              <w14:schemeClr w14:val="tx1"/>
            </w14:solidFill>
          </w14:textFill>
        </w:rPr>
        <w:t>到2030年，居民人均可支配收入与GDP同步增长，城乡收入差距持续缩小。推动医疗养护能力建设，居民平均预期寿命持续提升，城乡居民基本医疗保险全覆盖率。推动实现就业供给与需求的有效匹配。继续提升教育惠及水平，推进教师的存量优化与增量调整。提升每千人口医疗床位数和县域就诊率。</w:t>
      </w:r>
    </w:p>
    <w:p>
      <w:pPr>
        <w:spacing w:line="58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在此基础上再奋斗五年，到二〇三五年全县经济总量再上新台阶，综合实力大幅跃升，区域地位更加凸显，人民生活更加幸福美好，基本实现社会主义现代化。</w:t>
      </w:r>
      <w:r>
        <w:rPr>
          <w:rFonts w:hint="eastAsia" w:ascii="仿宋_GB2312" w:hAnsi="仿宋_GB2312" w:eastAsia="仿宋_GB2312" w:cs="仿宋_GB2312"/>
          <w:color w:val="000000" w:themeColor="text1"/>
          <w:sz w:val="32"/>
          <w:szCs w:val="32"/>
          <w14:textFill>
            <w14:solidFill>
              <w14:schemeClr w14:val="tx1"/>
            </w14:solidFill>
          </w14:textFill>
        </w:rPr>
        <w:br w:type="page"/>
      </w:r>
    </w:p>
    <w:p>
      <w:pPr>
        <w:adjustRightInd w:val="0"/>
        <w:snapToGrid w:val="0"/>
        <w:spacing w:line="360" w:lineRule="auto"/>
        <w:ind w:firstLine="643" w:firstLineChars="200"/>
        <w:jc w:val="center"/>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表2 会同县“十五五”经济社会发展主要指标</w:t>
      </w:r>
    </w:p>
    <w:tbl>
      <w:tblPr>
        <w:tblStyle w:val="33"/>
        <w:tblW w:w="98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9"/>
        <w:gridCol w:w="560"/>
        <w:gridCol w:w="2124"/>
        <w:gridCol w:w="2128"/>
        <w:gridCol w:w="1155"/>
        <w:gridCol w:w="1839"/>
        <w:gridCol w:w="11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blHeader/>
          <w:jc w:val="center"/>
        </w:trPr>
        <w:tc>
          <w:tcPr>
            <w:tcW w:w="909" w:type="dxa"/>
            <w:noWrap/>
            <w:vAlign w:val="center"/>
          </w:tcPr>
          <w:p>
            <w:pPr>
              <w:adjustRightInd w:val="0"/>
              <w:snapToGrid w:val="0"/>
              <w:jc w:val="center"/>
              <w:rPr>
                <w:rFonts w:hint="eastAsia" w:ascii="黑体" w:hAnsi="黑体" w:eastAsia="黑体" w:cs="黑体"/>
                <w:color w:val="000000" w:themeColor="text1"/>
                <w:kern w:val="0"/>
                <w:sz w:val="24"/>
                <w:szCs w:val="24"/>
                <w14:textFill>
                  <w14:solidFill>
                    <w14:schemeClr w14:val="tx1"/>
                  </w14:solidFill>
                </w14:textFill>
              </w:rPr>
            </w:pPr>
            <w:r>
              <w:rPr>
                <w:rFonts w:hint="eastAsia" w:ascii="黑体" w:hAnsi="黑体" w:eastAsia="黑体" w:cs="黑体"/>
                <w:color w:val="000000" w:themeColor="text1"/>
                <w:kern w:val="0"/>
                <w:sz w:val="24"/>
                <w:szCs w:val="24"/>
                <w14:textFill>
                  <w14:solidFill>
                    <w14:schemeClr w14:val="tx1"/>
                  </w14:solidFill>
                </w14:textFill>
              </w:rPr>
              <w:t>类别</w:t>
            </w:r>
          </w:p>
        </w:tc>
        <w:tc>
          <w:tcPr>
            <w:tcW w:w="560" w:type="dxa"/>
            <w:noWrap/>
            <w:vAlign w:val="center"/>
          </w:tcPr>
          <w:p>
            <w:pPr>
              <w:adjustRightInd w:val="0"/>
              <w:snapToGrid w:val="0"/>
              <w:jc w:val="center"/>
              <w:rPr>
                <w:rFonts w:hint="eastAsia" w:ascii="黑体" w:hAnsi="黑体" w:eastAsia="黑体" w:cs="黑体"/>
                <w:color w:val="000000" w:themeColor="text1"/>
                <w:kern w:val="0"/>
                <w:sz w:val="24"/>
                <w:szCs w:val="24"/>
                <w14:textFill>
                  <w14:solidFill>
                    <w14:schemeClr w14:val="tx1"/>
                  </w14:solidFill>
                </w14:textFill>
              </w:rPr>
            </w:pPr>
            <w:r>
              <w:rPr>
                <w:rFonts w:hint="eastAsia" w:ascii="黑体" w:hAnsi="黑体" w:eastAsia="黑体" w:cs="黑体"/>
                <w:color w:val="000000" w:themeColor="text1"/>
                <w:kern w:val="0"/>
                <w:sz w:val="24"/>
                <w:szCs w:val="24"/>
                <w14:textFill>
                  <w14:solidFill>
                    <w14:schemeClr w14:val="tx1"/>
                  </w14:solidFill>
                </w14:textFill>
              </w:rPr>
              <w:t>序号</w:t>
            </w:r>
          </w:p>
        </w:tc>
        <w:tc>
          <w:tcPr>
            <w:tcW w:w="4252" w:type="dxa"/>
            <w:gridSpan w:val="2"/>
            <w:noWrap/>
            <w:vAlign w:val="center"/>
          </w:tcPr>
          <w:p>
            <w:pPr>
              <w:adjustRightInd w:val="0"/>
              <w:snapToGrid w:val="0"/>
              <w:jc w:val="center"/>
              <w:rPr>
                <w:rFonts w:hint="eastAsia" w:ascii="黑体" w:hAnsi="黑体" w:eastAsia="黑体" w:cs="黑体"/>
                <w:color w:val="000000" w:themeColor="text1"/>
                <w:kern w:val="0"/>
                <w:sz w:val="24"/>
                <w:szCs w:val="24"/>
                <w14:textFill>
                  <w14:solidFill>
                    <w14:schemeClr w14:val="tx1"/>
                  </w14:solidFill>
                </w14:textFill>
              </w:rPr>
            </w:pPr>
            <w:r>
              <w:rPr>
                <w:rFonts w:hint="eastAsia" w:ascii="黑体" w:hAnsi="黑体" w:eastAsia="黑体" w:cs="黑体"/>
                <w:color w:val="000000" w:themeColor="text1"/>
                <w:kern w:val="0"/>
                <w:sz w:val="24"/>
                <w:szCs w:val="24"/>
                <w14:textFill>
                  <w14:solidFill>
                    <w14:schemeClr w14:val="tx1"/>
                  </w14:solidFill>
                </w14:textFill>
              </w:rPr>
              <w:t>指标名称</w:t>
            </w:r>
          </w:p>
        </w:tc>
        <w:tc>
          <w:tcPr>
            <w:tcW w:w="1155" w:type="dxa"/>
            <w:noWrap/>
            <w:vAlign w:val="center"/>
          </w:tcPr>
          <w:p>
            <w:pPr>
              <w:adjustRightInd w:val="0"/>
              <w:snapToGrid w:val="0"/>
              <w:jc w:val="center"/>
              <w:rPr>
                <w:rFonts w:hint="eastAsia" w:ascii="黑体" w:hAnsi="黑体" w:eastAsia="黑体" w:cs="黑体"/>
                <w:color w:val="000000" w:themeColor="text1"/>
                <w:kern w:val="0"/>
                <w:sz w:val="24"/>
                <w:szCs w:val="24"/>
                <w14:textFill>
                  <w14:solidFill>
                    <w14:schemeClr w14:val="tx1"/>
                  </w14:solidFill>
                </w14:textFill>
              </w:rPr>
            </w:pPr>
            <w:r>
              <w:rPr>
                <w:rFonts w:hint="eastAsia" w:ascii="黑体" w:hAnsi="黑体" w:eastAsia="黑体" w:cs="黑体"/>
                <w:color w:val="000000" w:themeColor="text1"/>
                <w:kern w:val="0"/>
                <w:sz w:val="24"/>
                <w:szCs w:val="24"/>
                <w14:textFill>
                  <w14:solidFill>
                    <w14:schemeClr w14:val="tx1"/>
                  </w14:solidFill>
                </w14:textFill>
              </w:rPr>
              <w:t>基期值2025年</w:t>
            </w:r>
          </w:p>
        </w:tc>
        <w:tc>
          <w:tcPr>
            <w:tcW w:w="1839" w:type="dxa"/>
            <w:noWrap/>
            <w:vAlign w:val="center"/>
          </w:tcPr>
          <w:p>
            <w:pPr>
              <w:adjustRightInd w:val="0"/>
              <w:snapToGrid w:val="0"/>
              <w:jc w:val="center"/>
              <w:rPr>
                <w:rFonts w:hint="eastAsia" w:ascii="黑体" w:hAnsi="黑体" w:eastAsia="黑体" w:cs="黑体"/>
                <w:color w:val="000000" w:themeColor="text1"/>
                <w:kern w:val="0"/>
                <w:sz w:val="24"/>
                <w:szCs w:val="24"/>
                <w14:textFill>
                  <w14:solidFill>
                    <w14:schemeClr w14:val="tx1"/>
                  </w14:solidFill>
                </w14:textFill>
              </w:rPr>
            </w:pPr>
            <w:r>
              <w:rPr>
                <w:rFonts w:hint="eastAsia" w:ascii="黑体" w:hAnsi="黑体" w:eastAsia="黑体" w:cs="黑体"/>
                <w:color w:val="000000" w:themeColor="text1"/>
                <w:kern w:val="0"/>
                <w:sz w:val="24"/>
                <w:szCs w:val="24"/>
                <w14:textFill>
                  <w14:solidFill>
                    <w14:schemeClr w14:val="tx1"/>
                  </w14:solidFill>
                </w14:textFill>
              </w:rPr>
              <w:t>目标值</w:t>
            </w:r>
          </w:p>
          <w:p>
            <w:pPr>
              <w:adjustRightInd w:val="0"/>
              <w:snapToGrid w:val="0"/>
              <w:jc w:val="center"/>
              <w:rPr>
                <w:rFonts w:hint="eastAsia" w:ascii="黑体" w:hAnsi="黑体" w:eastAsia="黑体" w:cs="黑体"/>
                <w:color w:val="000000" w:themeColor="text1"/>
                <w:kern w:val="0"/>
                <w:sz w:val="24"/>
                <w:szCs w:val="24"/>
                <w14:textFill>
                  <w14:solidFill>
                    <w14:schemeClr w14:val="tx1"/>
                  </w14:solidFill>
                </w14:textFill>
              </w:rPr>
            </w:pPr>
            <w:r>
              <w:rPr>
                <w:rFonts w:hint="eastAsia" w:ascii="黑体" w:hAnsi="黑体" w:eastAsia="黑体" w:cs="黑体"/>
                <w:color w:val="000000" w:themeColor="text1"/>
                <w:kern w:val="0"/>
                <w:sz w:val="24"/>
                <w:szCs w:val="24"/>
                <w14:textFill>
                  <w14:solidFill>
                    <w14:schemeClr w14:val="tx1"/>
                  </w14:solidFill>
                </w14:textFill>
              </w:rPr>
              <w:t>（2030年）</w:t>
            </w:r>
          </w:p>
        </w:tc>
        <w:tc>
          <w:tcPr>
            <w:tcW w:w="1139" w:type="dxa"/>
            <w:noWrap/>
            <w:vAlign w:val="center"/>
          </w:tcPr>
          <w:p>
            <w:pPr>
              <w:adjustRightInd w:val="0"/>
              <w:snapToGrid w:val="0"/>
              <w:jc w:val="center"/>
              <w:rPr>
                <w:rFonts w:hint="eastAsia" w:ascii="黑体" w:hAnsi="黑体" w:eastAsia="黑体" w:cs="黑体"/>
                <w:color w:val="000000" w:themeColor="text1"/>
                <w:kern w:val="0"/>
                <w:sz w:val="24"/>
                <w:szCs w:val="24"/>
                <w14:textFill>
                  <w14:solidFill>
                    <w14:schemeClr w14:val="tx1"/>
                  </w14:solidFill>
                </w14:textFill>
              </w:rPr>
            </w:pPr>
            <w:r>
              <w:rPr>
                <w:rFonts w:hint="eastAsia" w:ascii="黑体" w:hAnsi="黑体" w:eastAsia="黑体" w:cs="黑体"/>
                <w:color w:val="000000" w:themeColor="text1"/>
                <w:kern w:val="0"/>
                <w:sz w:val="24"/>
                <w:szCs w:val="24"/>
                <w14:textFill>
                  <w14:solidFill>
                    <w14:schemeClr w14:val="tx1"/>
                  </w14:solidFill>
                </w14:textFill>
              </w:rPr>
              <w:t>属性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9" w:type="dxa"/>
            <w:vMerge w:val="restart"/>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经济</w:t>
            </w:r>
          </w:p>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发展</w:t>
            </w:r>
          </w:p>
        </w:tc>
        <w:tc>
          <w:tcPr>
            <w:tcW w:w="560"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1</w:t>
            </w:r>
          </w:p>
        </w:tc>
        <w:tc>
          <w:tcPr>
            <w:tcW w:w="4252" w:type="dxa"/>
            <w:gridSpan w:val="2"/>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地区生产总值年均增长（%）</w:t>
            </w:r>
          </w:p>
        </w:tc>
        <w:tc>
          <w:tcPr>
            <w:tcW w:w="115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5.8</w:t>
            </w:r>
          </w:p>
        </w:tc>
        <w:tc>
          <w:tcPr>
            <w:tcW w:w="1839"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年均6.2以上</w:t>
            </w:r>
          </w:p>
        </w:tc>
        <w:tc>
          <w:tcPr>
            <w:tcW w:w="1139" w:type="dxa"/>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9" w:type="dxa"/>
            <w:vMerge w:val="continue"/>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p>
        </w:tc>
        <w:tc>
          <w:tcPr>
            <w:tcW w:w="560"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2</w:t>
            </w:r>
          </w:p>
        </w:tc>
        <w:tc>
          <w:tcPr>
            <w:tcW w:w="4252" w:type="dxa"/>
            <w:gridSpan w:val="2"/>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全员劳动生产率年均增长（%）</w:t>
            </w:r>
          </w:p>
        </w:tc>
        <w:tc>
          <w:tcPr>
            <w:tcW w:w="115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12.01</w:t>
            </w:r>
          </w:p>
        </w:tc>
        <w:tc>
          <w:tcPr>
            <w:tcW w:w="1839"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高于GDP增长</w:t>
            </w:r>
          </w:p>
        </w:tc>
        <w:tc>
          <w:tcPr>
            <w:tcW w:w="1139" w:type="dxa"/>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9" w:type="dxa"/>
            <w:vMerge w:val="continue"/>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p>
        </w:tc>
        <w:tc>
          <w:tcPr>
            <w:tcW w:w="560"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3</w:t>
            </w:r>
          </w:p>
        </w:tc>
        <w:tc>
          <w:tcPr>
            <w:tcW w:w="4252" w:type="dxa"/>
            <w:gridSpan w:val="2"/>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常住人口城镇化率（%）</w:t>
            </w:r>
          </w:p>
        </w:tc>
        <w:tc>
          <w:tcPr>
            <w:tcW w:w="115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43.28</w:t>
            </w:r>
          </w:p>
        </w:tc>
        <w:tc>
          <w:tcPr>
            <w:tcW w:w="1839"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[47]</w:t>
            </w:r>
          </w:p>
        </w:tc>
        <w:tc>
          <w:tcPr>
            <w:tcW w:w="1139" w:type="dxa"/>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9" w:type="dxa"/>
            <w:vMerge w:val="continue"/>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p>
        </w:tc>
        <w:tc>
          <w:tcPr>
            <w:tcW w:w="560"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4</w:t>
            </w:r>
          </w:p>
        </w:tc>
        <w:tc>
          <w:tcPr>
            <w:tcW w:w="4252" w:type="dxa"/>
            <w:gridSpan w:val="2"/>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对外贸易依存度（%）</w:t>
            </w:r>
          </w:p>
        </w:tc>
        <w:tc>
          <w:tcPr>
            <w:tcW w:w="115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3.25</w:t>
            </w:r>
          </w:p>
        </w:tc>
        <w:tc>
          <w:tcPr>
            <w:tcW w:w="1839"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10</w:t>
            </w:r>
          </w:p>
        </w:tc>
        <w:tc>
          <w:tcPr>
            <w:tcW w:w="1139" w:type="dxa"/>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9" w:type="dxa"/>
            <w:vMerge w:val="restart"/>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创新</w:t>
            </w:r>
          </w:p>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驱动</w:t>
            </w:r>
          </w:p>
        </w:tc>
        <w:tc>
          <w:tcPr>
            <w:tcW w:w="560"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5</w:t>
            </w:r>
          </w:p>
        </w:tc>
        <w:tc>
          <w:tcPr>
            <w:tcW w:w="4252" w:type="dxa"/>
            <w:gridSpan w:val="2"/>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高技术制造业增加值占规模工业增加值比重（%）</w:t>
            </w:r>
          </w:p>
        </w:tc>
        <w:tc>
          <w:tcPr>
            <w:tcW w:w="115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w:t>
            </w:r>
          </w:p>
        </w:tc>
        <w:tc>
          <w:tcPr>
            <w:tcW w:w="1839"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高于全市平均水平</w:t>
            </w:r>
          </w:p>
        </w:tc>
        <w:tc>
          <w:tcPr>
            <w:tcW w:w="1139" w:type="dxa"/>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9" w:type="dxa"/>
            <w:vMerge w:val="continue"/>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p>
        </w:tc>
        <w:tc>
          <w:tcPr>
            <w:tcW w:w="560"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6</w:t>
            </w:r>
          </w:p>
        </w:tc>
        <w:tc>
          <w:tcPr>
            <w:tcW w:w="4252" w:type="dxa"/>
            <w:gridSpan w:val="2"/>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全社会研发经费投入强度（%）</w:t>
            </w:r>
          </w:p>
        </w:tc>
        <w:tc>
          <w:tcPr>
            <w:tcW w:w="115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1.5</w:t>
            </w:r>
          </w:p>
        </w:tc>
        <w:tc>
          <w:tcPr>
            <w:tcW w:w="1839"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2.1</w:t>
            </w:r>
          </w:p>
        </w:tc>
        <w:tc>
          <w:tcPr>
            <w:tcW w:w="1139" w:type="dxa"/>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9" w:type="dxa"/>
            <w:vMerge w:val="continue"/>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p>
        </w:tc>
        <w:tc>
          <w:tcPr>
            <w:tcW w:w="560"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7</w:t>
            </w:r>
          </w:p>
        </w:tc>
        <w:tc>
          <w:tcPr>
            <w:tcW w:w="4252" w:type="dxa"/>
            <w:gridSpan w:val="2"/>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每万人口高价值发明专利拥有量（件）</w:t>
            </w:r>
          </w:p>
        </w:tc>
        <w:tc>
          <w:tcPr>
            <w:tcW w:w="115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1.5</w:t>
            </w:r>
          </w:p>
        </w:tc>
        <w:tc>
          <w:tcPr>
            <w:tcW w:w="1839"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2</w:t>
            </w:r>
          </w:p>
        </w:tc>
        <w:tc>
          <w:tcPr>
            <w:tcW w:w="1139" w:type="dxa"/>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9" w:type="dxa"/>
            <w:vMerge w:val="continue"/>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p>
        </w:tc>
        <w:tc>
          <w:tcPr>
            <w:tcW w:w="560"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8</w:t>
            </w:r>
          </w:p>
        </w:tc>
        <w:tc>
          <w:tcPr>
            <w:tcW w:w="4252" w:type="dxa"/>
            <w:gridSpan w:val="2"/>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数字经济核心产业增加值占地区生产总值比重（%）</w:t>
            </w:r>
          </w:p>
        </w:tc>
        <w:tc>
          <w:tcPr>
            <w:tcW w:w="115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w:t>
            </w:r>
          </w:p>
        </w:tc>
        <w:tc>
          <w:tcPr>
            <w:tcW w:w="1839"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高于市平均值</w:t>
            </w:r>
          </w:p>
        </w:tc>
        <w:tc>
          <w:tcPr>
            <w:tcW w:w="1139" w:type="dxa"/>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9" w:type="dxa"/>
            <w:vMerge w:val="restart"/>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民生</w:t>
            </w:r>
          </w:p>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福祉</w:t>
            </w:r>
          </w:p>
        </w:tc>
        <w:tc>
          <w:tcPr>
            <w:tcW w:w="560"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9</w:t>
            </w:r>
          </w:p>
        </w:tc>
        <w:tc>
          <w:tcPr>
            <w:tcW w:w="4252" w:type="dxa"/>
            <w:gridSpan w:val="2"/>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城镇调查失业率（%）</w:t>
            </w:r>
          </w:p>
        </w:tc>
        <w:tc>
          <w:tcPr>
            <w:tcW w:w="1155" w:type="dxa"/>
            <w:noWrap/>
            <w:vAlign w:val="center"/>
          </w:tcPr>
          <w:p>
            <w:pPr>
              <w:adjustRightInd w:val="0"/>
              <w:snapToGrid w:val="0"/>
              <w:jc w:val="center"/>
              <w:rPr>
                <w:rFonts w:hint="eastAsia" w:ascii="仿宋_GB2312" w:hAnsi="仿宋_GB2312" w:eastAsia="仿宋_GB2312" w:cs="仿宋_GB2312"/>
                <w:color w:val="000000" w:themeColor="text1"/>
                <w:kern w:val="0"/>
                <w:szCs w:val="21"/>
                <w14:textFill>
                  <w14:solidFill>
                    <w14:schemeClr w14:val="tx1"/>
                  </w14:solidFill>
                </w14:textFill>
              </w:rPr>
            </w:pPr>
            <w:r>
              <w:rPr>
                <w:rFonts w:hint="eastAsia" w:ascii="东文宋体" w:hAnsi="东文宋体" w:eastAsia="东文宋体" w:cs="东文宋体"/>
                <w:color w:val="000000" w:themeColor="text1"/>
                <w:kern w:val="0"/>
                <w:szCs w:val="21"/>
                <w14:textFill>
                  <w14:solidFill>
                    <w14:schemeClr w14:val="tx1"/>
                  </w14:solidFill>
                </w14:textFill>
              </w:rPr>
              <w:t>≤</w:t>
            </w:r>
            <w:r>
              <w:rPr>
                <w:rFonts w:hint="eastAsia" w:ascii="仿宋_GB2312" w:hAnsi="仿宋_GB2312" w:eastAsia="仿宋_GB2312" w:cs="仿宋_GB2312"/>
                <w:color w:val="000000" w:themeColor="text1"/>
                <w:kern w:val="0"/>
                <w:szCs w:val="21"/>
                <w14:textFill>
                  <w14:solidFill>
                    <w14:schemeClr w14:val="tx1"/>
                  </w14:solidFill>
                </w14:textFill>
              </w:rPr>
              <w:t>5.5</w:t>
            </w:r>
          </w:p>
        </w:tc>
        <w:tc>
          <w:tcPr>
            <w:tcW w:w="1839" w:type="dxa"/>
            <w:noWrap/>
            <w:vAlign w:val="center"/>
          </w:tcPr>
          <w:p>
            <w:pPr>
              <w:adjustRightInd w:val="0"/>
              <w:snapToGrid w:val="0"/>
              <w:jc w:val="center"/>
              <w:rPr>
                <w:rFonts w:hint="eastAsia" w:ascii="仿宋_GB2312" w:hAnsi="仿宋_GB2312" w:eastAsia="仿宋_GB2312" w:cs="仿宋_GB2312"/>
                <w:color w:val="000000" w:themeColor="text1"/>
                <w:kern w:val="0"/>
                <w:szCs w:val="21"/>
                <w14:textFill>
                  <w14:solidFill>
                    <w14:schemeClr w14:val="tx1"/>
                  </w14:solidFill>
                </w14:textFill>
              </w:rPr>
            </w:pPr>
            <w:r>
              <w:rPr>
                <w:rFonts w:hint="eastAsia" w:ascii="东文宋体" w:hAnsi="东文宋体" w:eastAsia="东文宋体" w:cs="东文宋体"/>
                <w:color w:val="000000" w:themeColor="text1"/>
                <w:kern w:val="0"/>
                <w:szCs w:val="21"/>
                <w14:textFill>
                  <w14:solidFill>
                    <w14:schemeClr w14:val="tx1"/>
                  </w14:solidFill>
                </w14:textFill>
              </w:rPr>
              <w:t>≤</w:t>
            </w:r>
            <w:r>
              <w:rPr>
                <w:rFonts w:hint="eastAsia" w:ascii="仿宋_GB2312" w:hAnsi="仿宋_GB2312" w:eastAsia="仿宋_GB2312" w:cs="仿宋_GB2312"/>
                <w:color w:val="000000" w:themeColor="text1"/>
                <w:kern w:val="0"/>
                <w:szCs w:val="21"/>
                <w14:textFill>
                  <w14:solidFill>
                    <w14:schemeClr w14:val="tx1"/>
                  </w14:solidFill>
                </w14:textFill>
              </w:rPr>
              <w:t>5.5</w:t>
            </w:r>
          </w:p>
        </w:tc>
        <w:tc>
          <w:tcPr>
            <w:tcW w:w="1139" w:type="dxa"/>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9" w:type="dxa"/>
            <w:vMerge w:val="continue"/>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p>
        </w:tc>
        <w:tc>
          <w:tcPr>
            <w:tcW w:w="560"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10</w:t>
            </w:r>
          </w:p>
        </w:tc>
        <w:tc>
          <w:tcPr>
            <w:tcW w:w="4252" w:type="dxa"/>
            <w:gridSpan w:val="2"/>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居民人均可支配收入增长（%）</w:t>
            </w:r>
          </w:p>
        </w:tc>
        <w:tc>
          <w:tcPr>
            <w:tcW w:w="115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6.5</w:t>
            </w:r>
          </w:p>
        </w:tc>
        <w:tc>
          <w:tcPr>
            <w:tcW w:w="1839"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与GDP增长同步</w:t>
            </w:r>
          </w:p>
        </w:tc>
        <w:tc>
          <w:tcPr>
            <w:tcW w:w="1139" w:type="dxa"/>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9" w:type="dxa"/>
            <w:vMerge w:val="continue"/>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p>
        </w:tc>
        <w:tc>
          <w:tcPr>
            <w:tcW w:w="560"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11</w:t>
            </w:r>
          </w:p>
        </w:tc>
        <w:tc>
          <w:tcPr>
            <w:tcW w:w="4252" w:type="dxa"/>
            <w:gridSpan w:val="2"/>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劳动年龄人口平均受教育年限（年）</w:t>
            </w:r>
          </w:p>
        </w:tc>
        <w:tc>
          <w:tcPr>
            <w:tcW w:w="115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14</w:t>
            </w:r>
          </w:p>
        </w:tc>
        <w:tc>
          <w:tcPr>
            <w:tcW w:w="1839"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14.2</w:t>
            </w:r>
          </w:p>
        </w:tc>
        <w:tc>
          <w:tcPr>
            <w:tcW w:w="1139" w:type="dxa"/>
            <w:noWrap/>
            <w:vAlign w:val="center"/>
          </w:tcPr>
          <w:p>
            <w:pPr>
              <w:adjustRightInd w:val="0"/>
              <w:snapToGrid w:val="0"/>
              <w:rPr>
                <w:rFonts w:hint="eastAsia" w:ascii="仿宋_GB2312" w:hAnsi="仿宋_GB2312" w:eastAsia="仿宋_GB2312" w:cs="仿宋_GB2312"/>
                <w:color w:val="000000" w:themeColor="text1"/>
                <w:kern w:val="0"/>
                <w:sz w:val="24"/>
                <w:szCs w:val="24"/>
                <w:lang w:eastAsia="zh-CN"/>
                <w14:textFill>
                  <w14:solidFill>
                    <w14:schemeClr w14:val="tx1"/>
                  </w14:solidFill>
                </w14:textFill>
              </w:rPr>
            </w:pPr>
            <w:r>
              <w:rPr>
                <w:rFonts w:hint="eastAsia" w:ascii="仿宋_GB2312" w:hAnsi="仿宋_GB2312" w:eastAsia="仿宋_GB2312" w:cs="仿宋_GB2312"/>
                <w:color w:val="000000" w:themeColor="text1"/>
                <w:kern w:val="0"/>
                <w:sz w:val="24"/>
                <w:szCs w:val="24"/>
                <w:lang w:eastAsia="zh-CN"/>
                <w14:textFill>
                  <w14:solidFill>
                    <w14:schemeClr w14:val="tx1"/>
                  </w14:solidFill>
                </w14:textFill>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9" w:type="dxa"/>
            <w:vMerge w:val="continue"/>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p>
        </w:tc>
        <w:tc>
          <w:tcPr>
            <w:tcW w:w="560"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12</w:t>
            </w:r>
          </w:p>
        </w:tc>
        <w:tc>
          <w:tcPr>
            <w:tcW w:w="4252" w:type="dxa"/>
            <w:gridSpan w:val="2"/>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人均预期寿命（岁）</w:t>
            </w:r>
          </w:p>
        </w:tc>
        <w:tc>
          <w:tcPr>
            <w:tcW w:w="115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79.3</w:t>
            </w:r>
          </w:p>
        </w:tc>
        <w:tc>
          <w:tcPr>
            <w:tcW w:w="1839"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[80.5]</w:t>
            </w:r>
          </w:p>
        </w:tc>
        <w:tc>
          <w:tcPr>
            <w:tcW w:w="1139" w:type="dxa"/>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9" w:type="dxa"/>
            <w:vMerge w:val="continue"/>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p>
        </w:tc>
        <w:tc>
          <w:tcPr>
            <w:tcW w:w="560" w:type="dxa"/>
            <w:vMerge w:val="restart"/>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13</w:t>
            </w:r>
          </w:p>
        </w:tc>
        <w:tc>
          <w:tcPr>
            <w:tcW w:w="2124" w:type="dxa"/>
            <w:vMerge w:val="restart"/>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每千人口拥有</w:t>
            </w:r>
          </w:p>
        </w:tc>
        <w:tc>
          <w:tcPr>
            <w:tcW w:w="2128" w:type="dxa"/>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职业医师数</w:t>
            </w:r>
          </w:p>
        </w:tc>
        <w:tc>
          <w:tcPr>
            <w:tcW w:w="115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3.2</w:t>
            </w:r>
          </w:p>
        </w:tc>
        <w:tc>
          <w:tcPr>
            <w:tcW w:w="1839"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3.7左右</w:t>
            </w:r>
          </w:p>
        </w:tc>
        <w:tc>
          <w:tcPr>
            <w:tcW w:w="1139" w:type="dxa"/>
            <w:vMerge w:val="restart"/>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9" w:type="dxa"/>
            <w:vMerge w:val="continue"/>
            <w:noWrap/>
            <w:vAlign w:val="center"/>
          </w:tcPr>
          <w:p>
            <w:pPr>
              <w:adjustRightInd w:val="0"/>
              <w:snapToGrid w:val="0"/>
              <w:rPr>
                <w:rFonts w:hint="eastAsia"/>
                <w:color w:val="000000" w:themeColor="text1"/>
                <w14:textFill>
                  <w14:solidFill>
                    <w14:schemeClr w14:val="tx1"/>
                  </w14:solidFill>
                </w14:textFill>
              </w:rPr>
            </w:pPr>
          </w:p>
        </w:tc>
        <w:tc>
          <w:tcPr>
            <w:tcW w:w="560" w:type="dxa"/>
            <w:vMerge w:val="continue"/>
            <w:noWrap/>
            <w:vAlign w:val="center"/>
          </w:tcPr>
          <w:p>
            <w:pPr>
              <w:adjustRightInd w:val="0"/>
              <w:snapToGrid w:val="0"/>
              <w:rPr>
                <w:rFonts w:hint="eastAsia"/>
                <w:color w:val="000000" w:themeColor="text1"/>
                <w14:textFill>
                  <w14:solidFill>
                    <w14:schemeClr w14:val="tx1"/>
                  </w14:solidFill>
                </w14:textFill>
              </w:rPr>
            </w:pPr>
          </w:p>
        </w:tc>
        <w:tc>
          <w:tcPr>
            <w:tcW w:w="2124" w:type="dxa"/>
            <w:vMerge w:val="continue"/>
            <w:noWrap/>
            <w:vAlign w:val="center"/>
          </w:tcPr>
          <w:p>
            <w:pPr>
              <w:adjustRightInd w:val="0"/>
              <w:snapToGrid w:val="0"/>
              <w:rPr>
                <w:rFonts w:hint="eastAsia"/>
                <w:color w:val="000000" w:themeColor="text1"/>
                <w14:textFill>
                  <w14:solidFill>
                    <w14:schemeClr w14:val="tx1"/>
                  </w14:solidFill>
                </w14:textFill>
              </w:rPr>
            </w:pPr>
          </w:p>
        </w:tc>
        <w:tc>
          <w:tcPr>
            <w:tcW w:w="2128" w:type="dxa"/>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注册护士数</w:t>
            </w:r>
          </w:p>
        </w:tc>
        <w:tc>
          <w:tcPr>
            <w:tcW w:w="115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3.4</w:t>
            </w:r>
          </w:p>
        </w:tc>
        <w:tc>
          <w:tcPr>
            <w:tcW w:w="1839"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4左右</w:t>
            </w:r>
          </w:p>
        </w:tc>
        <w:tc>
          <w:tcPr>
            <w:tcW w:w="1139" w:type="dxa"/>
            <w:vMerge w:val="continue"/>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9" w:type="dxa"/>
            <w:vMerge w:val="continue"/>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p>
        </w:tc>
        <w:tc>
          <w:tcPr>
            <w:tcW w:w="560"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14</w:t>
            </w:r>
          </w:p>
        </w:tc>
        <w:tc>
          <w:tcPr>
            <w:tcW w:w="4252" w:type="dxa"/>
            <w:gridSpan w:val="2"/>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养老机构护理型床位占比（%个）</w:t>
            </w:r>
          </w:p>
        </w:tc>
        <w:tc>
          <w:tcPr>
            <w:tcW w:w="115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75</w:t>
            </w:r>
          </w:p>
        </w:tc>
        <w:tc>
          <w:tcPr>
            <w:tcW w:w="1839"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90</w:t>
            </w:r>
          </w:p>
        </w:tc>
        <w:tc>
          <w:tcPr>
            <w:tcW w:w="1139" w:type="dxa"/>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9" w:type="dxa"/>
            <w:vMerge w:val="continue"/>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p>
        </w:tc>
        <w:tc>
          <w:tcPr>
            <w:tcW w:w="560"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15</w:t>
            </w:r>
          </w:p>
        </w:tc>
        <w:tc>
          <w:tcPr>
            <w:tcW w:w="4252" w:type="dxa"/>
            <w:gridSpan w:val="2"/>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3岁以下婴幼儿入托率（%）</w:t>
            </w:r>
          </w:p>
        </w:tc>
        <w:tc>
          <w:tcPr>
            <w:tcW w:w="115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4.5</w:t>
            </w:r>
          </w:p>
        </w:tc>
        <w:tc>
          <w:tcPr>
            <w:tcW w:w="1839" w:type="dxa"/>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达到全市平均水平</w:t>
            </w:r>
          </w:p>
        </w:tc>
        <w:tc>
          <w:tcPr>
            <w:tcW w:w="1139" w:type="dxa"/>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9" w:type="dxa"/>
            <w:vMerge w:val="restart"/>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生态</w:t>
            </w:r>
          </w:p>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文明</w:t>
            </w:r>
          </w:p>
        </w:tc>
        <w:tc>
          <w:tcPr>
            <w:tcW w:w="560"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16</w:t>
            </w:r>
          </w:p>
        </w:tc>
        <w:tc>
          <w:tcPr>
            <w:tcW w:w="4252" w:type="dxa"/>
            <w:gridSpan w:val="2"/>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非化石能源占能源消费总量比重（%）</w:t>
            </w:r>
          </w:p>
        </w:tc>
        <w:tc>
          <w:tcPr>
            <w:tcW w:w="115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18.57</w:t>
            </w:r>
          </w:p>
        </w:tc>
        <w:tc>
          <w:tcPr>
            <w:tcW w:w="1839"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以市下达任务为准</w:t>
            </w:r>
          </w:p>
        </w:tc>
        <w:tc>
          <w:tcPr>
            <w:tcW w:w="1139" w:type="dxa"/>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9" w:type="dxa"/>
            <w:vMerge w:val="continue"/>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p>
        </w:tc>
        <w:tc>
          <w:tcPr>
            <w:tcW w:w="560"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17</w:t>
            </w:r>
          </w:p>
        </w:tc>
        <w:tc>
          <w:tcPr>
            <w:tcW w:w="4252" w:type="dxa"/>
            <w:gridSpan w:val="2"/>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单位地区生产总值二氧化碳排放降低（%）</w:t>
            </w:r>
          </w:p>
        </w:tc>
        <w:tc>
          <w:tcPr>
            <w:tcW w:w="115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w:t>
            </w:r>
          </w:p>
        </w:tc>
        <w:tc>
          <w:tcPr>
            <w:tcW w:w="1839"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以市下达任务为准</w:t>
            </w:r>
          </w:p>
        </w:tc>
        <w:tc>
          <w:tcPr>
            <w:tcW w:w="1139" w:type="dxa"/>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9" w:type="dxa"/>
            <w:vMerge w:val="continue"/>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p>
        </w:tc>
        <w:tc>
          <w:tcPr>
            <w:tcW w:w="560"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18</w:t>
            </w:r>
          </w:p>
        </w:tc>
        <w:tc>
          <w:tcPr>
            <w:tcW w:w="4252" w:type="dxa"/>
            <w:gridSpan w:val="2"/>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城市pm2.5浓度（微克/立方米）</w:t>
            </w:r>
          </w:p>
        </w:tc>
        <w:tc>
          <w:tcPr>
            <w:tcW w:w="115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28</w:t>
            </w:r>
          </w:p>
        </w:tc>
        <w:tc>
          <w:tcPr>
            <w:tcW w:w="1839"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以市下达任务为准</w:t>
            </w:r>
          </w:p>
        </w:tc>
        <w:tc>
          <w:tcPr>
            <w:tcW w:w="1139" w:type="dxa"/>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9" w:type="dxa"/>
            <w:vMerge w:val="continue"/>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p>
        </w:tc>
        <w:tc>
          <w:tcPr>
            <w:tcW w:w="560"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19</w:t>
            </w:r>
          </w:p>
        </w:tc>
        <w:tc>
          <w:tcPr>
            <w:tcW w:w="4252" w:type="dxa"/>
            <w:gridSpan w:val="2"/>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地表水优良水体比例（%）</w:t>
            </w:r>
          </w:p>
        </w:tc>
        <w:tc>
          <w:tcPr>
            <w:tcW w:w="115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100</w:t>
            </w:r>
          </w:p>
        </w:tc>
        <w:tc>
          <w:tcPr>
            <w:tcW w:w="1839"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以市下达任务为准</w:t>
            </w:r>
          </w:p>
        </w:tc>
        <w:tc>
          <w:tcPr>
            <w:tcW w:w="1139" w:type="dxa"/>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9" w:type="dxa"/>
            <w:vMerge w:val="continue"/>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p>
        </w:tc>
        <w:tc>
          <w:tcPr>
            <w:tcW w:w="560"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20</w:t>
            </w:r>
          </w:p>
        </w:tc>
        <w:tc>
          <w:tcPr>
            <w:tcW w:w="4252" w:type="dxa"/>
            <w:gridSpan w:val="2"/>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森林覆盖率（%）</w:t>
            </w:r>
          </w:p>
        </w:tc>
        <w:tc>
          <w:tcPr>
            <w:tcW w:w="115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73.88</w:t>
            </w:r>
          </w:p>
        </w:tc>
        <w:tc>
          <w:tcPr>
            <w:tcW w:w="1839"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保持稳定</w:t>
            </w:r>
          </w:p>
        </w:tc>
        <w:tc>
          <w:tcPr>
            <w:tcW w:w="1139" w:type="dxa"/>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9" w:type="dxa"/>
            <w:vMerge w:val="restart"/>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安全</w:t>
            </w:r>
          </w:p>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保障</w:t>
            </w:r>
          </w:p>
        </w:tc>
        <w:tc>
          <w:tcPr>
            <w:tcW w:w="560"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21</w:t>
            </w:r>
          </w:p>
        </w:tc>
        <w:tc>
          <w:tcPr>
            <w:tcW w:w="4252" w:type="dxa"/>
            <w:gridSpan w:val="2"/>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粮食综合生产能力（万吨）</w:t>
            </w:r>
          </w:p>
        </w:tc>
        <w:tc>
          <w:tcPr>
            <w:tcW w:w="115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13.46</w:t>
            </w:r>
          </w:p>
        </w:tc>
        <w:tc>
          <w:tcPr>
            <w:tcW w:w="1839"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13.5以上</w:t>
            </w:r>
          </w:p>
        </w:tc>
        <w:tc>
          <w:tcPr>
            <w:tcW w:w="1139" w:type="dxa"/>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9" w:type="dxa"/>
            <w:vMerge w:val="continue"/>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p>
        </w:tc>
        <w:tc>
          <w:tcPr>
            <w:tcW w:w="560"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22</w:t>
            </w:r>
          </w:p>
        </w:tc>
        <w:tc>
          <w:tcPr>
            <w:tcW w:w="4252" w:type="dxa"/>
            <w:gridSpan w:val="2"/>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能源综合生产能力（万吨标准煤）</w:t>
            </w:r>
          </w:p>
        </w:tc>
        <w:tc>
          <w:tcPr>
            <w:tcW w:w="115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w:t>
            </w:r>
          </w:p>
        </w:tc>
        <w:tc>
          <w:tcPr>
            <w:tcW w:w="1839"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高于全市平均水平</w:t>
            </w:r>
          </w:p>
        </w:tc>
        <w:tc>
          <w:tcPr>
            <w:tcW w:w="1139" w:type="dxa"/>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9" w:type="dxa"/>
            <w:vMerge w:val="continue"/>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p>
        </w:tc>
        <w:tc>
          <w:tcPr>
            <w:tcW w:w="560"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23</w:t>
            </w:r>
          </w:p>
        </w:tc>
        <w:tc>
          <w:tcPr>
            <w:tcW w:w="4252" w:type="dxa"/>
            <w:gridSpan w:val="2"/>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亿元GDP生产安全事故死亡率（人/亿元）</w:t>
            </w:r>
          </w:p>
        </w:tc>
        <w:tc>
          <w:tcPr>
            <w:tcW w:w="1155"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w:t>
            </w:r>
          </w:p>
        </w:tc>
        <w:tc>
          <w:tcPr>
            <w:tcW w:w="1839" w:type="dxa"/>
            <w:noWrap/>
            <w:vAlign w:val="center"/>
          </w:tcPr>
          <w:p>
            <w:pPr>
              <w:adjustRightInd w:val="0"/>
              <w:snapToGrid w:val="0"/>
              <w:jc w:val="center"/>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东文宋体" w:hAnsi="东文宋体" w:eastAsia="东文宋体" w:cs="东文宋体"/>
                <w:color w:val="000000" w:themeColor="text1"/>
                <w:kern w:val="0"/>
                <w:sz w:val="24"/>
                <w:szCs w:val="24"/>
                <w14:textFill>
                  <w14:solidFill>
                    <w14:schemeClr w14:val="tx1"/>
                  </w14:solidFill>
                </w14:textFill>
              </w:rPr>
              <w:t>≤</w:t>
            </w:r>
            <w:r>
              <w:rPr>
                <w:rFonts w:hint="eastAsia" w:ascii="仿宋_GB2312" w:hAnsi="仿宋_GB2312" w:eastAsia="仿宋_GB2312" w:cs="仿宋_GB2312"/>
                <w:color w:val="000000" w:themeColor="text1"/>
                <w:kern w:val="0"/>
                <w:sz w:val="24"/>
                <w:szCs w:val="24"/>
                <w14:textFill>
                  <w14:solidFill>
                    <w14:schemeClr w14:val="tx1"/>
                  </w14:solidFill>
                </w14:textFill>
              </w:rPr>
              <w:t>全市平均值</w:t>
            </w:r>
          </w:p>
        </w:tc>
        <w:tc>
          <w:tcPr>
            <w:tcW w:w="1139" w:type="dxa"/>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854" w:type="dxa"/>
            <w:gridSpan w:val="7"/>
            <w:noWrap/>
            <w:vAlign w:val="center"/>
          </w:tcPr>
          <w:p>
            <w:pPr>
              <w:adjustRightInd w:val="0"/>
              <w:snapToGrid w:val="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 ]为5年累计数。</w:t>
            </w:r>
          </w:p>
        </w:tc>
      </w:tr>
    </w:tbl>
    <w:p>
      <w:pPr>
        <w:widowControl/>
        <w:adjustRightInd w:val="0"/>
        <w:snapToGrid w:val="0"/>
        <w:spacing w:line="360" w:lineRule="auto"/>
        <w:jc w:val="left"/>
        <w:rPr>
          <w:rFonts w:ascii="Times New Roman" w:hAnsi="Times New Roman" w:eastAsia="楷体" w:cs="Times New Roman"/>
          <w:color w:val="000000" w:themeColor="text1"/>
          <w:sz w:val="28"/>
          <w:szCs w:val="28"/>
          <w14:textFill>
            <w14:solidFill>
              <w14:schemeClr w14:val="tx1"/>
            </w14:solidFill>
          </w14:textFill>
        </w:rPr>
        <w:sectPr>
          <w:pgSz w:w="11906" w:h="16838"/>
          <w:pgMar w:top="2098" w:right="1531" w:bottom="1871" w:left="1531" w:header="851" w:footer="1134" w:gutter="0"/>
          <w:pgNumType w:fmt="numberInDash"/>
          <w:cols w:space="0" w:num="1"/>
          <w:titlePg/>
          <w:docGrid w:type="lines" w:linePitch="312" w:charSpace="0"/>
        </w:sectPr>
      </w:pPr>
    </w:p>
    <w:bookmarkEnd w:id="5"/>
    <w:bookmarkEnd w:id="6"/>
    <w:p>
      <w:pPr>
        <w:adjustRightInd w:val="0"/>
        <w:snapToGrid w:val="0"/>
        <w:spacing w:line="580" w:lineRule="exact"/>
        <w:jc w:val="center"/>
        <w:outlineLvl w:val="0"/>
        <w:rPr>
          <w:rFonts w:hint="eastAsia" w:ascii="方正小标宋简体" w:hAnsi="方正小标宋简体" w:eastAsia="方正小标宋简体" w:cs="方正小标宋简体"/>
          <w:color w:val="000000" w:themeColor="text1"/>
          <w:spacing w:val="-17"/>
          <w:sz w:val="36"/>
          <w:szCs w:val="36"/>
          <w14:textFill>
            <w14:solidFill>
              <w14:schemeClr w14:val="tx1"/>
            </w14:solidFill>
          </w14:textFill>
        </w:rPr>
      </w:pPr>
      <w:bookmarkStart w:id="39" w:name="_Toc235000750"/>
      <w:bookmarkStart w:id="40" w:name="_Toc215048317"/>
      <w:bookmarkStart w:id="41" w:name="_Toc212042418"/>
      <w:bookmarkStart w:id="42" w:name="_Toc3577"/>
      <w:r>
        <w:rPr>
          <w:rFonts w:hint="eastAsia" w:ascii="方正小标宋简体" w:hAnsi="方正小标宋简体" w:eastAsia="方正小标宋简体" w:cs="方正小标宋简体"/>
          <w:color w:val="000000" w:themeColor="text1"/>
          <w:sz w:val="36"/>
          <w:szCs w:val="36"/>
          <w14:textFill>
            <w14:solidFill>
              <w14:schemeClr w14:val="tx1"/>
            </w14:solidFill>
          </w14:textFill>
        </w:rPr>
        <w:t xml:space="preserve">第四章 </w:t>
      </w:r>
      <w:r>
        <w:rPr>
          <w:rFonts w:hint="eastAsia" w:ascii="方正小标宋简体" w:hAnsi="方正小标宋简体" w:eastAsia="方正小标宋简体" w:cs="方正小标宋简体"/>
          <w:color w:val="000000" w:themeColor="text1"/>
          <w:spacing w:val="-17"/>
          <w:sz w:val="36"/>
          <w:szCs w:val="36"/>
          <w14:textFill>
            <w14:solidFill>
              <w14:schemeClr w14:val="tx1"/>
            </w14:solidFill>
          </w14:textFill>
        </w:rPr>
        <w:t>构建现代化特色产业体系，巩固壮大实体经济根基</w:t>
      </w:r>
      <w:bookmarkEnd w:id="39"/>
      <w:bookmarkEnd w:id="40"/>
    </w:p>
    <w:p>
      <w:pPr>
        <w:adjustRightInd w:val="0"/>
        <w:snapToGrid w:val="0"/>
        <w:spacing w:line="580" w:lineRule="exact"/>
        <w:jc w:val="center"/>
        <w:rPr>
          <w:rFonts w:ascii="Times New Roman" w:hAnsi="Times New Roman" w:eastAsia="方正小标宋_GBK" w:cs="Times New Roman"/>
          <w:color w:val="000000" w:themeColor="text1"/>
          <w:sz w:val="32"/>
          <w:szCs w:val="32"/>
          <w14:textFill>
            <w14:solidFill>
              <w14:schemeClr w14:val="tx1"/>
            </w14:solidFill>
          </w14:textFill>
        </w:rPr>
      </w:pPr>
    </w:p>
    <w:p>
      <w:pPr>
        <w:adjustRightInd w:val="0"/>
        <w:snapToGrid w:val="0"/>
        <w:spacing w:line="580" w:lineRule="exact"/>
        <w:ind w:firstLine="616" w:firstLineChars="200"/>
        <w:rPr>
          <w:rFonts w:hint="eastAsia" w:ascii="仿宋_GB2312" w:hAnsi="仿宋_GB2312" w:eastAsia="仿宋_GB2312" w:cs="仿宋_GB2312"/>
          <w:color w:val="000000" w:themeColor="text1"/>
          <w:spacing w:val="-6"/>
          <w:sz w:val="32"/>
          <w:szCs w:val="32"/>
          <w14:textFill>
            <w14:solidFill>
              <w14:schemeClr w14:val="tx1"/>
            </w14:solidFill>
          </w14:textFill>
        </w:rPr>
      </w:pPr>
      <w:r>
        <w:rPr>
          <w:rFonts w:hint="eastAsia" w:ascii="仿宋_GB2312" w:hAnsi="仿宋_GB2312" w:eastAsia="仿宋_GB2312" w:cs="仿宋_GB2312"/>
          <w:color w:val="000000" w:themeColor="text1"/>
          <w:spacing w:val="-6"/>
          <w:sz w:val="32"/>
          <w:szCs w:val="32"/>
          <w14:textFill>
            <w14:solidFill>
              <w14:schemeClr w14:val="tx1"/>
            </w14:solidFill>
          </w14:textFill>
        </w:rPr>
        <w:t>立足资源禀赋好、要素成本低两大优势，主动作为、积极探索，加快理念更新、模式创新，深挖优质资源、承接优质产业、做强优质服务，因地制宜发展新质生产力，推动实体经济和数字经济深度融合，加快传统产业技术改造和转型升级，培育壮大新支柱产业链，着力打造具有会同特色的现代化产业体系。</w:t>
      </w:r>
    </w:p>
    <w:p>
      <w:pPr>
        <w:pStyle w:val="24"/>
        <w:adjustRightInd w:val="0"/>
        <w:snapToGrid w:val="0"/>
        <w:spacing w:line="580" w:lineRule="exact"/>
        <w:ind w:firstLine="0"/>
        <w:rPr>
          <w:rFonts w:hint="eastAsia"/>
          <w:color w:val="000000" w:themeColor="text1"/>
          <w14:textFill>
            <w14:solidFill>
              <w14:schemeClr w14:val="tx1"/>
            </w14:solidFill>
          </w14:textFill>
        </w:rPr>
      </w:pPr>
    </w:p>
    <w:p>
      <w:pPr>
        <w:adjustRightInd w:val="0"/>
        <w:snapToGrid w:val="0"/>
        <w:spacing w:line="580" w:lineRule="exact"/>
        <w:jc w:val="center"/>
        <w:outlineLvl w:val="1"/>
        <w:rPr>
          <w:rFonts w:ascii="Times New Roman" w:hAnsi="Times New Roman" w:eastAsia="黑体" w:cs="Times New Roman"/>
          <w:color w:val="000000" w:themeColor="text1"/>
          <w:sz w:val="32"/>
          <w:szCs w:val="32"/>
          <w14:textFill>
            <w14:solidFill>
              <w14:schemeClr w14:val="tx1"/>
            </w14:solidFill>
          </w14:textFill>
        </w:rPr>
      </w:pPr>
      <w:bookmarkStart w:id="43" w:name="_Toc235000751"/>
      <w:bookmarkStart w:id="44" w:name="_Toc215048319"/>
      <w:bookmarkStart w:id="45" w:name="_Toc215048318"/>
      <w:r>
        <w:rPr>
          <w:rFonts w:ascii="Times New Roman" w:hAnsi="Times New Roman" w:eastAsia="黑体" w:cs="Times New Roman"/>
          <w:color w:val="000000" w:themeColor="text1"/>
          <w:sz w:val="32"/>
          <w:szCs w:val="32"/>
          <w14:textFill>
            <w14:solidFill>
              <w14:schemeClr w14:val="tx1"/>
            </w14:solidFill>
          </w14:textFill>
        </w:rPr>
        <w:t>第一节 持续推进先进制造业高质量发展</w:t>
      </w:r>
      <w:bookmarkEnd w:id="43"/>
      <w:bookmarkEnd w:id="44"/>
    </w:p>
    <w:p>
      <w:pPr>
        <w:adjustRightInd w:val="0"/>
        <w:snapToGrid w:val="0"/>
        <w:spacing w:line="580" w:lineRule="exact"/>
        <w:ind w:firstLine="602" w:firstLineChars="200"/>
        <w:rPr>
          <w:rFonts w:ascii="Times New Roman" w:hAnsi="Times New Roman" w:eastAsia="楷体" w:cs="Times New Roman"/>
          <w:b/>
          <w:bCs/>
          <w:color w:val="000000" w:themeColor="text1"/>
          <w:sz w:val="30"/>
          <w:szCs w:val="30"/>
          <w14:textFill>
            <w14:solidFill>
              <w14:schemeClr w14:val="tx1"/>
            </w14:solidFill>
          </w14:textFill>
          <w14:ligatures w14:val="none"/>
        </w:rPr>
      </w:pP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箱包。</w:t>
      </w:r>
      <w:r>
        <w:rPr>
          <w:rFonts w:hint="eastAsia" w:ascii="仿宋_GB2312" w:hAnsi="仿宋_GB2312" w:eastAsia="仿宋_GB2312" w:cs="仿宋_GB2312"/>
          <w:color w:val="000000" w:themeColor="text1"/>
          <w:sz w:val="32"/>
          <w:szCs w:val="32"/>
          <w14:textFill>
            <w14:solidFill>
              <w14:schemeClr w14:val="tx1"/>
            </w14:solidFill>
          </w14:textFill>
        </w:rPr>
        <w:t>建设“怀化国际箱包之都”会同基地，加快产业延链补链强链，围绕研发设计、皮革原材料、五金饰件等产业链条薄弱环节，加快引进行业优质配套企业，提高中高端箱包生产能力，打造覆盖箱包制造、配件生产、商贸物流的全产业链体系。鼓励企业引进先进设备和技术，优化生产工艺，完善生产过程全质量管控体系，提升生产自动化智能化水平。积极拓展国内市场，强化“互联网+”意识，积极推进箱包皮具电子商务发展，支持鼓励企业创建电商直播基地、入驻电商园区、发展跨境电商。培育“千千客”等区域公用品牌，提升“会同箱包”的品牌溢价能力和市场影响力。到2030年，规模以上企业达到37家，其中年产值超10亿元企业不少于5家，园区产业链集中度达85%以上，打造湘黔边区箱包皮具产业高地。</w:t>
      </w:r>
    </w:p>
    <w:tbl>
      <w:tblPr>
        <w:tblStyle w:val="82"/>
        <w:tblW w:w="91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129" w:type="dxa"/>
          </w:tcPr>
          <w:p>
            <w:pPr>
              <w:adjustRightInd w:val="0"/>
              <w:snapToGrid w:val="0"/>
              <w:spacing w:line="580" w:lineRule="exact"/>
              <w:jc w:val="center"/>
              <w:rPr>
                <w:rFonts w:ascii="Times New Roman" w:hAnsi="Times New Roman" w:eastAsia="黑体" w:cs="Times New Roman"/>
                <w:color w:val="000000" w:themeColor="text1"/>
                <w:kern w:val="0"/>
                <w:sz w:val="28"/>
                <w:szCs w:val="28"/>
                <w14:textFill>
                  <w14:solidFill>
                    <w14:schemeClr w14:val="tx1"/>
                  </w14:solidFill>
                </w14:textFill>
                <w14:ligatures w14:val="none"/>
              </w:rPr>
            </w:pPr>
            <w:r>
              <w:rPr>
                <w:rFonts w:ascii="Times New Roman" w:hAnsi="Times New Roman" w:eastAsia="黑体" w:cs="Times New Roman"/>
                <w:color w:val="000000" w:themeColor="text1"/>
                <w:kern w:val="0"/>
                <w:sz w:val="32"/>
                <w:szCs w:val="32"/>
                <w14:textFill>
                  <w14:solidFill>
                    <w14:schemeClr w14:val="tx1"/>
                  </w14:solidFill>
                </w14:textFill>
                <w14:ligatures w14:val="none"/>
              </w:rPr>
              <w:t>专栏</w:t>
            </w:r>
            <w:r>
              <w:rPr>
                <w:rFonts w:hint="eastAsia" w:ascii="Times New Roman" w:hAnsi="Times New Roman" w:eastAsia="黑体" w:cs="Times New Roman"/>
                <w:color w:val="000000" w:themeColor="text1"/>
                <w:kern w:val="0"/>
                <w:sz w:val="32"/>
                <w:szCs w:val="32"/>
                <w14:textFill>
                  <w14:solidFill>
                    <w14:schemeClr w14:val="tx1"/>
                  </w14:solidFill>
                </w14:textFill>
                <w14:ligatures w14:val="none"/>
              </w:rPr>
              <w:t xml:space="preserve">1 </w:t>
            </w:r>
            <w:r>
              <w:rPr>
                <w:rFonts w:ascii="Times New Roman" w:hAnsi="Times New Roman" w:eastAsia="黑体" w:cs="Times New Roman"/>
                <w:color w:val="000000" w:themeColor="text1"/>
                <w:kern w:val="0"/>
                <w:sz w:val="32"/>
                <w:szCs w:val="32"/>
                <w14:textFill>
                  <w14:solidFill>
                    <w14:schemeClr w14:val="tx1"/>
                  </w14:solidFill>
                </w14:textFill>
                <w14:ligatures w14:val="none"/>
              </w:rPr>
              <w:t>箱包产业项目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9" w:type="dxa"/>
          </w:tcPr>
          <w:p>
            <w:pPr>
              <w:adjustRightInd w:val="0"/>
              <w:snapToGrid w:val="0"/>
              <w:spacing w:line="580" w:lineRule="exact"/>
              <w:ind w:firstLine="643" w:firstLineChars="200"/>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1.怀化“国际箱包之都”会同基地建设项目。</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以年产约1200万只箱包产业为核心，逐步形成箱包全产业链，带动拉链、面料、配件等配套行业发展。在原有基地基础上，新增智能仓储物流园、国际箱包检测认证中心、箱包产业学院、箱包主题文旅街区等配套，打造产业集群核心载体。</w:t>
            </w:r>
          </w:p>
          <w:p>
            <w:pPr>
              <w:adjustRightInd w:val="0"/>
              <w:snapToGrid w:val="0"/>
              <w:spacing w:line="580" w:lineRule="exact"/>
              <w:ind w:firstLine="643" w:firstLineChars="200"/>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2.智能箱包制造基地。</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引进10条全自动装配线（含激光切割机、智能缝纫机器人、RFID追溯系统）；年产高端PC拉杆箱</w:t>
            </w:r>
            <w:r>
              <w:rPr>
                <w:rFonts w:hint="eastAsia" w:ascii="楷体_GB2312" w:hAnsi="楷体_GB2312" w:eastAsia="楷体_GB2312" w:cs="楷体_GB2312"/>
                <w:color w:val="000000" w:themeColor="text1"/>
                <w:spacing w:val="-6"/>
                <w:kern w:val="0"/>
                <w:sz w:val="32"/>
                <w:szCs w:val="32"/>
                <w14:textFill>
                  <w14:solidFill>
                    <w14:schemeClr w14:val="tx1"/>
                  </w14:solidFill>
                </w14:textFill>
                <w14:ligatures w14:val="none"/>
              </w:rPr>
              <w:t>80万只、尼龙背包120万件；部署ERP、MES及WMS系统；建设恒温恒湿原料仓5000㎡、成品立体仓8000㎡及配套基础设施。</w:t>
            </w:r>
          </w:p>
          <w:p>
            <w:pPr>
              <w:adjustRightInd w:val="0"/>
              <w:snapToGrid w:val="0"/>
              <w:spacing w:line="580" w:lineRule="exact"/>
              <w:ind w:firstLine="643" w:firstLineChars="200"/>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3.箱包配件拉链全产业链项目。</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建设箱包配件研发中心、智能化生产线及仓储基地，年产拉链1亿条、箱包配件5000万套，打造“材料-生产-销售”一体化产业链。</w:t>
            </w:r>
          </w:p>
          <w:p>
            <w:pPr>
              <w:adjustRightInd w:val="0"/>
              <w:snapToGrid w:val="0"/>
              <w:spacing w:line="580" w:lineRule="exact"/>
              <w:ind w:firstLine="643" w:firstLineChars="200"/>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4.箱包工业设计中心。</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设立箱包产品创新实验室、3D打样中心及人才培养基地，提供设计研发、品牌孵化、市场对接等服务，年服务企业100家以上。</w:t>
            </w:r>
          </w:p>
          <w:p>
            <w:pPr>
              <w:adjustRightInd w:val="0"/>
              <w:snapToGrid w:val="0"/>
              <w:spacing w:line="580" w:lineRule="exact"/>
              <w:ind w:firstLine="643" w:firstLineChars="200"/>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5.箱包新材料研发与生产基地。</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建设年产2000吨可再生生物基箱包面料、1000万套环保五金配件的生产线，配套建设新材料检测实验室。</w:t>
            </w:r>
          </w:p>
          <w:p>
            <w:pPr>
              <w:adjustRightInd w:val="0"/>
              <w:snapToGrid w:val="0"/>
              <w:spacing w:line="580" w:lineRule="exact"/>
              <w:ind w:firstLine="643" w:firstLineChars="200"/>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6.箱包实训基地项目。</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本项目利用自有土地新建基地，总建筑面积7400</w:t>
            </w:r>
            <w:r>
              <w:rPr>
                <w:rFonts w:hint="eastAsia" w:ascii="楷体_GB2312" w:hAnsi="楷体_GB2312" w:eastAsia="楷体_GB2312" w:cs="楷体_GB2312"/>
                <w:color w:val="000000" w:themeColor="text1"/>
                <w:kern w:val="0"/>
                <w:sz w:val="32"/>
                <w:szCs w:val="32"/>
                <w:lang w:val="en-US" w:eastAsia="zh-CN"/>
                <w14:textFill>
                  <w14:solidFill>
                    <w14:schemeClr w14:val="tx1"/>
                  </w14:solidFill>
                </w14:textFill>
                <w14:ligatures w14:val="none"/>
              </w:rPr>
              <w:t>m</w:t>
            </w:r>
            <w:r>
              <w:rPr>
                <w:rFonts w:hint="eastAsia" w:ascii="楷体_GB2312" w:hAnsi="楷体_GB2312" w:eastAsia="楷体_GB2312" w:cs="楷体_GB2312"/>
                <w:color w:val="000000" w:themeColor="text1"/>
                <w:kern w:val="0"/>
                <w:sz w:val="32"/>
                <w:szCs w:val="32"/>
                <w:vertAlign w:val="superscript"/>
                <w:lang w:val="en-US" w:eastAsia="zh-CN"/>
                <w14:textFill>
                  <w14:solidFill>
                    <w14:schemeClr w14:val="tx1"/>
                  </w14:solidFill>
                </w14:textFill>
                <w14:ligatures w14:val="none"/>
              </w:rPr>
              <w:t>2</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。主要建设内容包括：实训场地搭建，采购实训设备，以及建设辅助设施。</w:t>
            </w:r>
          </w:p>
          <w:p>
            <w:pPr>
              <w:adjustRightInd w:val="0"/>
              <w:snapToGrid w:val="0"/>
              <w:spacing w:line="580" w:lineRule="exact"/>
              <w:ind w:firstLine="643" w:firstLineChars="200"/>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7.会同县承接产业转移示范区箱包专业化示范园建设项目。</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项目总用地面积38亩，总建筑面积37500.00㎡，主要包括箱包皮具零部件加工车间10852.00㎡、箱包皮具整装车间8880.00㎡、仓储库17768.00㎡，并配套建设区内给排水、供配电、停车位、场内道路等附属设施。</w:t>
            </w:r>
          </w:p>
          <w:p>
            <w:pPr>
              <w:adjustRightInd w:val="0"/>
              <w:snapToGrid w:val="0"/>
              <w:spacing w:line="580" w:lineRule="exact"/>
              <w:ind w:firstLine="643" w:firstLineChars="200"/>
              <w:rPr>
                <w:rFonts w:hint="eastAsia" w:ascii="仿宋_GB2312" w:hAnsi="仿宋_GB2312" w:eastAsia="仿宋_GB2312" w:cs="仿宋_GB2312"/>
                <w:color w:val="000000" w:themeColor="text1"/>
                <w:kern w:val="0"/>
                <w:sz w:val="28"/>
                <w:szCs w:val="28"/>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8.箱包文化产业园。</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结合苗族、侗族非遗文化，开发民族风箱包、文创箱包等特色产品，建设集设计、展示、销售于一体的文旅融合示范区。</w:t>
            </w:r>
          </w:p>
        </w:tc>
      </w:tr>
    </w:tbl>
    <w:p>
      <w:pPr>
        <w:numPr>
          <w:ilvl w:val="255"/>
          <w:numId w:val="0"/>
        </w:numPr>
        <w:adjustRightInd w:val="0"/>
        <w:snapToGrid w:val="0"/>
        <w:spacing w:line="580" w:lineRule="exact"/>
        <w:rPr>
          <w:rFonts w:ascii="Times New Roman" w:hAnsi="Times New Roman" w:eastAsia="仿宋_GB2312" w:cs="Times New Roman"/>
          <w:color w:val="000000" w:themeColor="text1"/>
          <w:sz w:val="30"/>
          <w:szCs w:val="30"/>
          <w14:textFill>
            <w14:solidFill>
              <w14:schemeClr w14:val="tx1"/>
            </w14:solidFill>
          </w14:textFill>
          <w14:ligatures w14:val="none"/>
        </w:rPr>
      </w:pPr>
    </w:p>
    <w:p>
      <w:pPr>
        <w:adjustRightInd w:val="0"/>
        <w:snapToGrid w:val="0"/>
        <w:spacing w:line="580" w:lineRule="exact"/>
        <w:ind w:firstLine="643"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电子信息。</w:t>
      </w:r>
      <w:r>
        <w:rPr>
          <w:rFonts w:hint="eastAsia" w:ascii="仿宋_GB2312" w:hAnsi="仿宋_GB2312" w:eastAsia="仿宋_GB2312" w:cs="仿宋_GB2312"/>
          <w:color w:val="000000" w:themeColor="text1"/>
          <w:sz w:val="32"/>
          <w:szCs w:val="32"/>
          <w14:textFill>
            <w14:solidFill>
              <w14:schemeClr w14:val="tx1"/>
            </w14:solidFill>
          </w14:textFill>
        </w:rPr>
        <w:t>抢抓东部电子信息产业向中西部转移机遇。围绕劳动密集型环节推动电子信息产业延链补链，重点引进军工（无人机）、医疗、机器人、消费电子等电子元器件项目，以应用为牵引积极发展大数据、人工智能等信息技术服务产业，打造集核心电子元器件、高性能集成电路、网络通信设备、信息技术服务于一体的电子信息产业集群。加大5G智能终端配套设备项目引进力度，重点发展新型金属基板、陶瓷基板、复合基板等高性能材料，积极发展正极材料、负极材料、隔膜、电解液等新型电子材料。到2030年，培育高新技术企业10家以上，实现芯片封装、传感器等关键技术突破3项以上，打造湘黔边区电子信息制造与创新应用示范区。</w:t>
      </w:r>
    </w:p>
    <w:p>
      <w:pPr>
        <w:pStyle w:val="2"/>
        <w:rPr>
          <w:color w:val="000000" w:themeColor="text1"/>
          <w14:textFill>
            <w14:solidFill>
              <w14:schemeClr w14:val="tx1"/>
            </w14:solidFill>
          </w14:textFill>
        </w:rPr>
      </w:pPr>
    </w:p>
    <w:p>
      <w:pPr>
        <w:rPr>
          <w:color w:val="000000" w:themeColor="text1"/>
          <w14:textFill>
            <w14:solidFill>
              <w14:schemeClr w14:val="tx1"/>
            </w14:solidFill>
          </w14:textFill>
        </w:rPr>
      </w:pPr>
    </w:p>
    <w:p>
      <w:pPr>
        <w:pStyle w:val="2"/>
        <w:rPr>
          <w:rFonts w:hint="eastAsia"/>
          <w:color w:val="000000" w:themeColor="text1"/>
          <w14:textFill>
            <w14:solidFill>
              <w14:schemeClr w14:val="tx1"/>
            </w14:solidFill>
          </w14:textFill>
        </w:rPr>
      </w:pPr>
    </w:p>
    <w:tbl>
      <w:tblPr>
        <w:tblStyle w:val="82"/>
        <w:tblW w:w="90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9024" w:type="dxa"/>
            <w:vAlign w:val="center"/>
          </w:tcPr>
          <w:p>
            <w:pPr>
              <w:adjustRightInd w:val="0"/>
              <w:snapToGrid w:val="0"/>
              <w:spacing w:line="580" w:lineRule="exact"/>
              <w:jc w:val="center"/>
              <w:rPr>
                <w:rFonts w:ascii="Times New Roman" w:hAnsi="Times New Roman" w:eastAsia="黑体" w:cs="Times New Roman"/>
                <w:color w:val="000000" w:themeColor="text1"/>
                <w:kern w:val="0"/>
                <w:sz w:val="28"/>
                <w:szCs w:val="28"/>
                <w14:textFill>
                  <w14:solidFill>
                    <w14:schemeClr w14:val="tx1"/>
                  </w14:solidFill>
                </w14:textFill>
                <w14:ligatures w14:val="none"/>
              </w:rPr>
            </w:pPr>
            <w:r>
              <w:rPr>
                <w:rFonts w:ascii="Times New Roman" w:hAnsi="Times New Roman" w:eastAsia="黑体" w:cs="Times New Roman"/>
                <w:color w:val="000000" w:themeColor="text1"/>
                <w:kern w:val="0"/>
                <w:sz w:val="32"/>
                <w:szCs w:val="32"/>
                <w14:textFill>
                  <w14:solidFill>
                    <w14:schemeClr w14:val="tx1"/>
                  </w14:solidFill>
                </w14:textFill>
                <w14:ligatures w14:val="none"/>
              </w:rPr>
              <w:t>专栏</w:t>
            </w:r>
            <w:r>
              <w:rPr>
                <w:rFonts w:hint="eastAsia" w:ascii="Times New Roman" w:hAnsi="Times New Roman" w:eastAsia="黑体" w:cs="Times New Roman"/>
                <w:color w:val="000000" w:themeColor="text1"/>
                <w:kern w:val="0"/>
                <w:sz w:val="32"/>
                <w:szCs w:val="32"/>
                <w14:textFill>
                  <w14:solidFill>
                    <w14:schemeClr w14:val="tx1"/>
                  </w14:solidFill>
                </w14:textFill>
                <w14:ligatures w14:val="none"/>
              </w:rPr>
              <w:t xml:space="preserve">2 </w:t>
            </w:r>
            <w:r>
              <w:rPr>
                <w:rFonts w:ascii="Times New Roman" w:hAnsi="Times New Roman" w:eastAsia="黑体" w:cs="Times New Roman"/>
                <w:color w:val="000000" w:themeColor="text1"/>
                <w:kern w:val="0"/>
                <w:sz w:val="32"/>
                <w:szCs w:val="32"/>
                <w14:textFill>
                  <w14:solidFill>
                    <w14:schemeClr w14:val="tx1"/>
                  </w14:solidFill>
                </w14:textFill>
                <w14:ligatures w14:val="none"/>
              </w:rPr>
              <w:t>电子信息项目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9024" w:type="dxa"/>
            <w:vAlign w:val="center"/>
          </w:tcPr>
          <w:p>
            <w:pPr>
              <w:adjustRightInd w:val="0"/>
              <w:snapToGrid w:val="0"/>
              <w:spacing w:line="580" w:lineRule="exact"/>
              <w:ind w:firstLine="643" w:firstLineChars="200"/>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1.航天无人机领域装置、海底深水探测动力装置、工业母机直线电机生产项目。</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新建12条生产线，购置相关生产设备及仪器200台，年产量10万件。</w:t>
            </w:r>
          </w:p>
          <w:p>
            <w:pPr>
              <w:adjustRightInd w:val="0"/>
              <w:snapToGrid w:val="0"/>
              <w:spacing w:line="580" w:lineRule="exact"/>
              <w:ind w:firstLine="643" w:firstLineChars="200"/>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2.微型震动电机、超声波电机、摄像头模组生产项目。</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新建10条生产线，并购置相关生产设备100台,主要生产微型震动电机、超声波电机、摄像头模组，年产量达400万件。</w:t>
            </w:r>
          </w:p>
          <w:p>
            <w:pPr>
              <w:adjustRightInd w:val="0"/>
              <w:snapToGrid w:val="0"/>
              <w:spacing w:line="580" w:lineRule="exact"/>
              <w:ind w:firstLine="643" w:firstLineChars="200"/>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3.会同县电子信息智能制造产业园。</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建设标准化厂房30万㎡，重点引进智能传感器、汽车电子、消费电子组装等企业。配套建设智慧园区管理系统、废水处理中心。</w:t>
            </w:r>
          </w:p>
          <w:p>
            <w:pPr>
              <w:adjustRightInd w:val="0"/>
              <w:snapToGrid w:val="0"/>
              <w:spacing w:line="580" w:lineRule="exact"/>
              <w:ind w:firstLine="643" w:firstLineChars="200"/>
              <w:rPr>
                <w:rFonts w:hint="eastAsia" w:ascii="仿宋_GB2312" w:hAnsi="仿宋_GB2312" w:eastAsia="仿宋_GB2312" w:cs="仿宋_GB2312"/>
                <w:color w:val="000000" w:themeColor="text1"/>
                <w:kern w:val="0"/>
                <w:sz w:val="28"/>
                <w:szCs w:val="28"/>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4.智能终端及物联网设备生产。</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建设年产1000万台智能穿戴设备、200万套智能家居控制模块的生产线。</w:t>
            </w:r>
          </w:p>
        </w:tc>
      </w:tr>
    </w:tbl>
    <w:p>
      <w:pPr>
        <w:adjustRightInd w:val="0"/>
        <w:snapToGrid w:val="0"/>
        <w:spacing w:line="580" w:lineRule="exact"/>
        <w:ind w:firstLine="602" w:firstLineChars="200"/>
        <w:rPr>
          <w:rFonts w:ascii="Times New Roman" w:hAnsi="Times New Roman" w:eastAsia="楷体" w:cs="Times New Roman"/>
          <w:b/>
          <w:bCs/>
          <w:color w:val="000000" w:themeColor="text1"/>
          <w:sz w:val="30"/>
          <w:szCs w:val="30"/>
          <w14:textFill>
            <w14:solidFill>
              <w14:schemeClr w14:val="tx1"/>
            </w14:solidFill>
          </w14:textFill>
          <w14:ligatures w14:val="none"/>
        </w:rPr>
      </w:pP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冶金。</w:t>
      </w:r>
      <w:r>
        <w:rPr>
          <w:rFonts w:hint="eastAsia" w:ascii="仿宋_GB2312" w:hAnsi="仿宋_GB2312" w:eastAsia="仿宋_GB2312" w:cs="仿宋_GB2312"/>
          <w:color w:val="000000" w:themeColor="text1"/>
          <w:sz w:val="32"/>
          <w:szCs w:val="32"/>
          <w14:textFill>
            <w14:solidFill>
              <w14:schemeClr w14:val="tx1"/>
            </w14:solidFill>
          </w14:textFill>
        </w:rPr>
        <w:t>依托产业基础和矿产资源优势，做强产业链。淘汰30万吨以下独立冶炼产能，推动工业硅企业短流程技改。有序开发黄金等矿产资源，发展再生金属循环经济。强化能耗总量控制，支持企业加快引进先进技术和工艺，强化光伏、风电等新能源配套支撑，提高企业绿电使用比例，推动“冶炼—新能源—环保材料”跨产业协同。</w:t>
      </w:r>
    </w:p>
    <w:p>
      <w:pPr>
        <w:adjustRightInd w:val="0"/>
        <w:snapToGrid w:val="0"/>
        <w:spacing w:line="580" w:lineRule="exact"/>
        <w:jc w:val="center"/>
        <w:rPr>
          <w:rFonts w:ascii="Times New Roman" w:hAnsi="Times New Roman" w:eastAsia="黑体" w:cs="Times New Roman"/>
          <w:color w:val="000000" w:themeColor="text1"/>
          <w:sz w:val="30"/>
          <w:szCs w:val="30"/>
          <w14:textFill>
            <w14:solidFill>
              <w14:schemeClr w14:val="tx1"/>
            </w14:solidFill>
          </w14:textFill>
        </w:rPr>
      </w:pPr>
    </w:p>
    <w:p>
      <w:pPr>
        <w:pStyle w:val="2"/>
        <w:rPr>
          <w:color w:val="000000" w:themeColor="text1"/>
          <w14:textFill>
            <w14:solidFill>
              <w14:schemeClr w14:val="tx1"/>
            </w14:solidFill>
          </w14:textFill>
        </w:rPr>
      </w:pPr>
    </w:p>
    <w:p>
      <w:pPr>
        <w:pStyle w:val="2"/>
        <w:ind w:left="0" w:leftChars="0" w:firstLine="0" w:firstLineChars="0"/>
        <w:rPr>
          <w:rFonts w:hint="eastAsia"/>
          <w:color w:val="000000" w:themeColor="text1"/>
          <w14:textFill>
            <w14:solidFill>
              <w14:schemeClr w14:val="tx1"/>
            </w14:solidFill>
          </w14:textFill>
        </w:rPr>
      </w:pPr>
    </w:p>
    <w:p>
      <w:pPr>
        <w:adjustRightInd w:val="0"/>
        <w:snapToGrid w:val="0"/>
        <w:spacing w:line="580" w:lineRule="exact"/>
        <w:jc w:val="center"/>
        <w:outlineLvl w:val="1"/>
        <w:rPr>
          <w:rFonts w:ascii="Times New Roman" w:hAnsi="Times New Roman" w:eastAsia="黑体" w:cs="Times New Roman"/>
          <w:color w:val="000000" w:themeColor="text1"/>
          <w:sz w:val="32"/>
          <w:szCs w:val="32"/>
          <w14:textFill>
            <w14:solidFill>
              <w14:schemeClr w14:val="tx1"/>
            </w14:solidFill>
          </w14:textFill>
        </w:rPr>
      </w:pPr>
      <w:bookmarkStart w:id="46" w:name="_Toc235000752"/>
      <w:r>
        <w:rPr>
          <w:rFonts w:ascii="Times New Roman" w:hAnsi="Times New Roman" w:eastAsia="黑体" w:cs="Times New Roman"/>
          <w:color w:val="000000" w:themeColor="text1"/>
          <w:sz w:val="32"/>
          <w:szCs w:val="32"/>
          <w14:textFill>
            <w14:solidFill>
              <w14:schemeClr w14:val="tx1"/>
            </w14:solidFill>
          </w14:textFill>
        </w:rPr>
        <w:t xml:space="preserve">第二节 </w:t>
      </w:r>
      <w:bookmarkEnd w:id="45"/>
      <w:r>
        <w:rPr>
          <w:rFonts w:ascii="Times New Roman" w:hAnsi="Times New Roman" w:eastAsia="黑体" w:cs="Times New Roman"/>
          <w:color w:val="000000" w:themeColor="text1"/>
          <w:sz w:val="32"/>
          <w:szCs w:val="32"/>
          <w14:textFill>
            <w14:solidFill>
              <w14:schemeClr w14:val="tx1"/>
            </w14:solidFill>
          </w14:textFill>
        </w:rPr>
        <w:t>壮大高附加值绿色农林产品及其加工</w:t>
      </w:r>
      <w:r>
        <w:rPr>
          <w:rFonts w:hint="eastAsia" w:ascii="Times New Roman" w:hAnsi="Times New Roman" w:eastAsia="黑体" w:cs="Times New Roman"/>
          <w:color w:val="000000" w:themeColor="text1"/>
          <w:sz w:val="32"/>
          <w:szCs w:val="32"/>
          <w14:textFill>
            <w14:solidFill>
              <w14:schemeClr w14:val="tx1"/>
            </w14:solidFill>
          </w14:textFill>
        </w:rPr>
        <w:t>产</w:t>
      </w:r>
      <w:r>
        <w:rPr>
          <w:rFonts w:ascii="Times New Roman" w:hAnsi="Times New Roman" w:eastAsia="黑体" w:cs="Times New Roman"/>
          <w:color w:val="000000" w:themeColor="text1"/>
          <w:sz w:val="32"/>
          <w:szCs w:val="32"/>
          <w14:textFill>
            <w14:solidFill>
              <w14:schemeClr w14:val="tx1"/>
            </w14:solidFill>
          </w14:textFill>
        </w:rPr>
        <w:t>业</w:t>
      </w:r>
      <w:bookmarkEnd w:id="46"/>
    </w:p>
    <w:p>
      <w:pPr>
        <w:adjustRightInd w:val="0"/>
        <w:snapToGrid w:val="0"/>
        <w:spacing w:line="580" w:lineRule="exact"/>
        <w:ind w:firstLine="602" w:firstLineChars="200"/>
        <w:rPr>
          <w:rFonts w:ascii="Times New Roman" w:hAnsi="Times New Roman" w:eastAsia="楷体" w:cs="Times New Roman"/>
          <w:b/>
          <w:bCs/>
          <w:color w:val="000000" w:themeColor="text1"/>
          <w:sz w:val="30"/>
          <w:szCs w:val="30"/>
          <w14:textFill>
            <w14:solidFill>
              <w14:schemeClr w14:val="tx1"/>
            </w14:solidFill>
          </w14:textFill>
          <w14:ligatures w14:val="none"/>
        </w:rPr>
      </w:pPr>
    </w:p>
    <w:p>
      <w:pPr>
        <w:adjustRightInd w:val="0"/>
        <w:snapToGrid w:val="0"/>
        <w:spacing w:line="580" w:lineRule="exact"/>
        <w:ind w:firstLine="643"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生猪。</w:t>
      </w:r>
      <w:r>
        <w:rPr>
          <w:rFonts w:hint="eastAsia" w:ascii="仿宋_GB2312" w:hAnsi="仿宋_GB2312" w:eastAsia="仿宋_GB2312" w:cs="仿宋_GB2312"/>
          <w:color w:val="000000" w:themeColor="text1"/>
          <w:sz w:val="32"/>
          <w:szCs w:val="32"/>
          <w14:textFill>
            <w14:solidFill>
              <w14:schemeClr w14:val="tx1"/>
            </w14:solidFill>
          </w14:textFill>
        </w:rPr>
        <w:t>优化生猪产业结构布局，构建生猪种业、养殖、屠宰、加工冷链物流等配套发展的现代化生猪产业体系，实现“小散养殖向标准化规模养殖转型、粗放养殖向绿色科学养殖转型、小型屠宰厂（场）向现代化屠宰企业转型、调活猪向调猪肉转型”四个转型，打造国家生猪调出大县和国家生猪种源基地。大力推进生猪改良计划，加强核心育种场建设，鼓励发展优质二元杂交母猪扩繁场，建设本地猪繁育中心，强化种源关键技术攻关，切实提高优质商品仔猪和育肥猪生产能力。高标准建设现代化生猪养殖示范工厂，加快设施装备提档升级，加快智慧化养殖技术推广，提高产出效益，提升综合竞争能力。持续推动标准化屠宰，提升分割、包装、加工、贮运、包装等设备和技术，扩大冷鲜肉和分割肉市场份额，加快建立冷链物流配送体系。鼓励屠宰企业发展猪肉精深加工和副产品综合利用，优化产品结构。到2030年，全面建成面向东盟的优质肉品供应枢纽、国家生猪产业高质量发展样板区、湘黔渝边区产业协同中心，为乡村振兴注入强劲动能，生猪全产业链达到链上规模工业企业达8家。</w:t>
      </w:r>
    </w:p>
    <w:p>
      <w:pPr>
        <w:pStyle w:val="2"/>
        <w:rPr>
          <w:rFonts w:hint="eastAsia"/>
          <w:color w:val="000000" w:themeColor="text1"/>
          <w14:textFill>
            <w14:solidFill>
              <w14:schemeClr w14:val="tx1"/>
            </w14:solidFill>
          </w14:textFill>
        </w:rPr>
      </w:pPr>
    </w:p>
    <w:tbl>
      <w:tblPr>
        <w:tblStyle w:val="82"/>
        <w:tblW w:w="90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024" w:type="dxa"/>
          </w:tcPr>
          <w:p>
            <w:pPr>
              <w:adjustRightInd w:val="0"/>
              <w:snapToGrid w:val="0"/>
              <w:spacing w:line="580" w:lineRule="exact"/>
              <w:jc w:val="center"/>
              <w:rPr>
                <w:rFonts w:ascii="Times New Roman" w:hAnsi="Times New Roman" w:eastAsia="黑体" w:cs="Times New Roman"/>
                <w:color w:val="000000" w:themeColor="text1"/>
                <w:kern w:val="0"/>
                <w:sz w:val="28"/>
                <w:szCs w:val="28"/>
                <w14:textFill>
                  <w14:solidFill>
                    <w14:schemeClr w14:val="tx1"/>
                  </w14:solidFill>
                </w14:textFill>
                <w14:ligatures w14:val="none"/>
              </w:rPr>
            </w:pPr>
            <w:r>
              <w:rPr>
                <w:rFonts w:ascii="Times New Roman" w:hAnsi="Times New Roman" w:eastAsia="黑体" w:cs="Times New Roman"/>
                <w:color w:val="000000" w:themeColor="text1"/>
                <w:kern w:val="0"/>
                <w:sz w:val="32"/>
                <w:szCs w:val="32"/>
                <w14:textFill>
                  <w14:solidFill>
                    <w14:schemeClr w14:val="tx1"/>
                  </w14:solidFill>
                </w14:textFill>
                <w14:ligatures w14:val="none"/>
              </w:rPr>
              <w:t>专栏</w:t>
            </w:r>
            <w:r>
              <w:rPr>
                <w:rFonts w:hint="eastAsia" w:ascii="Times New Roman" w:hAnsi="Times New Roman" w:eastAsia="黑体" w:cs="Times New Roman"/>
                <w:color w:val="000000" w:themeColor="text1"/>
                <w:kern w:val="0"/>
                <w:sz w:val="32"/>
                <w:szCs w:val="32"/>
                <w14:textFill>
                  <w14:solidFill>
                    <w14:schemeClr w14:val="tx1"/>
                  </w14:solidFill>
                </w14:textFill>
                <w14:ligatures w14:val="none"/>
              </w:rPr>
              <w:t xml:space="preserve">3 </w:t>
            </w:r>
            <w:r>
              <w:rPr>
                <w:rFonts w:ascii="Times New Roman" w:hAnsi="Times New Roman" w:eastAsia="黑体" w:cs="Times New Roman"/>
                <w:color w:val="000000" w:themeColor="text1"/>
                <w:kern w:val="0"/>
                <w:sz w:val="32"/>
                <w:szCs w:val="32"/>
                <w14:textFill>
                  <w14:solidFill>
                    <w14:schemeClr w14:val="tx1"/>
                  </w14:solidFill>
                </w14:textFill>
                <w14:ligatures w14:val="none"/>
              </w:rPr>
              <w:t>生猪经济项目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4" w:type="dxa"/>
          </w:tcPr>
          <w:p>
            <w:pPr>
              <w:adjustRightInd w:val="0"/>
              <w:snapToGrid w:val="0"/>
              <w:spacing w:line="580" w:lineRule="exact"/>
              <w:ind w:firstLine="643" w:firstLineChars="200"/>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1.国家生猪核心育种基地建设项目。</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建设国家生猪种业核心基地，新建2400头新品种曾祖代场2个、3600头新品种祖</w:t>
            </w:r>
            <w:r>
              <w:rPr>
                <w:rFonts w:hint="eastAsia" w:ascii="楷体_GB2312" w:hAnsi="楷体_GB2312" w:eastAsia="楷体_GB2312" w:cs="楷体_GB2312"/>
                <w:color w:val="000000" w:themeColor="text1"/>
                <w:spacing w:val="-6"/>
                <w:kern w:val="0"/>
                <w:sz w:val="32"/>
                <w:szCs w:val="32"/>
                <w14:textFill>
                  <w14:solidFill>
                    <w14:schemeClr w14:val="tx1"/>
                  </w14:solidFill>
                </w14:textFill>
                <w14:ligatures w14:val="none"/>
              </w:rPr>
              <w:t>代场1个、1200头国家级父系场、600头国家核心种公猪站等。</w:t>
            </w:r>
          </w:p>
          <w:p>
            <w:pPr>
              <w:adjustRightInd w:val="0"/>
              <w:snapToGrid w:val="0"/>
              <w:spacing w:line="580" w:lineRule="exact"/>
              <w:ind w:firstLine="643" w:firstLineChars="200"/>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2.闹溪3万头育肥猪场建设项目。</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项目占地面积146740</w:t>
            </w:r>
            <w:r>
              <w:rPr>
                <w:rFonts w:hint="eastAsia" w:ascii="楷体_GB2312" w:hAnsi="楷体_GB2312" w:eastAsia="楷体_GB2312" w:cs="楷体_GB2312"/>
                <w:color w:val="000000" w:themeColor="text1"/>
                <w:kern w:val="0"/>
                <w:sz w:val="32"/>
                <w:szCs w:val="32"/>
                <w:lang w:eastAsia="zh-CN"/>
                <w14:textFill>
                  <w14:solidFill>
                    <w14:schemeClr w14:val="tx1"/>
                  </w14:solidFill>
                </w14:textFill>
                <w14:ligatures w14:val="none"/>
              </w:rPr>
              <w:t>㎡</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，续建年存栏3万头育肥场。猪舍、隔离舍、仓库料站、装猪台、宿舍办公楼等主体建设，同时完成粪污处理场、停车场、道路、绿化等基础配套设施建设。</w:t>
            </w:r>
          </w:p>
          <w:p>
            <w:pPr>
              <w:adjustRightInd w:val="0"/>
              <w:snapToGrid w:val="0"/>
              <w:spacing w:line="580" w:lineRule="exact"/>
              <w:ind w:firstLine="643" w:firstLineChars="200"/>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3.江边10000头地方品牌猪育肥场建设项目。</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新建年存栏</w:t>
            </w:r>
            <w:r>
              <w:rPr>
                <w:rFonts w:hint="eastAsia" w:ascii="楷体_GB2312" w:hAnsi="楷体_GB2312" w:eastAsia="楷体_GB2312" w:cs="楷体_GB2312"/>
                <w:color w:val="000000" w:themeColor="text1"/>
                <w:spacing w:val="-6"/>
                <w:kern w:val="0"/>
                <w:sz w:val="32"/>
                <w:szCs w:val="32"/>
                <w14:textFill>
                  <w14:solidFill>
                    <w14:schemeClr w14:val="tx1"/>
                  </w14:solidFill>
                </w14:textFill>
                <w14:ligatures w14:val="none"/>
              </w:rPr>
              <w:t>10000头育肥场。猪舍、隔离舍、仓库料站、装猪台、宿舍办公楼等主体建设，同时完成粪污处理场、停车场、道路、绿化等基础配套设施建设。</w:t>
            </w:r>
          </w:p>
          <w:p>
            <w:pPr>
              <w:adjustRightInd w:val="0"/>
              <w:snapToGrid w:val="0"/>
              <w:spacing w:line="580" w:lineRule="exact"/>
              <w:ind w:firstLine="643" w:firstLineChars="200"/>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4.元贞25000头育肥场建设项目。</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新建存栏</w:t>
            </w:r>
            <w:r>
              <w:rPr>
                <w:rFonts w:hint="eastAsia" w:ascii="楷体_GB2312" w:hAnsi="楷体_GB2312" w:eastAsia="楷体_GB2312" w:cs="楷体_GB2312"/>
                <w:color w:val="000000" w:themeColor="text1"/>
                <w:spacing w:val="-6"/>
                <w:kern w:val="0"/>
                <w:sz w:val="32"/>
                <w:szCs w:val="32"/>
                <w14:textFill>
                  <w14:solidFill>
                    <w14:schemeClr w14:val="tx1"/>
                  </w14:solidFill>
                </w14:textFill>
                <w14:ligatures w14:val="none"/>
              </w:rPr>
              <w:t>25000头育肥猪场，新建猪舍20521.76</w:t>
            </w:r>
            <w:r>
              <w:rPr>
                <w:rFonts w:hint="eastAsia" w:ascii="楷体_GB2312" w:hAnsi="楷体_GB2312" w:eastAsia="楷体_GB2312" w:cs="楷体_GB2312"/>
                <w:color w:val="000000" w:themeColor="text1"/>
                <w:spacing w:val="-6"/>
                <w:kern w:val="0"/>
                <w:sz w:val="32"/>
                <w:szCs w:val="32"/>
                <w:lang w:eastAsia="zh-CN"/>
                <w14:textFill>
                  <w14:solidFill>
                    <w14:schemeClr w14:val="tx1"/>
                  </w14:solidFill>
                </w14:textFill>
                <w14:ligatures w14:val="none"/>
              </w:rPr>
              <w:t>㎡</w:t>
            </w:r>
            <w:r>
              <w:rPr>
                <w:rFonts w:hint="eastAsia" w:ascii="楷体_GB2312" w:hAnsi="楷体_GB2312" w:eastAsia="楷体_GB2312" w:cs="楷体_GB2312"/>
                <w:color w:val="000000" w:themeColor="text1"/>
                <w:spacing w:val="-6"/>
                <w:kern w:val="0"/>
                <w:sz w:val="32"/>
                <w:szCs w:val="32"/>
                <w14:textFill>
                  <w14:solidFill>
                    <w14:schemeClr w14:val="tx1"/>
                  </w14:solidFill>
                </w14:textFill>
                <w14:ligatures w14:val="none"/>
              </w:rPr>
              <w:t>，办公用房、洗消间、工作间等附属设施用房1181.07</w:t>
            </w:r>
            <w:r>
              <w:rPr>
                <w:rFonts w:hint="eastAsia" w:ascii="楷体_GB2312" w:hAnsi="楷体_GB2312" w:eastAsia="楷体_GB2312" w:cs="楷体_GB2312"/>
                <w:color w:val="000000" w:themeColor="text1"/>
                <w:spacing w:val="-6"/>
                <w:kern w:val="0"/>
                <w:sz w:val="32"/>
                <w:szCs w:val="32"/>
                <w:lang w:eastAsia="zh-CN"/>
                <w14:textFill>
                  <w14:solidFill>
                    <w14:schemeClr w14:val="tx1"/>
                  </w14:solidFill>
                </w14:textFill>
                <w14:ligatures w14:val="none"/>
              </w:rPr>
              <w:t>㎡</w:t>
            </w:r>
            <w:r>
              <w:rPr>
                <w:rFonts w:hint="eastAsia" w:ascii="楷体_GB2312" w:hAnsi="楷体_GB2312" w:eastAsia="楷体_GB2312" w:cs="楷体_GB2312"/>
                <w:color w:val="000000" w:themeColor="text1"/>
                <w:spacing w:val="-6"/>
                <w:kern w:val="0"/>
                <w:sz w:val="32"/>
                <w:szCs w:val="32"/>
                <w14:textFill>
                  <w14:solidFill>
                    <w14:schemeClr w14:val="tx1"/>
                  </w14:solidFill>
                </w14:textFill>
                <w14:ligatures w14:val="none"/>
              </w:rPr>
              <w:t>，同时完成污水处理站、道路、绿化等基础配套设施建设。</w:t>
            </w:r>
          </w:p>
          <w:p>
            <w:pPr>
              <w:adjustRightInd w:val="0"/>
              <w:snapToGrid w:val="0"/>
              <w:spacing w:line="580" w:lineRule="exact"/>
              <w:ind w:firstLine="643" w:firstLineChars="200"/>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5.畜禽粪污资源化创制植全素项目。</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在全县规模养殖场建设配套植全素创制及畜禽废弃物资源化利用工厂7个，占地约70亩，年产30万吨植全素。</w:t>
            </w:r>
          </w:p>
          <w:p>
            <w:pPr>
              <w:adjustRightInd w:val="0"/>
              <w:snapToGrid w:val="0"/>
              <w:spacing w:line="580" w:lineRule="exact"/>
              <w:ind w:firstLine="643" w:firstLineChars="200"/>
              <w:rPr>
                <w:rFonts w:hint="eastAsia" w:ascii="仿宋_GB2312" w:hAnsi="仿宋_GB2312" w:eastAsia="仿宋_GB2312" w:cs="仿宋_GB2312"/>
                <w:color w:val="000000" w:themeColor="text1"/>
                <w:kern w:val="0"/>
                <w:sz w:val="28"/>
                <w:szCs w:val="28"/>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6.会同县肉食品加工园。</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建筑面积8000</w:t>
            </w:r>
            <w:r>
              <w:rPr>
                <w:rFonts w:hint="eastAsia" w:ascii="楷体_GB2312" w:hAnsi="楷体_GB2312" w:eastAsia="楷体_GB2312" w:cs="楷体_GB2312"/>
                <w:color w:val="000000" w:themeColor="text1"/>
                <w:kern w:val="0"/>
                <w:sz w:val="32"/>
                <w:szCs w:val="32"/>
                <w:lang w:eastAsia="zh-CN"/>
                <w14:textFill>
                  <w14:solidFill>
                    <w14:schemeClr w14:val="tx1"/>
                  </w14:solidFill>
                </w14:textFill>
                <w14:ligatures w14:val="none"/>
              </w:rPr>
              <w:t>㎡</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，主要建设屠宰分割车间、熟食加工车间冷库及仓储、检验检测中心、污水处理站、办公及生活区等。</w:t>
            </w:r>
          </w:p>
        </w:tc>
      </w:tr>
    </w:tbl>
    <w:p>
      <w:pPr>
        <w:adjustRightInd w:val="0"/>
        <w:snapToGrid w:val="0"/>
        <w:spacing w:line="580" w:lineRule="exact"/>
        <w:rPr>
          <w:rFonts w:ascii="Times New Roman" w:hAnsi="Times New Roman" w:eastAsia="仿宋_GB2312" w:cs="Times New Roman"/>
          <w:color w:val="000000" w:themeColor="text1"/>
          <w:sz w:val="30"/>
          <w:szCs w:val="30"/>
          <w14:textFill>
            <w14:solidFill>
              <w14:schemeClr w14:val="tx1"/>
            </w14:solidFill>
          </w14:textFill>
          <w14:ligatures w14:val="none"/>
        </w:rPr>
      </w:pPr>
    </w:p>
    <w:p>
      <w:pPr>
        <w:adjustRightInd w:val="0"/>
        <w:snapToGrid w:val="0"/>
        <w:spacing w:line="580" w:lineRule="exact"/>
        <w:ind w:firstLine="643"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竹木产业。</w:t>
      </w:r>
      <w:r>
        <w:rPr>
          <w:rFonts w:hint="eastAsia" w:ascii="仿宋_GB2312" w:hAnsi="仿宋_GB2312" w:eastAsia="仿宋_GB2312" w:cs="仿宋_GB2312"/>
          <w:color w:val="000000" w:themeColor="text1"/>
          <w:sz w:val="32"/>
          <w:szCs w:val="32"/>
          <w14:textFill>
            <w14:solidFill>
              <w14:schemeClr w14:val="tx1"/>
            </w14:solidFill>
          </w14:textFill>
        </w:rPr>
        <w:t>积极探索“以竹代塑”，全面推进竹木资源培育、精深加工、林产化工、文旅融合、科研创新等全产业链发展。高效挖掘林木资源价值，推进竹木良种繁育、大径材培育等重点工程，夯实产业发展基础。实施雪峰山西南万亩连片“以竹代塑”综合开发、绿色低碳全竹产业园、RCEP外贸产业园等项目，重点发展竹展平材、集成重组复合材、竹缠绕复合材料、竹纤维复合材料、原竹工程材及其大规格构件等新型绿色环保材料，培育高端家具产业，发展乡镇初级加工。推动竹木经济与文旅深度融合，建设竹文化科技园和竹类品种收集培育园，打造一批高品质竹海休闲游景点。到2030年，培育规模以上企业45家以上，形成具有省内竹木产贸研一体化发展样板。</w:t>
      </w:r>
    </w:p>
    <w:p>
      <w:pPr>
        <w:pStyle w:val="2"/>
        <w:spacing w:after="0" w:line="580" w:lineRule="exact"/>
        <w:rPr>
          <w:rFonts w:hint="eastAsia"/>
          <w:color w:val="000000" w:themeColor="text1"/>
          <w14:textFill>
            <w14:solidFill>
              <w14:schemeClr w14:val="tx1"/>
            </w14:solidFill>
          </w14:textFill>
        </w:rPr>
      </w:pPr>
    </w:p>
    <w:tbl>
      <w:tblPr>
        <w:tblStyle w:val="81"/>
        <w:tblW w:w="90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jc w:val="center"/>
        </w:trPr>
        <w:tc>
          <w:tcPr>
            <w:tcW w:w="9069" w:type="dxa"/>
            <w:vAlign w:val="center"/>
          </w:tcPr>
          <w:p>
            <w:pPr>
              <w:adjustRightInd w:val="0"/>
              <w:snapToGrid w:val="0"/>
              <w:spacing w:line="580" w:lineRule="exact"/>
              <w:jc w:val="center"/>
              <w:rPr>
                <w:rFonts w:ascii="Times New Roman" w:hAnsi="Times New Roman" w:eastAsia="黑体" w:cs="Times New Roman"/>
                <w:color w:val="000000" w:themeColor="text1"/>
                <w:kern w:val="0"/>
                <w:sz w:val="28"/>
                <w:szCs w:val="28"/>
                <w14:textFill>
                  <w14:solidFill>
                    <w14:schemeClr w14:val="tx1"/>
                  </w14:solidFill>
                </w14:textFill>
                <w14:ligatures w14:val="none"/>
              </w:rPr>
            </w:pPr>
            <w:r>
              <w:rPr>
                <w:rFonts w:ascii="Times New Roman" w:hAnsi="Times New Roman" w:eastAsia="黑体" w:cs="Times New Roman"/>
                <w:color w:val="000000" w:themeColor="text1"/>
                <w:kern w:val="0"/>
                <w:sz w:val="32"/>
                <w:szCs w:val="32"/>
                <w14:textFill>
                  <w14:solidFill>
                    <w14:schemeClr w14:val="tx1"/>
                  </w14:solidFill>
                </w14:textFill>
                <w14:ligatures w14:val="none"/>
              </w:rPr>
              <w:t>专栏</w:t>
            </w:r>
            <w:r>
              <w:rPr>
                <w:rFonts w:hint="eastAsia" w:ascii="Times New Roman" w:hAnsi="Times New Roman" w:eastAsia="黑体" w:cs="Times New Roman"/>
                <w:color w:val="000000" w:themeColor="text1"/>
                <w:kern w:val="0"/>
                <w:sz w:val="32"/>
                <w:szCs w:val="32"/>
                <w14:textFill>
                  <w14:solidFill>
                    <w14:schemeClr w14:val="tx1"/>
                  </w14:solidFill>
                </w14:textFill>
                <w14:ligatures w14:val="none"/>
              </w:rPr>
              <w:t xml:space="preserve">4 </w:t>
            </w:r>
            <w:r>
              <w:rPr>
                <w:rFonts w:ascii="Times New Roman" w:hAnsi="Times New Roman" w:eastAsia="黑体" w:cs="Times New Roman"/>
                <w:color w:val="000000" w:themeColor="text1"/>
                <w:kern w:val="0"/>
                <w:sz w:val="32"/>
                <w:szCs w:val="32"/>
                <w14:textFill>
                  <w14:solidFill>
                    <w14:schemeClr w14:val="tx1"/>
                  </w14:solidFill>
                </w14:textFill>
                <w14:ligatures w14:val="none"/>
              </w:rPr>
              <w:t>竹木产业项目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69" w:type="dxa"/>
          </w:tcPr>
          <w:p>
            <w:pPr>
              <w:pStyle w:val="25"/>
              <w:spacing w:line="560" w:lineRule="exact"/>
              <w:ind w:firstLine="643" w:firstLineChars="200"/>
              <w:rPr>
                <w:rFonts w:hint="eastAsia" w:ascii="楷体_GB2312" w:hAnsi="楷体_GB2312" w:eastAsia="楷体_GB2312" w:cs="楷体_GB2312"/>
                <w:color w:val="000000" w:themeColor="text1"/>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sz w:val="32"/>
                <w:szCs w:val="32"/>
                <w14:textFill>
                  <w14:solidFill>
                    <w14:schemeClr w14:val="tx1"/>
                  </w14:solidFill>
                </w14:textFill>
                <w14:ligatures w14:val="none"/>
              </w:rPr>
              <w:t>1.“以竹代塑”示范园建设项目。</w:t>
            </w:r>
            <w:r>
              <w:rPr>
                <w:rFonts w:hint="eastAsia" w:ascii="楷体_GB2312" w:hAnsi="楷体_GB2312" w:eastAsia="楷体_GB2312" w:cs="楷体_GB2312"/>
                <w:color w:val="000000" w:themeColor="text1"/>
                <w:sz w:val="32"/>
                <w:szCs w:val="32"/>
                <w14:textFill>
                  <w14:solidFill>
                    <w14:schemeClr w14:val="tx1"/>
                  </w14:solidFill>
                </w14:textFill>
                <w14:ligatures w14:val="none"/>
              </w:rPr>
              <w:t>项目主要建设竹制品初加工车间、竹制品精深加工车间、仓库等，并配套建设区内给排水、供配电等附属设施。</w:t>
            </w:r>
          </w:p>
          <w:p>
            <w:pPr>
              <w:pStyle w:val="25"/>
              <w:spacing w:line="560" w:lineRule="exact"/>
              <w:ind w:firstLine="643" w:firstLineChars="200"/>
              <w:rPr>
                <w:rFonts w:hint="eastAsia" w:ascii="楷体_GB2312" w:hAnsi="楷体_GB2312" w:eastAsia="楷体_GB2312" w:cs="楷体_GB2312"/>
                <w:color w:val="000000" w:themeColor="text1"/>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sz w:val="32"/>
                <w:szCs w:val="32"/>
                <w14:textFill>
                  <w14:solidFill>
                    <w14:schemeClr w14:val="tx1"/>
                  </w14:solidFill>
                </w14:textFill>
                <w14:ligatures w14:val="none"/>
              </w:rPr>
              <w:t>2.生物质林业生物质综合利用与发展示范项目。</w:t>
            </w:r>
            <w:r>
              <w:rPr>
                <w:rFonts w:hint="eastAsia" w:ascii="楷体_GB2312" w:hAnsi="楷体_GB2312" w:eastAsia="楷体_GB2312" w:cs="楷体_GB2312"/>
                <w:color w:val="000000" w:themeColor="text1"/>
                <w:sz w:val="32"/>
                <w:szCs w:val="32"/>
                <w14:textFill>
                  <w14:solidFill>
                    <w14:schemeClr w14:val="tx1"/>
                  </w14:solidFill>
                </w14:textFill>
                <w14:ligatures w14:val="none"/>
              </w:rPr>
              <w:t>培育集约化竹林基地8万亩；建设4个初级加工厂，年加工竹材4万吨并生产竹粉饲料0.8万吨；新建及改造加工厂房2万</w:t>
            </w:r>
            <w:r>
              <w:rPr>
                <w:rFonts w:hint="eastAsia" w:ascii="楷体_GB2312" w:hAnsi="楷体_GB2312" w:eastAsia="楷体_GB2312" w:cs="楷体_GB2312"/>
                <w:color w:val="000000" w:themeColor="text1"/>
                <w:sz w:val="32"/>
                <w:szCs w:val="32"/>
                <w:lang w:eastAsia="zh-CN"/>
                <w14:textFill>
                  <w14:solidFill>
                    <w14:schemeClr w14:val="tx1"/>
                  </w14:solidFill>
                </w14:textFill>
                <w14:ligatures w14:val="none"/>
              </w:rPr>
              <w:t>㎡</w:t>
            </w:r>
            <w:r>
              <w:rPr>
                <w:rFonts w:hint="eastAsia" w:ascii="楷体_GB2312" w:hAnsi="楷体_GB2312" w:eastAsia="楷体_GB2312" w:cs="楷体_GB2312"/>
                <w:color w:val="000000" w:themeColor="text1"/>
                <w:sz w:val="32"/>
                <w:szCs w:val="32"/>
                <w14:textFill>
                  <w14:solidFill>
                    <w14:schemeClr w14:val="tx1"/>
                  </w14:solidFill>
                </w14:textFill>
                <w14:ligatures w14:val="none"/>
              </w:rPr>
              <w:t>，并配套相关设备；同时，筹建1个竹产业技术推广站和1个竹产品展示中心，以推动技术创新与品牌宣传。</w:t>
            </w:r>
          </w:p>
          <w:p>
            <w:pPr>
              <w:pStyle w:val="25"/>
              <w:spacing w:line="560" w:lineRule="exact"/>
              <w:ind w:firstLine="643" w:firstLineChars="200"/>
              <w:rPr>
                <w:rFonts w:hint="eastAsia" w:ascii="楷体_GB2312" w:hAnsi="楷体_GB2312" w:eastAsia="楷体_GB2312" w:cs="楷体_GB2312"/>
                <w:color w:val="000000" w:themeColor="text1"/>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sz w:val="32"/>
                <w:szCs w:val="32"/>
                <w14:textFill>
                  <w14:solidFill>
                    <w14:schemeClr w14:val="tx1"/>
                  </w14:solidFill>
                </w14:textFill>
                <w14:ligatures w14:val="none"/>
              </w:rPr>
              <w:t>3.会同县竹材精深加工产业化项目。</w:t>
            </w:r>
            <w:r>
              <w:rPr>
                <w:rFonts w:hint="eastAsia" w:ascii="楷体_GB2312" w:hAnsi="楷体_GB2312" w:eastAsia="楷体_GB2312" w:cs="楷体_GB2312"/>
                <w:color w:val="000000" w:themeColor="text1"/>
                <w:sz w:val="32"/>
                <w:szCs w:val="32"/>
                <w14:textFill>
                  <w14:solidFill>
                    <w14:schemeClr w14:val="tx1"/>
                  </w14:solidFill>
                </w14:textFill>
                <w14:ligatures w14:val="none"/>
              </w:rPr>
              <w:t>项目占地约400亩，一期建设标准化厂房约5万</w:t>
            </w:r>
            <w:r>
              <w:rPr>
                <w:rFonts w:hint="eastAsia" w:ascii="楷体_GB2312" w:hAnsi="楷体_GB2312" w:eastAsia="楷体_GB2312" w:cs="楷体_GB2312"/>
                <w:color w:val="000000" w:themeColor="text1"/>
                <w:sz w:val="32"/>
                <w:szCs w:val="32"/>
                <w:lang w:eastAsia="zh-CN"/>
                <w14:textFill>
                  <w14:solidFill>
                    <w14:schemeClr w14:val="tx1"/>
                  </w14:solidFill>
                </w14:textFill>
                <w14:ligatures w14:val="none"/>
              </w:rPr>
              <w:t>㎡</w:t>
            </w:r>
            <w:r>
              <w:rPr>
                <w:rFonts w:hint="eastAsia" w:ascii="楷体_GB2312" w:hAnsi="楷体_GB2312" w:eastAsia="楷体_GB2312" w:cs="楷体_GB2312"/>
                <w:color w:val="000000" w:themeColor="text1"/>
                <w:sz w:val="32"/>
                <w:szCs w:val="32"/>
                <w14:textFill>
                  <w14:solidFill>
                    <w14:schemeClr w14:val="tx1"/>
                  </w14:solidFill>
                </w14:textFill>
                <w14:ligatures w14:val="none"/>
              </w:rPr>
              <w:t>，建设生产线10条，主要生产竹集成材、家具板材、高端竹筷、竹炭、重组竹材等；二期建设标准化厂房约10万</w:t>
            </w:r>
            <w:r>
              <w:rPr>
                <w:rFonts w:hint="eastAsia" w:ascii="楷体_GB2312" w:hAnsi="楷体_GB2312" w:eastAsia="楷体_GB2312" w:cs="楷体_GB2312"/>
                <w:color w:val="000000" w:themeColor="text1"/>
                <w:sz w:val="32"/>
                <w:szCs w:val="32"/>
                <w:lang w:eastAsia="zh-CN"/>
                <w14:textFill>
                  <w14:solidFill>
                    <w14:schemeClr w14:val="tx1"/>
                  </w14:solidFill>
                </w14:textFill>
                <w14:ligatures w14:val="none"/>
              </w:rPr>
              <w:t>㎡</w:t>
            </w:r>
            <w:r>
              <w:rPr>
                <w:rFonts w:hint="eastAsia" w:ascii="楷体_GB2312" w:hAnsi="楷体_GB2312" w:eastAsia="楷体_GB2312" w:cs="楷体_GB2312"/>
                <w:color w:val="000000" w:themeColor="text1"/>
                <w:sz w:val="32"/>
                <w:szCs w:val="32"/>
                <w14:textFill>
                  <w14:solidFill>
                    <w14:schemeClr w14:val="tx1"/>
                  </w14:solidFill>
                </w14:textFill>
                <w14:ligatures w14:val="none"/>
              </w:rPr>
              <w:t>，新增生产线20条。</w:t>
            </w:r>
          </w:p>
          <w:p>
            <w:pPr>
              <w:pStyle w:val="25"/>
              <w:spacing w:line="560" w:lineRule="exact"/>
              <w:ind w:firstLine="643" w:firstLineChars="200"/>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14:ligatures w14:val="none"/>
              </w:rPr>
              <w:t>4.会同县竹制人造板生产制造项目。</w:t>
            </w:r>
            <w:r>
              <w:rPr>
                <w:rFonts w:hint="eastAsia" w:ascii="楷体_GB2312" w:hAnsi="楷体_GB2312" w:eastAsia="楷体_GB2312" w:cs="楷体_GB2312"/>
                <w:color w:val="000000" w:themeColor="text1"/>
                <w:sz w:val="32"/>
                <w:szCs w:val="32"/>
                <w14:textFill>
                  <w14:solidFill>
                    <w14:schemeClr w14:val="tx1"/>
                  </w14:solidFill>
                </w14:textFill>
                <w14:ligatures w14:val="none"/>
              </w:rPr>
              <w:t>第一期建设楠竹制品加工生产线2条；第二期占地约200亩，建设厂房及楠竹制品加工生产线2条。</w:t>
            </w:r>
          </w:p>
          <w:p>
            <w:pPr>
              <w:pStyle w:val="25"/>
              <w:spacing w:line="560" w:lineRule="exact"/>
              <w:ind w:firstLine="643" w:firstLineChars="200"/>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14:ligatures w14:val="none"/>
              </w:rPr>
              <w:t>5.</w:t>
            </w:r>
            <w:r>
              <w:rPr>
                <w:rFonts w:hint="eastAsia" w:ascii="楷体_GB2312" w:hAnsi="楷体_GB2312" w:eastAsia="楷体_GB2312" w:cs="楷体_GB2312"/>
                <w:b/>
                <w:bCs/>
                <w:color w:val="000000" w:themeColor="text1"/>
                <w:spacing w:val="-6"/>
                <w:sz w:val="32"/>
                <w:szCs w:val="32"/>
                <w14:textFill>
                  <w14:solidFill>
                    <w14:schemeClr w14:val="tx1"/>
                  </w14:solidFill>
                </w14:textFill>
                <w14:ligatures w14:val="none"/>
              </w:rPr>
              <w:t>竹基环保家具生产线扩建项目。</w:t>
            </w:r>
            <w:r>
              <w:rPr>
                <w:rFonts w:hint="eastAsia" w:ascii="楷体_GB2312" w:hAnsi="楷体_GB2312" w:eastAsia="楷体_GB2312" w:cs="楷体_GB2312"/>
                <w:color w:val="000000" w:themeColor="text1"/>
                <w:spacing w:val="-6"/>
                <w:sz w:val="32"/>
                <w:szCs w:val="32"/>
                <w14:textFill>
                  <w14:solidFill>
                    <w14:schemeClr w14:val="tx1"/>
                  </w14:solidFill>
                </w14:textFill>
                <w14:ligatures w14:val="none"/>
              </w:rPr>
              <w:t>扩建厂房约1万㎡，新增智能数控加工中心约6台、自动化喷涂线1条，年产竹木环保家具约12万套。</w:t>
            </w:r>
          </w:p>
        </w:tc>
      </w:tr>
    </w:tbl>
    <w:p>
      <w:pPr>
        <w:adjustRightInd w:val="0"/>
        <w:snapToGrid w:val="0"/>
        <w:spacing w:line="560" w:lineRule="exact"/>
        <w:rPr>
          <w:rFonts w:ascii="Times New Roman" w:hAnsi="Times New Roman" w:eastAsia="楷体" w:cs="Times New Roman"/>
          <w:b/>
          <w:bCs/>
          <w:color w:val="000000" w:themeColor="text1"/>
          <w:sz w:val="30"/>
          <w:szCs w:val="30"/>
          <w14:textFill>
            <w14:solidFill>
              <w14:schemeClr w14:val="tx1"/>
            </w14:solidFill>
          </w14:textFill>
          <w14:ligatures w14:val="none"/>
        </w:rPr>
      </w:pPr>
    </w:p>
    <w:p>
      <w:pPr>
        <w:adjustRightInd w:val="0"/>
        <w:snapToGrid w:val="0"/>
        <w:spacing w:line="560" w:lineRule="exact"/>
        <w:ind w:firstLine="619"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pacing w:val="-6"/>
          <w:kern w:val="0"/>
          <w:sz w:val="32"/>
          <w:szCs w:val="32"/>
          <w14:textFill>
            <w14:solidFill>
              <w14:schemeClr w14:val="tx1"/>
            </w14:solidFill>
          </w14:textFill>
          <w14:ligatures w14:val="none"/>
        </w:rPr>
        <w:t>特色农林产业。</w:t>
      </w:r>
      <w:r>
        <w:rPr>
          <w:rFonts w:hint="eastAsia" w:ascii="仿宋_GB2312" w:hAnsi="仿宋_GB2312" w:eastAsia="仿宋_GB2312" w:cs="仿宋_GB2312"/>
          <w:color w:val="000000" w:themeColor="text1"/>
          <w:sz w:val="32"/>
          <w:szCs w:val="32"/>
          <w14:textFill>
            <w14:solidFill>
              <w14:schemeClr w14:val="tx1"/>
            </w14:solidFill>
          </w14:textFill>
        </w:rPr>
        <w:t>推进魔芋、茶叶、油茶、山苦瓜、兔业、竹笋等特色农林产业升级，扩大“会品出会”。大力推动连片种植、规模养殖、标准生产、精深加工，壮大优势特色产业，培育农业品牌，延伸产业链条。唱响会同品牌，组织开展绿色食品、有机食品和森林生态产品认证，打造一批具有会同特色的“原产地品牌”，提升品牌的知名度和影响力。推动农旅深度融合，加快布局实施一批“农旅”“林旅”深度融合的精品项目，大力发展森林探险、生态旅游、跨境旅游、乡村旅游、研学旅游、康养旅游。</w:t>
      </w:r>
    </w:p>
    <w:p>
      <w:pPr>
        <w:pStyle w:val="2"/>
        <w:spacing w:after="0" w:line="560" w:lineRule="exact"/>
        <w:rPr>
          <w:rFonts w:hint="eastAsia"/>
          <w:color w:val="000000" w:themeColor="text1"/>
          <w14:textFill>
            <w14:solidFill>
              <w14:schemeClr w14:val="tx1"/>
            </w14:solidFill>
          </w14:textFill>
        </w:rPr>
      </w:pPr>
    </w:p>
    <w:tbl>
      <w:tblPr>
        <w:tblStyle w:val="82"/>
        <w:tblW w:w="90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69" w:type="dxa"/>
          </w:tcPr>
          <w:p>
            <w:pPr>
              <w:adjustRightInd w:val="0"/>
              <w:snapToGrid w:val="0"/>
              <w:spacing w:line="560" w:lineRule="exact"/>
              <w:jc w:val="center"/>
              <w:rPr>
                <w:rFonts w:ascii="Times New Roman" w:hAnsi="Times New Roman" w:eastAsia="黑体" w:cs="Times New Roman"/>
                <w:color w:val="000000" w:themeColor="text1"/>
                <w:kern w:val="0"/>
                <w:sz w:val="28"/>
                <w:szCs w:val="28"/>
                <w14:textFill>
                  <w14:solidFill>
                    <w14:schemeClr w14:val="tx1"/>
                  </w14:solidFill>
                </w14:textFill>
                <w14:ligatures w14:val="none"/>
              </w:rPr>
            </w:pPr>
            <w:r>
              <w:rPr>
                <w:rFonts w:ascii="Times New Roman" w:hAnsi="Times New Roman" w:eastAsia="黑体" w:cs="Times New Roman"/>
                <w:color w:val="000000" w:themeColor="text1"/>
                <w:kern w:val="0"/>
                <w:sz w:val="32"/>
                <w:szCs w:val="32"/>
                <w14:textFill>
                  <w14:solidFill>
                    <w14:schemeClr w14:val="tx1"/>
                  </w14:solidFill>
                </w14:textFill>
                <w14:ligatures w14:val="none"/>
              </w:rPr>
              <w:t>专栏</w:t>
            </w:r>
            <w:r>
              <w:rPr>
                <w:rFonts w:hint="eastAsia" w:ascii="Times New Roman" w:hAnsi="Times New Roman" w:eastAsia="黑体" w:cs="Times New Roman"/>
                <w:color w:val="000000" w:themeColor="text1"/>
                <w:kern w:val="0"/>
                <w:sz w:val="32"/>
                <w:szCs w:val="32"/>
                <w14:textFill>
                  <w14:solidFill>
                    <w14:schemeClr w14:val="tx1"/>
                  </w14:solidFill>
                </w14:textFill>
                <w14:ligatures w14:val="none"/>
              </w:rPr>
              <w:t>5 特色农林产业</w:t>
            </w:r>
            <w:r>
              <w:rPr>
                <w:rFonts w:ascii="Times New Roman" w:hAnsi="Times New Roman" w:eastAsia="黑体" w:cs="Times New Roman"/>
                <w:color w:val="000000" w:themeColor="text1"/>
                <w:kern w:val="0"/>
                <w:sz w:val="32"/>
                <w:szCs w:val="32"/>
                <w14:textFill>
                  <w14:solidFill>
                    <w14:schemeClr w14:val="tx1"/>
                  </w14:solidFill>
                </w14:textFill>
                <w14:ligatures w14:val="none"/>
              </w:rPr>
              <w:t>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69" w:type="dxa"/>
          </w:tcPr>
          <w:p>
            <w:pPr>
              <w:pStyle w:val="24"/>
              <w:numPr>
                <w:ilvl w:val="255"/>
                <w:numId w:val="0"/>
              </w:numPr>
              <w:adjustRightInd w:val="0"/>
              <w:snapToGrid w:val="0"/>
              <w:spacing w:line="560" w:lineRule="exact"/>
              <w:ind w:firstLine="619" w:firstLineChars="200"/>
              <w:rPr>
                <w:rFonts w:hint="eastAsia" w:ascii="楷体_GB2312" w:hAnsi="楷体_GB2312" w:eastAsia="楷体_GB2312" w:cs="楷体_GB2312"/>
                <w:color w:val="000000" w:themeColor="text1"/>
                <w:spacing w:val="-6"/>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spacing w:val="-6"/>
                <w:sz w:val="32"/>
                <w:szCs w:val="32"/>
                <w14:textFill>
                  <w14:solidFill>
                    <w14:schemeClr w14:val="tx1"/>
                  </w14:solidFill>
                </w14:textFill>
                <w14:ligatures w14:val="none"/>
              </w:rPr>
              <w:t>1.会同县省级茶叶产业集群项目。</w:t>
            </w:r>
            <w:r>
              <w:rPr>
                <w:rFonts w:hint="eastAsia" w:ascii="楷体_GB2312" w:hAnsi="楷体_GB2312" w:eastAsia="楷体_GB2312" w:cs="楷体_GB2312"/>
                <w:color w:val="000000" w:themeColor="text1"/>
                <w:spacing w:val="-6"/>
                <w:sz w:val="32"/>
                <w:szCs w:val="32"/>
                <w14:textFill>
                  <w14:solidFill>
                    <w14:schemeClr w14:val="tx1"/>
                  </w14:solidFill>
                </w14:textFill>
                <w14:ligatures w14:val="none"/>
              </w:rPr>
              <w:t>①低产茶园改造；②标准化有机茶园建设；③低产茶园改种换植；④购买茶叶加工设备。</w:t>
            </w:r>
          </w:p>
          <w:p>
            <w:pPr>
              <w:pStyle w:val="25"/>
              <w:numPr>
                <w:ilvl w:val="255"/>
                <w:numId w:val="0"/>
              </w:numPr>
              <w:spacing w:line="560" w:lineRule="exact"/>
              <w:ind w:firstLine="643" w:firstLineChars="200"/>
              <w:rPr>
                <w:rFonts w:hint="eastAsia" w:ascii="楷体_GB2312" w:hAnsi="楷体_GB2312" w:eastAsia="楷体_GB2312" w:cs="楷体_GB2312"/>
                <w:color w:val="000000" w:themeColor="text1"/>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sz w:val="32"/>
                <w:szCs w:val="32"/>
                <w14:textFill>
                  <w14:solidFill>
                    <w14:schemeClr w14:val="tx1"/>
                  </w14:solidFill>
                </w14:textFill>
                <w14:ligatures w14:val="none"/>
              </w:rPr>
              <w:t>2.特色生态茶产业标准化与智能化加工提质项目。</w:t>
            </w:r>
            <w:r>
              <w:rPr>
                <w:rFonts w:hint="eastAsia" w:ascii="楷体_GB2312" w:hAnsi="楷体_GB2312" w:eastAsia="楷体_GB2312" w:cs="楷体_GB2312"/>
                <w:color w:val="000000" w:themeColor="text1"/>
                <w:sz w:val="32"/>
                <w:szCs w:val="32"/>
                <w14:textFill>
                  <w14:solidFill>
                    <w14:schemeClr w14:val="tx1"/>
                  </w14:solidFill>
                </w14:textFill>
                <w14:ligatures w14:val="none"/>
              </w:rPr>
              <w:t>建设智能化初制加工车间、精制与拼配车间、特色茶与深加工车间及包装与仓储库等。</w:t>
            </w:r>
          </w:p>
          <w:p>
            <w:pPr>
              <w:pStyle w:val="25"/>
              <w:numPr>
                <w:ilvl w:val="255"/>
                <w:numId w:val="0"/>
              </w:numPr>
              <w:spacing w:line="560" w:lineRule="exact"/>
              <w:ind w:firstLine="643" w:firstLineChars="200"/>
              <w:rPr>
                <w:rFonts w:hint="eastAsia" w:ascii="楷体_GB2312" w:hAnsi="楷体_GB2312" w:eastAsia="楷体_GB2312" w:cs="楷体_GB2312"/>
                <w:color w:val="000000" w:themeColor="text1"/>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sz w:val="32"/>
                <w:szCs w:val="32"/>
                <w14:textFill>
                  <w14:solidFill>
                    <w14:schemeClr w14:val="tx1"/>
                  </w14:solidFill>
                </w14:textFill>
                <w14:ligatures w14:val="none"/>
              </w:rPr>
              <w:t>3.会同县乳制品产业建设项目。</w:t>
            </w:r>
            <w:r>
              <w:rPr>
                <w:rFonts w:hint="eastAsia" w:ascii="楷体_GB2312" w:hAnsi="楷体_GB2312" w:eastAsia="楷体_GB2312" w:cs="楷体_GB2312"/>
                <w:color w:val="000000" w:themeColor="text1"/>
                <w:sz w:val="32"/>
                <w:szCs w:val="32"/>
                <w14:textFill>
                  <w14:solidFill>
                    <w14:schemeClr w14:val="tx1"/>
                  </w14:solidFill>
                </w14:textFill>
                <w14:ligatures w14:val="none"/>
              </w:rPr>
              <w:t>第一期租赁标准化厂房约11000</w:t>
            </w:r>
            <w:r>
              <w:rPr>
                <w:rFonts w:hint="eastAsia" w:ascii="楷体_GB2312" w:hAnsi="楷体_GB2312" w:eastAsia="楷体_GB2312" w:cs="楷体_GB2312"/>
                <w:color w:val="000000" w:themeColor="text1"/>
                <w:sz w:val="32"/>
                <w:szCs w:val="32"/>
                <w:lang w:eastAsia="zh-CN"/>
                <w14:textFill>
                  <w14:solidFill>
                    <w14:schemeClr w14:val="tx1"/>
                  </w14:solidFill>
                </w14:textFill>
                <w14:ligatures w14:val="none"/>
              </w:rPr>
              <w:t>㎡</w:t>
            </w:r>
            <w:r>
              <w:rPr>
                <w:rFonts w:hint="eastAsia" w:ascii="楷体_GB2312" w:hAnsi="楷体_GB2312" w:eastAsia="楷体_GB2312" w:cs="楷体_GB2312"/>
                <w:color w:val="000000" w:themeColor="text1"/>
                <w:sz w:val="32"/>
                <w:szCs w:val="32"/>
                <w14:textFill>
                  <w14:solidFill>
                    <w14:schemeClr w14:val="tx1"/>
                  </w14:solidFill>
                </w14:textFill>
                <w14:ligatures w14:val="none"/>
              </w:rPr>
              <w:t>，年产量10万吨鲜牛奶；第二期建设养殖基地150亩。</w:t>
            </w:r>
          </w:p>
          <w:p>
            <w:pPr>
              <w:pStyle w:val="25"/>
              <w:numPr>
                <w:ilvl w:val="255"/>
                <w:numId w:val="0"/>
              </w:numPr>
              <w:spacing w:line="560" w:lineRule="exact"/>
              <w:ind w:firstLine="643" w:firstLineChars="200"/>
              <w:rPr>
                <w:rFonts w:hint="eastAsia"/>
                <w:color w:val="000000" w:themeColor="text1"/>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14:ligatures w14:val="none"/>
              </w:rPr>
              <w:t>4.油茶产业提质增效工程项目。</w:t>
            </w:r>
            <w:r>
              <w:rPr>
                <w:rFonts w:hint="eastAsia" w:ascii="楷体_GB2312" w:hAnsi="楷体_GB2312" w:eastAsia="楷体_GB2312" w:cs="楷体_GB2312"/>
                <w:color w:val="000000" w:themeColor="text1"/>
                <w:sz w:val="32"/>
                <w:szCs w:val="32"/>
                <w14:textFill>
                  <w14:solidFill>
                    <w14:schemeClr w14:val="tx1"/>
                  </w14:solidFill>
                </w14:textFill>
                <w14:ligatures w14:val="none"/>
              </w:rPr>
              <w:t>推广良种良法，扩种油茶林10万亩，低产油茶林改造10万亩。</w:t>
            </w:r>
          </w:p>
        </w:tc>
      </w:tr>
    </w:tbl>
    <w:p>
      <w:pPr>
        <w:adjustRightInd w:val="0"/>
        <w:snapToGrid w:val="0"/>
        <w:spacing w:line="580" w:lineRule="exact"/>
        <w:jc w:val="center"/>
        <w:outlineLvl w:val="1"/>
        <w:rPr>
          <w:rFonts w:ascii="Times New Roman" w:hAnsi="Times New Roman" w:eastAsia="黑体" w:cs="Times New Roman"/>
          <w:color w:val="000000" w:themeColor="text1"/>
          <w:sz w:val="32"/>
          <w:szCs w:val="32"/>
          <w14:textFill>
            <w14:solidFill>
              <w14:schemeClr w14:val="tx1"/>
            </w14:solidFill>
          </w14:textFill>
        </w:rPr>
      </w:pPr>
    </w:p>
    <w:p>
      <w:pPr>
        <w:adjustRightInd w:val="0"/>
        <w:snapToGrid w:val="0"/>
        <w:spacing w:line="580" w:lineRule="exact"/>
        <w:jc w:val="center"/>
        <w:outlineLvl w:val="1"/>
        <w:rPr>
          <w:rFonts w:hint="eastAsia" w:ascii="仿宋_GB2312" w:hAnsi="仿宋_GB2312" w:eastAsia="仿宋_GB2312" w:cs="仿宋_GB2312"/>
          <w:color w:val="000000" w:themeColor="text1"/>
          <w:sz w:val="30"/>
          <w:szCs w:val="30"/>
          <w14:textFill>
            <w14:solidFill>
              <w14:schemeClr w14:val="tx1"/>
            </w14:solidFill>
          </w14:textFill>
          <w14:ligatures w14:val="none"/>
        </w:rPr>
      </w:pPr>
      <w:bookmarkStart w:id="47" w:name="_Toc235000753"/>
      <w:r>
        <w:rPr>
          <w:rFonts w:ascii="Times New Roman" w:hAnsi="Times New Roman" w:eastAsia="黑体" w:cs="Times New Roman"/>
          <w:color w:val="000000" w:themeColor="text1"/>
          <w:sz w:val="32"/>
          <w:szCs w:val="32"/>
          <w14:textFill>
            <w14:solidFill>
              <w14:schemeClr w14:val="tx1"/>
            </w14:solidFill>
          </w14:textFill>
        </w:rPr>
        <w:t>第三节 打造高品质医药大健康产业</w:t>
      </w:r>
      <w:bookmarkEnd w:id="47"/>
    </w:p>
    <w:p>
      <w:pPr>
        <w:pStyle w:val="24"/>
        <w:keepNext w:val="0"/>
        <w:keepLines w:val="0"/>
        <w:pageBreakBefore w:val="0"/>
        <w:widowControl/>
        <w:kinsoku/>
        <w:wordWrap/>
        <w:overflowPunct/>
        <w:topLinePunct w:val="0"/>
        <w:autoSpaceDE/>
        <w:autoSpaceDN/>
        <w:bidi w:val="0"/>
        <w:adjustRightInd w:val="0"/>
        <w:snapToGrid w:val="0"/>
        <w:spacing w:line="600" w:lineRule="exact"/>
        <w:ind w:firstLine="539"/>
        <w:textAlignment w:val="auto"/>
        <w:rPr>
          <w:rFonts w:hint="eastAsia" w:ascii="仿宋_GB2312" w:hAnsi="仿宋_GB2312" w:eastAsia="仿宋_GB2312" w:cs="仿宋_GB2312"/>
          <w:color w:val="000000" w:themeColor="text1"/>
          <w:sz w:val="32"/>
          <w:szCs w:val="32"/>
          <w14:textFill>
            <w14:solidFill>
              <w14:schemeClr w14:val="tx1"/>
            </w14:solidFill>
          </w14:textFill>
          <w14:ligatures w14:val="none"/>
        </w:rPr>
      </w:pPr>
    </w:p>
    <w:p>
      <w:pPr>
        <w:pStyle w:val="24"/>
        <w:keepNext w:val="0"/>
        <w:keepLines w:val="0"/>
        <w:pageBreakBefore w:val="0"/>
        <w:widowControl/>
        <w:kinsoku/>
        <w:wordWrap/>
        <w:overflowPunct/>
        <w:topLinePunct w:val="0"/>
        <w:autoSpaceDE/>
        <w:autoSpaceDN/>
        <w:bidi w:val="0"/>
        <w:adjustRightInd w:val="0"/>
        <w:snapToGrid w:val="0"/>
        <w:spacing w:line="600" w:lineRule="exact"/>
        <w:ind w:firstLine="539"/>
        <w:textAlignment w:val="auto"/>
        <w:rPr>
          <w:rFonts w:ascii="仿宋_GB2312" w:hAnsi="仿宋_GB2312" w:eastAsia="仿宋_GB2312" w:cs="仿宋_GB2312"/>
          <w:color w:val="000000" w:themeColor="text1"/>
          <w:sz w:val="32"/>
          <w:szCs w:val="32"/>
          <w14:textFill>
            <w14:solidFill>
              <w14:schemeClr w14:val="tx1"/>
            </w14:solidFill>
          </w14:textFill>
          <w14:ligatures w14:val="none"/>
        </w:rPr>
      </w:pPr>
      <w:r>
        <w:rPr>
          <w:rFonts w:hint="eastAsia" w:ascii="仿宋_GB2312" w:hAnsi="仿宋_GB2312" w:eastAsia="仿宋_GB2312" w:cs="仿宋_GB2312"/>
          <w:color w:val="000000" w:themeColor="text1"/>
          <w:sz w:val="32"/>
          <w:szCs w:val="32"/>
          <w14:textFill>
            <w14:solidFill>
              <w14:schemeClr w14:val="tx1"/>
            </w14:solidFill>
          </w14:textFill>
          <w14:ligatures w14:val="none"/>
        </w:rPr>
        <w:t>实施中医药产业崛起战略，打造“神农故里 药乡会同”品牌，构建“种植—研发—制造—服务”全链条中医药大健康产业体系。建设以淫羊藿为主导，野菊花、黄精、茯苓、草珊瑚等为辅的良种繁育基地、生态种植基地、GAP溯源基地。精准招商，引进国内知名药企，推动中医药全产业链发展。力争到2030年实现林下中药材人工种植面积达15万亩以上，打造道地中药材产业集群，培育国家地理标志产品3个以上、龙头药企3家以上，创建全国林下经济示范县。</w:t>
      </w:r>
    </w:p>
    <w:p>
      <w:pPr>
        <w:pStyle w:val="25"/>
        <w:rPr>
          <w:rFonts w:hint="eastAsia"/>
          <w:color w:val="000000" w:themeColor="text1"/>
          <w14:textFill>
            <w14:solidFill>
              <w14:schemeClr w14:val="tx1"/>
            </w14:solidFill>
          </w14:textFill>
        </w:rPr>
      </w:pPr>
    </w:p>
    <w:tbl>
      <w:tblPr>
        <w:tblStyle w:val="82"/>
        <w:tblW w:w="906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069" w:type="dxa"/>
          </w:tcPr>
          <w:p>
            <w:pPr>
              <w:adjustRightInd w:val="0"/>
              <w:snapToGrid w:val="0"/>
              <w:spacing w:line="580" w:lineRule="exact"/>
              <w:jc w:val="center"/>
              <w:rPr>
                <w:rFonts w:ascii="Times New Roman" w:hAnsi="Times New Roman" w:eastAsia="黑体" w:cs="Times New Roman"/>
                <w:color w:val="000000" w:themeColor="text1"/>
                <w:kern w:val="0"/>
                <w:sz w:val="28"/>
                <w:szCs w:val="28"/>
                <w14:textFill>
                  <w14:solidFill>
                    <w14:schemeClr w14:val="tx1"/>
                  </w14:solidFill>
                </w14:textFill>
                <w14:ligatures w14:val="none"/>
              </w:rPr>
            </w:pPr>
            <w:r>
              <w:rPr>
                <w:rFonts w:ascii="Times New Roman" w:hAnsi="Times New Roman" w:eastAsia="黑体" w:cs="Times New Roman"/>
                <w:color w:val="000000" w:themeColor="text1"/>
                <w:kern w:val="0"/>
                <w:sz w:val="32"/>
                <w:szCs w:val="32"/>
                <w14:textFill>
                  <w14:solidFill>
                    <w14:schemeClr w14:val="tx1"/>
                  </w14:solidFill>
                </w14:textFill>
                <w14:ligatures w14:val="none"/>
              </w:rPr>
              <w:t>专栏</w:t>
            </w:r>
            <w:r>
              <w:rPr>
                <w:rFonts w:hint="eastAsia" w:ascii="Times New Roman" w:hAnsi="Times New Roman" w:eastAsia="黑体" w:cs="Times New Roman"/>
                <w:color w:val="000000" w:themeColor="text1"/>
                <w:kern w:val="0"/>
                <w:sz w:val="32"/>
                <w:szCs w:val="32"/>
                <w14:textFill>
                  <w14:solidFill>
                    <w14:schemeClr w14:val="tx1"/>
                  </w14:solidFill>
                </w14:textFill>
                <w14:ligatures w14:val="none"/>
              </w:rPr>
              <w:t xml:space="preserve">6 </w:t>
            </w:r>
            <w:r>
              <w:rPr>
                <w:rFonts w:ascii="Times New Roman" w:hAnsi="Times New Roman" w:eastAsia="黑体" w:cs="Times New Roman"/>
                <w:color w:val="000000" w:themeColor="text1"/>
                <w:kern w:val="0"/>
                <w:sz w:val="32"/>
                <w:szCs w:val="32"/>
                <w14:textFill>
                  <w14:solidFill>
                    <w14:schemeClr w14:val="tx1"/>
                  </w14:solidFill>
                </w14:textFill>
                <w14:ligatures w14:val="none"/>
              </w:rPr>
              <w:t>中医药产业项目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9" w:type="dxa"/>
          </w:tcPr>
          <w:p>
            <w:pPr>
              <w:pStyle w:val="24"/>
              <w:adjustRightInd w:val="0"/>
              <w:snapToGrid w:val="0"/>
              <w:spacing w:line="580" w:lineRule="exact"/>
              <w:ind w:firstLine="643" w:firstLineChars="200"/>
              <w:rPr>
                <w:rFonts w:hint="eastAsia" w:ascii="楷体_GB2312" w:hAnsi="楷体_GB2312" w:eastAsia="楷体_GB2312" w:cs="楷体_GB2312"/>
                <w:color w:val="000000" w:themeColor="text1"/>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sz w:val="32"/>
                <w:szCs w:val="32"/>
                <w14:textFill>
                  <w14:solidFill>
                    <w14:schemeClr w14:val="tx1"/>
                  </w14:solidFill>
                </w14:textFill>
                <w14:ligatures w14:val="none"/>
              </w:rPr>
              <w:t>1.中医药产业园区建设项目。</w:t>
            </w:r>
            <w:r>
              <w:rPr>
                <w:rFonts w:hint="eastAsia" w:ascii="楷体_GB2312" w:hAnsi="楷体_GB2312" w:eastAsia="楷体_GB2312" w:cs="楷体_GB2312"/>
                <w:color w:val="000000" w:themeColor="text1"/>
                <w:sz w:val="32"/>
                <w:szCs w:val="32"/>
                <w14:textFill>
                  <w14:solidFill>
                    <w14:schemeClr w14:val="tx1"/>
                  </w14:solidFill>
                </w14:textFill>
                <w14:ligatures w14:val="none"/>
              </w:rPr>
              <w:t>建设中医药产业园集聚中药材生产加工企业8-10家，引导现有生产加工企业提质升级增加</w:t>
            </w:r>
            <w:r>
              <w:rPr>
                <w:rFonts w:hint="eastAsia" w:ascii="楷体_GB2312" w:hAnsi="楷体_GB2312" w:eastAsia="楷体_GB2312" w:cs="楷体_GB2312"/>
                <w:color w:val="000000" w:themeColor="text1"/>
                <w:spacing w:val="-6"/>
                <w:kern w:val="0"/>
                <w:sz w:val="32"/>
                <w:szCs w:val="32"/>
                <w:lang w:val="en-US" w:eastAsia="zh-CN" w:bidi="ar-SA"/>
                <w14:textFill>
                  <w14:solidFill>
                    <w14:schemeClr w14:val="tx1"/>
                  </w14:solidFill>
                </w14:textFill>
                <w14:ligatures w14:val="none"/>
              </w:rPr>
              <w:t>产能，形成怀化市医药大健康产业精深生产加工先导示范基地。</w:t>
            </w:r>
          </w:p>
          <w:p>
            <w:pPr>
              <w:pStyle w:val="24"/>
              <w:adjustRightInd w:val="0"/>
              <w:snapToGrid w:val="0"/>
              <w:spacing w:line="580" w:lineRule="exact"/>
              <w:ind w:firstLine="643" w:firstLineChars="200"/>
              <w:rPr>
                <w:rFonts w:hint="eastAsia" w:ascii="楷体_GB2312" w:hAnsi="楷体_GB2312" w:eastAsia="楷体_GB2312" w:cs="楷体_GB2312"/>
                <w:color w:val="000000" w:themeColor="text1"/>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sz w:val="32"/>
                <w:szCs w:val="32"/>
                <w14:textFill>
                  <w14:solidFill>
                    <w14:schemeClr w14:val="tx1"/>
                  </w14:solidFill>
                </w14:textFill>
                <w14:ligatures w14:val="none"/>
              </w:rPr>
              <w:t>2.林下经济种植项目。</w:t>
            </w:r>
            <w:r>
              <w:rPr>
                <w:rFonts w:hint="eastAsia" w:ascii="楷体_GB2312" w:hAnsi="楷体_GB2312" w:eastAsia="楷体_GB2312" w:cs="楷体_GB2312"/>
                <w:color w:val="000000" w:themeColor="text1"/>
                <w:sz w:val="32"/>
                <w:szCs w:val="32"/>
                <w14:textFill>
                  <w14:solidFill>
                    <w14:schemeClr w14:val="tx1"/>
                  </w14:solidFill>
                </w14:textFill>
                <w14:ligatures w14:val="none"/>
              </w:rPr>
              <w:t>打造集种植、加工、销售及旅游观光为一体的林下中药材种植项目，在全县建设淫羊藿、野菊花、黄精、茯苓、钩藤、草珊瑚等林下经济种植基地15万亩。开展良种研究、培育和种质资源保护。</w:t>
            </w:r>
          </w:p>
          <w:p>
            <w:pPr>
              <w:pStyle w:val="24"/>
              <w:adjustRightInd w:val="0"/>
              <w:snapToGrid w:val="0"/>
              <w:spacing w:line="580" w:lineRule="exact"/>
              <w:ind w:firstLine="643" w:firstLineChars="200"/>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14:ligatures w14:val="none"/>
              </w:rPr>
              <w:t>3.淫羊藿全产业链项目。</w:t>
            </w:r>
            <w:r>
              <w:rPr>
                <w:rFonts w:hint="eastAsia" w:ascii="楷体_GB2312" w:hAnsi="楷体_GB2312" w:eastAsia="楷体_GB2312" w:cs="楷体_GB2312"/>
                <w:color w:val="000000" w:themeColor="text1"/>
                <w:sz w:val="32"/>
                <w:szCs w:val="32"/>
                <w14:textFill>
                  <w14:solidFill>
                    <w14:schemeClr w14:val="tx1"/>
                  </w14:solidFill>
                </w14:textFill>
                <w14:ligatures w14:val="none"/>
              </w:rPr>
              <w:t>建成箭叶淫羊藿商品药材基地1.5万亩；进行道地药材精深加工及淫羊藿保健品开发，同步启动保健产品的小试、中试及动物实验，取得保健品文号。</w:t>
            </w:r>
          </w:p>
          <w:p>
            <w:pPr>
              <w:pStyle w:val="24"/>
              <w:adjustRightInd w:val="0"/>
              <w:snapToGrid w:val="0"/>
              <w:spacing w:line="580" w:lineRule="exact"/>
              <w:ind w:firstLine="643" w:firstLineChars="200"/>
              <w:rPr>
                <w:rFonts w:hint="eastAsia" w:ascii="楷体_GB2312" w:hAnsi="楷体_GB2312" w:eastAsia="楷体_GB2312" w:cs="楷体_GB2312"/>
                <w:color w:val="000000" w:themeColor="text1"/>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sz w:val="32"/>
                <w:szCs w:val="32"/>
                <w14:textFill>
                  <w14:solidFill>
                    <w14:schemeClr w14:val="tx1"/>
                  </w14:solidFill>
                </w14:textFill>
                <w14:ligatures w14:val="none"/>
              </w:rPr>
              <w:t>4.钩藤精深加工项目。</w:t>
            </w:r>
            <w:r>
              <w:rPr>
                <w:rFonts w:hint="eastAsia" w:ascii="楷体_GB2312" w:hAnsi="楷体_GB2312" w:eastAsia="楷体_GB2312" w:cs="楷体_GB2312"/>
                <w:color w:val="000000" w:themeColor="text1"/>
                <w:sz w:val="32"/>
                <w:szCs w:val="32"/>
                <w14:textFill>
                  <w14:solidFill>
                    <w14:schemeClr w14:val="tx1"/>
                  </w14:solidFill>
                </w14:textFill>
                <w14:ligatures w14:val="none"/>
              </w:rPr>
              <w:t>建设以钩藤为主的道地药材加工厂，建设加工生产线3条，5年内建成道地药材种植基地10000亩。</w:t>
            </w:r>
          </w:p>
          <w:p>
            <w:pPr>
              <w:pStyle w:val="24"/>
              <w:adjustRightInd w:val="0"/>
              <w:snapToGrid w:val="0"/>
              <w:spacing w:line="580" w:lineRule="exact"/>
              <w:ind w:firstLine="643" w:firstLineChars="200"/>
              <w:rPr>
                <w:rFonts w:hint="eastAsia" w:ascii="楷体_GB2312" w:hAnsi="楷体_GB2312" w:eastAsia="楷体_GB2312" w:cs="楷体_GB2312"/>
                <w:color w:val="000000" w:themeColor="text1"/>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sz w:val="32"/>
                <w:szCs w:val="32"/>
                <w14:textFill>
                  <w14:solidFill>
                    <w14:schemeClr w14:val="tx1"/>
                  </w14:solidFill>
                </w14:textFill>
                <w14:ligatures w14:val="none"/>
              </w:rPr>
              <w:t>5.野菊花商品药材种植及加工生产项目。</w:t>
            </w:r>
            <w:r>
              <w:rPr>
                <w:rFonts w:hint="eastAsia" w:ascii="楷体_GB2312" w:hAnsi="楷体_GB2312" w:eastAsia="楷体_GB2312" w:cs="楷体_GB2312"/>
                <w:color w:val="000000" w:themeColor="text1"/>
                <w:sz w:val="32"/>
                <w:szCs w:val="32"/>
                <w14:textFill>
                  <w14:solidFill>
                    <w14:schemeClr w14:val="tx1"/>
                  </w14:solidFill>
                </w14:textFill>
                <w14:ligatures w14:val="none"/>
              </w:rPr>
              <w:t>建成野菊花商品基地3万亩；开展野菊花等中药材饮片加工生产。</w:t>
            </w:r>
          </w:p>
          <w:p>
            <w:pPr>
              <w:pStyle w:val="24"/>
              <w:adjustRightInd w:val="0"/>
              <w:snapToGrid w:val="0"/>
              <w:spacing w:line="580" w:lineRule="exact"/>
              <w:ind w:firstLine="643" w:firstLineChars="200"/>
              <w:rPr>
                <w:rFonts w:hint="eastAsia" w:ascii="仿宋_GB2312" w:hAnsi="仿宋_GB2312" w:eastAsia="仿宋_GB2312" w:cs="仿宋_GB2312"/>
                <w:color w:val="000000" w:themeColor="text1"/>
                <w:sz w:val="28"/>
                <w:szCs w:val="28"/>
                <w14:textFill>
                  <w14:solidFill>
                    <w14:schemeClr w14:val="tx1"/>
                  </w14:solidFill>
                </w14:textFill>
                <w14:ligatures w14:val="none"/>
              </w:rPr>
            </w:pPr>
            <w:r>
              <w:rPr>
                <w:rFonts w:hint="eastAsia" w:ascii="楷体_GB2312" w:hAnsi="楷体_GB2312" w:eastAsia="楷体_GB2312" w:cs="楷体_GB2312"/>
                <w:b/>
                <w:bCs/>
                <w:color w:val="000000" w:themeColor="text1"/>
                <w:sz w:val="32"/>
                <w:szCs w:val="32"/>
                <w14:textFill>
                  <w14:solidFill>
                    <w14:schemeClr w14:val="tx1"/>
                  </w14:solidFill>
                </w14:textFill>
                <w14:ligatures w14:val="none"/>
              </w:rPr>
              <w:t>6.土栾儿产业链建设项目。</w:t>
            </w:r>
            <w:r>
              <w:rPr>
                <w:rFonts w:hint="eastAsia" w:ascii="楷体_GB2312" w:hAnsi="楷体_GB2312" w:eastAsia="楷体_GB2312" w:cs="楷体_GB2312"/>
                <w:color w:val="000000" w:themeColor="text1"/>
                <w:sz w:val="32"/>
                <w:szCs w:val="32"/>
                <w14:textFill>
                  <w14:solidFill>
                    <w14:schemeClr w14:val="tx1"/>
                  </w14:solidFill>
                </w14:textFill>
                <w14:ligatures w14:val="none"/>
              </w:rPr>
              <w:t>第一期租赁厂房1栋面积约822</w:t>
            </w:r>
            <w:r>
              <w:rPr>
                <w:rFonts w:hint="eastAsia" w:ascii="楷体_GB2312" w:hAnsi="楷体_GB2312" w:eastAsia="楷体_GB2312" w:cs="楷体_GB2312"/>
                <w:color w:val="000000" w:themeColor="text1"/>
                <w:sz w:val="32"/>
                <w:szCs w:val="32"/>
                <w:lang w:eastAsia="zh-CN"/>
                <w14:textFill>
                  <w14:solidFill>
                    <w14:schemeClr w14:val="tx1"/>
                  </w14:solidFill>
                </w14:textFill>
                <w14:ligatures w14:val="none"/>
              </w:rPr>
              <w:t>㎡</w:t>
            </w:r>
            <w:r>
              <w:rPr>
                <w:rFonts w:hint="eastAsia" w:ascii="楷体_GB2312" w:hAnsi="楷体_GB2312" w:eastAsia="楷体_GB2312" w:cs="楷体_GB2312"/>
                <w:color w:val="000000" w:themeColor="text1"/>
                <w:sz w:val="32"/>
                <w:szCs w:val="32"/>
                <w14:textFill>
                  <w14:solidFill>
                    <w14:schemeClr w14:val="tx1"/>
                  </w14:solidFill>
                </w14:textFill>
                <w14:ligatures w14:val="none"/>
              </w:rPr>
              <w:t>用于建设初加工车间，同时建设土栾儿标准化示范基地1000亩。第二期租赁水坪溪标准化厂房5000</w:t>
            </w:r>
            <w:r>
              <w:rPr>
                <w:rFonts w:hint="eastAsia" w:ascii="楷体_GB2312" w:hAnsi="楷体_GB2312" w:eastAsia="楷体_GB2312" w:cs="楷体_GB2312"/>
                <w:color w:val="000000" w:themeColor="text1"/>
                <w:sz w:val="32"/>
                <w:szCs w:val="32"/>
                <w:lang w:eastAsia="zh-CN"/>
                <w14:textFill>
                  <w14:solidFill>
                    <w14:schemeClr w14:val="tx1"/>
                  </w14:solidFill>
                </w14:textFill>
                <w14:ligatures w14:val="none"/>
              </w:rPr>
              <w:t>㎡</w:t>
            </w:r>
            <w:r>
              <w:rPr>
                <w:rFonts w:hint="eastAsia" w:ascii="楷体_GB2312" w:hAnsi="楷体_GB2312" w:eastAsia="楷体_GB2312" w:cs="楷体_GB2312"/>
                <w:color w:val="000000" w:themeColor="text1"/>
                <w:sz w:val="32"/>
                <w:szCs w:val="32"/>
                <w14:textFill>
                  <w14:solidFill>
                    <w14:schemeClr w14:val="tx1"/>
                  </w14:solidFill>
                </w14:textFill>
                <w14:ligatures w14:val="none"/>
              </w:rPr>
              <w:t>(其中2000</w:t>
            </w:r>
            <w:r>
              <w:rPr>
                <w:rFonts w:hint="eastAsia" w:ascii="楷体_GB2312" w:hAnsi="楷体_GB2312" w:eastAsia="楷体_GB2312" w:cs="楷体_GB2312"/>
                <w:color w:val="000000" w:themeColor="text1"/>
                <w:sz w:val="32"/>
                <w:szCs w:val="32"/>
                <w:lang w:eastAsia="zh-CN"/>
                <w14:textFill>
                  <w14:solidFill>
                    <w14:schemeClr w14:val="tx1"/>
                  </w14:solidFill>
                </w14:textFill>
                <w14:ligatures w14:val="none"/>
              </w:rPr>
              <w:t>㎡</w:t>
            </w:r>
            <w:r>
              <w:rPr>
                <w:rFonts w:hint="eastAsia" w:ascii="楷体_GB2312" w:hAnsi="楷体_GB2312" w:eastAsia="楷体_GB2312" w:cs="楷体_GB2312"/>
                <w:color w:val="000000" w:themeColor="text1"/>
                <w:sz w:val="32"/>
                <w:szCs w:val="32"/>
                <w14:textFill>
                  <w14:solidFill>
                    <w14:schemeClr w14:val="tx1"/>
                  </w14:solidFill>
                </w14:textFill>
                <w14:ligatures w14:val="none"/>
              </w:rPr>
              <w:t>初加工车间，1000</w:t>
            </w:r>
            <w:r>
              <w:rPr>
                <w:rFonts w:hint="eastAsia" w:ascii="楷体_GB2312" w:hAnsi="楷体_GB2312" w:eastAsia="楷体_GB2312" w:cs="楷体_GB2312"/>
                <w:color w:val="000000" w:themeColor="text1"/>
                <w:sz w:val="32"/>
                <w:szCs w:val="32"/>
                <w:lang w:eastAsia="zh-CN"/>
                <w14:textFill>
                  <w14:solidFill>
                    <w14:schemeClr w14:val="tx1"/>
                  </w14:solidFill>
                </w14:textFill>
                <w14:ligatures w14:val="none"/>
              </w:rPr>
              <w:t>㎡</w:t>
            </w:r>
            <w:r>
              <w:rPr>
                <w:rFonts w:hint="eastAsia" w:ascii="楷体_GB2312" w:hAnsi="楷体_GB2312" w:eastAsia="楷体_GB2312" w:cs="楷体_GB2312"/>
                <w:color w:val="000000" w:themeColor="text1"/>
                <w:sz w:val="32"/>
                <w:szCs w:val="32"/>
                <w14:textFill>
                  <w14:solidFill>
                    <w14:schemeClr w14:val="tx1"/>
                  </w14:solidFill>
                </w14:textFill>
                <w14:ligatures w14:val="none"/>
              </w:rPr>
              <w:t>精加工车间、200</w:t>
            </w:r>
            <w:r>
              <w:rPr>
                <w:rFonts w:hint="eastAsia" w:ascii="楷体_GB2312" w:hAnsi="楷体_GB2312" w:eastAsia="楷体_GB2312" w:cs="楷体_GB2312"/>
                <w:color w:val="000000" w:themeColor="text1"/>
                <w:sz w:val="32"/>
                <w:szCs w:val="32"/>
                <w:lang w:eastAsia="zh-CN"/>
                <w14:textFill>
                  <w14:solidFill>
                    <w14:schemeClr w14:val="tx1"/>
                  </w14:solidFill>
                </w14:textFill>
                <w14:ligatures w14:val="none"/>
              </w:rPr>
              <w:t>㎡</w:t>
            </w:r>
            <w:r>
              <w:rPr>
                <w:rFonts w:hint="eastAsia" w:ascii="楷体_GB2312" w:hAnsi="楷体_GB2312" w:eastAsia="楷体_GB2312" w:cs="楷体_GB2312"/>
                <w:color w:val="000000" w:themeColor="text1"/>
                <w:sz w:val="32"/>
                <w:szCs w:val="32"/>
                <w14:textFill>
                  <w14:solidFill>
                    <w14:schemeClr w14:val="tx1"/>
                  </w14:solidFill>
                </w14:textFill>
                <w14:ligatures w14:val="none"/>
              </w:rPr>
              <w:t>农资原料及成品仓库)，建设土栾儿标准化示范基地2000亩，带动全县发展种植面积5万亩。</w:t>
            </w:r>
          </w:p>
        </w:tc>
      </w:tr>
    </w:tbl>
    <w:p>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outlineLvl w:val="1"/>
        <w:rPr>
          <w:rFonts w:ascii="Times New Roman" w:hAnsi="Times New Roman" w:eastAsia="黑体" w:cs="Times New Roman"/>
          <w:color w:val="000000" w:themeColor="text1"/>
          <w:sz w:val="32"/>
          <w:szCs w:val="32"/>
          <w14:textFill>
            <w14:solidFill>
              <w14:schemeClr w14:val="tx1"/>
            </w14:solidFill>
          </w14:textFill>
        </w:rPr>
      </w:pPr>
      <w:bookmarkStart w:id="48" w:name="_Toc235000754"/>
    </w:p>
    <w:p>
      <w:pPr>
        <w:adjustRightInd w:val="0"/>
        <w:snapToGrid w:val="0"/>
        <w:spacing w:line="580" w:lineRule="exact"/>
        <w:jc w:val="center"/>
        <w:outlineLvl w:val="1"/>
        <w:rPr>
          <w:rFonts w:ascii="Times New Roman" w:hAnsi="Times New Roman" w:eastAsia="黑体" w:cs="Times New Roman"/>
          <w:color w:val="000000" w:themeColor="text1"/>
          <w:sz w:val="32"/>
          <w:szCs w:val="32"/>
          <w14:textFill>
            <w14:solidFill>
              <w14:schemeClr w14:val="tx1"/>
            </w14:solidFill>
          </w14:textFill>
        </w:rPr>
      </w:pPr>
      <w:r>
        <w:rPr>
          <w:rFonts w:ascii="Times New Roman" w:hAnsi="Times New Roman" w:eastAsia="黑体" w:cs="Times New Roman"/>
          <w:color w:val="000000" w:themeColor="text1"/>
          <w:sz w:val="32"/>
          <w:szCs w:val="32"/>
          <w14:textFill>
            <w14:solidFill>
              <w14:schemeClr w14:val="tx1"/>
            </w14:solidFill>
          </w14:textFill>
        </w:rPr>
        <w:t>第四节 培育高效能新能源产业</w:t>
      </w:r>
      <w:bookmarkEnd w:id="48"/>
    </w:p>
    <w:p>
      <w:pPr>
        <w:keepNext w:val="0"/>
        <w:keepLines w:val="0"/>
        <w:pageBreakBefore w:val="0"/>
        <w:widowControl/>
        <w:kinsoku/>
        <w:wordWrap/>
        <w:overflowPunct/>
        <w:topLinePunct w:val="0"/>
        <w:autoSpaceDE/>
        <w:autoSpaceDN/>
        <w:bidi w:val="0"/>
        <w:adjustRightInd/>
        <w:snapToGrid/>
        <w:spacing w:line="240" w:lineRule="exact"/>
        <w:ind w:firstLine="600" w:firstLineChars="200"/>
        <w:jc w:val="left"/>
        <w:textAlignment w:val="auto"/>
        <w:rPr>
          <w:rFonts w:hint="eastAsia" w:ascii="仿宋_GB2312" w:hAnsi="仿宋_GB2312" w:eastAsia="仿宋_GB2312" w:cs="仿宋_GB2312"/>
          <w:color w:val="000000" w:themeColor="text1"/>
          <w:sz w:val="30"/>
          <w:szCs w:val="30"/>
          <w14:textFill>
            <w14:solidFill>
              <w14:schemeClr w14:val="tx1"/>
            </w14:solidFill>
          </w14:textFill>
          <w14:ligatures w14:val="none"/>
        </w:rPr>
      </w:pPr>
    </w:p>
    <w:p>
      <w:pPr>
        <w:widowControl/>
        <w:spacing w:line="58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14:ligatures w14:val="none"/>
        </w:rPr>
      </w:pPr>
      <w:r>
        <w:rPr>
          <w:rFonts w:hint="eastAsia" w:ascii="仿宋_GB2312" w:hAnsi="仿宋_GB2312" w:eastAsia="仿宋_GB2312" w:cs="仿宋_GB2312"/>
          <w:color w:val="000000" w:themeColor="text1"/>
          <w:sz w:val="32"/>
          <w:szCs w:val="32"/>
          <w14:textFill>
            <w14:solidFill>
              <w14:schemeClr w14:val="tx1"/>
            </w14:solidFill>
          </w14:textFill>
          <w14:ligatures w14:val="none"/>
        </w:rPr>
        <w:t>着力构建与县域经济社会高质量发展相适配的现代能源体系。</w:t>
      </w:r>
      <w:r>
        <w:rPr>
          <w:rFonts w:hint="eastAsia" w:ascii="仿宋_GB2312" w:hAnsi="仿宋_GB2312" w:eastAsia="仿宋_GB2312" w:cs="仿宋_GB2312"/>
          <w:color w:val="000000" w:themeColor="text1"/>
          <w:sz w:val="32"/>
          <w:szCs w:val="32"/>
          <w:lang w:bidi="ar"/>
          <w14:textFill>
            <w14:solidFill>
              <w14:schemeClr w14:val="tx1"/>
            </w14:solidFill>
          </w14:textFill>
        </w:rPr>
        <w:t>立足风、光、水、储资源禀赋，以规模化开发与效能提升为重点，实现各类能源形态互补联动。</w:t>
      </w:r>
      <w:r>
        <w:rPr>
          <w:rFonts w:hint="eastAsia" w:ascii="仿宋_GB2312" w:hAnsi="仿宋_GB2312" w:eastAsia="仿宋_GB2312" w:cs="仿宋_GB2312"/>
          <w:color w:val="000000" w:themeColor="text1"/>
          <w:sz w:val="32"/>
          <w:szCs w:val="32"/>
          <w14:textFill>
            <w14:solidFill>
              <w14:schemeClr w14:val="tx1"/>
            </w14:solidFill>
          </w14:textFill>
          <w14:ligatures w14:val="none"/>
        </w:rPr>
        <w:t>全力推进宝田、蒲稳、罗皮冲等风电场建设，同步布局漠滨、朗江等风能资源富集区域新项目，有序推动风电开发。探索“农光互补”开发新模式，开发分布式光伏电站，打造“光伏+生态复合型”示范县。协同发展电化学储能和抽水蓄能等储能项目，补齐调峰短板，提升新能源消纳与并网能力。完善充电基础设施，提升城区、乡镇、景区、园区充电桩覆盖率，构建全域便民快充网络，积极创建省充电基础设施补短板试点县。开发利用生物质，实现城市生活垃圾焚烧发电及综合利用，支持农村秸秆发电和规模化养殖及畜粪利用。提档升级县域电网，优化城乡电网网架结构。推进“气化会同”工程，调整城乡能源消费结构。</w:t>
      </w:r>
    </w:p>
    <w:p>
      <w:pPr>
        <w:pStyle w:val="2"/>
        <w:spacing w:after="0" w:line="580" w:lineRule="exact"/>
        <w:rPr>
          <w:rFonts w:hint="eastAsia"/>
          <w:color w:val="000000" w:themeColor="text1"/>
          <w14:textFill>
            <w14:solidFill>
              <w14:schemeClr w14:val="tx1"/>
            </w14:solidFill>
          </w14:textFill>
        </w:rPr>
      </w:pPr>
    </w:p>
    <w:tbl>
      <w:tblPr>
        <w:tblStyle w:val="81"/>
        <w:tblW w:w="90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84" w:type="dxa"/>
          </w:tcPr>
          <w:p>
            <w:pPr>
              <w:adjustRightInd w:val="0"/>
              <w:snapToGrid w:val="0"/>
              <w:spacing w:line="580" w:lineRule="exact"/>
              <w:jc w:val="center"/>
              <w:rPr>
                <w:rFonts w:ascii="Times New Roman" w:hAnsi="Times New Roman" w:eastAsia="黑体" w:cs="Times New Roman"/>
                <w:color w:val="000000" w:themeColor="text1"/>
                <w:kern w:val="0"/>
                <w:sz w:val="28"/>
                <w:szCs w:val="28"/>
                <w14:textFill>
                  <w14:solidFill>
                    <w14:schemeClr w14:val="tx1"/>
                  </w14:solidFill>
                </w14:textFill>
                <w14:ligatures w14:val="none"/>
              </w:rPr>
            </w:pPr>
            <w:r>
              <w:rPr>
                <w:rFonts w:ascii="Times New Roman" w:hAnsi="Times New Roman" w:eastAsia="黑体" w:cs="Times New Roman"/>
                <w:color w:val="000000" w:themeColor="text1"/>
                <w:kern w:val="0"/>
                <w:sz w:val="32"/>
                <w:szCs w:val="32"/>
                <w14:textFill>
                  <w14:solidFill>
                    <w14:schemeClr w14:val="tx1"/>
                  </w14:solidFill>
                </w14:textFill>
                <w14:ligatures w14:val="none"/>
              </w:rPr>
              <w:t>专栏</w:t>
            </w:r>
            <w:r>
              <w:rPr>
                <w:rFonts w:hint="eastAsia" w:ascii="Times New Roman" w:hAnsi="Times New Roman" w:eastAsia="黑体" w:cs="Times New Roman"/>
                <w:color w:val="000000" w:themeColor="text1"/>
                <w:kern w:val="0"/>
                <w:sz w:val="32"/>
                <w:szCs w:val="32"/>
                <w14:textFill>
                  <w14:solidFill>
                    <w14:schemeClr w14:val="tx1"/>
                  </w14:solidFill>
                </w14:textFill>
                <w14:ligatures w14:val="none"/>
              </w:rPr>
              <w:t xml:space="preserve">7 </w:t>
            </w:r>
            <w:r>
              <w:rPr>
                <w:rFonts w:ascii="Times New Roman" w:hAnsi="Times New Roman" w:eastAsia="黑体" w:cs="Times New Roman"/>
                <w:color w:val="000000" w:themeColor="text1"/>
                <w:kern w:val="0"/>
                <w:sz w:val="32"/>
                <w:szCs w:val="32"/>
                <w14:textFill>
                  <w14:solidFill>
                    <w14:schemeClr w14:val="tx1"/>
                  </w14:solidFill>
                </w14:textFill>
                <w14:ligatures w14:val="none"/>
              </w:rPr>
              <w:t>新能源产业项目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84" w:type="dxa"/>
          </w:tcPr>
          <w:p>
            <w:pPr>
              <w:numPr>
                <w:ilvl w:val="255"/>
                <w:numId w:val="0"/>
              </w:numPr>
              <w:adjustRightInd w:val="0"/>
              <w:snapToGrid w:val="0"/>
              <w:spacing w:line="580" w:lineRule="exact"/>
              <w:ind w:firstLine="643" w:firstLineChars="200"/>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1.风电项目。</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①集中式风电项目。续建宝田、蒲稳、罗皮冲风电场项目，装机规模18.3万千瓦。新建梅子界、栗家冲、雪峰、梁家坪、双生坡、龙登界、翁顶等7个风电场项目，装机规模64.5万千瓦。②分散式风电项目。老王冲、穿衣坳、山总、下雨冲、棕树湾、土地坳、层溪、岩鹰界、八宝山、雷坡界等10个风电场项目，装机规模31.5万千瓦。</w:t>
            </w:r>
          </w:p>
          <w:p>
            <w:pPr>
              <w:numPr>
                <w:ilvl w:val="255"/>
                <w:numId w:val="0"/>
              </w:numPr>
              <w:adjustRightInd w:val="0"/>
              <w:snapToGrid w:val="0"/>
              <w:spacing w:line="580" w:lineRule="exact"/>
              <w:ind w:firstLine="643" w:firstLineChars="200"/>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2.光伏项目。</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①“农光互补”项目。连山、金竹、青朗、炮团等4个光伏电站建设项目，装机规模32万千瓦。②分布式光伏发电项目。公共屋顶分布式光伏发电项目，装机规模3万千瓦；工商业屋顶分布式光伏发电项目，装机规模3万千瓦。</w:t>
            </w:r>
          </w:p>
          <w:p>
            <w:pPr>
              <w:numPr>
                <w:ilvl w:val="255"/>
                <w:numId w:val="0"/>
              </w:numPr>
              <w:adjustRightInd w:val="0"/>
              <w:snapToGrid w:val="0"/>
              <w:spacing w:line="580" w:lineRule="exact"/>
              <w:ind w:firstLine="643" w:firstLineChars="200"/>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3.储能项目。</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会同县水坪溪电网侧电化学储能电站。建设容量400MW/800MWh,配套一座110kV升压站。</w:t>
            </w:r>
          </w:p>
          <w:p>
            <w:pPr>
              <w:numPr>
                <w:ilvl w:val="255"/>
                <w:numId w:val="0"/>
              </w:numPr>
              <w:adjustRightInd w:val="0"/>
              <w:snapToGrid w:val="0"/>
              <w:spacing w:line="580" w:lineRule="exact"/>
              <w:ind w:firstLine="643" w:firstLineChars="200"/>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4.抽水蓄能项目。</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①会同县长寨抽水蓄能项目，装机容量5万千瓦。②托口电站库区抽水蓄能项目，装机容量8万千瓦。</w:t>
            </w:r>
          </w:p>
          <w:p>
            <w:pPr>
              <w:numPr>
                <w:ilvl w:val="255"/>
                <w:numId w:val="0"/>
              </w:numPr>
              <w:adjustRightInd w:val="0"/>
              <w:snapToGrid w:val="0"/>
              <w:spacing w:line="580" w:lineRule="exact"/>
              <w:ind w:firstLine="643" w:firstLineChars="200"/>
              <w:rPr>
                <w:rFonts w:hint="eastAsia" w:ascii="仿宋_GB2312" w:hAnsi="仿宋_GB2312" w:eastAsia="仿宋_GB2312" w:cs="仿宋_GB2312"/>
                <w:color w:val="000000" w:themeColor="text1"/>
                <w:kern w:val="0"/>
                <w:sz w:val="28"/>
                <w:szCs w:val="28"/>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5.充电基础设施建设项目。</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利用县城、24个老集镇、75个重点团寨公共停车场配备充电桩，包括充电设备购置及安装，配电线工程，充电桩运营监管平台搭建等。</w:t>
            </w:r>
          </w:p>
        </w:tc>
      </w:tr>
    </w:tbl>
    <w:p>
      <w:pPr>
        <w:adjustRightInd w:val="0"/>
        <w:snapToGrid w:val="0"/>
        <w:spacing w:line="580" w:lineRule="exact"/>
        <w:ind w:firstLine="600" w:firstLineChars="200"/>
        <w:rPr>
          <w:rFonts w:ascii="Times New Roman" w:hAnsi="Times New Roman" w:eastAsia="仿宋_GB2312" w:cs="Times New Roman"/>
          <w:color w:val="000000" w:themeColor="text1"/>
          <w:sz w:val="30"/>
          <w:szCs w:val="30"/>
          <w14:textFill>
            <w14:solidFill>
              <w14:schemeClr w14:val="tx1"/>
            </w14:solidFill>
          </w14:textFill>
          <w14:ligatures w14:val="none"/>
        </w:rPr>
      </w:pPr>
    </w:p>
    <w:p>
      <w:pPr>
        <w:adjustRightInd w:val="0"/>
        <w:snapToGrid w:val="0"/>
        <w:spacing w:line="580" w:lineRule="exact"/>
        <w:jc w:val="center"/>
        <w:outlineLvl w:val="1"/>
        <w:rPr>
          <w:rFonts w:ascii="Times New Roman" w:hAnsi="Times New Roman" w:eastAsia="黑体" w:cs="Times New Roman"/>
          <w:color w:val="000000" w:themeColor="text1"/>
          <w:sz w:val="32"/>
          <w:szCs w:val="32"/>
          <w14:textFill>
            <w14:solidFill>
              <w14:schemeClr w14:val="tx1"/>
            </w14:solidFill>
          </w14:textFill>
        </w:rPr>
      </w:pPr>
      <w:bookmarkStart w:id="49" w:name="_Toc235000755"/>
      <w:r>
        <w:rPr>
          <w:rFonts w:ascii="Times New Roman" w:hAnsi="Times New Roman" w:eastAsia="黑体" w:cs="Times New Roman"/>
          <w:color w:val="000000" w:themeColor="text1"/>
          <w:sz w:val="32"/>
          <w:szCs w:val="32"/>
          <w14:textFill>
            <w14:solidFill>
              <w14:schemeClr w14:val="tx1"/>
            </w14:solidFill>
          </w14:textFill>
        </w:rPr>
        <w:t xml:space="preserve">第五节 </w:t>
      </w:r>
      <w:r>
        <w:rPr>
          <w:rFonts w:hint="eastAsia" w:ascii="Times New Roman" w:hAnsi="Times New Roman" w:eastAsia="黑体" w:cs="Times New Roman"/>
          <w:color w:val="000000" w:themeColor="text1"/>
          <w:sz w:val="32"/>
          <w:szCs w:val="32"/>
          <w14:textFill>
            <w14:solidFill>
              <w14:schemeClr w14:val="tx1"/>
            </w14:solidFill>
          </w14:textFill>
        </w:rPr>
        <w:t>塑造高品位</w:t>
      </w:r>
      <w:r>
        <w:rPr>
          <w:rFonts w:ascii="Times New Roman" w:hAnsi="Times New Roman" w:eastAsia="黑体" w:cs="Times New Roman"/>
          <w:color w:val="000000" w:themeColor="text1"/>
          <w:sz w:val="32"/>
          <w:szCs w:val="32"/>
          <w14:textFill>
            <w14:solidFill>
              <w14:schemeClr w14:val="tx1"/>
            </w14:solidFill>
          </w14:textFill>
        </w:rPr>
        <w:t>生态文旅产业</w:t>
      </w:r>
      <w:bookmarkEnd w:id="49"/>
    </w:p>
    <w:p>
      <w:pPr>
        <w:adjustRightInd w:val="0"/>
        <w:snapToGrid w:val="0"/>
        <w:spacing w:line="580" w:lineRule="exact"/>
        <w:ind w:firstLine="600" w:firstLineChars="200"/>
        <w:rPr>
          <w:rFonts w:hint="eastAsia" w:ascii="仿宋_GB2312" w:hAnsi="仿宋_GB2312" w:eastAsia="仿宋_GB2312" w:cs="仿宋_GB2312"/>
          <w:color w:val="000000" w:themeColor="text1"/>
          <w:sz w:val="30"/>
          <w:szCs w:val="30"/>
          <w14:textFill>
            <w14:solidFill>
              <w14:schemeClr w14:val="tx1"/>
            </w14:solidFill>
          </w14:textFill>
          <w14:ligatures w14:val="none"/>
        </w:rPr>
      </w:pPr>
    </w:p>
    <w:p>
      <w:pPr>
        <w:widowControl/>
        <w:spacing w:line="58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14:ligatures w14:val="none"/>
        </w:rPr>
      </w:pPr>
      <w:r>
        <w:rPr>
          <w:rFonts w:hint="eastAsia" w:ascii="仿宋_GB2312" w:hAnsi="仿宋_GB2312" w:eastAsia="仿宋_GB2312" w:cs="仿宋_GB2312"/>
          <w:color w:val="000000" w:themeColor="text1"/>
          <w:sz w:val="32"/>
          <w:szCs w:val="32"/>
          <w14:textFill>
            <w14:solidFill>
              <w14:schemeClr w14:val="tx1"/>
            </w14:solidFill>
          </w14:textFill>
          <w14:ligatures w14:val="none"/>
        </w:rPr>
        <w:t>立足会同生态与文化优势，围绕“粟裕故里 多彩会同”发展思路，以粟裕故里红色旅游融合发展示范区为核心，联动雪峰山－巫水流域（高椅古村）乡村旅游、连山炎帝故里文旅康养、宝田云端茶海旅游度假区、会同稻香诗田、会同竹海等农文旅融合项目，构建功能互补、特色鲜明的全域文旅格局。做好“红、古、绿、金、黑”的特色发展理念，深化“文旅+”融合，培育红色研学、生态康养、非遗体验、农耕休闲、低空观光等业态，推动文旅品牌体系化运营。对接大张家界、湘黔、湘桂边旅游环线，共建跨区域精品线路，全面赋能县域高质量发展。到2030年，成功创建省级红色旅游融合发展示范区、省级旅游度假区、省级文旅康养示范区，推动连山炎帝故里、会同稻香诗田创成国家4A级旅游景区，形成具有市场竞争力的文旅产业集群，争将我县打造为旅游产业活跃县，品牌影响广泛的文化旅游示范县和红色文化旅游目的地。</w:t>
      </w:r>
    </w:p>
    <w:p>
      <w:pPr>
        <w:pStyle w:val="2"/>
        <w:rPr>
          <w:rFonts w:hint="eastAsia"/>
          <w:color w:val="000000" w:themeColor="text1"/>
          <w14:textFill>
            <w14:solidFill>
              <w14:schemeClr w14:val="tx1"/>
            </w14:solidFill>
          </w14:textFill>
        </w:rPr>
      </w:pPr>
    </w:p>
    <w:tbl>
      <w:tblPr>
        <w:tblStyle w:val="81"/>
        <w:tblW w:w="90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9" w:type="dxa"/>
          </w:tcPr>
          <w:p>
            <w:pPr>
              <w:adjustRightInd w:val="0"/>
              <w:snapToGrid w:val="0"/>
              <w:spacing w:line="580" w:lineRule="exact"/>
              <w:jc w:val="center"/>
              <w:rPr>
                <w:rFonts w:ascii="Times New Roman" w:hAnsi="Times New Roman" w:eastAsia="黑体" w:cs="Times New Roman"/>
                <w:color w:val="000000" w:themeColor="text1"/>
                <w:kern w:val="0"/>
                <w:sz w:val="28"/>
                <w:szCs w:val="28"/>
                <w14:textFill>
                  <w14:solidFill>
                    <w14:schemeClr w14:val="tx1"/>
                  </w14:solidFill>
                </w14:textFill>
                <w14:ligatures w14:val="none"/>
              </w:rPr>
            </w:pPr>
            <w:r>
              <w:rPr>
                <w:rFonts w:ascii="Times New Roman" w:hAnsi="Times New Roman" w:eastAsia="黑体" w:cs="Times New Roman"/>
                <w:color w:val="000000" w:themeColor="text1"/>
                <w:kern w:val="0"/>
                <w:sz w:val="32"/>
                <w:szCs w:val="32"/>
                <w14:textFill>
                  <w14:solidFill>
                    <w14:schemeClr w14:val="tx1"/>
                  </w14:solidFill>
                </w14:textFill>
                <w14:ligatures w14:val="none"/>
              </w:rPr>
              <w:t>专栏</w:t>
            </w:r>
            <w:r>
              <w:rPr>
                <w:rFonts w:hint="eastAsia" w:ascii="Times New Roman" w:hAnsi="Times New Roman" w:eastAsia="黑体" w:cs="Times New Roman"/>
                <w:color w:val="000000" w:themeColor="text1"/>
                <w:kern w:val="0"/>
                <w:sz w:val="32"/>
                <w:szCs w:val="32"/>
                <w14:textFill>
                  <w14:solidFill>
                    <w14:schemeClr w14:val="tx1"/>
                  </w14:solidFill>
                </w14:textFill>
                <w14:ligatures w14:val="none"/>
              </w:rPr>
              <w:t xml:space="preserve">8 </w:t>
            </w:r>
            <w:r>
              <w:rPr>
                <w:rFonts w:ascii="Times New Roman" w:hAnsi="Times New Roman" w:eastAsia="黑体" w:cs="Times New Roman"/>
                <w:color w:val="000000" w:themeColor="text1"/>
                <w:kern w:val="0"/>
                <w:sz w:val="32"/>
                <w:szCs w:val="32"/>
                <w14:textFill>
                  <w14:solidFill>
                    <w14:schemeClr w14:val="tx1"/>
                  </w14:solidFill>
                </w14:textFill>
                <w14:ligatures w14:val="none"/>
              </w:rPr>
              <w:t>文旅项目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099" w:type="dxa"/>
          </w:tcPr>
          <w:p>
            <w:pPr>
              <w:adjustRightInd w:val="0"/>
              <w:snapToGrid w:val="0"/>
              <w:spacing w:line="580" w:lineRule="exact"/>
              <w:ind w:firstLine="643" w:firstLineChars="200"/>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1.粟裕故里红色旅游融合发展区建设项目。</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主要建设内容：“一核一线多点”。“一核”：粟裕故里核心纪念区，主要包括粟裕故里景区旅游基础设施完善提升工程，粟裕同志纪念馆基本陈列“十年大改”改陈项目等项目；“一线”：红色记忆探索线，薪火之路·红色徒步与生态观光廊道等项目。“多点”：多点联动工程。包括堡子—马鞍红色文化观光点项目等项目。</w:t>
            </w:r>
          </w:p>
          <w:p>
            <w:pPr>
              <w:adjustRightInd w:val="0"/>
              <w:snapToGrid w:val="0"/>
              <w:spacing w:line="580" w:lineRule="exact"/>
              <w:ind w:firstLine="643" w:firstLineChars="200"/>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2.雪峰山－巫水流域（高椅古村）乡村旅游度假区建设项目。</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主要建设内容：“一心一轴四区”。“一心”：高椅古村综合服务与文化体验核心，高椅历史文化名村保护提升项目等项目；“一轴”：巫水生态文旅发展轴，雪峰山-巫水流域沿线的旅游公路景观化建设等项目；“四区”：四大主题功能联动区，渠水地质研学与生态观光廊道项目等项目。</w:t>
            </w:r>
          </w:p>
          <w:p>
            <w:pPr>
              <w:adjustRightInd w:val="0"/>
              <w:snapToGrid w:val="0"/>
              <w:spacing w:line="580" w:lineRule="exact"/>
              <w:ind w:firstLine="643" w:firstLineChars="200"/>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3.神农启源·连山圣境：</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主要建设内容：“一心一轴三区”。“一心”：炎帝文化核心体验区，会同县连山炎帝故里创建国家AAAA级景区建设等项目；一轴”：文旅康养产业发展轴，神农本草园及中医药康养基地建设等项目；“三区”：产业融合联动区总投资，神农征途·会同连山体旅融合综合体建设等项目。</w:t>
            </w:r>
          </w:p>
          <w:p>
            <w:pPr>
              <w:adjustRightInd w:val="0"/>
              <w:snapToGrid w:val="0"/>
              <w:spacing w:line="580" w:lineRule="exact"/>
              <w:ind w:firstLine="643" w:firstLineChars="200"/>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4.湘村诗画·稻香贡月：</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主要建设内容：“一核两轴四区”。“一核”：诗画田园核心体验区，宝田茶旅综合体提质等项目</w:t>
            </w:r>
            <w:r>
              <w:rPr>
                <w:rFonts w:hint="eastAsia" w:ascii="楷体_GB2312" w:hAnsi="楷体_GB2312" w:eastAsia="楷体_GB2312" w:cs="楷体_GB2312"/>
                <w:color w:val="000000" w:themeColor="text1"/>
                <w:spacing w:val="-6"/>
                <w:kern w:val="0"/>
                <w:sz w:val="32"/>
                <w:szCs w:val="32"/>
                <w14:textFill>
                  <w14:solidFill>
                    <w14:schemeClr w14:val="tx1"/>
                  </w14:solidFill>
                </w14:textFill>
                <w14:ligatures w14:val="none"/>
              </w:rPr>
              <w:t>；“两轴”：文旅产业发展轴，会同县环金龙山生态文化旅游圈建设等项目；“四区”：产业融合联动区，手工柴火月饼非遗工坊与体验馆，堡子万亩稻油轮作大地艺术景观等项目</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w:t>
            </w:r>
          </w:p>
          <w:p>
            <w:pPr>
              <w:adjustRightInd w:val="0"/>
              <w:snapToGrid w:val="0"/>
              <w:spacing w:line="580" w:lineRule="exact"/>
              <w:ind w:firstLine="643" w:firstLineChars="200"/>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5.云端茶海·康养山境：</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宝田云端茶海省级旅游度假区建设项目。依托宝田5.3万亩生态茶园的云端景观与茶祖文化底蕴，融合茶产业、康养休闲、山地运动、数字体验四大功能，打造集茶旅观光、生态康养、研学科普、户外探险于一体的省级旅游度假区，联动会同“五朵金花”文旅矩阵，推动茶产业从单一生产向“茶+文旅+康养”全链条升级。项目构建“一核引领、两轴联动、三区融合”的空间发展格局。</w:t>
            </w:r>
          </w:p>
          <w:p>
            <w:pPr>
              <w:numPr>
                <w:ilvl w:val="255"/>
                <w:numId w:val="0"/>
              </w:numPr>
              <w:adjustRightInd w:val="0"/>
              <w:snapToGrid w:val="0"/>
              <w:spacing w:line="580" w:lineRule="exact"/>
              <w:ind w:firstLine="643" w:firstLineChars="200"/>
              <w:rPr>
                <w:rFonts w:hint="eastAsia" w:ascii="仿宋_GB2312" w:hAnsi="仿宋_GB2312" w:eastAsia="仿宋_GB2312" w:cs="仿宋_GB2312"/>
                <w:color w:val="000000" w:themeColor="text1"/>
                <w:kern w:val="0"/>
                <w:sz w:val="28"/>
                <w:szCs w:val="28"/>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6.会同竹海：</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开发金竹镇等地丰富的竹林资源，布局观景平台、主题步道、手作工坊、康养民宿、特色餐饮点位，同步配套停车、环卫、导览等基础设施，打造“竹海竹韵”新IP，实现文旅开发与竹海生态和谐共生。以《青青的竹海》为文化灵魂和传播主线，做实“观竹海、学竹艺、品竹膳、竹康养、购竹品”全业态，建设沉浸式竹主题生活目的地。</w:t>
            </w:r>
          </w:p>
        </w:tc>
      </w:tr>
    </w:tbl>
    <w:p>
      <w:pPr>
        <w:adjustRightInd w:val="0"/>
        <w:snapToGrid w:val="0"/>
        <w:spacing w:line="580" w:lineRule="exact"/>
        <w:ind w:firstLine="602" w:firstLineChars="200"/>
        <w:rPr>
          <w:rFonts w:ascii="Times New Roman" w:hAnsi="Times New Roman" w:eastAsia="楷体" w:cs="Times New Roman"/>
          <w:b/>
          <w:bCs/>
          <w:color w:val="000000" w:themeColor="text1"/>
          <w:sz w:val="30"/>
          <w:szCs w:val="30"/>
          <w14:textFill>
            <w14:solidFill>
              <w14:schemeClr w14:val="tx1"/>
            </w14:solidFill>
          </w14:textFill>
          <w14:ligatures w14:val="none"/>
        </w:rPr>
      </w:pPr>
    </w:p>
    <w:p>
      <w:pPr>
        <w:adjustRightInd w:val="0"/>
        <w:snapToGrid w:val="0"/>
        <w:spacing w:line="580" w:lineRule="exact"/>
        <w:jc w:val="center"/>
        <w:outlineLvl w:val="1"/>
        <w:rPr>
          <w:rFonts w:ascii="Times New Roman" w:hAnsi="Times New Roman" w:eastAsia="黑体" w:cs="Times New Roman"/>
          <w:color w:val="000000" w:themeColor="text1"/>
          <w:sz w:val="32"/>
          <w:szCs w:val="32"/>
          <w14:textFill>
            <w14:solidFill>
              <w14:schemeClr w14:val="tx1"/>
            </w14:solidFill>
          </w14:textFill>
        </w:rPr>
      </w:pPr>
      <w:bookmarkStart w:id="50" w:name="_Toc235000756"/>
      <w:r>
        <w:rPr>
          <w:rFonts w:ascii="Times New Roman" w:hAnsi="Times New Roman" w:eastAsia="黑体" w:cs="Times New Roman"/>
          <w:color w:val="000000" w:themeColor="text1"/>
          <w:sz w:val="32"/>
          <w:szCs w:val="32"/>
          <w14:textFill>
            <w14:solidFill>
              <w14:schemeClr w14:val="tx1"/>
            </w14:solidFill>
          </w14:textFill>
        </w:rPr>
        <w:t xml:space="preserve">第六节 </w:t>
      </w:r>
      <w:r>
        <w:rPr>
          <w:rFonts w:hint="eastAsia" w:ascii="Times New Roman" w:hAnsi="Times New Roman" w:eastAsia="黑体" w:cs="Times New Roman"/>
          <w:color w:val="000000" w:themeColor="text1"/>
          <w:sz w:val="32"/>
          <w:szCs w:val="32"/>
          <w14:textFill>
            <w14:solidFill>
              <w14:schemeClr w14:val="tx1"/>
            </w14:solidFill>
          </w14:textFill>
        </w:rPr>
        <w:t>提升</w:t>
      </w:r>
      <w:r>
        <w:rPr>
          <w:rFonts w:ascii="Times New Roman" w:hAnsi="Times New Roman" w:eastAsia="黑体" w:cs="Times New Roman"/>
          <w:color w:val="000000" w:themeColor="text1"/>
          <w:sz w:val="32"/>
          <w:szCs w:val="32"/>
          <w14:textFill>
            <w14:solidFill>
              <w14:schemeClr w14:val="tx1"/>
            </w14:solidFill>
          </w14:textFill>
        </w:rPr>
        <w:t>现代化服务业</w:t>
      </w:r>
      <w:r>
        <w:rPr>
          <w:rFonts w:hint="eastAsia" w:ascii="Times New Roman" w:hAnsi="Times New Roman" w:eastAsia="黑体" w:cs="Times New Roman"/>
          <w:color w:val="000000" w:themeColor="text1"/>
          <w:sz w:val="32"/>
          <w:szCs w:val="32"/>
          <w14:textFill>
            <w14:solidFill>
              <w14:schemeClr w14:val="tx1"/>
            </w14:solidFill>
          </w14:textFill>
        </w:rPr>
        <w:t>发展能级</w:t>
      </w:r>
      <w:bookmarkEnd w:id="50"/>
    </w:p>
    <w:p>
      <w:pPr>
        <w:adjustRightInd w:val="0"/>
        <w:snapToGrid w:val="0"/>
        <w:spacing w:line="580" w:lineRule="exact"/>
        <w:ind w:firstLine="602" w:firstLineChars="200"/>
        <w:rPr>
          <w:rFonts w:ascii="Times New Roman" w:hAnsi="Times New Roman" w:eastAsia="楷体" w:cs="Times New Roman"/>
          <w:b/>
          <w:bCs/>
          <w:color w:val="000000" w:themeColor="text1"/>
          <w:sz w:val="30"/>
          <w:szCs w:val="30"/>
          <w14:textFill>
            <w14:solidFill>
              <w14:schemeClr w14:val="tx1"/>
            </w14:solidFill>
          </w14:textFill>
          <w14:ligatures w14:val="none"/>
        </w:rPr>
      </w:pPr>
    </w:p>
    <w:p>
      <w:pPr>
        <w:keepNext w:val="0"/>
        <w:keepLines w:val="0"/>
        <w:pageBreakBefore w:val="0"/>
        <w:widowControl w:val="0"/>
        <w:kinsoku/>
        <w:wordWrap/>
        <w:overflowPunct/>
        <w:topLinePunct w:val="0"/>
        <w:autoSpaceDE/>
        <w:autoSpaceDN/>
        <w:bidi w:val="0"/>
        <w:adjustRightInd w:val="0"/>
        <w:snapToGrid w:val="0"/>
        <w:spacing w:line="600" w:lineRule="exact"/>
        <w:ind w:firstLine="619"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spacing w:val="-6"/>
          <w:kern w:val="0"/>
          <w:sz w:val="32"/>
          <w:szCs w:val="32"/>
          <w14:textFill>
            <w14:solidFill>
              <w14:schemeClr w14:val="tx1"/>
            </w14:solidFill>
          </w14:textFill>
          <w14:ligatures w14:val="none"/>
        </w:rPr>
        <w:t>——生产性服务业。</w:t>
      </w:r>
      <w:r>
        <w:rPr>
          <w:rFonts w:hint="eastAsia" w:ascii="仿宋_GB2312" w:hAnsi="仿宋_GB2312" w:eastAsia="仿宋_GB2312" w:cs="仿宋_GB2312"/>
          <w:color w:val="000000" w:themeColor="text1"/>
          <w:sz w:val="32"/>
          <w:szCs w:val="32"/>
          <w14:textFill>
            <w14:solidFill>
              <w14:schemeClr w14:val="tx1"/>
            </w14:solidFill>
          </w14:textFill>
          <w14:ligatures w14:val="none"/>
        </w:rPr>
        <w:t>聚焦箱包、竹木、生猪、中医药、电子信息等产业链配套，探索发展现代物流、金融中介、科创服务等生产性服务业，搭建公共服务平台，推动两业深度融合，补齐产业服务短板，赋能县域实体经济提质增效。</w:t>
      </w:r>
    </w:p>
    <w:p>
      <w:pPr>
        <w:keepNext w:val="0"/>
        <w:keepLines w:val="0"/>
        <w:pageBreakBefore w:val="0"/>
        <w:widowControl w:val="0"/>
        <w:kinsoku/>
        <w:wordWrap/>
        <w:overflowPunct/>
        <w:topLinePunct w:val="0"/>
        <w:autoSpaceDE/>
        <w:autoSpaceDN/>
        <w:bidi w:val="0"/>
        <w:adjustRightInd w:val="0"/>
        <w:snapToGrid w:val="0"/>
        <w:spacing w:line="600" w:lineRule="exact"/>
        <w:ind w:firstLine="619" w:firstLineChars="200"/>
        <w:textAlignment w:val="auto"/>
        <w:rPr>
          <w:rFonts w:ascii="Times New Roman" w:hAnsi="Times New Roman" w:eastAsia="楷体" w:cs="Times New Roman"/>
          <w:b/>
          <w:bCs/>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pacing w:val="-6"/>
          <w:kern w:val="0"/>
          <w:sz w:val="32"/>
          <w:szCs w:val="32"/>
          <w14:textFill>
            <w14:solidFill>
              <w14:schemeClr w14:val="tx1"/>
            </w14:solidFill>
          </w14:textFill>
          <w14:ligatures w14:val="none"/>
        </w:rPr>
        <w:t>——现代物流。</w:t>
      </w:r>
      <w:r>
        <w:rPr>
          <w:rFonts w:hint="eastAsia" w:ascii="仿宋_GB2312" w:hAnsi="仿宋_GB2312" w:eastAsia="仿宋_GB2312" w:cs="仿宋_GB2312"/>
          <w:color w:val="000000" w:themeColor="text1"/>
          <w:sz w:val="32"/>
          <w:szCs w:val="32"/>
          <w14:textFill>
            <w14:solidFill>
              <w14:schemeClr w14:val="tx1"/>
            </w14:solidFill>
          </w14:textFill>
          <w14:ligatures w14:val="none"/>
        </w:rPr>
        <w:t>以提质扩容为重点，重点引进培育1-2A级物流企业，推进物流智能化改造，大力发展多式联运。整合电商、快递、冷链等资源，构建“统一仓储+共同配送”模式，实现县域商品统仓共配。加速物流园区智能化改造，引入自动化分拣、无人仓储等先进设备，提升货物处理效率。构建物流大数据平台，整合运输、仓储、配送等环节数据，实现物流信息实时共享与智能调度，降低物流成本。加速推动怀化国际陆港·会同分港“连山公铁联运物流园”建设，加强铁路、公路、水路等运输方式的衔接，建设多式联运枢纽，优化运输组织模式，提高联运效率。完善冷链物流设施网络，提升冷链物流服务能力，满足生鲜农产品和医药等行业的需求。</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ascii="Times New Roman" w:hAnsi="Times New Roman" w:eastAsia="楷体" w:cs="Times New Roman"/>
          <w:b/>
          <w:bCs/>
          <w:color w:val="000000" w:themeColor="text1"/>
          <w:sz w:val="32"/>
          <w:szCs w:val="32"/>
          <w14:textFill>
            <w14:solidFill>
              <w14:schemeClr w14:val="tx1"/>
            </w14:solidFill>
          </w14:textFill>
        </w:rPr>
      </w:pPr>
      <w:r>
        <w:rPr>
          <w:rFonts w:hint="eastAsia" w:ascii="Times New Roman" w:hAnsi="Times New Roman" w:eastAsia="楷体" w:cs="Times New Roman"/>
          <w:b/>
          <w:bCs/>
          <w:color w:val="000000" w:themeColor="text1"/>
          <w:sz w:val="32"/>
          <w:szCs w:val="32"/>
          <w14:textFill>
            <w14:solidFill>
              <w14:schemeClr w14:val="tx1"/>
            </w14:solidFill>
          </w14:textFill>
        </w:rPr>
        <w:t>——金融服务。</w:t>
      </w:r>
      <w:r>
        <w:rPr>
          <w:rFonts w:ascii="仿宋_GB2312" w:hAnsi="仿宋_GB2312" w:eastAsia="仿宋_GB2312" w:cs="仿宋_GB2312"/>
          <w:color w:val="000000" w:themeColor="text1"/>
          <w:sz w:val="32"/>
          <w:szCs w:val="32"/>
          <w14:textFill>
            <w14:solidFill>
              <w14:schemeClr w14:val="tx1"/>
            </w14:solidFill>
          </w14:textFill>
        </w:rPr>
        <w:t>强化金融对实体经济的支撑作用，重点保障县域重大项目建设与企业发展的融资需求。</w:t>
      </w:r>
      <w:r>
        <w:rPr>
          <w:rFonts w:hint="eastAsia" w:ascii="仿宋_GB2312" w:hAnsi="仿宋_GB2312" w:eastAsia="仿宋_GB2312" w:cs="仿宋_GB2312"/>
          <w:color w:val="000000" w:themeColor="text1"/>
          <w:sz w:val="32"/>
          <w:szCs w:val="32"/>
          <w14:textFill>
            <w14:solidFill>
              <w14:schemeClr w14:val="tx1"/>
            </w14:solidFill>
          </w14:textFill>
        </w:rPr>
        <w:t>深化“湘信贷”平台应用，完善小微企业融资协调机制，紧盯乡镇融资“零突破”目标。加大有效金融供给，发挥银行信贷主渠道作用。强化保险风险保障功能，推动保险业扩面、增品、提标。深化产融协同，全面提升金融服务实体经济质效。</w:t>
      </w:r>
    </w:p>
    <w:p>
      <w:pPr>
        <w:adjustRightInd w:val="0"/>
        <w:snapToGrid w:val="0"/>
        <w:spacing w:line="580" w:lineRule="exact"/>
        <w:ind w:firstLine="619"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pacing w:val="-6"/>
          <w:kern w:val="0"/>
          <w:sz w:val="32"/>
          <w:szCs w:val="32"/>
          <w14:textFill>
            <w14:solidFill>
              <w14:schemeClr w14:val="tx1"/>
            </w14:solidFill>
          </w14:textFill>
          <w14:ligatures w14:val="none"/>
        </w:rPr>
        <w:t>——科创服务。</w:t>
      </w:r>
      <w:r>
        <w:rPr>
          <w:rFonts w:hint="eastAsia" w:ascii="仿宋_GB2312" w:hAnsi="仿宋_GB2312" w:eastAsia="仿宋_GB2312" w:cs="仿宋_GB2312"/>
          <w:color w:val="000000" w:themeColor="text1"/>
          <w:sz w:val="32"/>
          <w:szCs w:val="32"/>
          <w14:textFill>
            <w14:solidFill>
              <w14:schemeClr w14:val="tx1"/>
            </w14:solidFill>
          </w14:textFill>
        </w:rPr>
        <w:t>加快发展科技服务。聚焦生猪、种业、中医药、特色产品等重点领域，培育引进一批专业化、市场化的科技服务企业，发展研发设计、检验检测、知识产权等服务，打造一批具有核心竞争力的科技服务品牌。加快发展信息服务。培育引进信息服务市场主体，加大对信息服务企业的扶持力度，吸引国内外知名信息服务企业设立分支机构，带动本地信息服务产业发展。推动信息服务应用创新，促进信息技术在制造业、农业、服务业等领域的深度应用，引导制造业企业建设工业互联网平台，提升政务服务、医疗、教育等领域的信息化水平。</w:t>
      </w:r>
    </w:p>
    <w:p>
      <w:pPr>
        <w:adjustRightInd w:val="0"/>
        <w:snapToGrid w:val="0"/>
        <w:spacing w:line="580" w:lineRule="exact"/>
        <w:ind w:firstLine="643"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Times New Roman" w:hAnsi="Times New Roman" w:eastAsia="楷体" w:cs="Times New Roman"/>
          <w:b/>
          <w:bCs/>
          <w:color w:val="000000" w:themeColor="text1"/>
          <w:sz w:val="32"/>
          <w:szCs w:val="32"/>
          <w14:textFill>
            <w14:solidFill>
              <w14:schemeClr w14:val="tx1"/>
            </w14:solidFill>
          </w14:textFill>
        </w:rPr>
        <w:t>——</w:t>
      </w:r>
      <w:r>
        <w:rPr>
          <w:rFonts w:hint="eastAsia" w:ascii="楷体_GB2312" w:hAnsi="楷体_GB2312" w:eastAsia="楷体_GB2312" w:cs="楷体_GB2312"/>
          <w:b/>
          <w:bCs/>
          <w:color w:val="000000" w:themeColor="text1"/>
          <w:spacing w:val="-6"/>
          <w:kern w:val="0"/>
          <w:sz w:val="32"/>
          <w:szCs w:val="32"/>
          <w14:textFill>
            <w14:solidFill>
              <w14:schemeClr w14:val="tx1"/>
            </w14:solidFill>
          </w14:textFill>
          <w14:ligatures w14:val="none"/>
        </w:rPr>
        <w:t>生活性服务业。</w:t>
      </w:r>
      <w:r>
        <w:rPr>
          <w:rFonts w:hint="eastAsia" w:ascii="仿宋_GB2312" w:hAnsi="仿宋_GB2312" w:eastAsia="仿宋_GB2312" w:cs="仿宋_GB2312"/>
          <w:color w:val="000000" w:themeColor="text1"/>
          <w:sz w:val="32"/>
          <w:szCs w:val="32"/>
          <w14:textFill>
            <w14:solidFill>
              <w14:schemeClr w14:val="tx1"/>
            </w14:solidFill>
          </w14:textFill>
        </w:rPr>
        <w:t>围绕人的全面发展和“一老一小”等供需矛盾突出领域，顺应县域群众消费提质升级趋势，大力发展普惠便民、丰富多元的生活性服务业。持续补齐养老、托育、医疗卫生等民生服务薄弱环节，用好政府购买服务、公建民营、民办公助等运营模式，引导各类市场主体增加优质服务供给。推动商超零售、民宿餐饮提质特色化发展，培育电商直播、夜间市集等新兴业态，打通线上线下消费渠道。提升家政、小区物业、城乡快递服务规范化水平，打造一站式社区便民综合服务，推进服务品牌创建与标准落地。依托本土优势产业推动业态跨界融合，围绕全民康养、智慧养老、乡村文旅、上门便民服务重点发力，培育县域生活服务业新增长点。</w:t>
      </w:r>
    </w:p>
    <w:tbl>
      <w:tblPr>
        <w:tblStyle w:val="81"/>
        <w:tblpPr w:leftFromText="180" w:rightFromText="180" w:vertAnchor="text" w:horzAnchor="margin" w:tblpY="178"/>
        <w:tblOverlap w:val="never"/>
        <w:tblW w:w="89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994" w:type="dxa"/>
          </w:tcPr>
          <w:p>
            <w:pPr>
              <w:adjustRightInd w:val="0"/>
              <w:snapToGrid w:val="0"/>
              <w:spacing w:line="580" w:lineRule="exact"/>
              <w:jc w:val="center"/>
              <w:rPr>
                <w:rFonts w:ascii="Times New Roman" w:hAnsi="Times New Roman" w:eastAsia="黑体" w:cs="Times New Roman"/>
                <w:color w:val="000000" w:themeColor="text1"/>
                <w:kern w:val="0"/>
                <w:sz w:val="28"/>
                <w:szCs w:val="28"/>
                <w14:textFill>
                  <w14:solidFill>
                    <w14:schemeClr w14:val="tx1"/>
                  </w14:solidFill>
                </w14:textFill>
                <w14:ligatures w14:val="none"/>
              </w:rPr>
            </w:pPr>
            <w:r>
              <w:rPr>
                <w:rFonts w:ascii="Times New Roman" w:hAnsi="Times New Roman" w:eastAsia="黑体" w:cs="Times New Roman"/>
                <w:color w:val="000000" w:themeColor="text1"/>
                <w:kern w:val="0"/>
                <w:sz w:val="32"/>
                <w:szCs w:val="32"/>
                <w14:textFill>
                  <w14:solidFill>
                    <w14:schemeClr w14:val="tx1"/>
                  </w14:solidFill>
                </w14:textFill>
                <w14:ligatures w14:val="none"/>
              </w:rPr>
              <w:t>专栏</w:t>
            </w:r>
            <w:r>
              <w:rPr>
                <w:rFonts w:hint="eastAsia" w:ascii="Times New Roman" w:hAnsi="Times New Roman" w:eastAsia="黑体" w:cs="Times New Roman"/>
                <w:color w:val="000000" w:themeColor="text1"/>
                <w:kern w:val="0"/>
                <w:sz w:val="32"/>
                <w:szCs w:val="32"/>
                <w14:textFill>
                  <w14:solidFill>
                    <w14:schemeClr w14:val="tx1"/>
                  </w14:solidFill>
                </w14:textFill>
                <w14:ligatures w14:val="none"/>
              </w:rPr>
              <w:t>9 现代化服务业项目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994" w:type="dxa"/>
          </w:tcPr>
          <w:p>
            <w:pPr>
              <w:pStyle w:val="25"/>
              <w:keepNext w:val="0"/>
              <w:keepLines w:val="0"/>
              <w:pageBreakBefore w:val="0"/>
              <w:widowControl w:val="0"/>
              <w:kinsoku/>
              <w:wordWrap/>
              <w:overflowPunct/>
              <w:topLinePunct w:val="0"/>
              <w:autoSpaceDE/>
              <w:autoSpaceDN/>
              <w:bidi w:val="0"/>
              <w:spacing w:line="620" w:lineRule="exact"/>
              <w:ind w:firstLine="643" w:firstLineChars="200"/>
              <w:textAlignment w:val="auto"/>
              <w:rPr>
                <w:rFonts w:hint="eastAsia" w:ascii="楷体_GB2312" w:hAnsi="楷体_GB2312" w:eastAsia="楷体_GB2312" w:cs="楷体_GB2312"/>
                <w:color w:val="000000" w:themeColor="text1"/>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sz w:val="32"/>
                <w:szCs w:val="32"/>
                <w14:textFill>
                  <w14:solidFill>
                    <w14:schemeClr w14:val="tx1"/>
                  </w14:solidFill>
                </w14:textFill>
                <w14:ligatures w14:val="none"/>
              </w:rPr>
              <w:t>1.智慧云仓公共服务中心项目。</w:t>
            </w:r>
            <w:r>
              <w:rPr>
                <w:rFonts w:hint="eastAsia" w:ascii="楷体_GB2312" w:hAnsi="楷体_GB2312" w:eastAsia="楷体_GB2312" w:cs="楷体_GB2312"/>
                <w:color w:val="000000" w:themeColor="text1"/>
                <w:sz w:val="32"/>
                <w:szCs w:val="32"/>
                <w14:textFill>
                  <w14:solidFill>
                    <w14:schemeClr w14:val="tx1"/>
                  </w14:solidFill>
                </w14:textFill>
                <w14:ligatures w14:val="none"/>
              </w:rPr>
              <w:t>占地120亩，总建设面积80000</w:t>
            </w:r>
            <w:r>
              <w:rPr>
                <w:rFonts w:hint="eastAsia" w:ascii="楷体_GB2312" w:hAnsi="楷体_GB2312" w:eastAsia="楷体_GB2312" w:cs="楷体_GB2312"/>
                <w:color w:val="000000" w:themeColor="text1"/>
                <w:sz w:val="32"/>
                <w:szCs w:val="32"/>
                <w:lang w:eastAsia="zh-CN"/>
                <w14:textFill>
                  <w14:solidFill>
                    <w14:schemeClr w14:val="tx1"/>
                  </w14:solidFill>
                </w14:textFill>
                <w14:ligatures w14:val="none"/>
              </w:rPr>
              <w:t>㎡</w:t>
            </w:r>
            <w:r>
              <w:rPr>
                <w:rFonts w:hint="eastAsia" w:ascii="楷体_GB2312" w:hAnsi="楷体_GB2312" w:eastAsia="楷体_GB2312" w:cs="楷体_GB2312"/>
                <w:color w:val="000000" w:themeColor="text1"/>
                <w:sz w:val="32"/>
                <w:szCs w:val="32"/>
                <w14:textFill>
                  <w14:solidFill>
                    <w14:schemeClr w14:val="tx1"/>
                  </w14:solidFill>
                </w14:textFill>
                <w14:ligatures w14:val="none"/>
              </w:rPr>
              <w:t>，主要建设普通仓储物流库，保鲜冷库，配套服务设施，建成后将成为西南地区重要的电商物流中心。</w:t>
            </w:r>
          </w:p>
          <w:p>
            <w:pPr>
              <w:pStyle w:val="25"/>
              <w:keepNext w:val="0"/>
              <w:keepLines w:val="0"/>
              <w:pageBreakBefore w:val="0"/>
              <w:widowControl w:val="0"/>
              <w:kinsoku/>
              <w:wordWrap/>
              <w:overflowPunct/>
              <w:topLinePunct w:val="0"/>
              <w:autoSpaceDE/>
              <w:autoSpaceDN/>
              <w:bidi w:val="0"/>
              <w:spacing w:line="620" w:lineRule="exact"/>
              <w:ind w:firstLine="643" w:firstLineChars="200"/>
              <w:textAlignment w:val="auto"/>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14:ligatures w14:val="none"/>
              </w:rPr>
              <w:t>2.县乡村三级物流配送体系建设项目。</w:t>
            </w:r>
            <w:r>
              <w:rPr>
                <w:rFonts w:hint="eastAsia" w:ascii="楷体_GB2312" w:hAnsi="楷体_GB2312" w:eastAsia="楷体_GB2312" w:cs="楷体_GB2312"/>
                <w:color w:val="000000" w:themeColor="text1"/>
                <w:sz w:val="32"/>
                <w:szCs w:val="32"/>
                <w14:textFill>
                  <w14:solidFill>
                    <w14:schemeClr w14:val="tx1"/>
                  </w14:solidFill>
                </w14:textFill>
                <w14:ligatures w14:val="none"/>
              </w:rPr>
              <w:t>新建标准化分拣处理中心；新建城乡村快递共配服务点，布设200组智能快件箱及末端网点设施。建筑面积8000㎡，其中分拣中心6200㎡，办公区800㎡。</w:t>
            </w:r>
          </w:p>
          <w:p>
            <w:pPr>
              <w:pStyle w:val="25"/>
              <w:keepNext w:val="0"/>
              <w:keepLines w:val="0"/>
              <w:pageBreakBefore w:val="0"/>
              <w:widowControl w:val="0"/>
              <w:numPr>
                <w:ilvl w:val="255"/>
                <w:numId w:val="0"/>
              </w:numPr>
              <w:kinsoku/>
              <w:wordWrap/>
              <w:overflowPunct/>
              <w:topLinePunct w:val="0"/>
              <w:autoSpaceDE/>
              <w:autoSpaceDN/>
              <w:bidi w:val="0"/>
              <w:adjustRightInd w:val="0"/>
              <w:snapToGrid w:val="0"/>
              <w:spacing w:line="620" w:lineRule="exact"/>
              <w:ind w:firstLine="643" w:firstLineChars="200"/>
              <w:textAlignment w:val="auto"/>
              <w:rPr>
                <w:rFonts w:hint="eastAsia" w:ascii="楷体_GB2312" w:hAnsi="楷体_GB2312" w:eastAsia="楷体_GB2312" w:cs="楷体_GB2312"/>
                <w:color w:val="000000" w:themeColor="text1"/>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sz w:val="32"/>
                <w:szCs w:val="32"/>
                <w14:textFill>
                  <w14:solidFill>
                    <w14:schemeClr w14:val="tx1"/>
                  </w14:solidFill>
                </w14:textFill>
                <w14:ligatures w14:val="none"/>
              </w:rPr>
              <w:t>3.农资供应网络服务体系建设项目。</w:t>
            </w:r>
            <w:r>
              <w:rPr>
                <w:rFonts w:hint="eastAsia" w:ascii="楷体_GB2312" w:hAnsi="楷体_GB2312" w:eastAsia="楷体_GB2312" w:cs="楷体_GB2312"/>
                <w:color w:val="000000" w:themeColor="text1"/>
                <w:sz w:val="32"/>
                <w:szCs w:val="32"/>
                <w14:textFill>
                  <w14:solidFill>
                    <w14:schemeClr w14:val="tx1"/>
                  </w14:solidFill>
                </w14:textFill>
                <w14:ligatures w14:val="none"/>
              </w:rPr>
              <w:t>占地面积5333</w:t>
            </w:r>
            <w:r>
              <w:rPr>
                <w:rFonts w:hint="eastAsia" w:ascii="楷体_GB2312" w:hAnsi="楷体_GB2312" w:eastAsia="楷体_GB2312" w:cs="楷体_GB2312"/>
                <w:color w:val="000000" w:themeColor="text1"/>
                <w:sz w:val="32"/>
                <w:szCs w:val="32"/>
                <w:lang w:eastAsia="zh-CN"/>
                <w14:textFill>
                  <w14:solidFill>
                    <w14:schemeClr w14:val="tx1"/>
                  </w14:solidFill>
                </w14:textFill>
                <w14:ligatures w14:val="none"/>
              </w:rPr>
              <w:t>㎡</w:t>
            </w:r>
            <w:r>
              <w:rPr>
                <w:rFonts w:hint="eastAsia" w:ascii="楷体_GB2312" w:hAnsi="楷体_GB2312" w:eastAsia="楷体_GB2312" w:cs="楷体_GB2312"/>
                <w:color w:val="000000" w:themeColor="text1"/>
                <w:sz w:val="32"/>
                <w:szCs w:val="32"/>
                <w14:textFill>
                  <w14:solidFill>
                    <w14:schemeClr w14:val="tx1"/>
                  </w14:solidFill>
                </w14:textFill>
                <w14:ligatures w14:val="none"/>
              </w:rPr>
              <w:t>，总建筑面积4458</w:t>
            </w:r>
            <w:r>
              <w:rPr>
                <w:rFonts w:hint="eastAsia" w:ascii="楷体_GB2312" w:hAnsi="楷体_GB2312" w:eastAsia="楷体_GB2312" w:cs="楷体_GB2312"/>
                <w:color w:val="000000" w:themeColor="text1"/>
                <w:sz w:val="32"/>
                <w:szCs w:val="32"/>
                <w:lang w:eastAsia="zh-CN"/>
                <w14:textFill>
                  <w14:solidFill>
                    <w14:schemeClr w14:val="tx1"/>
                  </w14:solidFill>
                </w14:textFill>
                <w14:ligatures w14:val="none"/>
              </w:rPr>
              <w:t>㎡</w:t>
            </w:r>
            <w:r>
              <w:rPr>
                <w:rFonts w:hint="eastAsia" w:ascii="楷体_GB2312" w:hAnsi="楷体_GB2312" w:eastAsia="楷体_GB2312" w:cs="楷体_GB2312"/>
                <w:color w:val="000000" w:themeColor="text1"/>
                <w:sz w:val="32"/>
                <w:szCs w:val="32"/>
                <w14:textFill>
                  <w14:solidFill>
                    <w14:schemeClr w14:val="tx1"/>
                  </w14:solidFill>
                </w14:textFill>
                <w14:ligatures w14:val="none"/>
              </w:rPr>
              <w:t>，主要建设内容包括农资仓库4000</w:t>
            </w:r>
            <w:r>
              <w:rPr>
                <w:rFonts w:hint="eastAsia" w:ascii="楷体_GB2312" w:hAnsi="楷体_GB2312" w:eastAsia="楷体_GB2312" w:cs="楷体_GB2312"/>
                <w:color w:val="000000" w:themeColor="text1"/>
                <w:sz w:val="32"/>
                <w:szCs w:val="32"/>
                <w:lang w:eastAsia="zh-CN"/>
                <w14:textFill>
                  <w14:solidFill>
                    <w14:schemeClr w14:val="tx1"/>
                  </w14:solidFill>
                </w14:textFill>
                <w14:ligatures w14:val="none"/>
              </w:rPr>
              <w:t>㎡</w:t>
            </w:r>
            <w:r>
              <w:rPr>
                <w:rFonts w:hint="eastAsia" w:ascii="楷体_GB2312" w:hAnsi="楷体_GB2312" w:eastAsia="楷体_GB2312" w:cs="楷体_GB2312"/>
                <w:color w:val="000000" w:themeColor="text1"/>
                <w:sz w:val="32"/>
                <w:szCs w:val="32"/>
                <w14:textFill>
                  <w14:solidFill>
                    <w14:schemeClr w14:val="tx1"/>
                  </w14:solidFill>
                </w14:textFill>
                <w14:ligatures w14:val="none"/>
              </w:rPr>
              <w:t>，生产管理用房300</w:t>
            </w:r>
            <w:r>
              <w:rPr>
                <w:rFonts w:hint="eastAsia" w:ascii="楷体_GB2312" w:hAnsi="楷体_GB2312" w:eastAsia="楷体_GB2312" w:cs="楷体_GB2312"/>
                <w:color w:val="000000" w:themeColor="text1"/>
                <w:sz w:val="32"/>
                <w:szCs w:val="32"/>
                <w:lang w:eastAsia="zh-CN"/>
                <w14:textFill>
                  <w14:solidFill>
                    <w14:schemeClr w14:val="tx1"/>
                  </w14:solidFill>
                </w14:textFill>
                <w14:ligatures w14:val="none"/>
              </w:rPr>
              <w:t>㎡</w:t>
            </w:r>
            <w:r>
              <w:rPr>
                <w:rFonts w:hint="eastAsia" w:ascii="楷体_GB2312" w:hAnsi="楷体_GB2312" w:eastAsia="楷体_GB2312" w:cs="楷体_GB2312"/>
                <w:color w:val="000000" w:themeColor="text1"/>
                <w:sz w:val="32"/>
                <w:szCs w:val="32"/>
                <w14:textFill>
                  <w14:solidFill>
                    <w14:schemeClr w14:val="tx1"/>
                  </w14:solidFill>
                </w14:textFill>
                <w14:ligatures w14:val="none"/>
              </w:rPr>
              <w:t>，公厕和垃圾站122</w:t>
            </w:r>
            <w:r>
              <w:rPr>
                <w:rFonts w:hint="eastAsia" w:ascii="楷体_GB2312" w:hAnsi="楷体_GB2312" w:eastAsia="楷体_GB2312" w:cs="楷体_GB2312"/>
                <w:color w:val="000000" w:themeColor="text1"/>
                <w:sz w:val="32"/>
                <w:szCs w:val="32"/>
                <w:lang w:eastAsia="zh-CN"/>
                <w14:textFill>
                  <w14:solidFill>
                    <w14:schemeClr w14:val="tx1"/>
                  </w14:solidFill>
                </w14:textFill>
                <w14:ligatures w14:val="none"/>
              </w:rPr>
              <w:t>㎡</w:t>
            </w:r>
            <w:r>
              <w:rPr>
                <w:rFonts w:hint="eastAsia" w:ascii="楷体_GB2312" w:hAnsi="楷体_GB2312" w:eastAsia="楷体_GB2312" w:cs="楷体_GB2312"/>
                <w:color w:val="000000" w:themeColor="text1"/>
                <w:sz w:val="32"/>
                <w:szCs w:val="32"/>
                <w14:textFill>
                  <w14:solidFill>
                    <w14:schemeClr w14:val="tx1"/>
                  </w14:solidFill>
                </w14:textFill>
                <w14:ligatures w14:val="none"/>
              </w:rPr>
              <w:t>，消防泵房36</w:t>
            </w:r>
            <w:r>
              <w:rPr>
                <w:rFonts w:hint="eastAsia" w:ascii="楷体_GB2312" w:hAnsi="楷体_GB2312" w:eastAsia="楷体_GB2312" w:cs="楷体_GB2312"/>
                <w:color w:val="000000" w:themeColor="text1"/>
                <w:sz w:val="32"/>
                <w:szCs w:val="32"/>
                <w:lang w:eastAsia="zh-CN"/>
                <w14:textFill>
                  <w14:solidFill>
                    <w14:schemeClr w14:val="tx1"/>
                  </w14:solidFill>
                </w14:textFill>
                <w14:ligatures w14:val="none"/>
              </w:rPr>
              <w:t>㎡</w:t>
            </w:r>
            <w:r>
              <w:rPr>
                <w:rFonts w:hint="eastAsia" w:ascii="楷体_GB2312" w:hAnsi="楷体_GB2312" w:eastAsia="楷体_GB2312" w:cs="楷体_GB2312"/>
                <w:color w:val="000000" w:themeColor="text1"/>
                <w:sz w:val="32"/>
                <w:szCs w:val="32"/>
                <w14:textFill>
                  <w14:solidFill>
                    <w14:schemeClr w14:val="tx1"/>
                  </w14:solidFill>
                </w14:textFill>
                <w14:ligatures w14:val="none"/>
              </w:rPr>
              <w:t>及配套设施。</w:t>
            </w:r>
          </w:p>
          <w:p>
            <w:pPr>
              <w:pStyle w:val="25"/>
              <w:keepNext w:val="0"/>
              <w:keepLines w:val="0"/>
              <w:pageBreakBefore w:val="0"/>
              <w:widowControl w:val="0"/>
              <w:kinsoku/>
              <w:wordWrap/>
              <w:overflowPunct/>
              <w:topLinePunct w:val="0"/>
              <w:autoSpaceDE/>
              <w:autoSpaceDN/>
              <w:bidi w:val="0"/>
              <w:adjustRightInd w:val="0"/>
              <w:snapToGrid w:val="0"/>
              <w:spacing w:line="620" w:lineRule="exact"/>
              <w:ind w:firstLine="643" w:firstLineChars="200"/>
              <w:textAlignment w:val="auto"/>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14:ligatures w14:val="none"/>
              </w:rPr>
              <w:t>4.农产品冷链配送中心项目。</w:t>
            </w:r>
            <w:r>
              <w:rPr>
                <w:rFonts w:hint="eastAsia" w:ascii="楷体_GB2312" w:hAnsi="楷体_GB2312" w:eastAsia="楷体_GB2312" w:cs="楷体_GB2312"/>
                <w:color w:val="000000" w:themeColor="text1"/>
                <w:sz w:val="32"/>
                <w:szCs w:val="32"/>
                <w14:textFill>
                  <w14:solidFill>
                    <w14:schemeClr w14:val="tx1"/>
                  </w14:solidFill>
                </w14:textFill>
                <w14:ligatures w14:val="none"/>
              </w:rPr>
              <w:t>建设一个集链式烘干、农产品产地冷藏、冷链物流设施中心，占地面积1000㎡左右。</w:t>
            </w:r>
          </w:p>
          <w:p>
            <w:pPr>
              <w:pStyle w:val="25"/>
              <w:keepNext w:val="0"/>
              <w:keepLines w:val="0"/>
              <w:pageBreakBefore w:val="0"/>
              <w:widowControl w:val="0"/>
              <w:kinsoku/>
              <w:wordWrap/>
              <w:overflowPunct/>
              <w:topLinePunct w:val="0"/>
              <w:autoSpaceDE/>
              <w:autoSpaceDN/>
              <w:bidi w:val="0"/>
              <w:adjustRightInd w:val="0"/>
              <w:snapToGrid w:val="0"/>
              <w:spacing w:line="620" w:lineRule="exact"/>
              <w:ind w:firstLine="643" w:firstLineChars="200"/>
              <w:textAlignment w:val="auto"/>
              <w:rPr>
                <w:rFonts w:hint="eastAsia" w:ascii="楷体_GB2312" w:hAnsi="楷体_GB2312" w:eastAsia="楷体_GB2312" w:cs="楷体_GB2312"/>
                <w:color w:val="000000" w:themeColor="text1"/>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sz w:val="32"/>
                <w:szCs w:val="32"/>
                <w14:textFill>
                  <w14:solidFill>
                    <w14:schemeClr w14:val="tx1"/>
                  </w14:solidFill>
                </w14:textFill>
                <w14:ligatures w14:val="none"/>
              </w:rPr>
              <w:t>5.粮食物流加工产业园项目。</w:t>
            </w:r>
            <w:r>
              <w:rPr>
                <w:rFonts w:hint="eastAsia" w:ascii="楷体_GB2312" w:hAnsi="楷体_GB2312" w:eastAsia="楷体_GB2312" w:cs="楷体_GB2312"/>
                <w:color w:val="000000" w:themeColor="text1"/>
                <w:sz w:val="32"/>
                <w:szCs w:val="32"/>
                <w14:textFill>
                  <w14:solidFill>
                    <w14:schemeClr w14:val="tx1"/>
                  </w14:solidFill>
                </w14:textFill>
                <w14:ligatures w14:val="none"/>
              </w:rPr>
              <w:t>集智能仓储、加工生产、国际贸易等功能于一体，占地约8763亩，主要建设内容包括粮食物流铁路专用线、承接中央粮库搬迁项目，在会同产业开发区建设加工基地。</w:t>
            </w:r>
          </w:p>
          <w:p>
            <w:pPr>
              <w:pStyle w:val="25"/>
              <w:keepNext w:val="0"/>
              <w:keepLines w:val="0"/>
              <w:pageBreakBefore w:val="0"/>
              <w:widowControl w:val="0"/>
              <w:kinsoku/>
              <w:wordWrap/>
              <w:overflowPunct/>
              <w:topLinePunct w:val="0"/>
              <w:autoSpaceDE/>
              <w:autoSpaceDN/>
              <w:bidi w:val="0"/>
              <w:adjustRightInd w:val="0"/>
              <w:snapToGrid w:val="0"/>
              <w:spacing w:line="620" w:lineRule="exact"/>
              <w:ind w:firstLine="643" w:firstLineChars="200"/>
              <w:textAlignment w:val="auto"/>
              <w:rPr>
                <w:rFonts w:hint="eastAsia" w:ascii="楷体_GB2312" w:hAnsi="楷体_GB2312" w:eastAsia="楷体_GB2312" w:cs="楷体_GB2312"/>
                <w:color w:val="000000" w:themeColor="text1"/>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sz w:val="32"/>
                <w:szCs w:val="32"/>
                <w14:textFill>
                  <w14:solidFill>
                    <w14:schemeClr w14:val="tx1"/>
                  </w14:solidFill>
                </w14:textFill>
                <w14:ligatures w14:val="none"/>
              </w:rPr>
              <w:t>6.城北集贸市场建设项目。</w:t>
            </w:r>
            <w:r>
              <w:rPr>
                <w:rFonts w:hint="eastAsia" w:ascii="楷体_GB2312" w:hAnsi="楷体_GB2312" w:eastAsia="楷体_GB2312" w:cs="楷体_GB2312"/>
                <w:color w:val="000000" w:themeColor="text1"/>
                <w:sz w:val="32"/>
                <w:szCs w:val="32"/>
                <w14:textFill>
                  <w14:solidFill>
                    <w14:schemeClr w14:val="tx1"/>
                  </w14:solidFill>
                </w14:textFill>
                <w14:ligatures w14:val="none"/>
              </w:rPr>
              <w:t>总建筑面积约12000㎡，设置标准化摊位约100个，配套停车场及智能化管理系统。</w:t>
            </w:r>
          </w:p>
          <w:p>
            <w:pPr>
              <w:pStyle w:val="25"/>
              <w:keepNext w:val="0"/>
              <w:keepLines w:val="0"/>
              <w:pageBreakBefore w:val="0"/>
              <w:widowControl w:val="0"/>
              <w:kinsoku/>
              <w:wordWrap/>
              <w:overflowPunct/>
              <w:topLinePunct w:val="0"/>
              <w:autoSpaceDE/>
              <w:autoSpaceDN/>
              <w:bidi w:val="0"/>
              <w:adjustRightInd w:val="0"/>
              <w:snapToGrid w:val="0"/>
              <w:spacing w:line="620" w:lineRule="exact"/>
              <w:ind w:firstLine="643" w:firstLineChars="200"/>
              <w:textAlignment w:val="auto"/>
              <w:rPr>
                <w:rFonts w:hint="eastAsia" w:ascii="仿宋_GB2312" w:hAnsi="仿宋_GB2312" w:eastAsia="仿宋_GB2312" w:cs="仿宋_GB2312"/>
                <w:color w:val="000000" w:themeColor="text1"/>
                <w:sz w:val="28"/>
                <w:szCs w:val="28"/>
                <w14:textFill>
                  <w14:solidFill>
                    <w14:schemeClr w14:val="tx1"/>
                  </w14:solidFill>
                </w14:textFill>
                <w14:ligatures w14:val="none"/>
              </w:rPr>
            </w:pPr>
            <w:r>
              <w:rPr>
                <w:rFonts w:hint="eastAsia" w:ascii="楷体_GB2312" w:hAnsi="楷体_GB2312" w:eastAsia="楷体_GB2312" w:cs="楷体_GB2312"/>
                <w:b/>
                <w:bCs/>
                <w:color w:val="000000" w:themeColor="text1"/>
                <w:sz w:val="32"/>
                <w:szCs w:val="32"/>
                <w14:textFill>
                  <w14:solidFill>
                    <w14:schemeClr w14:val="tx1"/>
                  </w14:solidFill>
                </w14:textFill>
                <w14:ligatures w14:val="none"/>
              </w:rPr>
              <w:t>7.会同特色农产品电商直播基地。</w:t>
            </w:r>
            <w:r>
              <w:rPr>
                <w:rFonts w:hint="eastAsia" w:ascii="楷体_GB2312" w:hAnsi="楷体_GB2312" w:eastAsia="楷体_GB2312" w:cs="楷体_GB2312"/>
                <w:color w:val="000000" w:themeColor="text1"/>
                <w:sz w:val="32"/>
                <w:szCs w:val="32"/>
                <w14:textFill>
                  <w14:solidFill>
                    <w14:schemeClr w14:val="tx1"/>
                  </w14:solidFill>
                </w14:textFill>
                <w14:ligatures w14:val="none"/>
              </w:rPr>
              <w:t>建设约6个专业直播间、约300㎡特色农产品展厅、约1200㎡云仓（含冷链区）；培训主播约60名、签约约30家供应链企业；开通主流电商平台物流专线，实现本省订单48小时达。</w:t>
            </w:r>
          </w:p>
        </w:tc>
      </w:tr>
    </w:tbl>
    <w:p>
      <w:pPr>
        <w:pStyle w:val="2"/>
        <w:spacing w:after="0" w:line="580" w:lineRule="exact"/>
        <w:ind w:left="0" w:leftChars="0" w:firstLine="0" w:firstLineChars="0"/>
        <w:rPr>
          <w:color w:val="000000" w:themeColor="text1"/>
          <w14:textFill>
            <w14:solidFill>
              <w14:schemeClr w14:val="tx1"/>
            </w14:solidFill>
          </w14:textFill>
        </w:rPr>
      </w:pPr>
    </w:p>
    <w:p>
      <w:pPr>
        <w:adjustRightInd w:val="0"/>
        <w:snapToGrid w:val="0"/>
        <w:spacing w:line="580" w:lineRule="exact"/>
        <w:jc w:val="center"/>
        <w:outlineLvl w:val="1"/>
        <w:rPr>
          <w:rFonts w:ascii="Times New Roman" w:hAnsi="Times New Roman" w:eastAsia="黑体" w:cs="Times New Roman"/>
          <w:color w:val="000000" w:themeColor="text1"/>
          <w:sz w:val="32"/>
          <w:szCs w:val="32"/>
          <w14:textFill>
            <w14:solidFill>
              <w14:schemeClr w14:val="tx1"/>
            </w14:solidFill>
          </w14:textFill>
        </w:rPr>
      </w:pPr>
      <w:bookmarkStart w:id="51" w:name="_Toc235000757"/>
      <w:r>
        <w:rPr>
          <w:rFonts w:ascii="Times New Roman" w:hAnsi="Times New Roman" w:eastAsia="黑体" w:cs="Times New Roman"/>
          <w:color w:val="000000" w:themeColor="text1"/>
          <w:sz w:val="32"/>
          <w:szCs w:val="32"/>
          <w14:textFill>
            <w14:solidFill>
              <w14:schemeClr w14:val="tx1"/>
            </w14:solidFill>
          </w14:textFill>
        </w:rPr>
        <w:t>第七节 建设现代化产业园区</w:t>
      </w:r>
      <w:bookmarkEnd w:id="51"/>
    </w:p>
    <w:p>
      <w:pPr>
        <w:adjustRightInd w:val="0"/>
        <w:snapToGrid w:val="0"/>
        <w:spacing w:line="58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val="0"/>
        <w:snapToGrid w:val="0"/>
        <w:spacing w:line="62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立足五好园区目标，按照“布局合理、产业协同、要素集聚、功能完善”原则，科学规划“一区两园”，明确主导产业定位，推动产业集群化发展。加快完善基础设施与配套设施，提升标准化厂房、能源保障、物流仓储等要素供给水平，推进智慧园区平台建设。用好产业发展基金，拓宽园区发展投融资渠道。深化园区管理体制改革，提升亩均产出效益。构建产学研协同机制，完善创业孵化体系，做好准入园企业的指导与服务，营造良好园区生态。持续提升园区安全和环保水平，全面增强园区综合承载与核心竞争实力。</w:t>
      </w:r>
    </w:p>
    <w:p>
      <w:pPr>
        <w:keepNext w:val="0"/>
        <w:keepLines w:val="0"/>
        <w:pageBreakBefore w:val="0"/>
        <w:widowControl w:val="0"/>
        <w:kinsoku/>
        <w:wordWrap/>
        <w:overflowPunct/>
        <w:topLinePunct w:val="0"/>
        <w:autoSpaceDE/>
        <w:autoSpaceDN/>
        <w:bidi w:val="0"/>
        <w:adjustRightInd w:val="0"/>
        <w:snapToGrid w:val="0"/>
        <w:spacing w:line="620" w:lineRule="exact"/>
        <w:ind w:firstLine="643"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——连山园区。</w:t>
      </w:r>
      <w:r>
        <w:rPr>
          <w:rFonts w:hint="eastAsia" w:ascii="仿宋_GB2312" w:hAnsi="仿宋_GB2312" w:eastAsia="仿宋_GB2312" w:cs="仿宋_GB2312"/>
          <w:color w:val="000000" w:themeColor="text1"/>
          <w:sz w:val="32"/>
          <w:szCs w:val="32"/>
          <w14:textFill>
            <w14:solidFill>
              <w14:schemeClr w14:val="tx1"/>
            </w14:solidFill>
          </w14:textFill>
        </w:rPr>
        <w:t>在“十四五”建成竹木精深加工产贸研平台和绿色基础设施的基础上，深化产业集群能级跃升，重点打造国家级竹基新材料创新中心、国际箱包之都核心制造基地和绿色循环经济示范区。到2030年，园区工业总产值不断突破，主导产业绿色化率超90%，成为产业创新重要引擎。</w:t>
      </w:r>
    </w:p>
    <w:p>
      <w:pPr>
        <w:keepNext w:val="0"/>
        <w:keepLines w:val="0"/>
        <w:pageBreakBefore w:val="0"/>
        <w:widowControl w:val="0"/>
        <w:kinsoku/>
        <w:wordWrap/>
        <w:overflowPunct/>
        <w:topLinePunct w:val="0"/>
        <w:autoSpaceDE/>
        <w:autoSpaceDN/>
        <w:bidi w:val="0"/>
        <w:adjustRightInd w:val="0"/>
        <w:snapToGrid w:val="0"/>
        <w:spacing w:line="640" w:lineRule="exact"/>
        <w:ind w:firstLine="643" w:firstLineChars="200"/>
        <w:textAlignment w:val="auto"/>
        <w:rPr>
          <w:rFonts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——水坪溪园区。</w:t>
      </w:r>
      <w:r>
        <w:rPr>
          <w:rFonts w:hint="eastAsia" w:ascii="仿宋_GB2312" w:hAnsi="仿宋_GB2312" w:eastAsia="仿宋_GB2312" w:cs="仿宋_GB2312"/>
          <w:color w:val="000000" w:themeColor="text1"/>
          <w:sz w:val="32"/>
          <w:szCs w:val="32"/>
          <w14:textFill>
            <w14:solidFill>
              <w14:schemeClr w14:val="tx1"/>
            </w14:solidFill>
          </w14:textFill>
        </w:rPr>
        <w:t>立足“特色农副+电子信息”双轮驱动战略，建成湘西南承接产业转移与乡村振兴融合示范区。到2030年，力争电子信息产业规模占比超50%，农副食品加工产值快速增长，建成省级跨区域产业协作标杆园区。</w:t>
      </w:r>
    </w:p>
    <w:p>
      <w:pPr>
        <w:pStyle w:val="2"/>
        <w:rPr>
          <w:rFonts w:hint="eastAsia"/>
          <w:color w:val="000000" w:themeColor="text1"/>
          <w14:textFill>
            <w14:solidFill>
              <w14:schemeClr w14:val="tx1"/>
            </w14:solidFill>
          </w14:textFill>
        </w:rPr>
      </w:pPr>
    </w:p>
    <w:tbl>
      <w:tblPr>
        <w:tblStyle w:val="81"/>
        <w:tblW w:w="89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6" w:type="dxa"/>
          </w:tcPr>
          <w:p>
            <w:pPr>
              <w:adjustRightInd w:val="0"/>
              <w:snapToGrid w:val="0"/>
              <w:spacing w:line="580" w:lineRule="exact"/>
              <w:jc w:val="center"/>
              <w:rPr>
                <w:rFonts w:ascii="Times New Roman" w:hAnsi="Times New Roman" w:eastAsia="黑体" w:cs="Times New Roman"/>
                <w:color w:val="000000" w:themeColor="text1"/>
                <w:kern w:val="0"/>
                <w:sz w:val="28"/>
                <w:szCs w:val="28"/>
                <w14:textFill>
                  <w14:solidFill>
                    <w14:schemeClr w14:val="tx1"/>
                  </w14:solidFill>
                </w14:textFill>
                <w14:ligatures w14:val="none"/>
              </w:rPr>
            </w:pPr>
            <w:r>
              <w:rPr>
                <w:rFonts w:ascii="Times New Roman" w:hAnsi="Times New Roman" w:eastAsia="黑体" w:cs="Times New Roman"/>
                <w:color w:val="000000" w:themeColor="text1"/>
                <w:kern w:val="0"/>
                <w:sz w:val="32"/>
                <w:szCs w:val="32"/>
                <w14:textFill>
                  <w14:solidFill>
                    <w14:schemeClr w14:val="tx1"/>
                  </w14:solidFill>
                </w14:textFill>
                <w14:ligatures w14:val="none"/>
              </w:rPr>
              <w:t>专栏</w:t>
            </w:r>
            <w:r>
              <w:rPr>
                <w:rFonts w:hint="eastAsia" w:ascii="Times New Roman" w:hAnsi="Times New Roman" w:eastAsia="黑体" w:cs="Times New Roman"/>
                <w:color w:val="000000" w:themeColor="text1"/>
                <w:kern w:val="0"/>
                <w:sz w:val="32"/>
                <w:szCs w:val="32"/>
                <w14:textFill>
                  <w14:solidFill>
                    <w14:schemeClr w14:val="tx1"/>
                  </w14:solidFill>
                </w14:textFill>
                <w14:ligatures w14:val="none"/>
              </w:rPr>
              <w:t>10 产业</w:t>
            </w:r>
            <w:r>
              <w:rPr>
                <w:rFonts w:ascii="Times New Roman" w:hAnsi="Times New Roman" w:eastAsia="黑体" w:cs="Times New Roman"/>
                <w:color w:val="000000" w:themeColor="text1"/>
                <w:kern w:val="0"/>
                <w:sz w:val="32"/>
                <w:szCs w:val="32"/>
                <w14:textFill>
                  <w14:solidFill>
                    <w14:schemeClr w14:val="tx1"/>
                  </w14:solidFill>
                </w14:textFill>
                <w14:ligatures w14:val="none"/>
              </w:rPr>
              <w:t>园区项目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6" w:type="dxa"/>
          </w:tcPr>
          <w:p>
            <w:pPr>
              <w:pStyle w:val="25"/>
              <w:adjustRightInd w:val="0"/>
              <w:snapToGrid w:val="0"/>
              <w:spacing w:line="580" w:lineRule="exact"/>
              <w:ind w:firstLine="643" w:firstLineChars="200"/>
              <w:rPr>
                <w:rFonts w:hint="eastAsia" w:ascii="楷体_GB2312" w:hAnsi="楷体_GB2312" w:eastAsia="楷体_GB2312" w:cs="楷体_GB2312"/>
                <w:color w:val="000000" w:themeColor="text1"/>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sz w:val="32"/>
                <w:szCs w:val="32"/>
                <w14:textFill>
                  <w14:solidFill>
                    <w14:schemeClr w14:val="tx1"/>
                  </w14:solidFill>
                </w14:textFill>
                <w14:ligatures w14:val="none"/>
              </w:rPr>
              <w:t>1.零碳园区基础设施建设项目。</w:t>
            </w:r>
            <w:r>
              <w:rPr>
                <w:rFonts w:hint="eastAsia" w:ascii="楷体_GB2312" w:hAnsi="楷体_GB2312" w:eastAsia="楷体_GB2312" w:cs="楷体_GB2312"/>
                <w:color w:val="000000" w:themeColor="text1"/>
                <w:sz w:val="32"/>
                <w:szCs w:val="32"/>
                <w14:textFill>
                  <w14:solidFill>
                    <w14:schemeClr w14:val="tx1"/>
                  </w14:solidFill>
                </w14:textFill>
                <w14:ligatures w14:val="none"/>
              </w:rPr>
              <w:t>建设光伏发电站和输变电网络、储能电站，打造园区“源网荷储”区域新型电力系统,建设园区能碳管理平台，完成园区污水处理厂提质改造，建设零碳园区。</w:t>
            </w:r>
          </w:p>
          <w:p>
            <w:pPr>
              <w:pStyle w:val="25"/>
              <w:adjustRightInd w:val="0"/>
              <w:snapToGrid w:val="0"/>
              <w:spacing w:line="580" w:lineRule="exact"/>
              <w:ind w:firstLine="643" w:firstLineChars="200"/>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2.食品产业园及配套设施项目。</w:t>
            </w:r>
            <w:r>
              <w:rPr>
                <w:rFonts w:hint="eastAsia" w:ascii="楷体_GB2312" w:hAnsi="楷体_GB2312" w:eastAsia="楷体_GB2312" w:cs="楷体_GB2312"/>
                <w:color w:val="000000" w:themeColor="text1"/>
                <w:sz w:val="32"/>
                <w:szCs w:val="32"/>
                <w14:textFill>
                  <w14:solidFill>
                    <w14:schemeClr w14:val="tx1"/>
                  </w14:solidFill>
                </w14:textFill>
              </w:rPr>
              <w:t>项目规划总用地面积8000余</w:t>
            </w:r>
            <w:r>
              <w:rPr>
                <w:rFonts w:hint="eastAsia" w:ascii="楷体_GB2312" w:hAnsi="楷体_GB2312" w:eastAsia="楷体_GB2312" w:cs="楷体_GB2312"/>
                <w:color w:val="000000" w:themeColor="text1"/>
                <w:sz w:val="32"/>
                <w:szCs w:val="32"/>
                <w:lang w:eastAsia="zh-CN"/>
                <w14:textFill>
                  <w14:solidFill>
                    <w14:schemeClr w14:val="tx1"/>
                  </w14:solidFill>
                </w14:textFill>
              </w:rPr>
              <w:t>㎡</w:t>
            </w:r>
            <w:r>
              <w:rPr>
                <w:rFonts w:hint="eastAsia" w:ascii="楷体_GB2312" w:hAnsi="楷体_GB2312" w:eastAsia="楷体_GB2312" w:cs="楷体_GB2312"/>
                <w:color w:val="000000" w:themeColor="text1"/>
                <w:sz w:val="32"/>
                <w:szCs w:val="32"/>
                <w14:textFill>
                  <w14:solidFill>
                    <w14:schemeClr w14:val="tx1"/>
                  </w14:solidFill>
                </w14:textFill>
              </w:rPr>
              <w:t>，总建筑面积1.2万</w:t>
            </w:r>
            <w:r>
              <w:rPr>
                <w:rFonts w:hint="eastAsia" w:ascii="楷体_GB2312" w:hAnsi="楷体_GB2312" w:eastAsia="楷体_GB2312" w:cs="楷体_GB2312"/>
                <w:color w:val="000000" w:themeColor="text1"/>
                <w:sz w:val="32"/>
                <w:szCs w:val="32"/>
                <w:lang w:eastAsia="zh-CN"/>
                <w14:textFill>
                  <w14:solidFill>
                    <w14:schemeClr w14:val="tx1"/>
                  </w14:solidFill>
                </w14:textFill>
              </w:rPr>
              <w:t>㎡</w:t>
            </w:r>
            <w:r>
              <w:rPr>
                <w:rFonts w:hint="eastAsia" w:ascii="楷体_GB2312" w:hAnsi="楷体_GB2312" w:eastAsia="楷体_GB2312" w:cs="楷体_GB2312"/>
                <w:color w:val="000000" w:themeColor="text1"/>
                <w:sz w:val="32"/>
                <w:szCs w:val="32"/>
                <w14:textFill>
                  <w14:solidFill>
                    <w14:schemeClr w14:val="tx1"/>
                  </w14:solidFill>
                </w14:textFill>
              </w:rPr>
              <w:t>，新建食品加工用房4栋、仓储用房2栋、生产服务设施2栋等，完善园区道路、给排水、供配电、停车位等配套基础设施。</w:t>
            </w:r>
          </w:p>
          <w:p>
            <w:pPr>
              <w:pStyle w:val="25"/>
              <w:adjustRightInd w:val="0"/>
              <w:snapToGrid w:val="0"/>
              <w:spacing w:line="580" w:lineRule="exact"/>
              <w:ind w:firstLine="643" w:firstLineChars="200"/>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3.中小企业数字化转型服务中心。</w:t>
            </w:r>
            <w:r>
              <w:rPr>
                <w:rFonts w:hint="eastAsia" w:ascii="楷体_GB2312" w:hAnsi="楷体_GB2312" w:eastAsia="楷体_GB2312" w:cs="楷体_GB2312"/>
                <w:color w:val="000000" w:themeColor="text1"/>
                <w:sz w:val="32"/>
                <w:szCs w:val="32"/>
                <w14:textFill>
                  <w14:solidFill>
                    <w14:schemeClr w14:val="tx1"/>
                  </w14:solidFill>
                </w14:textFill>
              </w:rPr>
              <w:t>诊断车间：配置工业物联网采集终端（监测设备OEE/能耗）；云服务区：接入阿里云工业大脑平台，提供ERP/PLM SaaS化服务；年完成30家企业数字化诊断，推动15条产线改造（自动化率提升至60%以上）。</w:t>
            </w:r>
          </w:p>
          <w:p>
            <w:pPr>
              <w:pStyle w:val="25"/>
              <w:adjustRightInd w:val="0"/>
              <w:snapToGrid w:val="0"/>
              <w:spacing w:line="580" w:lineRule="exact"/>
              <w:ind w:firstLine="643" w:firstLineChars="200"/>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4.公共实训基地建设项目。</w:t>
            </w:r>
            <w:r>
              <w:rPr>
                <w:rFonts w:hint="eastAsia" w:ascii="楷体_GB2312" w:hAnsi="楷体_GB2312" w:eastAsia="楷体_GB2312" w:cs="楷体_GB2312"/>
                <w:color w:val="000000" w:themeColor="text1"/>
                <w:sz w:val="32"/>
                <w:szCs w:val="32"/>
                <w14:textFill>
                  <w14:solidFill>
                    <w14:schemeClr w14:val="tx1"/>
                  </w14:solidFill>
                </w14:textFill>
              </w:rPr>
              <w:t>规划总用地面积为5333㎡，总建筑面积为8000㎡，建设实训设施设备及信息化设备等基础配套设施工程。</w:t>
            </w:r>
          </w:p>
          <w:p>
            <w:pPr>
              <w:pStyle w:val="25"/>
              <w:adjustRightInd w:val="0"/>
              <w:snapToGrid w:val="0"/>
              <w:spacing w:line="580" w:lineRule="exact"/>
              <w:ind w:firstLine="643" w:firstLineChars="200"/>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5.“双创”孵化基地及综合服务平台建设项目。</w:t>
            </w:r>
            <w:r>
              <w:rPr>
                <w:rFonts w:hint="eastAsia" w:ascii="楷体_GB2312" w:hAnsi="楷体_GB2312" w:eastAsia="楷体_GB2312" w:cs="楷体_GB2312"/>
                <w:color w:val="000000" w:themeColor="text1"/>
                <w:sz w:val="32"/>
                <w:szCs w:val="32"/>
                <w14:textFill>
                  <w14:solidFill>
                    <w14:schemeClr w14:val="tx1"/>
                  </w14:solidFill>
                </w14:textFill>
              </w:rPr>
              <w:t>总建筑面积约4500㎡，其中“双创”孵化基地约3500㎡，地下车库约1000㎡，配套各类基础设施。</w:t>
            </w:r>
          </w:p>
          <w:p>
            <w:pPr>
              <w:pStyle w:val="25"/>
              <w:adjustRightInd w:val="0"/>
              <w:snapToGrid w:val="0"/>
              <w:spacing w:line="580" w:lineRule="exact"/>
              <w:ind w:firstLine="643" w:firstLineChars="200"/>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6.应急指挥与物资保障综合枢纽建设项目。</w:t>
            </w:r>
            <w:r>
              <w:rPr>
                <w:rFonts w:hint="eastAsia" w:ascii="楷体_GB2312" w:hAnsi="楷体_GB2312" w:eastAsia="楷体_GB2312" w:cs="楷体_GB2312"/>
                <w:color w:val="000000" w:themeColor="text1"/>
                <w:sz w:val="32"/>
                <w:szCs w:val="32"/>
                <w14:textFill>
                  <w14:solidFill>
                    <w14:schemeClr w14:val="tx1"/>
                  </w14:solidFill>
                </w14:textFill>
              </w:rPr>
              <w:t>①建设智能应急指挥中心和智慧调度系统；②建设应急物资储备基地；③建设园区消防站等应急队伍和购置相关设备；④建设安全生产培训及考试基地。</w:t>
            </w:r>
          </w:p>
        </w:tc>
      </w:tr>
    </w:tbl>
    <w:p>
      <w:pPr>
        <w:widowControl/>
        <w:adjustRightInd w:val="0"/>
        <w:snapToGrid w:val="0"/>
        <w:spacing w:line="580" w:lineRule="exact"/>
        <w:jc w:val="left"/>
        <w:rPr>
          <w:rFonts w:ascii="Times New Roman" w:hAnsi="Times New Roman" w:eastAsia="仿宋_GB2312" w:cs="Times New Roman"/>
          <w:color w:val="000000" w:themeColor="text1"/>
          <w:kern w:val="0"/>
          <w:sz w:val="30"/>
          <w:szCs w:val="30"/>
          <w14:textFill>
            <w14:solidFill>
              <w14:schemeClr w14:val="tx1"/>
            </w14:solidFill>
          </w14:textFill>
        </w:rPr>
      </w:pPr>
      <w:r>
        <w:rPr>
          <w:rFonts w:ascii="Times New Roman" w:hAnsi="Times New Roman" w:eastAsia="仿宋_GB2312" w:cs="Times New Roman"/>
          <w:color w:val="000000" w:themeColor="text1"/>
          <w:sz w:val="30"/>
          <w:szCs w:val="30"/>
          <w14:textFill>
            <w14:solidFill>
              <w14:schemeClr w14:val="tx1"/>
            </w14:solidFill>
          </w14:textFill>
        </w:rPr>
        <w:br w:type="page"/>
      </w:r>
    </w:p>
    <w:p>
      <w:pPr>
        <w:adjustRightInd w:val="0"/>
        <w:snapToGrid w:val="0"/>
        <w:spacing w:line="580" w:lineRule="exact"/>
        <w:jc w:val="center"/>
        <w:outlineLvl w:val="0"/>
        <w:rPr>
          <w:rFonts w:hint="eastAsia" w:ascii="方正小标宋简体" w:hAnsi="方正小标宋简体" w:eastAsia="方正小标宋简体" w:cs="方正小标宋简体"/>
          <w:color w:val="000000" w:themeColor="text1"/>
          <w:sz w:val="36"/>
          <w:szCs w:val="36"/>
          <w14:textFill>
            <w14:solidFill>
              <w14:schemeClr w14:val="tx1"/>
            </w14:solidFill>
          </w14:textFill>
        </w:rPr>
      </w:pPr>
      <w:bookmarkStart w:id="52" w:name="_Toc235000758"/>
      <w:r>
        <w:rPr>
          <w:rFonts w:hint="eastAsia" w:ascii="方正小标宋简体" w:hAnsi="方正小标宋简体" w:eastAsia="方正小标宋简体" w:cs="方正小标宋简体"/>
          <w:color w:val="000000" w:themeColor="text1"/>
          <w:sz w:val="36"/>
          <w:szCs w:val="36"/>
          <w14:textFill>
            <w14:solidFill>
              <w14:schemeClr w14:val="tx1"/>
            </w14:solidFill>
          </w14:textFill>
        </w:rPr>
        <w:t>第五章 加快高水平科技发展，积极培育新质生产力</w:t>
      </w:r>
      <w:bookmarkEnd w:id="52"/>
    </w:p>
    <w:p>
      <w:pPr>
        <w:adjustRightInd w:val="0"/>
        <w:snapToGrid w:val="0"/>
        <w:spacing w:line="580" w:lineRule="exact"/>
        <w:rPr>
          <w:rFonts w:ascii="Times New Roman" w:hAnsi="Times New Roman" w:eastAsia="方正小标宋_GBK" w:cs="Times New Roman"/>
          <w:color w:val="000000" w:themeColor="text1"/>
          <w:sz w:val="32"/>
          <w:szCs w:val="32"/>
          <w14:textFill>
            <w14:solidFill>
              <w14:schemeClr w14:val="tx1"/>
            </w14:solidFill>
          </w14:textFill>
        </w:rPr>
      </w:pPr>
    </w:p>
    <w:p>
      <w:pPr>
        <w:adjustRightInd w:val="0"/>
        <w:snapToGrid w:val="0"/>
        <w:spacing w:line="58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围绕强化创新策源功能和要素集聚能力，聚焦构建“平台支撑-企业主体-人才引领”三位一体的创新生态系统，通过高水平科技创新平台建设、企业创新主体地位强化、人才发展环境优化三大路径，推动创新链、产业链、资金链、人才链深度融合，加速形成以科技创新为核心动力的新质生产力发展格局，为会同县高质量发展注入强劲动能。</w:t>
      </w:r>
    </w:p>
    <w:p>
      <w:pPr>
        <w:adjustRightInd w:val="0"/>
        <w:snapToGrid w:val="0"/>
        <w:spacing w:line="580" w:lineRule="exact"/>
        <w:rPr>
          <w:rFonts w:hint="eastAsia" w:ascii="仿宋_GB2312" w:hAnsi="仿宋_GB2312" w:eastAsia="仿宋_GB2312" w:cs="仿宋_GB2312"/>
          <w:color w:val="000000" w:themeColor="text1"/>
          <w:kern w:val="0"/>
          <w:sz w:val="30"/>
          <w:szCs w:val="30"/>
          <w14:textFill>
            <w14:solidFill>
              <w14:schemeClr w14:val="tx1"/>
            </w14:solidFill>
          </w14:textFill>
          <w14:ligatures w14:val="none"/>
        </w:rPr>
      </w:pPr>
    </w:p>
    <w:p>
      <w:pPr>
        <w:adjustRightInd w:val="0"/>
        <w:snapToGrid w:val="0"/>
        <w:spacing w:line="580" w:lineRule="exact"/>
        <w:jc w:val="center"/>
        <w:outlineLvl w:val="1"/>
        <w:rPr>
          <w:rFonts w:ascii="Times New Roman" w:hAnsi="Times New Roman" w:eastAsia="黑体" w:cs="Times New Roman"/>
          <w:color w:val="000000" w:themeColor="text1"/>
          <w:sz w:val="32"/>
          <w:szCs w:val="32"/>
          <w14:textFill>
            <w14:solidFill>
              <w14:schemeClr w14:val="tx1"/>
            </w14:solidFill>
          </w14:textFill>
        </w:rPr>
      </w:pPr>
      <w:bookmarkStart w:id="53" w:name="_Toc235000759"/>
      <w:r>
        <w:rPr>
          <w:rFonts w:ascii="Times New Roman" w:hAnsi="Times New Roman" w:eastAsia="黑体" w:cs="Times New Roman"/>
          <w:color w:val="000000" w:themeColor="text1"/>
          <w:sz w:val="32"/>
          <w:szCs w:val="32"/>
          <w14:textFill>
            <w14:solidFill>
              <w14:schemeClr w14:val="tx1"/>
            </w14:solidFill>
          </w14:textFill>
        </w:rPr>
        <w:t>第一节 加快科技创新平台建设</w:t>
      </w:r>
      <w:bookmarkEnd w:id="53"/>
    </w:p>
    <w:p>
      <w:pPr>
        <w:adjustRightInd w:val="0"/>
        <w:snapToGrid w:val="0"/>
        <w:spacing w:line="580" w:lineRule="exact"/>
        <w:ind w:firstLine="602" w:firstLineChars="200"/>
        <w:rPr>
          <w:rFonts w:ascii="Times New Roman" w:hAnsi="Times New Roman" w:eastAsia="楷体" w:cs="Times New Roman"/>
          <w:b/>
          <w:bCs/>
          <w:color w:val="000000" w:themeColor="text1"/>
          <w:sz w:val="30"/>
          <w:szCs w:val="30"/>
          <w14:textFill>
            <w14:solidFill>
              <w14:schemeClr w14:val="tx1"/>
            </w14:solidFill>
          </w14:textFill>
        </w:rPr>
      </w:pP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kern w:val="0"/>
          <w:sz w:val="32"/>
          <w:szCs w:val="32"/>
          <w14:textFill>
            <w14:solidFill>
              <w14:schemeClr w14:val="tx1"/>
            </w14:solidFill>
          </w14:textFill>
        </w:rPr>
        <w:t>加强建设产业创新载体集群。</w:t>
      </w:r>
      <w:r>
        <w:rPr>
          <w:rFonts w:hint="eastAsia" w:ascii="仿宋_GB2312" w:hAnsi="仿宋_GB2312" w:eastAsia="仿宋_GB2312" w:cs="仿宋_GB2312"/>
          <w:color w:val="000000" w:themeColor="text1"/>
          <w:sz w:val="32"/>
          <w:szCs w:val="32"/>
          <w14:textFill>
            <w14:solidFill>
              <w14:schemeClr w14:val="tx1"/>
            </w14:solidFill>
          </w14:textFill>
        </w:rPr>
        <w:t>围绕特色优势产业，推进园区能级提升，推动建设中试基地与研发中心，连山神农大健康产业园创建省级农业科技园区，集成种质资源库、GMP饮片车间等功能。强化与中国科学院会同森林生态实验站、中南林业科技大学湖南会同杉木林生态系统国家野外科学观测研究站等平台的深度合作，支持其在楠竹生态资源高值化利用、中药材生态种植与深加工等领域联合企业共建实验室和成果转化基地。依托岳麓山种业创新中心，重点开展本土猪种质资源保护、良种繁育、疫病防控、饲料配方优化等技术研发。引导更多高校和科研院所在会同特色产业领域布局院士工作站、博士站等创新平台。力争“十五五”时期新增省级以上科技创新平台5个。</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kern w:val="0"/>
          <w:sz w:val="32"/>
          <w:szCs w:val="32"/>
          <w14:textFill>
            <w14:solidFill>
              <w14:schemeClr w14:val="tx1"/>
            </w14:solidFill>
          </w14:textFill>
        </w:rPr>
        <w:t>健全技术转移转化体系。</w:t>
      </w:r>
      <w:r>
        <w:rPr>
          <w:rFonts w:hint="eastAsia" w:ascii="仿宋_GB2312" w:hAnsi="仿宋_GB2312" w:eastAsia="仿宋_GB2312" w:cs="仿宋_GB2312"/>
          <w:color w:val="000000" w:themeColor="text1"/>
          <w:sz w:val="32"/>
          <w:szCs w:val="32"/>
          <w14:textFill>
            <w14:solidFill>
              <w14:schemeClr w14:val="tx1"/>
            </w14:solidFill>
          </w14:textFill>
        </w:rPr>
        <w:t>设立技术转移中心，促进科技成果供需对接。实施“揭榜挂帅”制度，推动落地产学研合作项目20项以上。实施湖南（会同）林副产品质量监督检验中心能力提升工程，新增竹材、中药材检测线并力争获得国家实验室认证，带动产品附加值提升15%以上。构建“科创飞地+转化基金+中试基地”三位一体的科技成果转化体系，破解科技成果转化“最后一公里”难题，推动成果本地转化率年均增长20%。深化与北京、上海、粤港澳大湾区等创新资源密集区域高水平高校、科研院所的对接合作，建立科技成果转化联络站，探索多地协同开发、委托研发等合作模式，拓展优质科技成果来源，提升技术研发效能。</w:t>
      </w:r>
    </w:p>
    <w:p>
      <w:pPr>
        <w:adjustRightInd w:val="0"/>
        <w:snapToGrid w:val="0"/>
        <w:spacing w:line="580" w:lineRule="exact"/>
        <w:ind w:firstLine="643" w:firstLineChars="200"/>
        <w:rPr>
          <w:rFonts w:hint="eastAsia"/>
          <w:color w:val="000000" w:themeColor="text1"/>
          <w14:textFill>
            <w14:solidFill>
              <w14:schemeClr w14:val="tx1"/>
            </w14:solidFill>
          </w14:textFill>
        </w:rPr>
      </w:pPr>
      <w:r>
        <w:rPr>
          <w:rFonts w:hint="eastAsia" w:ascii="楷体_GB2312" w:hAnsi="楷体_GB2312" w:eastAsia="楷体_GB2312" w:cs="楷体_GB2312"/>
          <w:b/>
          <w:bCs/>
          <w:color w:val="000000" w:themeColor="text1"/>
          <w:kern w:val="0"/>
          <w:sz w:val="32"/>
          <w:szCs w:val="32"/>
          <w14:textFill>
            <w14:solidFill>
              <w14:schemeClr w14:val="tx1"/>
            </w14:solidFill>
          </w14:textFill>
        </w:rPr>
        <w:t>深化数字赋能融合应用。</w:t>
      </w:r>
      <w:r>
        <w:rPr>
          <w:rFonts w:hint="eastAsia" w:ascii="仿宋_GB2312" w:hAnsi="仿宋_GB2312" w:eastAsia="仿宋_GB2312" w:cs="仿宋_GB2312"/>
          <w:color w:val="000000" w:themeColor="text1"/>
          <w:sz w:val="32"/>
          <w:szCs w:val="32"/>
          <w14:textFill>
            <w14:solidFill>
              <w14:schemeClr w14:val="tx1"/>
            </w14:solidFill>
          </w14:textFill>
        </w:rPr>
        <w:t>深入实施“数字会同”行动，建设会同工业互联网大脑，打通产业链间数据链，实现规上企业“上云用数赋智”全覆盖。深入实施“人工智能+”行动，在箱包智能制造等领域打造黑灯工厂。提升新一代网络、工业互联网等数字基础设施覆盖水平，建设农业智慧云仓，集成产品溯源、区块链认证等功能，降低物流成本15%以上，推动数字技术在各领域深度应用。</w:t>
      </w:r>
    </w:p>
    <w:p>
      <w:pPr>
        <w:adjustRightInd w:val="0"/>
        <w:snapToGrid w:val="0"/>
        <w:spacing w:line="580" w:lineRule="exact"/>
        <w:rPr>
          <w:rFonts w:hint="eastAsia" w:ascii="仿宋_GB2312" w:hAnsi="仿宋_GB2312" w:eastAsia="仿宋_GB2312" w:cs="仿宋_GB2312"/>
          <w:color w:val="000000" w:themeColor="text1"/>
          <w:kern w:val="0"/>
          <w:sz w:val="30"/>
          <w:szCs w:val="30"/>
          <w14:textFill>
            <w14:solidFill>
              <w14:schemeClr w14:val="tx1"/>
            </w14:solidFill>
          </w14:textFill>
          <w14:ligatures w14:val="none"/>
        </w:rPr>
      </w:pPr>
    </w:p>
    <w:p>
      <w:pPr>
        <w:adjustRightInd w:val="0"/>
        <w:snapToGrid w:val="0"/>
        <w:spacing w:line="580" w:lineRule="exact"/>
        <w:jc w:val="center"/>
        <w:outlineLvl w:val="1"/>
        <w:rPr>
          <w:rFonts w:ascii="Times New Roman" w:hAnsi="Times New Roman" w:eastAsia="黑体" w:cs="Times New Roman"/>
          <w:color w:val="000000" w:themeColor="text1"/>
          <w:sz w:val="32"/>
          <w:szCs w:val="32"/>
          <w14:textFill>
            <w14:solidFill>
              <w14:schemeClr w14:val="tx1"/>
            </w14:solidFill>
          </w14:textFill>
        </w:rPr>
      </w:pPr>
      <w:bookmarkStart w:id="54" w:name="_Toc235000760"/>
      <w:r>
        <w:rPr>
          <w:rFonts w:ascii="Times New Roman" w:hAnsi="Times New Roman" w:eastAsia="黑体" w:cs="Times New Roman"/>
          <w:color w:val="000000" w:themeColor="text1"/>
          <w:sz w:val="32"/>
          <w:szCs w:val="32"/>
          <w14:textFill>
            <w14:solidFill>
              <w14:schemeClr w14:val="tx1"/>
            </w14:solidFill>
          </w14:textFill>
        </w:rPr>
        <w:t>第二节 发挥企业创新主体作用</w:t>
      </w:r>
      <w:bookmarkEnd w:id="54"/>
    </w:p>
    <w:p>
      <w:pPr>
        <w:adjustRightInd w:val="0"/>
        <w:snapToGrid w:val="0"/>
        <w:spacing w:line="580" w:lineRule="exact"/>
        <w:ind w:firstLine="602" w:firstLineChars="200"/>
        <w:rPr>
          <w:rFonts w:ascii="Times New Roman" w:hAnsi="Times New Roman" w:eastAsia="楷体" w:cs="Times New Roman"/>
          <w:b/>
          <w:bCs/>
          <w:color w:val="000000" w:themeColor="text1"/>
          <w:sz w:val="30"/>
          <w:szCs w:val="30"/>
          <w14:textFill>
            <w14:solidFill>
              <w14:schemeClr w14:val="tx1"/>
            </w14:solidFill>
          </w14:textFill>
        </w:rPr>
      </w:pPr>
    </w:p>
    <w:p>
      <w:pPr>
        <w:adjustRightInd w:val="0"/>
        <w:snapToGrid w:val="0"/>
        <w:spacing w:line="580" w:lineRule="exact"/>
        <w:ind w:firstLine="643" w:firstLineChars="200"/>
        <w:rPr>
          <w:rFonts w:hint="eastAsia" w:ascii="仿宋_GB2312" w:hAnsi="仿宋_GB2312" w:eastAsia="仿宋_GB2312" w:cs="仿宋_GB2312"/>
          <w:color w:val="000000" w:themeColor="text1"/>
          <w:kern w:val="0"/>
          <w:sz w:val="30"/>
          <w:szCs w:val="30"/>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rPr>
        <w:t>强化企业创新主导地位。</w:t>
      </w:r>
      <w:r>
        <w:rPr>
          <w:rFonts w:hint="eastAsia" w:ascii="仿宋_GB2312" w:hAnsi="仿宋_GB2312" w:eastAsia="仿宋_GB2312" w:cs="仿宋_GB2312"/>
          <w:color w:val="000000" w:themeColor="text1"/>
          <w:sz w:val="32"/>
          <w:szCs w:val="32"/>
          <w14:textFill>
            <w14:solidFill>
              <w14:schemeClr w14:val="tx1"/>
            </w14:solidFill>
          </w14:textFill>
        </w:rPr>
        <w:t>实施“专精特新”企业倍增计划，建立“发现—培育—认定—扶持”机制，加快构建“雏鹰—瞪羚—准独角兽”企业梯次培育体系。聚焦箱包配件、高端竹制品等细分领域，重点支持各链主企业牵头组建创新联合体。力争在“十五五”期末，高新技术企业超30家，龙头企业研发投入强度超过3%，新增省级以上“专精特新”企业10家，推动形成以企业为主导、市场为导向、产学研用深度融合的技术创新格局。</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kern w:val="0"/>
          <w:sz w:val="32"/>
          <w:szCs w:val="32"/>
          <w14:textFill>
            <w14:solidFill>
              <w14:schemeClr w14:val="tx1"/>
            </w14:solidFill>
          </w14:textFill>
        </w:rPr>
        <w:t>提升企业自主创新能力。</w:t>
      </w:r>
      <w:r>
        <w:rPr>
          <w:rFonts w:hint="eastAsia" w:ascii="仿宋_GB2312" w:hAnsi="仿宋_GB2312" w:eastAsia="仿宋_GB2312" w:cs="仿宋_GB2312"/>
          <w:color w:val="000000" w:themeColor="text1"/>
          <w:sz w:val="32"/>
          <w:szCs w:val="32"/>
          <w14:textFill>
            <w14:solidFill>
              <w14:schemeClr w14:val="tx1"/>
            </w14:solidFill>
          </w14:textFill>
        </w:rPr>
        <w:t>引导企业加大研发投入，支持规模企业建立研发机构，确保规模以上工业企业研发机构覆盖率达到80%以上。统筹安排科技创新专项资金，重点支持箱包皮具、竹木加工、生猪、中医药等领域实施技术改造和研发攻关。鼓励企业申报省级企业技术中心、工程实验室。</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kern w:val="0"/>
          <w:sz w:val="32"/>
          <w:szCs w:val="32"/>
          <w14:textFill>
            <w14:solidFill>
              <w14:schemeClr w14:val="tx1"/>
            </w14:solidFill>
          </w14:textFill>
        </w:rPr>
        <w:t>激发企业创新活力。</w:t>
      </w:r>
      <w:r>
        <w:rPr>
          <w:rFonts w:hint="eastAsia" w:ascii="仿宋_GB2312" w:hAnsi="仿宋_GB2312" w:eastAsia="仿宋_GB2312" w:cs="仿宋_GB2312"/>
          <w:color w:val="000000" w:themeColor="text1"/>
          <w:sz w:val="32"/>
          <w:szCs w:val="32"/>
          <w14:textFill>
            <w14:solidFill>
              <w14:schemeClr w14:val="tx1"/>
            </w14:solidFill>
          </w14:textFill>
        </w:rPr>
        <w:t>引导优质资源向企业集聚，鼓励民间资本投资先进制造业等重点领域，推动政府投资项目和社会资本合作，优化营商环境，落实减税降费政策，降低企业创新成本。推动会同本地企业与央企、国内知名民企合作，拓展国际市场，提升产品竞争力。</w:t>
      </w:r>
    </w:p>
    <w:p>
      <w:pPr>
        <w:adjustRightInd w:val="0"/>
        <w:snapToGrid w:val="0"/>
        <w:spacing w:line="580" w:lineRule="exact"/>
        <w:rPr>
          <w:rFonts w:hint="eastAsia" w:ascii="仿宋_GB2312" w:hAnsi="仿宋_GB2312" w:eastAsia="仿宋_GB2312" w:cs="仿宋_GB2312"/>
          <w:color w:val="000000" w:themeColor="text1"/>
          <w:kern w:val="0"/>
          <w:sz w:val="30"/>
          <w:szCs w:val="30"/>
          <w14:textFill>
            <w14:solidFill>
              <w14:schemeClr w14:val="tx1"/>
            </w14:solidFill>
          </w14:textFill>
          <w14:ligatures w14:val="none"/>
        </w:rPr>
      </w:pPr>
    </w:p>
    <w:p>
      <w:pPr>
        <w:adjustRightInd w:val="0"/>
        <w:snapToGrid w:val="0"/>
        <w:spacing w:line="580" w:lineRule="exact"/>
        <w:jc w:val="center"/>
        <w:outlineLvl w:val="1"/>
        <w:rPr>
          <w:rFonts w:ascii="Times New Roman" w:hAnsi="Times New Roman" w:eastAsia="黑体" w:cs="Times New Roman"/>
          <w:color w:val="000000" w:themeColor="text1"/>
          <w:sz w:val="32"/>
          <w:szCs w:val="32"/>
          <w14:textFill>
            <w14:solidFill>
              <w14:schemeClr w14:val="tx1"/>
            </w14:solidFill>
          </w14:textFill>
        </w:rPr>
      </w:pPr>
      <w:bookmarkStart w:id="55" w:name="_Toc235000761"/>
      <w:r>
        <w:rPr>
          <w:rFonts w:ascii="Times New Roman" w:hAnsi="Times New Roman" w:eastAsia="黑体" w:cs="Times New Roman"/>
          <w:color w:val="000000" w:themeColor="text1"/>
          <w:sz w:val="32"/>
          <w:szCs w:val="32"/>
          <w14:textFill>
            <w14:solidFill>
              <w14:schemeClr w14:val="tx1"/>
            </w14:solidFill>
          </w14:textFill>
        </w:rPr>
        <w:t>第三节 优化人才成长发展环境</w:t>
      </w:r>
      <w:bookmarkEnd w:id="55"/>
    </w:p>
    <w:p>
      <w:pPr>
        <w:adjustRightInd w:val="0"/>
        <w:snapToGrid w:val="0"/>
        <w:spacing w:line="580" w:lineRule="exact"/>
        <w:ind w:firstLine="602" w:firstLineChars="200"/>
        <w:rPr>
          <w:rFonts w:ascii="Times New Roman" w:hAnsi="Times New Roman" w:eastAsia="楷体" w:cs="Times New Roman"/>
          <w:b/>
          <w:bCs/>
          <w:color w:val="000000" w:themeColor="text1"/>
          <w:sz w:val="30"/>
          <w:szCs w:val="30"/>
          <w14:textFill>
            <w14:solidFill>
              <w14:schemeClr w14:val="tx1"/>
            </w14:solidFill>
          </w14:textFill>
        </w:rPr>
      </w:pP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kern w:val="0"/>
          <w:sz w:val="32"/>
          <w:szCs w:val="32"/>
          <w14:textFill>
            <w14:solidFill>
              <w14:schemeClr w14:val="tx1"/>
            </w14:solidFill>
          </w14:textFill>
        </w:rPr>
        <w:t>实施精准化人才引育计划。</w:t>
      </w:r>
      <w:r>
        <w:rPr>
          <w:rFonts w:hint="eastAsia" w:ascii="仿宋_GB2312" w:hAnsi="仿宋_GB2312" w:eastAsia="仿宋_GB2312" w:cs="仿宋_GB2312"/>
          <w:color w:val="000000" w:themeColor="text1"/>
          <w:sz w:val="32"/>
          <w:szCs w:val="32"/>
          <w14:textFill>
            <w14:solidFill>
              <w14:schemeClr w14:val="tx1"/>
            </w14:solidFill>
          </w14:textFill>
        </w:rPr>
        <w:t>推动“人才+重点产业”引育计划，围绕特色产业,建立产业链人才需求动态清单，绘制“产业人才地图”，实现按图索骥、精准引才。改变用人观念，坚持“为我所用”，建立人才柔性引进模式。支持龙头企业牵头组建“产业人才联盟”，推动链上企业共享高层次人才资源，实现“引进一个人才、带动一个团队、赋能一个产业”的链式效应。培养一批懂技术、善经营、会管理的“田秀才”“土专家”，实施“乡土拔尖人才”遴选与赋能计划，纳入县级人才库统一管理，吸引各类人才返乡创新创业，为产业转型提供人力支撑。</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kern w:val="0"/>
          <w:sz w:val="32"/>
          <w:szCs w:val="32"/>
          <w14:textFill>
            <w14:solidFill>
              <w14:schemeClr w14:val="tx1"/>
            </w14:solidFill>
          </w14:textFill>
        </w:rPr>
        <w:t>深化产教融合协同育人。</w:t>
      </w:r>
      <w:r>
        <w:rPr>
          <w:rFonts w:hint="eastAsia" w:ascii="仿宋_GB2312" w:hAnsi="仿宋_GB2312" w:eastAsia="仿宋_GB2312" w:cs="仿宋_GB2312"/>
          <w:color w:val="000000" w:themeColor="text1"/>
          <w:sz w:val="32"/>
          <w:szCs w:val="32"/>
          <w14:textFill>
            <w14:solidFill>
              <w14:schemeClr w14:val="tx1"/>
            </w14:solidFill>
          </w14:textFill>
        </w:rPr>
        <w:t>构建深入融合的产教联合体，深化职业教育改革，推动县职业中专与龙头企业共建“产业学院”和“订单班”，探索“校企双元”育人模式，推广“入学即入企、招生即招工”的学徒制培养，强化企业用才主体地位。加强校企科研合作，提升本土人才技能。落实优秀人才激励奖励机制，激发人才创新活力。</w:t>
      </w:r>
    </w:p>
    <w:p>
      <w:pPr>
        <w:adjustRightInd w:val="0"/>
        <w:snapToGrid w:val="0"/>
        <w:spacing w:line="580" w:lineRule="exact"/>
        <w:ind w:firstLine="643"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kern w:val="0"/>
          <w:sz w:val="32"/>
          <w:szCs w:val="32"/>
          <w14:textFill>
            <w14:solidFill>
              <w14:schemeClr w14:val="tx1"/>
            </w14:solidFill>
          </w14:textFill>
        </w:rPr>
        <w:t>完善人才服务保障机制。</w:t>
      </w:r>
      <w:r>
        <w:rPr>
          <w:rFonts w:hint="eastAsia" w:ascii="仿宋_GB2312" w:hAnsi="仿宋_GB2312" w:eastAsia="仿宋_GB2312" w:cs="仿宋_GB2312"/>
          <w:color w:val="000000" w:themeColor="text1"/>
          <w:sz w:val="32"/>
          <w:szCs w:val="32"/>
          <w14:textFill>
            <w14:solidFill>
              <w14:schemeClr w14:val="tx1"/>
            </w14:solidFill>
          </w14:textFill>
        </w:rPr>
        <w:t>建立健全项目评审、机构评估、人才评价等制度。构建“纵向贯通初、中、高，横向覆盖各领域”的拔尖人才梯度保障体系，对入选人才实行“一人一策”的精准支持。落实领导干部联系服务专家制度。配备重点产业领域核心人才“服务专员”，提供从入职落户到项目申报的全周期“一站式”服务。完善医疗、住房、子女入学等配套措施，提升人才服务质效、解决人才后顾之忧。围绕科技创新和战略需求，完善产业人才发展机制，优化人才发展环境，使人才“引得来、留得住、用得好”，为“科创会同”建设提供智力支持。</w:t>
      </w:r>
    </w:p>
    <w:p>
      <w:pPr>
        <w:pStyle w:val="2"/>
        <w:spacing w:after="0" w:line="580" w:lineRule="exact"/>
        <w:rPr>
          <w:rFonts w:hint="eastAsia"/>
          <w:color w:val="000000" w:themeColor="text1"/>
          <w14:textFill>
            <w14:solidFill>
              <w14:schemeClr w14:val="tx1"/>
            </w14:solidFill>
          </w14:textFill>
        </w:rPr>
      </w:pPr>
    </w:p>
    <w:tbl>
      <w:tblPr>
        <w:tblStyle w:val="33"/>
        <w:tblW w:w="91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4" w:type="dxa"/>
          </w:tcPr>
          <w:p>
            <w:pPr>
              <w:adjustRightInd w:val="0"/>
              <w:snapToGrid w:val="0"/>
              <w:spacing w:line="580" w:lineRule="exact"/>
              <w:jc w:val="center"/>
              <w:rPr>
                <w:rFonts w:ascii="Times New Roman" w:hAnsi="Times New Roman" w:eastAsia="黑体" w:cs="Times New Roman"/>
                <w:color w:val="000000" w:themeColor="text1"/>
                <w:kern w:val="0"/>
                <w:sz w:val="30"/>
                <w:szCs w:val="30"/>
                <w14:textFill>
                  <w14:solidFill>
                    <w14:schemeClr w14:val="tx1"/>
                  </w14:solidFill>
                </w14:textFill>
              </w:rPr>
            </w:pPr>
            <w:r>
              <w:rPr>
                <w:rFonts w:hint="eastAsia" w:ascii="国标黑体" w:hAnsi="国标黑体" w:eastAsia="国标黑体" w:cs="国标黑体"/>
                <w:color w:val="000000" w:themeColor="text1"/>
                <w:kern w:val="0"/>
                <w:sz w:val="32"/>
                <w:szCs w:val="32"/>
                <w14:textFill>
                  <w14:solidFill>
                    <w14:schemeClr w14:val="tx1"/>
                  </w14:solidFill>
                </w14:textFill>
              </w:rPr>
              <w:t>专栏</w:t>
            </w:r>
            <w:r>
              <w:rPr>
                <w:rFonts w:hint="eastAsia" w:ascii="Times New Roman" w:hAnsi="Times New Roman" w:eastAsia="黑体" w:cs="Times New Roman"/>
                <w:color w:val="000000" w:themeColor="text1"/>
                <w:kern w:val="0"/>
                <w:sz w:val="32"/>
                <w:szCs w:val="32"/>
                <w14:textFill>
                  <w14:solidFill>
                    <w14:schemeClr w14:val="tx1"/>
                  </w14:solidFill>
                </w14:textFill>
                <w14:ligatures w14:val="none"/>
              </w:rPr>
              <w:t>11</w:t>
            </w:r>
            <w:r>
              <w:rPr>
                <w:rFonts w:hint="eastAsia" w:ascii="国标黑体" w:hAnsi="国标黑体" w:eastAsia="国标黑体" w:cs="国标黑体"/>
                <w:color w:val="000000" w:themeColor="text1"/>
                <w:kern w:val="0"/>
                <w:sz w:val="32"/>
                <w:szCs w:val="32"/>
                <w14:textFill>
                  <w14:solidFill>
                    <w14:schemeClr w14:val="tx1"/>
                  </w14:solidFill>
                </w14:textFill>
              </w:rPr>
              <w:t xml:space="preserve"> 会同县“十五五”创新驱动项目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4" w:type="dxa"/>
          </w:tcPr>
          <w:p>
            <w:pPr>
              <w:adjustRightInd w:val="0"/>
              <w:snapToGrid w:val="0"/>
              <w:spacing w:line="580" w:lineRule="exact"/>
              <w:ind w:firstLine="643" w:firstLineChars="200"/>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rPr>
              <w:t>1.中小企业科技创新公共服务平台。</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集成创新资源全景图、动态数据库和开发三大功能中心。建设共享技术展示体验区与公共测试服务平台，配备必要设备与系统。为园区内中小企业提供研发设计、检验检测、技术咨询等一站式服务。</w:t>
            </w:r>
          </w:p>
          <w:p>
            <w:pPr>
              <w:adjustRightInd w:val="0"/>
              <w:snapToGrid w:val="0"/>
              <w:spacing w:line="580" w:lineRule="exact"/>
              <w:ind w:firstLine="643" w:firstLineChars="200"/>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2.专业技能人才培育基地项目。</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依托县内职业教育资源，重点建设服务箱包制造、竹木加工、生物医药、现代农业、电子商务等产业的技能人才培育基地。项目包括升级改造专业实训场地、引进先进教学设备、开发产教融合课程体系、建设“双师型”教师队伍等内容，打通人才培养与产业需求的“最后一公里”，为“人才红利”释放提供坚实保障。</w:t>
            </w:r>
          </w:p>
          <w:p>
            <w:pPr>
              <w:adjustRightInd w:val="0"/>
              <w:snapToGrid w:val="0"/>
              <w:spacing w:line="580" w:lineRule="exact"/>
              <w:ind w:firstLine="643" w:firstLineChars="200"/>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3.竹材生物转化与侗医药协同创新研究中心项目。</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中心采用“一核两区”布局，总投资8700万元，围绕竹基侗药创新制剂、竹基医用载体、康养产品跨界融合三大方向，突破12项关键技术，制定10项地方、行业及团体标准，申请知识产权40项，研发10款融合产品，形成“医疗级+消费级”产品矩阵。</w:t>
            </w:r>
          </w:p>
          <w:p>
            <w:pPr>
              <w:adjustRightInd w:val="0"/>
              <w:snapToGrid w:val="0"/>
              <w:spacing w:line="580" w:lineRule="exact"/>
              <w:ind w:firstLine="643" w:firstLineChars="200"/>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4.会同县科技企业孵化器项目。</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孵化竹基碳材料、林下经济物联网传感器等项目。</w:t>
            </w:r>
          </w:p>
          <w:p>
            <w:pPr>
              <w:adjustRightInd w:val="0"/>
              <w:snapToGrid w:val="0"/>
              <w:spacing w:line="580" w:lineRule="exact"/>
              <w:ind w:firstLine="643" w:firstLineChars="200"/>
              <w:rPr>
                <w:rFonts w:hint="eastAsia" w:ascii="仿宋_GB2312" w:hAnsi="仿宋_GB2312" w:cs="仿宋_GB2312"/>
                <w:color w:val="000000" w:themeColor="text1"/>
                <w:kern w:val="0"/>
                <w:sz w:val="28"/>
                <w:szCs w:val="28"/>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5.大学生创业孵化园建设项目。</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①场地配套，建设智能孵化区5000㎡，路演中心800㎡。②产业配套，建立高校-园区-企业三方协同机制，园区企业与高校共建实训实习基地，促进大学生项目孵化落地。③服务配套，配套法律、财务、金融等专业服务窗口。</w:t>
            </w:r>
          </w:p>
        </w:tc>
      </w:tr>
    </w:tbl>
    <w:p>
      <w:pPr>
        <w:widowControl/>
        <w:adjustRightInd w:val="0"/>
        <w:snapToGrid w:val="0"/>
        <w:spacing w:line="580" w:lineRule="exact"/>
        <w:jc w:val="left"/>
        <w:rPr>
          <w:rFonts w:ascii="Times New Roman" w:hAnsi="Times New Roman" w:eastAsia="仿宋_GB2312" w:cs="Times New Roman"/>
          <w:color w:val="000000" w:themeColor="text1"/>
          <w:sz w:val="30"/>
          <w:szCs w:val="30"/>
          <w14:textFill>
            <w14:solidFill>
              <w14:schemeClr w14:val="tx1"/>
            </w14:solidFill>
          </w14:textFill>
        </w:rPr>
      </w:pPr>
      <w:r>
        <w:rPr>
          <w:rFonts w:ascii="Times New Roman" w:hAnsi="Times New Roman" w:eastAsia="仿宋_GB2312" w:cs="Times New Roman"/>
          <w:color w:val="000000" w:themeColor="text1"/>
          <w:sz w:val="30"/>
          <w:szCs w:val="30"/>
          <w14:textFill>
            <w14:solidFill>
              <w14:schemeClr w14:val="tx1"/>
            </w14:solidFill>
          </w14:textFill>
        </w:rPr>
        <w:br w:type="page"/>
      </w:r>
    </w:p>
    <w:p>
      <w:pPr>
        <w:adjustRightInd w:val="0"/>
        <w:snapToGrid w:val="0"/>
        <w:spacing w:line="580" w:lineRule="exact"/>
        <w:jc w:val="center"/>
        <w:outlineLvl w:val="0"/>
        <w:rPr>
          <w:rFonts w:hint="eastAsia" w:ascii="方正小标宋简体" w:hAnsi="方正小标宋简体" w:eastAsia="方正小标宋简体" w:cs="方正小标宋简体"/>
          <w:color w:val="000000" w:themeColor="text1"/>
          <w:sz w:val="36"/>
          <w:szCs w:val="36"/>
          <w14:textFill>
            <w14:solidFill>
              <w14:schemeClr w14:val="tx1"/>
            </w14:solidFill>
          </w14:textFill>
        </w:rPr>
      </w:pPr>
      <w:bookmarkStart w:id="56" w:name="_Toc235000762"/>
      <w:r>
        <w:rPr>
          <w:rFonts w:hint="eastAsia" w:ascii="方正小标宋简体" w:hAnsi="方正小标宋简体" w:eastAsia="方正小标宋简体" w:cs="方正小标宋简体"/>
          <w:color w:val="000000" w:themeColor="text1"/>
          <w:sz w:val="36"/>
          <w:szCs w:val="36"/>
          <w14:textFill>
            <w14:solidFill>
              <w14:schemeClr w14:val="tx1"/>
            </w14:solidFill>
          </w14:textFill>
        </w:rPr>
        <w:t>第六章 全方位扩大内需，主动融入新发展格局</w:t>
      </w:r>
      <w:bookmarkEnd w:id="56"/>
    </w:p>
    <w:p>
      <w:pPr>
        <w:adjustRightInd w:val="0"/>
        <w:snapToGrid w:val="0"/>
        <w:spacing w:line="580" w:lineRule="exact"/>
        <w:ind w:firstLine="600" w:firstLineChars="200"/>
        <w:rPr>
          <w:rFonts w:hint="eastAsia" w:ascii="仿宋_GB2312" w:hAnsi="仿宋_GB2312" w:eastAsia="仿宋_GB2312" w:cs="仿宋_GB2312"/>
          <w:color w:val="000000" w:themeColor="text1"/>
          <w:kern w:val="0"/>
          <w:sz w:val="30"/>
          <w:szCs w:val="30"/>
          <w:lang w:bidi="ar"/>
          <w14:textFill>
            <w14:solidFill>
              <w14:schemeClr w14:val="tx1"/>
            </w14:solidFill>
          </w14:textFill>
          <w14:ligatures w14:val="none"/>
        </w:rPr>
      </w:pPr>
    </w:p>
    <w:p>
      <w:pPr>
        <w:adjustRightInd w:val="0"/>
        <w:snapToGrid w:val="0"/>
        <w:spacing w:line="58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坚持扩大内需这个战略基点，坚持惠民生和促消费、投资于物和投资于人紧密结合，增强消费基础性作用和投资关键作用，促进消费和投资、供给和需求良性互动，拓展发展空间，为建设中国式现代化新会同提供持续动力。</w:t>
      </w:r>
    </w:p>
    <w:p>
      <w:pPr>
        <w:adjustRightInd w:val="0"/>
        <w:snapToGrid w:val="0"/>
        <w:spacing w:line="580" w:lineRule="exact"/>
        <w:ind w:firstLine="600" w:firstLineChars="200"/>
        <w:rPr>
          <w:rFonts w:hint="eastAsia" w:ascii="仿宋_GB2312" w:hAnsi="仿宋_GB2312" w:eastAsia="仿宋_GB2312" w:cs="仿宋_GB2312"/>
          <w:color w:val="000000" w:themeColor="text1"/>
          <w:sz w:val="30"/>
          <w:szCs w:val="30"/>
          <w14:textFill>
            <w14:solidFill>
              <w14:schemeClr w14:val="tx1"/>
            </w14:solidFill>
          </w14:textFill>
          <w14:ligatures w14:val="none"/>
        </w:rPr>
      </w:pPr>
    </w:p>
    <w:p>
      <w:pPr>
        <w:adjustRightInd w:val="0"/>
        <w:snapToGrid w:val="0"/>
        <w:spacing w:line="580" w:lineRule="exact"/>
        <w:jc w:val="center"/>
        <w:outlineLvl w:val="1"/>
        <w:rPr>
          <w:rFonts w:hint="eastAsia" w:ascii="黑体" w:hAnsi="黑体" w:eastAsia="黑体" w:cs="黑体"/>
          <w:color w:val="000000" w:themeColor="text1"/>
          <w:sz w:val="32"/>
          <w:szCs w:val="32"/>
          <w14:textFill>
            <w14:solidFill>
              <w14:schemeClr w14:val="tx1"/>
            </w14:solidFill>
          </w14:textFill>
          <w14:ligatures w14:val="none"/>
        </w:rPr>
      </w:pPr>
      <w:bookmarkStart w:id="57" w:name="_Toc215048329"/>
      <w:bookmarkStart w:id="58" w:name="_Toc235000763"/>
      <w:r>
        <w:rPr>
          <w:rFonts w:hint="eastAsia" w:ascii="黑体" w:hAnsi="黑体" w:eastAsia="黑体" w:cs="黑体"/>
          <w:color w:val="000000" w:themeColor="text1"/>
          <w:sz w:val="32"/>
          <w:szCs w:val="32"/>
          <w14:textFill>
            <w14:solidFill>
              <w14:schemeClr w14:val="tx1"/>
            </w14:solidFill>
          </w14:textFill>
          <w14:ligatures w14:val="none"/>
        </w:rPr>
        <w:t xml:space="preserve">第一节 </w:t>
      </w:r>
      <w:bookmarkEnd w:id="57"/>
      <w:r>
        <w:rPr>
          <w:rFonts w:hint="eastAsia" w:ascii="黑体" w:hAnsi="黑体" w:eastAsia="黑体" w:cs="黑体"/>
          <w:color w:val="000000" w:themeColor="text1"/>
          <w:sz w:val="32"/>
          <w:szCs w:val="32"/>
          <w14:textFill>
            <w14:solidFill>
              <w14:schemeClr w14:val="tx1"/>
            </w14:solidFill>
          </w14:textFill>
          <w14:ligatures w14:val="none"/>
        </w:rPr>
        <w:t>全面激发消费潜力</w:t>
      </w:r>
      <w:bookmarkEnd w:id="58"/>
    </w:p>
    <w:p>
      <w:pPr>
        <w:adjustRightInd w:val="0"/>
        <w:snapToGrid w:val="0"/>
        <w:spacing w:line="580" w:lineRule="exact"/>
        <w:ind w:firstLine="602" w:firstLineChars="200"/>
        <w:rPr>
          <w:rFonts w:hint="eastAsia" w:ascii="楷体_GB2312" w:hAnsi="楷体_GB2312" w:eastAsia="楷体_GB2312" w:cs="楷体_GB2312"/>
          <w:b/>
          <w:bCs/>
          <w:color w:val="000000" w:themeColor="text1"/>
          <w:sz w:val="30"/>
          <w:szCs w:val="30"/>
          <w14:textFill>
            <w14:solidFill>
              <w14:schemeClr w14:val="tx1"/>
            </w14:solidFill>
          </w14:textFill>
          <w14:ligatures w14:val="none"/>
        </w:rPr>
      </w:pP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kern w:val="0"/>
          <w:sz w:val="32"/>
          <w:szCs w:val="32"/>
          <w14:textFill>
            <w14:solidFill>
              <w14:schemeClr w14:val="tx1"/>
            </w14:solidFill>
          </w14:textFill>
        </w:rPr>
        <w:t>提质服务消费。</w:t>
      </w:r>
      <w:r>
        <w:rPr>
          <w:rFonts w:hint="eastAsia" w:ascii="仿宋_GB2312" w:hAnsi="仿宋_GB2312" w:eastAsia="仿宋_GB2312" w:cs="仿宋_GB2312"/>
          <w:color w:val="000000" w:themeColor="text1"/>
          <w:sz w:val="32"/>
          <w:szCs w:val="32"/>
          <w14:textFill>
            <w14:solidFill>
              <w14:schemeClr w14:val="tx1"/>
            </w14:solidFill>
          </w14:textFill>
        </w:rPr>
        <w:t>大力发展文旅、健康、养老、体育、教育培训等服务消费，到2030年末服务零售额占社会消费商品和服务零售总额的比重显著提高。升级文旅融合消费，全面提升从业人员的服务技能和标准化水平，积极培育“会同好味”“大地指纹”区域品牌，支持高椅古村等依托优质生态资源和丰富文化积淀发展高品质民宿。引导家政服务消费，面向有意愿从事家政服务的农村劳动力加大技能培训力度，支持县职业中专学校增设家政相关专业。结合一刻钟便民生活圈和城市社区嵌入式服务设施建设，发展居家生活、邻里助餐、文化娱乐、家政服务等“一站式”社区消费服务。</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kern w:val="0"/>
          <w:sz w:val="32"/>
          <w:szCs w:val="32"/>
          <w14:textFill>
            <w14:solidFill>
              <w14:schemeClr w14:val="tx1"/>
            </w14:solidFill>
          </w14:textFill>
        </w:rPr>
        <w:t>创新消费场景。</w:t>
      </w:r>
      <w:r>
        <w:rPr>
          <w:rFonts w:hint="eastAsia" w:ascii="仿宋_GB2312" w:hAnsi="仿宋_GB2312" w:eastAsia="仿宋_GB2312" w:cs="仿宋_GB2312"/>
          <w:color w:val="000000" w:themeColor="text1"/>
          <w:sz w:val="32"/>
          <w:szCs w:val="32"/>
          <w14:textFill>
            <w14:solidFill>
              <w14:schemeClr w14:val="tx1"/>
            </w14:solidFill>
          </w14:textFill>
        </w:rPr>
        <w:t>顺应消费提质升级趋势，促进新业态、新模式、新产品融合发展，培育打造一批烟火气浓、带动面广、显示度高的消费新场景。培育省级夜间消费聚集示范区，支持改河星光美食街等标志性商圈提升服务功能，拓展夜游、夜食、夜娱、夜展、夜秀等业态。鼓励利用老旧厂房、城市公园、草坪广场等开放空间打造创意市集、露营休闲区。依托会同高山有机茶、红色旅游等实景、资源，融入微短剧、线上演艺等新文化业态，深化线上线下、商旅文体健多业态消费融合，创新多元化消费场景。打造“湘西南红色研学基地”“渠水河生态文旅走廊”，建设竹文化主题民宿集群、稻田艺术观景台、古村落文创工坊，开发“竹艺DIY体验”“古村夜宿套餐”等特色产品。加快发展数字消费，支持企业应用数字人、AI模型、全息互联网、智能选品等新技术，创新数字消费新场景，在县城综合体设置数字生活体验区。培育首店经济矩阵，打造“会货”旗舰店、集合店、体验店集群，形成“文化+产品+场景”三位一体的消费新场景。</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kern w:val="0"/>
          <w:sz w:val="32"/>
          <w:szCs w:val="32"/>
          <w14:textFill>
            <w14:solidFill>
              <w14:schemeClr w14:val="tx1"/>
            </w14:solidFill>
          </w14:textFill>
        </w:rPr>
        <w:t>促进消费扩容。</w:t>
      </w:r>
      <w:r>
        <w:rPr>
          <w:rFonts w:hint="eastAsia" w:ascii="仿宋_GB2312" w:hAnsi="仿宋_GB2312" w:eastAsia="仿宋_GB2312" w:cs="仿宋_GB2312"/>
          <w:color w:val="000000" w:themeColor="text1"/>
          <w:sz w:val="32"/>
          <w:szCs w:val="32"/>
          <w14:textFill>
            <w14:solidFill>
              <w14:schemeClr w14:val="tx1"/>
            </w14:solidFill>
          </w14:textFill>
        </w:rPr>
        <w:t>打造“会同消费季”品牌，举办春季踏青消费节、夏季夜市狂欢节、秋季农产品展销会、冬季康养购物节。通过与省市联动、政企银联合、商旅文融合、线上线下协同等多种方式持续开展“堡子油菜花节”“高椅黑米饭节”“会同特色美食节”等消费促进活动。打造农产品消费全链条，线上运营“会同农特馆”，通过短视频等多种方式，推广会同柴火月饼、会同魔芋、山苦瓜茶等会同特产，支持企业线下参加武陵山（怀化）国际健康产业博览会等重要展会，扩大会同农产品品牌影响力。扩大党政机关及公共机构对竹制购物袋、文具、餐具、家具等相关“以竹代塑”产品的采购力度。用好用足消费品以旧换新政策，鼓励住房、汽车、家电家居等大宗消费，培育和规范多元化二手商品交易市场，聚焦汽车、家电、家装等主要产品，完善废旧产品设备回收网络。</w:t>
      </w:r>
    </w:p>
    <w:p>
      <w:pPr>
        <w:adjustRightInd w:val="0"/>
        <w:snapToGrid w:val="0"/>
        <w:spacing w:line="580" w:lineRule="exact"/>
        <w:ind w:firstLine="643" w:firstLineChars="200"/>
        <w:rPr>
          <w:rFonts w:hint="eastAsia" w:ascii="仿宋_GB2312" w:hAnsi="仿宋_GB2312" w:eastAsia="仿宋_GB2312" w:cs="仿宋_GB2312"/>
          <w:color w:val="000000" w:themeColor="text1"/>
          <w:spacing w:val="6"/>
          <w:sz w:val="32"/>
          <w:szCs w:val="32"/>
          <w14:textFill>
            <w14:solidFill>
              <w14:schemeClr w14:val="tx1"/>
            </w14:solidFill>
          </w14:textFill>
        </w:rPr>
      </w:pPr>
      <w:r>
        <w:rPr>
          <w:rFonts w:hint="eastAsia" w:ascii="楷体_GB2312" w:hAnsi="楷体_GB2312" w:eastAsia="楷体_GB2312" w:cs="楷体_GB2312"/>
          <w:b/>
          <w:bCs/>
          <w:color w:val="000000" w:themeColor="text1"/>
          <w:kern w:val="0"/>
          <w:sz w:val="32"/>
          <w:szCs w:val="32"/>
          <w14:textFill>
            <w14:solidFill>
              <w14:schemeClr w14:val="tx1"/>
            </w14:solidFill>
          </w14:textFill>
        </w:rPr>
        <w:t>优化消费环境。</w:t>
      </w:r>
      <w:r>
        <w:rPr>
          <w:rFonts w:hint="eastAsia" w:ascii="仿宋_GB2312" w:hAnsi="仿宋_GB2312" w:eastAsia="仿宋_GB2312" w:cs="仿宋_GB2312"/>
          <w:color w:val="000000" w:themeColor="text1"/>
          <w:sz w:val="32"/>
          <w:szCs w:val="32"/>
          <w14:textFill>
            <w14:solidFill>
              <w14:schemeClr w14:val="tx1"/>
            </w14:solidFill>
          </w14:textFill>
        </w:rPr>
        <w:t>在全县范围内开展发放消费券促消费活动，对失业人群、灵活就业人群、中低收入人群、二孩以上家庭等特殊群体给予重点倾斜。继续深入推进全县“诚信经营·放心消费”创建活动，培育一批放心消费单位。以加强商品和服务质量、强化消费纠纷调解为重点，以推进消费领域信用监管为</w:t>
      </w:r>
      <w:r>
        <w:rPr>
          <w:rFonts w:hint="eastAsia" w:ascii="仿宋_GB2312" w:hAnsi="仿宋_GB2312" w:eastAsia="仿宋_GB2312" w:cs="仿宋_GB2312"/>
          <w:color w:val="000000" w:themeColor="text1"/>
          <w:spacing w:val="6"/>
          <w:sz w:val="32"/>
          <w:szCs w:val="32"/>
          <w14:textFill>
            <w14:solidFill>
              <w14:schemeClr w14:val="tx1"/>
            </w14:solidFill>
          </w14:textFill>
        </w:rPr>
        <w:t>抓手，构建全社会共同维护消费者合法权益的新机制。建立投诉快速处理机制，畅通消费者举报投诉渠道，高效办结消保维权投诉，提升线下无理由退货的覆盖面和兑现率。加强消费品质量监督抽查，严厉打击侵害消费者合法权益的行为。落实信用体系建设要求，培育一批诚信经营主体，打造一批诚信商业区。</w:t>
      </w:r>
    </w:p>
    <w:p>
      <w:pPr>
        <w:adjustRightInd w:val="0"/>
        <w:snapToGrid w:val="0"/>
        <w:spacing w:line="58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p>
    <w:p>
      <w:pPr>
        <w:adjustRightInd w:val="0"/>
        <w:snapToGrid w:val="0"/>
        <w:spacing w:line="580" w:lineRule="exact"/>
        <w:jc w:val="center"/>
        <w:outlineLvl w:val="1"/>
        <w:rPr>
          <w:rFonts w:hint="eastAsia" w:ascii="黑体" w:hAnsi="黑体" w:eastAsia="黑体" w:cs="黑体"/>
          <w:color w:val="000000" w:themeColor="text1"/>
          <w:sz w:val="32"/>
          <w:szCs w:val="32"/>
          <w14:textFill>
            <w14:solidFill>
              <w14:schemeClr w14:val="tx1"/>
            </w14:solidFill>
          </w14:textFill>
          <w14:ligatures w14:val="none"/>
        </w:rPr>
      </w:pPr>
      <w:bookmarkStart w:id="59" w:name="_Toc235000764"/>
      <w:r>
        <w:rPr>
          <w:rFonts w:hint="eastAsia" w:ascii="黑体" w:hAnsi="黑体" w:eastAsia="黑体" w:cs="黑体"/>
          <w:color w:val="000000" w:themeColor="text1"/>
          <w:sz w:val="32"/>
          <w:szCs w:val="32"/>
          <w14:textFill>
            <w14:solidFill>
              <w14:schemeClr w14:val="tx1"/>
            </w14:solidFill>
          </w14:textFill>
          <w14:ligatures w14:val="none"/>
        </w:rPr>
        <w:t>第二节 推动投资提质增效</w:t>
      </w:r>
      <w:bookmarkEnd w:id="59"/>
    </w:p>
    <w:p>
      <w:pPr>
        <w:spacing w:line="580" w:lineRule="exact"/>
        <w:ind w:firstLine="602" w:firstLineChars="200"/>
        <w:rPr>
          <w:rFonts w:hint="eastAsia" w:ascii="楷体_GB2312" w:hAnsi="楷体_GB2312" w:eastAsia="楷体_GB2312" w:cs="楷体_GB2312"/>
          <w:b/>
          <w:bCs/>
          <w:color w:val="000000" w:themeColor="text1"/>
          <w:sz w:val="30"/>
          <w:szCs w:val="30"/>
          <w14:textFill>
            <w14:solidFill>
              <w14:schemeClr w14:val="tx1"/>
            </w14:solidFill>
          </w14:textFill>
          <w14:ligatures w14:val="none"/>
        </w:rPr>
      </w:pPr>
    </w:p>
    <w:p>
      <w:pPr>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kern w:val="0"/>
          <w:sz w:val="32"/>
          <w:szCs w:val="32"/>
          <w14:textFill>
            <w14:solidFill>
              <w14:schemeClr w14:val="tx1"/>
            </w14:solidFill>
          </w14:textFill>
        </w:rPr>
        <w:t>做深做细做实项目谋划储备。</w:t>
      </w:r>
      <w:r>
        <w:rPr>
          <w:rFonts w:hint="eastAsia" w:ascii="仿宋_GB2312" w:hAnsi="仿宋_GB2312" w:eastAsia="仿宋_GB2312" w:cs="仿宋_GB2312"/>
          <w:color w:val="000000" w:themeColor="text1"/>
          <w:sz w:val="32"/>
          <w:szCs w:val="32"/>
          <w14:textFill>
            <w14:solidFill>
              <w14:schemeClr w14:val="tx1"/>
            </w14:solidFill>
          </w14:textFill>
        </w:rPr>
        <w:t>强化县级项目谋划储备跨部门工作机制，形成动态更新的项目谋划工作指引，用好投资政策工具箱，迭代完善落实国家政策的承接机制和落地措施。强化县级统筹，注重资源肥瘦搭配，提高政府谋划储备项目的融资可行性，深化可行性论证。</w:t>
      </w:r>
      <w:bookmarkStart w:id="60" w:name="_Hlk203170044"/>
      <w:r>
        <w:rPr>
          <w:rFonts w:hint="eastAsia" w:ascii="仿宋_GB2312" w:hAnsi="仿宋_GB2312" w:eastAsia="仿宋_GB2312" w:cs="仿宋_GB2312"/>
          <w:color w:val="000000" w:themeColor="text1"/>
          <w:sz w:val="32"/>
          <w:szCs w:val="32"/>
          <w14:textFill>
            <w14:solidFill>
              <w14:schemeClr w14:val="tx1"/>
            </w14:solidFill>
          </w14:textFill>
        </w:rPr>
        <w:t>紧密衔接国家战略部署，系统梳理“两重”“两新”支持方向及项目清单，建立资金争取和考核工作机制，争取更多国家资金用于项目建设。</w:t>
      </w:r>
      <w:bookmarkStart w:id="61" w:name="_Hlk203169911"/>
      <w:r>
        <w:rPr>
          <w:rFonts w:hint="eastAsia" w:ascii="仿宋_GB2312" w:hAnsi="仿宋_GB2312" w:eastAsia="仿宋_GB2312" w:cs="仿宋_GB2312"/>
          <w:color w:val="000000" w:themeColor="text1"/>
          <w:sz w:val="32"/>
          <w:szCs w:val="32"/>
          <w14:textFill>
            <w14:solidFill>
              <w14:schemeClr w14:val="tx1"/>
            </w14:solidFill>
          </w14:textFill>
        </w:rPr>
        <w:t>做好中央预算内投资项目谋划储备和申报</w:t>
      </w:r>
      <w:bookmarkStart w:id="62" w:name="_Hlk203170062"/>
      <w:r>
        <w:rPr>
          <w:rFonts w:hint="eastAsia" w:ascii="仿宋_GB2312" w:hAnsi="仿宋_GB2312" w:eastAsia="仿宋_GB2312" w:cs="仿宋_GB2312"/>
          <w:color w:val="000000" w:themeColor="text1"/>
          <w:sz w:val="32"/>
          <w:szCs w:val="32"/>
          <w14:textFill>
            <w14:solidFill>
              <w14:schemeClr w14:val="tx1"/>
            </w14:solidFill>
          </w14:textFill>
        </w:rPr>
        <w:t>、审核工作，</w:t>
      </w:r>
      <w:bookmarkEnd w:id="62"/>
      <w:r>
        <w:rPr>
          <w:rFonts w:hint="eastAsia" w:ascii="仿宋_GB2312" w:hAnsi="仿宋_GB2312" w:eastAsia="仿宋_GB2312" w:cs="仿宋_GB2312"/>
          <w:color w:val="000000" w:themeColor="text1"/>
          <w:sz w:val="32"/>
          <w:szCs w:val="32"/>
          <w14:textFill>
            <w14:solidFill>
              <w14:schemeClr w14:val="tx1"/>
            </w14:solidFill>
          </w14:textFill>
        </w:rPr>
        <w:t>对项目的建设进度、资金使用等进行全程跟踪和监测。做好专项债券项目谋划，</w:t>
      </w:r>
      <w:bookmarkEnd w:id="61"/>
      <w:r>
        <w:rPr>
          <w:rFonts w:hint="eastAsia" w:ascii="仿宋_GB2312" w:hAnsi="仿宋_GB2312" w:eastAsia="仿宋_GB2312" w:cs="仿宋_GB2312"/>
          <w:color w:val="000000" w:themeColor="text1"/>
          <w:sz w:val="32"/>
          <w:szCs w:val="32"/>
          <w14:textFill>
            <w14:solidFill>
              <w14:schemeClr w14:val="tx1"/>
            </w14:solidFill>
          </w14:textFill>
        </w:rPr>
        <w:t>积极推进专项债券用作项目资本金和利用银行配套融资联动，加强专项债项目资金使用、项目建设、资产登记入账、运营、收入实现等闭环管理。</w:t>
      </w:r>
      <w:bookmarkEnd w:id="60"/>
      <w:r>
        <w:rPr>
          <w:rFonts w:hint="eastAsia" w:ascii="仿宋_GB2312" w:hAnsi="仿宋_GB2312" w:eastAsia="仿宋_GB2312" w:cs="仿宋_GB2312"/>
          <w:color w:val="000000" w:themeColor="text1"/>
          <w:sz w:val="32"/>
          <w:szCs w:val="32"/>
          <w14:textFill>
            <w14:solidFill>
              <w14:schemeClr w14:val="tx1"/>
            </w14:solidFill>
          </w14:textFill>
        </w:rPr>
        <w:t>建立项目服务专员制度，及时协调解决申报和实施中的问题。梳理科技创新、数字经济等领域储备项目清单，用好用足新型政策性金融工具。</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kern w:val="0"/>
          <w:sz w:val="32"/>
          <w:szCs w:val="32"/>
          <w14:textFill>
            <w14:solidFill>
              <w14:schemeClr w14:val="tx1"/>
            </w14:solidFill>
          </w14:textFill>
        </w:rPr>
        <w:t>提高政府投资效益。</w:t>
      </w:r>
      <w:r>
        <w:rPr>
          <w:rFonts w:hint="eastAsia" w:ascii="仿宋_GB2312" w:hAnsi="仿宋_GB2312" w:eastAsia="仿宋_GB2312" w:cs="仿宋_GB2312"/>
          <w:color w:val="000000" w:themeColor="text1"/>
          <w:sz w:val="32"/>
          <w:szCs w:val="32"/>
          <w14:textFill>
            <w14:solidFill>
              <w14:schemeClr w14:val="tx1"/>
            </w14:solidFill>
          </w14:textFill>
        </w:rPr>
        <w:t>健全政府投资决策机制，优化政府投资结构，提高民生类政府投资比重。编制政府投资年度计划，强化政府投资统筹管理。构建实时跟踪、动态闭环、完整高效的管理服务体系，协同推进“十五五”重大工程项目实施。建立健全政府投资项目绩效评估机制，将评估结果与部门、乡镇考核挂钩，作为安排后续资金的重要依据。充分发挥政府投资引导带动作用，重点围绕盈利能力较弱的使用者付费基础设施和公用事业，灵活采取政府投资支持、拓宽收入渠道、盘活闲置优质资产等多种方式提高项目收益，规范有序推进政府和社会资本合作。探索推进县财政资金“拨改投”，提高资金使用效率，有效积累公共资产。</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kern w:val="0"/>
          <w:sz w:val="32"/>
          <w:szCs w:val="32"/>
          <w14:textFill>
            <w14:solidFill>
              <w14:schemeClr w14:val="tx1"/>
            </w14:solidFill>
          </w14:textFill>
        </w:rPr>
        <w:t>增强民间投资动能。</w:t>
      </w:r>
      <w:r>
        <w:rPr>
          <w:rFonts w:hint="eastAsia" w:ascii="仿宋_GB2312" w:hAnsi="仿宋_GB2312" w:eastAsia="仿宋_GB2312" w:cs="仿宋_GB2312"/>
          <w:color w:val="000000" w:themeColor="text1"/>
          <w:sz w:val="32"/>
          <w:szCs w:val="32"/>
          <w14:textFill>
            <w14:solidFill>
              <w14:schemeClr w14:val="tx1"/>
            </w14:solidFill>
          </w14:textFill>
        </w:rPr>
        <w:t>严格落实研发费用加计扣除、科技成果转化税收减免等优惠政策，放大政府专项资金撬动作用，引导支持民间资本扩大创新投入。持续滚动向民间资本推介优质项目，鼓励民营企业加大文化旅游、科技创新、工业智能化等领域投资力度。建立完善项目投融资对接机制、中小微企业融资监测长效机制，引导银行业、保险业等金融机构创新金融产品和服务，持续提升民间投资项目融资便利化水平。力争到“十五五”末，全县民间投资占固定资产投资比重提升至55%以上。</w:t>
      </w:r>
    </w:p>
    <w:p>
      <w:pPr>
        <w:adjustRightInd w:val="0"/>
        <w:snapToGrid w:val="0"/>
        <w:spacing w:line="580" w:lineRule="exact"/>
        <w:rPr>
          <w:rFonts w:hint="eastAsia" w:ascii="仿宋_GB2312" w:hAnsi="仿宋_GB2312" w:eastAsia="仿宋_GB2312" w:cs="仿宋_GB2312"/>
          <w:color w:val="000000" w:themeColor="text1"/>
          <w:kern w:val="0"/>
          <w:sz w:val="30"/>
          <w:szCs w:val="30"/>
          <w:lang w:bidi="ar"/>
          <w14:textFill>
            <w14:solidFill>
              <w14:schemeClr w14:val="tx1"/>
            </w14:solidFill>
          </w14:textFill>
          <w14:ligatures w14:val="none"/>
        </w:rPr>
      </w:pPr>
    </w:p>
    <w:p>
      <w:pPr>
        <w:adjustRightInd w:val="0"/>
        <w:snapToGrid w:val="0"/>
        <w:spacing w:line="580" w:lineRule="exact"/>
        <w:jc w:val="center"/>
        <w:outlineLvl w:val="1"/>
        <w:rPr>
          <w:rFonts w:hint="eastAsia" w:ascii="黑体" w:hAnsi="黑体" w:eastAsia="黑体" w:cs="黑体"/>
          <w:color w:val="000000" w:themeColor="text1"/>
          <w:sz w:val="32"/>
          <w:szCs w:val="32"/>
          <w14:textFill>
            <w14:solidFill>
              <w14:schemeClr w14:val="tx1"/>
            </w14:solidFill>
          </w14:textFill>
          <w14:ligatures w14:val="none"/>
        </w:rPr>
      </w:pPr>
      <w:bookmarkStart w:id="63" w:name="_Toc235000765"/>
      <w:r>
        <w:rPr>
          <w:rFonts w:hint="eastAsia" w:ascii="黑体" w:hAnsi="黑体" w:eastAsia="黑体" w:cs="黑体"/>
          <w:color w:val="000000" w:themeColor="text1"/>
          <w:sz w:val="32"/>
          <w:szCs w:val="32"/>
          <w14:textFill>
            <w14:solidFill>
              <w14:schemeClr w14:val="tx1"/>
            </w14:solidFill>
          </w14:textFill>
          <w14:ligatures w14:val="none"/>
        </w:rPr>
        <w:t>第三节 融入国内统一大市场</w:t>
      </w:r>
      <w:bookmarkEnd w:id="63"/>
    </w:p>
    <w:p>
      <w:pPr>
        <w:adjustRightInd w:val="0"/>
        <w:snapToGrid w:val="0"/>
        <w:spacing w:line="580" w:lineRule="exact"/>
        <w:ind w:firstLine="602" w:firstLineChars="200"/>
        <w:rPr>
          <w:rFonts w:hint="eastAsia" w:ascii="楷体_GB2312" w:hAnsi="楷体_GB2312" w:eastAsia="楷体_GB2312" w:cs="楷体_GB2312"/>
          <w:b/>
          <w:bCs/>
          <w:color w:val="000000" w:themeColor="text1"/>
          <w:sz w:val="30"/>
          <w:szCs w:val="30"/>
          <w14:textFill>
            <w14:solidFill>
              <w14:schemeClr w14:val="tx1"/>
            </w14:solidFill>
          </w14:textFill>
          <w14:ligatures w14:val="none"/>
        </w:rPr>
      </w:pP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kern w:val="0"/>
          <w:sz w:val="32"/>
          <w:szCs w:val="32"/>
          <w14:textFill>
            <w14:solidFill>
              <w14:schemeClr w14:val="tx1"/>
            </w14:solidFill>
          </w14:textFill>
        </w:rPr>
        <w:t>落实全国统一大市场建设要求。</w:t>
      </w:r>
      <w:r>
        <w:rPr>
          <w:rFonts w:hint="eastAsia" w:ascii="仿宋_GB2312" w:hAnsi="仿宋_GB2312" w:eastAsia="仿宋_GB2312" w:cs="仿宋_GB2312"/>
          <w:color w:val="000000" w:themeColor="text1"/>
          <w:sz w:val="32"/>
          <w:szCs w:val="32"/>
          <w14:textFill>
            <w14:solidFill>
              <w14:schemeClr w14:val="tx1"/>
            </w14:solidFill>
          </w14:textFill>
        </w:rPr>
        <w:t>按照“五统一、一开放”基本要求，进一步完善市场基础制度，规范政府行为尺度，提升市场设施联通水平，促进商品要素资源畅通流动。全面实施市场准入负面清单制度，强化反垄断与反不正当竞争监管，破除要素获取、资质认定、招标投标、政府采购等方面壁垒，规范政府经济促进行为，综合整治“内卷式”竞争。强化公平竞争审查的刚性约束，完善招商引资法规制度，营造公平竞争的市场环境。加强地理标志、商标、专利等知识产权保护，严厉打击侵权假冒行为，健全依法平等保护各类经营主体产权和合法权益机制。</w:t>
      </w:r>
    </w:p>
    <w:p>
      <w:pPr>
        <w:adjustRightInd w:val="0"/>
        <w:snapToGrid w:val="0"/>
        <w:spacing w:line="580" w:lineRule="exact"/>
        <w:ind w:firstLine="643" w:firstLineChars="200"/>
        <w:rPr>
          <w:rFonts w:hint="eastAsia" w:ascii="仿宋_GB2312" w:hAnsi="仿宋_GB2312" w:eastAsia="仿宋_GB2312" w:cs="仿宋_GB2312"/>
          <w:color w:val="000000" w:themeColor="text1"/>
          <w:kern w:val="0"/>
          <w:sz w:val="30"/>
          <w:szCs w:val="30"/>
          <w:lang w:bidi="ar"/>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rPr>
        <w:t>深化公共资源交易改革。实现项目全流程公开管理。</w:t>
      </w:r>
      <w:r>
        <w:rPr>
          <w:rFonts w:hint="eastAsia" w:ascii="仿宋_GB2312" w:hAnsi="仿宋_GB2312" w:eastAsia="仿宋_GB2312" w:cs="仿宋_GB2312"/>
          <w:color w:val="000000" w:themeColor="text1"/>
          <w:sz w:val="32"/>
          <w:szCs w:val="32"/>
          <w14:textFill>
            <w14:solidFill>
              <w14:schemeClr w14:val="tx1"/>
            </w14:solidFill>
          </w14:textFill>
        </w:rPr>
        <w:t>落实“机器管招投标”改革要求，扎实推动公共资源交易从“人工治理”向“数智规则”转型，着力打造阳光透明的公共资源交易环境。</w:t>
      </w:r>
    </w:p>
    <w:p>
      <w:pPr>
        <w:adjustRightInd w:val="0"/>
        <w:snapToGrid w:val="0"/>
        <w:spacing w:line="580" w:lineRule="exact"/>
        <w:ind w:firstLine="643"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kern w:val="0"/>
          <w:sz w:val="32"/>
          <w:szCs w:val="32"/>
          <w14:textFill>
            <w14:solidFill>
              <w14:schemeClr w14:val="tx1"/>
            </w14:solidFill>
          </w14:textFill>
        </w:rPr>
        <w:t>提升政务服务效能。</w:t>
      </w:r>
      <w:r>
        <w:rPr>
          <w:rFonts w:hint="eastAsia" w:ascii="仿宋_GB2312" w:hAnsi="仿宋_GB2312" w:eastAsia="仿宋_GB2312" w:cs="仿宋_GB2312"/>
          <w:color w:val="000000" w:themeColor="text1"/>
          <w:sz w:val="32"/>
          <w:szCs w:val="32"/>
          <w14:textFill>
            <w14:solidFill>
              <w14:schemeClr w14:val="tx1"/>
            </w14:solidFill>
          </w14:textFill>
        </w:rPr>
        <w:t>加强市场监管标准化规范化建设，强化新经济、新业态监管制度供给。整合食品药品安全、特种设备动态监测、信用、网络交易等核心监管业务系统，构建会同市场监管智慧监管体系。推动人工智能、大数据技术应用，提升非现场监管能力。优化监管资源配置，合理确定并动态调整抽查比例和频次，实施靶向精准监管，切实减轻企业负担。开展涉企收费专项治理行动，重点整治转供电加价、强制入会收费等违规行为，持续降低企业综合成本,打造“低成本会同”。健全县乡村三级政务服务管理体系，推进“高效办成一件事”事项覆盖不断提升。</w:t>
      </w:r>
    </w:p>
    <w:p>
      <w:pPr>
        <w:pStyle w:val="2"/>
        <w:rPr>
          <w:rFonts w:hint="eastAsia"/>
          <w:color w:val="000000" w:themeColor="text1"/>
          <w14:textFill>
            <w14:solidFill>
              <w14:schemeClr w14:val="tx1"/>
            </w14:solidFill>
          </w14:textFill>
        </w:rPr>
      </w:pPr>
    </w:p>
    <w:tbl>
      <w:tblPr>
        <w:tblStyle w:val="33"/>
        <w:tblW w:w="91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4" w:type="dxa"/>
          </w:tcPr>
          <w:p>
            <w:pPr>
              <w:widowControl/>
              <w:adjustRightInd w:val="0"/>
              <w:snapToGrid w:val="0"/>
              <w:spacing w:line="580" w:lineRule="exact"/>
              <w:jc w:val="center"/>
              <w:rPr>
                <w:rFonts w:ascii="Times New Roman" w:hAnsi="Times New Roman" w:eastAsia="黑体" w:cs="Times New Roman"/>
                <w:color w:val="000000" w:themeColor="text1"/>
                <w:kern w:val="0"/>
                <w:sz w:val="30"/>
                <w:szCs w:val="30"/>
                <w14:textFill>
                  <w14:solidFill>
                    <w14:schemeClr w14:val="tx1"/>
                  </w14:solidFill>
                </w14:textFill>
              </w:rPr>
            </w:pPr>
            <w:r>
              <w:rPr>
                <w:rFonts w:hint="eastAsia" w:ascii="国标黑体" w:hAnsi="国标黑体" w:eastAsia="国标黑体" w:cs="国标黑体"/>
                <w:color w:val="000000" w:themeColor="text1"/>
                <w:kern w:val="0"/>
                <w:sz w:val="32"/>
                <w:szCs w:val="32"/>
                <w14:textFill>
                  <w14:solidFill>
                    <w14:schemeClr w14:val="tx1"/>
                  </w14:solidFill>
                </w14:textFill>
              </w:rPr>
              <w:t>专栏</w:t>
            </w:r>
            <w:r>
              <w:rPr>
                <w:rFonts w:hint="eastAsia" w:ascii="Times New Roman" w:hAnsi="Times New Roman" w:eastAsia="黑体" w:cs="Times New Roman"/>
                <w:color w:val="000000" w:themeColor="text1"/>
                <w:kern w:val="0"/>
                <w:sz w:val="32"/>
                <w:szCs w:val="32"/>
                <w14:textFill>
                  <w14:solidFill>
                    <w14:schemeClr w14:val="tx1"/>
                  </w14:solidFill>
                </w14:textFill>
                <w14:ligatures w14:val="none"/>
              </w:rPr>
              <w:t>12</w:t>
            </w:r>
            <w:r>
              <w:rPr>
                <w:rFonts w:hint="eastAsia" w:ascii="国标黑体" w:hAnsi="国标黑体" w:eastAsia="国标黑体" w:cs="国标黑体"/>
                <w:color w:val="000000" w:themeColor="text1"/>
                <w:kern w:val="0"/>
                <w:sz w:val="32"/>
                <w:szCs w:val="32"/>
                <w14:textFill>
                  <w14:solidFill>
                    <w14:schemeClr w14:val="tx1"/>
                  </w14:solidFill>
                </w14:textFill>
              </w:rPr>
              <w:t xml:space="preserve"> 会同县“十五五”扩内需项目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4" w:type="dxa"/>
          </w:tcPr>
          <w:p>
            <w:pPr>
              <w:adjustRightInd w:val="0"/>
              <w:snapToGrid w:val="0"/>
              <w:spacing w:line="580" w:lineRule="exact"/>
              <w:ind w:firstLine="643" w:firstLineChars="200"/>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1.城乡公用照明路灯设施更新改造项目。</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①更新改造城乡照明路灯2700盏；②天马山道路路灯安装工程120盏；③红培基地至坪村高速路口路灯安装工程130盏；④园区路灯200盏。</w:t>
            </w:r>
          </w:p>
          <w:p>
            <w:pPr>
              <w:adjustRightInd w:val="0"/>
              <w:snapToGrid w:val="0"/>
              <w:spacing w:line="580" w:lineRule="exact"/>
              <w:ind w:firstLine="643" w:firstLineChars="200"/>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2.会同县生活垃圾收转运及处置设施设备更新项目。</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更新环卫车辆和垃圾中转站设备。①更新环卫车辆包括小钩臂车5辆，小收集车4辆，洒水车6辆，洗扫车3辆，压缩垃圾车30辆，护栏清洁车、吸污车、中转车、大钩臂车各1辆，降尘雾炮车4辆等设备；②更新垃圾中转站设备包括垃圾转运站18座、中转站压缩设备2套、垃圾分类房除臭设备88套、分拣中心AI分拣机3套等设备。</w:t>
            </w:r>
          </w:p>
          <w:p>
            <w:pPr>
              <w:adjustRightInd w:val="0"/>
              <w:snapToGrid w:val="0"/>
              <w:spacing w:line="580" w:lineRule="exact"/>
              <w:ind w:firstLine="643" w:firstLineChars="200"/>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3.年产4.8万吨再生高分子材料循环利用精深加工项目。</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总占地面积39411</w:t>
            </w:r>
            <w:r>
              <w:rPr>
                <w:rFonts w:hint="eastAsia" w:ascii="楷体_GB2312" w:hAnsi="楷体_GB2312" w:eastAsia="楷体_GB2312" w:cs="楷体_GB2312"/>
                <w:color w:val="000000" w:themeColor="text1"/>
                <w:kern w:val="0"/>
                <w:sz w:val="32"/>
                <w:szCs w:val="32"/>
                <w:lang w:eastAsia="zh-CN"/>
                <w14:textFill>
                  <w14:solidFill>
                    <w14:schemeClr w14:val="tx1"/>
                  </w14:solidFill>
                </w14:textFill>
                <w14:ligatures w14:val="none"/>
              </w:rPr>
              <w:t>㎡</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，总建筑面积约20398</w:t>
            </w:r>
            <w:r>
              <w:rPr>
                <w:rFonts w:hint="eastAsia" w:ascii="楷体_GB2312" w:hAnsi="楷体_GB2312" w:eastAsia="楷体_GB2312" w:cs="楷体_GB2312"/>
                <w:color w:val="000000" w:themeColor="text1"/>
                <w:kern w:val="0"/>
                <w:sz w:val="32"/>
                <w:szCs w:val="32"/>
                <w:lang w:eastAsia="zh-CN"/>
                <w14:textFill>
                  <w14:solidFill>
                    <w14:schemeClr w14:val="tx1"/>
                  </w14:solidFill>
                </w14:textFill>
                <w14:ligatures w14:val="none"/>
              </w:rPr>
              <w:t>㎡</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，拟新建钢构厂房5栋及完成基础配套设施。新购置废塑料分选、破碎、改性造粒、注塑及实验检测设备一批，年产4.8万吨/年中高端箱包改性再生专用料及箱包部件。</w:t>
            </w:r>
          </w:p>
          <w:p>
            <w:pPr>
              <w:pStyle w:val="16"/>
              <w:spacing w:after="0" w:line="580" w:lineRule="exact"/>
              <w:ind w:firstLine="643" w:firstLineChars="200"/>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4.公共交通工具新能源更新项目。</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①新能源公务用车200辆以上；②新能源公交车辆140辆以上；③新能源客船6艘以上；④新能源环卫车50辆以上。</w:t>
            </w:r>
          </w:p>
          <w:p>
            <w:pPr>
              <w:pStyle w:val="16"/>
              <w:spacing w:after="0" w:line="580" w:lineRule="exact"/>
              <w:ind w:firstLine="643" w:firstLineChars="200"/>
              <w:rPr>
                <w:rFonts w:hint="eastAsia" w:ascii="仿宋_GB2312" w:hAnsi="仿宋_GB2312" w:cs="仿宋_GB2312"/>
                <w:color w:val="000000" w:themeColor="text1"/>
                <w:kern w:val="0"/>
                <w:sz w:val="28"/>
                <w:szCs w:val="28"/>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5.会同县五环商贸中心。</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建设集零售、餐饮、休闲于一体的现代化商贸综合体，总建筑面积约35000㎡，配套智慧管理系统及新能源充电设施。</w:t>
            </w:r>
          </w:p>
        </w:tc>
      </w:tr>
    </w:tbl>
    <w:p>
      <w:pPr>
        <w:adjustRightInd w:val="0"/>
        <w:snapToGrid w:val="0"/>
        <w:spacing w:line="580" w:lineRule="exact"/>
        <w:jc w:val="left"/>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br w:type="page"/>
      </w:r>
    </w:p>
    <w:p>
      <w:pPr>
        <w:adjustRightInd w:val="0"/>
        <w:snapToGrid w:val="0"/>
        <w:spacing w:line="580" w:lineRule="exact"/>
        <w:jc w:val="center"/>
        <w:outlineLvl w:val="0"/>
        <w:rPr>
          <w:rFonts w:hint="eastAsia" w:ascii="方正小标宋简体" w:hAnsi="方正小标宋简体" w:eastAsia="方正小标宋简体" w:cs="方正小标宋简体"/>
          <w:color w:val="000000" w:themeColor="text1"/>
          <w:sz w:val="36"/>
          <w:szCs w:val="36"/>
          <w14:textFill>
            <w14:solidFill>
              <w14:schemeClr w14:val="tx1"/>
            </w14:solidFill>
          </w14:textFill>
        </w:rPr>
      </w:pPr>
      <w:bookmarkStart w:id="64" w:name="_Toc215048331"/>
      <w:bookmarkStart w:id="65" w:name="_Toc235000766"/>
      <w:r>
        <w:rPr>
          <w:rFonts w:hint="eastAsia" w:ascii="方正小标宋简体" w:hAnsi="方正小标宋简体" w:eastAsia="方正小标宋简体" w:cs="方正小标宋简体"/>
          <w:color w:val="000000" w:themeColor="text1"/>
          <w:sz w:val="36"/>
          <w:szCs w:val="36"/>
          <w14:textFill>
            <w14:solidFill>
              <w14:schemeClr w14:val="tx1"/>
            </w14:solidFill>
          </w14:textFill>
        </w:rPr>
        <w:t>第七章 推进全面深化改革，增强高质量发展动力</w:t>
      </w:r>
      <w:bookmarkEnd w:id="64"/>
      <w:bookmarkEnd w:id="65"/>
    </w:p>
    <w:p>
      <w:pPr>
        <w:adjustRightInd w:val="0"/>
        <w:snapToGrid w:val="0"/>
        <w:spacing w:line="580" w:lineRule="exact"/>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p>
    <w:p>
      <w:pPr>
        <w:adjustRightInd w:val="0"/>
        <w:snapToGrid w:val="0"/>
        <w:spacing w:line="58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坚持以改革创新为根本动力，深化经济体制改革，破除体制机制障碍。通过激发各类经营主体活力、优化要素市场化配置、落实积极财政金融政策，系统推进重点领域改革，全面提升资源配置效率，增强发展内生动力，构建与高质量发展相适应的体制机制，为现代化新会同建设提供坚实制度保障。</w:t>
      </w:r>
    </w:p>
    <w:p>
      <w:pPr>
        <w:pStyle w:val="24"/>
        <w:adjustRightInd w:val="0"/>
        <w:snapToGrid w:val="0"/>
        <w:spacing w:line="580" w:lineRule="exact"/>
        <w:rPr>
          <w:rFonts w:hint="eastAsia"/>
          <w:color w:val="000000" w:themeColor="text1"/>
          <w14:textFill>
            <w14:solidFill>
              <w14:schemeClr w14:val="tx1"/>
            </w14:solidFill>
          </w14:textFill>
        </w:rPr>
      </w:pPr>
    </w:p>
    <w:p>
      <w:pPr>
        <w:adjustRightInd w:val="0"/>
        <w:snapToGrid w:val="0"/>
        <w:spacing w:line="580" w:lineRule="exact"/>
        <w:jc w:val="center"/>
        <w:outlineLvl w:val="1"/>
        <w:rPr>
          <w:rFonts w:hint="eastAsia" w:ascii="黑体" w:hAnsi="黑体" w:eastAsia="黑体" w:cs="黑体"/>
          <w:color w:val="000000" w:themeColor="text1"/>
          <w:sz w:val="32"/>
          <w:szCs w:val="32"/>
          <w14:textFill>
            <w14:solidFill>
              <w14:schemeClr w14:val="tx1"/>
            </w14:solidFill>
          </w14:textFill>
        </w:rPr>
      </w:pPr>
      <w:bookmarkStart w:id="66" w:name="_Toc215048333"/>
      <w:bookmarkStart w:id="67" w:name="_Toc235000767"/>
      <w:bookmarkStart w:id="68" w:name="_Toc215048332"/>
      <w:r>
        <w:rPr>
          <w:rFonts w:hint="eastAsia" w:ascii="黑体" w:hAnsi="黑体" w:eastAsia="黑体" w:cs="黑体"/>
          <w:color w:val="000000" w:themeColor="text1"/>
          <w:sz w:val="32"/>
          <w:szCs w:val="32"/>
          <w14:textFill>
            <w14:solidFill>
              <w14:schemeClr w14:val="tx1"/>
            </w14:solidFill>
          </w14:textFill>
        </w:rPr>
        <w:t xml:space="preserve">第一节 </w:t>
      </w:r>
      <w:bookmarkEnd w:id="66"/>
      <w:r>
        <w:rPr>
          <w:rFonts w:hint="eastAsia" w:ascii="黑体" w:hAnsi="黑体" w:eastAsia="黑体" w:cs="黑体"/>
          <w:color w:val="000000" w:themeColor="text1"/>
          <w:sz w:val="32"/>
          <w:szCs w:val="32"/>
          <w14:textFill>
            <w14:solidFill>
              <w14:schemeClr w14:val="tx1"/>
            </w14:solidFill>
          </w14:textFill>
        </w:rPr>
        <w:t>充分激发各类经营主体活力</w:t>
      </w:r>
      <w:bookmarkEnd w:id="67"/>
    </w:p>
    <w:p>
      <w:pPr>
        <w:adjustRightInd w:val="0"/>
        <w:snapToGrid w:val="0"/>
        <w:spacing w:line="580" w:lineRule="exact"/>
        <w:ind w:firstLine="602" w:firstLineChars="200"/>
        <w:rPr>
          <w:rFonts w:hint="eastAsia" w:ascii="楷体_GB2312" w:hAnsi="楷体_GB2312" w:eastAsia="楷体_GB2312" w:cs="楷体_GB2312"/>
          <w:b/>
          <w:bCs/>
          <w:color w:val="000000" w:themeColor="text1"/>
          <w:sz w:val="30"/>
          <w:szCs w:val="30"/>
          <w14:textFill>
            <w14:solidFill>
              <w14:schemeClr w14:val="tx1"/>
            </w14:solidFill>
          </w14:textFill>
        </w:rPr>
      </w:pP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深化国资国企改革。</w:t>
      </w:r>
      <w:r>
        <w:rPr>
          <w:rFonts w:hint="eastAsia" w:ascii="仿宋_GB2312" w:hAnsi="仿宋_GB2312" w:eastAsia="仿宋_GB2312" w:cs="仿宋_GB2312"/>
          <w:color w:val="000000" w:themeColor="text1"/>
          <w:sz w:val="32"/>
          <w:szCs w:val="32"/>
          <w14:textFill>
            <w14:solidFill>
              <w14:schemeClr w14:val="tx1"/>
            </w14:solidFill>
          </w14:textFill>
        </w:rPr>
        <w:t>坚持“两个毫不动摇”，增强国有企业在县域经济发展中的战略支撑作用。按要求推动县属国企及平台公司聚焦主责主业，通过战略性重组和专业化整合优化国有资本布局，明确平台公司市场化、专业化转型方向。全面落实现代企业制度建设，支持推行经理层成员任期制和契约化管理，鼓励国有企业开展劳动、人事、分配三项制度改革。稳妥推进混合所有制改革，引入高匹配度、高协同性的战略投资者，促进国有资本与民营资本优势互补、共同发展。通过“一企一策”设定发展目标与考核指标，引导国有企业在绿色能源、现代农业、文旅康养等领域发挥引领作用，为全县高质量发展注入强劲动能。</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优化民营经济发展环境。</w:t>
      </w:r>
      <w:r>
        <w:rPr>
          <w:rFonts w:hint="eastAsia" w:ascii="仿宋_GB2312" w:hAnsi="仿宋_GB2312" w:eastAsia="仿宋_GB2312" w:cs="仿宋_GB2312"/>
          <w:color w:val="000000" w:themeColor="text1"/>
          <w:sz w:val="32"/>
          <w:szCs w:val="32"/>
          <w14:textFill>
            <w14:solidFill>
              <w14:schemeClr w14:val="tx1"/>
            </w14:solidFill>
          </w14:textFill>
        </w:rPr>
        <w:t>依法全面平等保护各类经营主体产权和自主经营权，健全涉企产权纠纷调解和补偿救济机制，严格规范涉企行政执法行为，推行包容审慎监管，为企业发展预留充足空间。全面实施全国统一的市场准入负面清单制度，清理废除妨碍统一市场和公平竞争的规定做法，鼓励民营资本参与“十五五”重大工程项目建设和重点产业发展，特别是在箱包皮具、竹木精深加工、绿色能源、中医药等特色优势领域拓展投资空间。畅通政企沟通渠道，常态化推进“政银保企”对接，着力破解企业发展面临的融资、用工、市场等难题，让民营企业在会同留得住、发展好。</w:t>
      </w:r>
    </w:p>
    <w:p>
      <w:pPr>
        <w:adjustRightInd w:val="0"/>
        <w:snapToGrid w:val="0"/>
        <w:spacing w:line="580" w:lineRule="exact"/>
        <w:ind w:firstLine="643"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支持中小微企业与弘扬企业家精神。</w:t>
      </w:r>
      <w:r>
        <w:rPr>
          <w:rFonts w:hint="eastAsia" w:ascii="仿宋_GB2312" w:hAnsi="仿宋_GB2312" w:eastAsia="仿宋_GB2312" w:cs="仿宋_GB2312"/>
          <w:color w:val="000000" w:themeColor="text1"/>
          <w:sz w:val="32"/>
          <w:szCs w:val="32"/>
          <w14:textFill>
            <w14:solidFill>
              <w14:schemeClr w14:val="tx1"/>
            </w14:solidFill>
          </w14:textFill>
        </w:rPr>
        <w:t>支持面广量大的中小微企业和个体工商户发展，落实各项税费减免、融资支持政策。依托“人社驿站”等平台整合政务服务、金融、物流资源，为中小微企业提供“一站式”创业辅导、技能培训、社保开户等普惠服务，降低综合运营成本。围绕县域主导产业，鼓励产业链“链主”企业发挥引领支撑作用，带动上下游中小微企业融入产业链、供应链，形成大中小企业优势互补、协同发展、互利共赢的产业集群生态。实施民营企业家素质提升工程，培育具有全球视野、精通现代管理的优秀企业家队伍。加强优秀企业家先进事迹和突出贡献的宣传报道，按规定进行表彰奖励。</w:t>
      </w:r>
    </w:p>
    <w:p>
      <w:pPr>
        <w:pStyle w:val="2"/>
        <w:spacing w:after="0" w:line="580" w:lineRule="exact"/>
        <w:rPr>
          <w:color w:val="000000" w:themeColor="text1"/>
          <w14:textFill>
            <w14:solidFill>
              <w14:schemeClr w14:val="tx1"/>
            </w14:solidFill>
          </w14:textFill>
        </w:rPr>
      </w:pPr>
    </w:p>
    <w:p>
      <w:pPr>
        <w:pStyle w:val="2"/>
        <w:spacing w:after="0" w:line="580" w:lineRule="exact"/>
        <w:rPr>
          <w:color w:val="000000" w:themeColor="text1"/>
          <w14:textFill>
            <w14:solidFill>
              <w14:schemeClr w14:val="tx1"/>
            </w14:solidFill>
          </w14:textFill>
        </w:rPr>
      </w:pPr>
    </w:p>
    <w:p>
      <w:pPr>
        <w:spacing w:line="580" w:lineRule="exact"/>
        <w:rPr>
          <w:rFonts w:hint="eastAsia"/>
          <w:color w:val="000000" w:themeColor="text1"/>
          <w14:textFill>
            <w14:solidFill>
              <w14:schemeClr w14:val="tx1"/>
            </w14:solidFill>
          </w14:textFill>
        </w:rPr>
      </w:pPr>
    </w:p>
    <w:p>
      <w:pPr>
        <w:adjustRightInd w:val="0"/>
        <w:snapToGrid w:val="0"/>
        <w:spacing w:line="580" w:lineRule="exact"/>
        <w:jc w:val="center"/>
        <w:outlineLvl w:val="1"/>
        <w:rPr>
          <w:rFonts w:hint="eastAsia" w:ascii="黑体" w:hAnsi="黑体" w:eastAsia="黑体" w:cs="黑体"/>
          <w:color w:val="000000" w:themeColor="text1"/>
          <w:sz w:val="32"/>
          <w:szCs w:val="32"/>
          <w14:textFill>
            <w14:solidFill>
              <w14:schemeClr w14:val="tx1"/>
            </w14:solidFill>
          </w14:textFill>
        </w:rPr>
      </w:pPr>
      <w:bookmarkStart w:id="69" w:name="_Toc235000768"/>
      <w:r>
        <w:rPr>
          <w:rFonts w:hint="eastAsia" w:ascii="黑体" w:hAnsi="黑体" w:eastAsia="黑体" w:cs="黑体"/>
          <w:color w:val="000000" w:themeColor="text1"/>
          <w:sz w:val="32"/>
          <w:szCs w:val="32"/>
          <w14:textFill>
            <w14:solidFill>
              <w14:schemeClr w14:val="tx1"/>
            </w14:solidFill>
          </w14:textFill>
        </w:rPr>
        <w:t xml:space="preserve">第二节 </w:t>
      </w:r>
      <w:bookmarkEnd w:id="68"/>
      <w:r>
        <w:rPr>
          <w:rFonts w:hint="eastAsia" w:ascii="黑体" w:hAnsi="黑体" w:eastAsia="黑体" w:cs="黑体"/>
          <w:color w:val="000000" w:themeColor="text1"/>
          <w:sz w:val="32"/>
          <w:szCs w:val="32"/>
          <w14:textFill>
            <w14:solidFill>
              <w14:schemeClr w14:val="tx1"/>
            </w14:solidFill>
          </w14:textFill>
        </w:rPr>
        <w:t>深化要素市场化配置改革</w:t>
      </w:r>
      <w:bookmarkEnd w:id="69"/>
    </w:p>
    <w:p>
      <w:pPr>
        <w:adjustRightInd w:val="0"/>
        <w:snapToGrid w:val="0"/>
        <w:spacing w:line="580" w:lineRule="exact"/>
        <w:ind w:firstLine="602" w:firstLineChars="200"/>
        <w:rPr>
          <w:rFonts w:hint="eastAsia" w:ascii="楷体_GB2312" w:hAnsi="楷体_GB2312" w:eastAsia="楷体_GB2312" w:cs="楷体_GB2312"/>
          <w:b/>
          <w:bCs/>
          <w:color w:val="000000" w:themeColor="text1"/>
          <w:sz w:val="30"/>
          <w:szCs w:val="30"/>
          <w14:textFill>
            <w14:solidFill>
              <w14:schemeClr w14:val="tx1"/>
            </w14:solidFill>
          </w14:textFill>
        </w:rPr>
      </w:pP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全面摸清资源资产底数。</w:t>
      </w:r>
      <w:r>
        <w:rPr>
          <w:rFonts w:hint="eastAsia" w:ascii="仿宋_GB2312" w:hAnsi="仿宋_GB2312" w:eastAsia="仿宋_GB2312" w:cs="仿宋_GB2312"/>
          <w:color w:val="000000" w:themeColor="text1"/>
          <w:sz w:val="32"/>
          <w:szCs w:val="32"/>
          <w14:textFill>
            <w14:solidFill>
              <w14:schemeClr w14:val="tx1"/>
            </w14:solidFill>
          </w14:textFill>
        </w:rPr>
        <w:t>建立健全涵盖低效用地、闲置房产等国有资源资产的数据库，大力推进国有资源资产化、资本化。对行政事业单位闲置房产、老旧场馆等各类低效闲置资产，通过产权转让、租赁经营、委托运营、资产证券化等多种方式进行盘活，优先用于民生与产业发展。依法稳妥推进符合条件的国有工、商业用地使用权续期工作，制定规范流程，稳定经营主体预期。探索建立县级“公物仓”管理模式，推动办公设施等资产跨部门调剂使用，提升资产使用效率。</w:t>
      </w:r>
    </w:p>
    <w:p>
      <w:pPr>
        <w:adjustRightInd w:val="0"/>
        <w:snapToGrid w:val="0"/>
        <w:spacing w:line="580" w:lineRule="exact"/>
        <w:ind w:firstLine="643" w:firstLineChars="200"/>
        <w:rPr>
          <w:rFonts w:hint="eastAsia" w:ascii="仿宋_GB2312" w:hAnsi="仿宋_GB2312" w:eastAsia="仿宋_GB2312" w:cs="仿宋_GB2312"/>
          <w:color w:val="000000" w:themeColor="text1"/>
          <w:spacing w:val="6"/>
          <w:sz w:val="32"/>
          <w:szCs w:val="32"/>
          <w14:textFill>
            <w14:solidFill>
              <w14:schemeClr w14:val="tx1"/>
            </w14:solidFill>
          </w14:textFill>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创新存量资源盘活模式。</w:t>
      </w:r>
      <w:r>
        <w:rPr>
          <w:rFonts w:hint="eastAsia" w:ascii="仿宋_GB2312" w:hAnsi="仿宋_GB2312" w:eastAsia="仿宋_GB2312" w:cs="仿宋_GB2312"/>
          <w:color w:val="000000" w:themeColor="text1"/>
          <w:sz w:val="32"/>
          <w:szCs w:val="32"/>
          <w14:textFill>
            <w14:solidFill>
              <w14:schemeClr w14:val="tx1"/>
            </w14:solidFill>
          </w14:textFill>
        </w:rPr>
        <w:t>深化批而未供和闲置土地处置工作，建立“一地一策”台账，通过完善手续、规划调优、招商引资等方式加快再利用。积极争取并用好地方政府专项债券，支持存量土地回收与整体。推进农村集体经营性建设用地入市，</w:t>
      </w:r>
      <w:r>
        <w:rPr>
          <w:rFonts w:hint="eastAsia" w:ascii="仿宋_GB2312" w:hAnsi="仿宋_GB2312" w:eastAsia="仿宋_GB2312" w:cs="仿宋_GB2312"/>
          <w:color w:val="000000" w:themeColor="text1"/>
          <w:spacing w:val="6"/>
          <w:sz w:val="32"/>
          <w:szCs w:val="32"/>
          <w14:textFill>
            <w14:solidFill>
              <w14:schemeClr w14:val="tx1"/>
            </w14:solidFill>
          </w14:textFill>
        </w:rPr>
        <w:t>探索盘活闲置宅基地和农房资源。推进生态产品价值实现机制试点改革工作，升级创新“林权贷”，依托县农村产权交易中心平台，探索推进竹林经营收益权、碳排放权、自然资源资产组合供应等权益交易，推动生态优势转化为经济优势、发展胜势。</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健全改革推进与保障机制。</w:t>
      </w:r>
      <w:r>
        <w:rPr>
          <w:rFonts w:hint="eastAsia" w:ascii="仿宋_GB2312" w:hAnsi="仿宋_GB2312" w:eastAsia="仿宋_GB2312" w:cs="仿宋_GB2312"/>
          <w:color w:val="000000" w:themeColor="text1"/>
          <w:sz w:val="32"/>
          <w:szCs w:val="32"/>
          <w14:textFill>
            <w14:solidFill>
              <w14:schemeClr w14:val="tx1"/>
            </w14:solidFill>
          </w14:textFill>
        </w:rPr>
        <w:t>围绕要素配置关键环节，每年推出县级重点改革任务清单，明确责任与时限，实行台账式闭环管理。整合运用地方政府专项债券等工具，为存量土地收储、基础设施更新提供资金支持。加强财政、自然资源、发改等部门的协同联动，共同研究解决要素盘活中的规划、资金和产权问题，形成政策合力。健全容错纠错机制，对在探索创新中因缺乏经验、政策不明导致的非主观过错，依规依纪依法予以免责或减轻责任，激励担当作为。</w:t>
      </w:r>
    </w:p>
    <w:p>
      <w:pPr>
        <w:adjustRightInd w:val="0"/>
        <w:snapToGrid w:val="0"/>
        <w:spacing w:line="580" w:lineRule="exact"/>
        <w:rPr>
          <w:rFonts w:hint="eastAsia" w:ascii="仿宋_GB2312" w:hAnsi="仿宋_GB2312" w:eastAsia="仿宋_GB2312" w:cs="仿宋_GB2312"/>
          <w:color w:val="000000" w:themeColor="text1"/>
          <w:sz w:val="30"/>
          <w:szCs w:val="30"/>
          <w14:textFill>
            <w14:solidFill>
              <w14:schemeClr w14:val="tx1"/>
            </w14:solidFill>
          </w14:textFill>
        </w:rPr>
      </w:pPr>
    </w:p>
    <w:p>
      <w:pPr>
        <w:adjustRightInd w:val="0"/>
        <w:snapToGrid w:val="0"/>
        <w:spacing w:line="580" w:lineRule="exact"/>
        <w:jc w:val="center"/>
        <w:outlineLvl w:val="1"/>
        <w:rPr>
          <w:rFonts w:hint="eastAsia" w:ascii="黑体" w:hAnsi="黑体" w:eastAsia="黑体" w:cs="黑体"/>
          <w:color w:val="000000" w:themeColor="text1"/>
          <w:sz w:val="32"/>
          <w:szCs w:val="32"/>
          <w14:textFill>
            <w14:solidFill>
              <w14:schemeClr w14:val="tx1"/>
            </w14:solidFill>
          </w14:textFill>
        </w:rPr>
      </w:pPr>
      <w:bookmarkStart w:id="70" w:name="_Toc235000769"/>
      <w:r>
        <w:rPr>
          <w:rFonts w:hint="eastAsia" w:ascii="黑体" w:hAnsi="黑体" w:eastAsia="黑体" w:cs="黑体"/>
          <w:color w:val="000000" w:themeColor="text1"/>
          <w:sz w:val="32"/>
          <w:szCs w:val="32"/>
          <w14:textFill>
            <w14:solidFill>
              <w14:schemeClr w14:val="tx1"/>
            </w14:solidFill>
          </w14:textFill>
        </w:rPr>
        <w:t>第三节 落实积极财政金融政策</w:t>
      </w:r>
      <w:bookmarkEnd w:id="70"/>
    </w:p>
    <w:p>
      <w:pPr>
        <w:overflowPunct w:val="0"/>
        <w:adjustRightInd w:val="0"/>
        <w:snapToGrid w:val="0"/>
        <w:spacing w:line="580" w:lineRule="exact"/>
        <w:ind w:firstLine="602" w:firstLineChars="200"/>
        <w:rPr>
          <w:rFonts w:hint="eastAsia" w:ascii="楷体_GB2312" w:hAnsi="楷体_GB2312" w:eastAsia="楷体_GB2312" w:cs="楷体_GB2312"/>
          <w:b/>
          <w:bCs/>
          <w:color w:val="000000" w:themeColor="text1"/>
          <w:sz w:val="30"/>
          <w:szCs w:val="30"/>
          <w14:textFill>
            <w14:solidFill>
              <w14:schemeClr w14:val="tx1"/>
            </w14:solidFill>
          </w14:textFill>
        </w:rPr>
      </w:pPr>
    </w:p>
    <w:p>
      <w:pPr>
        <w:overflowPunct w:val="0"/>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深化财政管理改革。</w:t>
      </w:r>
      <w:r>
        <w:rPr>
          <w:rFonts w:hint="eastAsia" w:ascii="仿宋_GB2312" w:hAnsi="仿宋_GB2312" w:eastAsia="仿宋_GB2312" w:cs="仿宋_GB2312"/>
          <w:color w:val="000000" w:themeColor="text1"/>
          <w:sz w:val="32"/>
          <w:szCs w:val="32"/>
          <w14:textFill>
            <w14:solidFill>
              <w14:schemeClr w14:val="tx1"/>
            </w14:solidFill>
          </w14:textFill>
        </w:rPr>
        <w:t>用好用足更加积极的财政政策，全面加强财政资源科学统筹和预算管理，强化重大战略任务和基本民生财力保障。</w:t>
      </w:r>
      <w:r>
        <w:rPr>
          <w:rFonts w:ascii="Times New Roman" w:hAnsi="Times New Roman" w:eastAsia="仿宋" w:cs="Times New Roman"/>
          <w:snapToGrid w:val="0"/>
          <w:color w:val="000000" w:themeColor="text1"/>
          <w:spacing w:val="-5"/>
          <w:kern w:val="0"/>
          <w:sz w:val="32"/>
          <w:szCs w:val="32"/>
          <w14:textFill>
            <w14:solidFill>
              <w14:schemeClr w14:val="tx1"/>
            </w14:solidFill>
          </w14:textFill>
        </w:rPr>
        <w:t>持续推进零基预算改革，重构预算编制逻辑，优化财政支出结构。全面实施预算绩效管理，构建全方位、全过程、全覆盖的预算绩效管理体系。加快</w:t>
      </w:r>
      <w:r>
        <w:rPr>
          <w:rFonts w:hint="eastAsia" w:ascii="Times New Roman" w:hAnsi="Times New Roman" w:cs="Times New Roman"/>
          <w:snapToGrid w:val="0"/>
          <w:color w:val="000000" w:themeColor="text1"/>
          <w:spacing w:val="-5"/>
          <w:kern w:val="0"/>
          <w:sz w:val="32"/>
          <w:szCs w:val="32"/>
          <w14:textFill>
            <w14:solidFill>
              <w14:schemeClr w14:val="tx1"/>
            </w14:solidFill>
          </w14:textFill>
        </w:rPr>
        <w:t>“</w:t>
      </w:r>
      <w:r>
        <w:rPr>
          <w:rFonts w:ascii="Times New Roman" w:hAnsi="Times New Roman" w:eastAsia="仿宋" w:cs="Times New Roman"/>
          <w:snapToGrid w:val="0"/>
          <w:color w:val="000000" w:themeColor="text1"/>
          <w:spacing w:val="-5"/>
          <w:kern w:val="0"/>
          <w:sz w:val="32"/>
          <w:szCs w:val="32"/>
          <w14:textFill>
            <w14:solidFill>
              <w14:schemeClr w14:val="tx1"/>
            </w14:solidFill>
          </w14:textFill>
        </w:rPr>
        <w:t>数字财政</w:t>
      </w:r>
      <w:r>
        <w:rPr>
          <w:rFonts w:hint="eastAsia" w:ascii="Times New Roman" w:hAnsi="Times New Roman" w:cs="Times New Roman"/>
          <w:snapToGrid w:val="0"/>
          <w:color w:val="000000" w:themeColor="text1"/>
          <w:spacing w:val="-5"/>
          <w:kern w:val="0"/>
          <w:sz w:val="32"/>
          <w:szCs w:val="32"/>
          <w14:textFill>
            <w14:solidFill>
              <w14:schemeClr w14:val="tx1"/>
            </w14:solidFill>
          </w14:textFill>
        </w:rPr>
        <w:t>”“</w:t>
      </w:r>
      <w:r>
        <w:rPr>
          <w:rFonts w:ascii="Times New Roman" w:hAnsi="Times New Roman" w:eastAsia="仿宋" w:cs="Times New Roman"/>
          <w:snapToGrid w:val="0"/>
          <w:color w:val="000000" w:themeColor="text1"/>
          <w:spacing w:val="-5"/>
          <w:kern w:val="0"/>
          <w:sz w:val="32"/>
          <w:szCs w:val="32"/>
          <w14:textFill>
            <w14:solidFill>
              <w14:schemeClr w14:val="tx1"/>
            </w14:solidFill>
          </w14:textFill>
        </w:rPr>
        <w:t>数字税务</w:t>
      </w:r>
      <w:r>
        <w:rPr>
          <w:rFonts w:hint="eastAsia" w:ascii="Times New Roman" w:hAnsi="Times New Roman" w:cs="Times New Roman"/>
          <w:snapToGrid w:val="0"/>
          <w:color w:val="000000" w:themeColor="text1"/>
          <w:spacing w:val="-5"/>
          <w:kern w:val="0"/>
          <w:sz w:val="32"/>
          <w:szCs w:val="32"/>
          <w14:textFill>
            <w14:solidFill>
              <w14:schemeClr w14:val="tx1"/>
            </w14:solidFill>
          </w14:textFill>
        </w:rPr>
        <w:t>”</w:t>
      </w:r>
      <w:r>
        <w:rPr>
          <w:rFonts w:ascii="Times New Roman" w:hAnsi="Times New Roman" w:eastAsia="仿宋" w:cs="Times New Roman"/>
          <w:snapToGrid w:val="0"/>
          <w:color w:val="000000" w:themeColor="text1"/>
          <w:spacing w:val="-5"/>
          <w:kern w:val="0"/>
          <w:sz w:val="32"/>
          <w:szCs w:val="32"/>
          <w14:textFill>
            <w14:solidFill>
              <w14:schemeClr w14:val="tx1"/>
            </w14:solidFill>
          </w14:textFill>
        </w:rPr>
        <w:t>建设，运用大数据、云计算等技术手段优化财税管理方式。</w:t>
      </w:r>
      <w:r>
        <w:rPr>
          <w:rFonts w:hint="eastAsia" w:ascii="仿宋_GB2312" w:hAnsi="仿宋_GB2312" w:eastAsia="仿宋_GB2312" w:cs="仿宋_GB2312"/>
          <w:color w:val="000000" w:themeColor="text1"/>
          <w:sz w:val="32"/>
          <w:szCs w:val="32"/>
          <w14:textFill>
            <w14:solidFill>
              <w14:schemeClr w14:val="tx1"/>
            </w14:solidFill>
          </w14:textFill>
        </w:rPr>
        <w:t>根据发展实际需要和项目轻重缓急，精准配置财政资源，重点向“一主一特”产业培育、城乡融合、民生改善等领域倾斜。依法依规组织财政收入，严格落实国家税制改革安排和各项减税降费政策，规范税收优惠政策管理，激发市场主体活力。严格执行财政部“一揽子化债政策”，落实湖南省“穿透式监管”机制，筑牢风险防控底线，确保财政平稳健康运行。加强财会监督，切实提升财政资金使用的规范性、安全性和有效性。</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优化金融服务体系。</w:t>
      </w:r>
      <w:r>
        <w:rPr>
          <w:rFonts w:hint="eastAsia" w:ascii="仿宋_GB2312" w:hAnsi="仿宋_GB2312" w:eastAsia="仿宋_GB2312" w:cs="仿宋_GB2312"/>
          <w:color w:val="000000" w:themeColor="text1"/>
          <w:sz w:val="32"/>
          <w:szCs w:val="32"/>
          <w14:textFill>
            <w14:solidFill>
              <w14:schemeClr w14:val="tx1"/>
            </w14:solidFill>
          </w14:textFill>
        </w:rPr>
        <w:t>围绕县域产业及乡村振兴需求，做好科技金融、绿色金融、普惠金融、养老金融、数字金融“五篇大文章”，提升金融资源配置效率，增强金融服务实体经济能力。强化金融对重点项目的支撑，优先保障怀化国际陆港·会同分港、蒲稳罗皮冲风电场等县域重大项目建设，以及产业园区内箱包、竹木加工等重点企业的融资需求。落实政银保企常态化对接机制，定期组织专题融资对接。鼓励金融机构创新特色金融产品，提升中小微企业信贷可获得性。</w:t>
      </w:r>
    </w:p>
    <w:p>
      <w:pPr>
        <w:adjustRightInd w:val="0"/>
        <w:snapToGrid w:val="0"/>
        <w:spacing w:line="580" w:lineRule="exact"/>
        <w:ind w:firstLine="643" w:firstLineChars="200"/>
        <w:rPr>
          <w:rFonts w:hint="eastAsia" w:ascii="仿宋_GB2312" w:hAnsi="仿宋_GB2312" w:eastAsia="仿宋_GB2312" w:cs="仿宋_GB2312"/>
          <w:color w:val="000000" w:themeColor="text1"/>
          <w:spacing w:val="-6"/>
          <w:sz w:val="30"/>
          <w:szCs w:val="30"/>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强化金融风险防控。</w:t>
      </w:r>
      <w:r>
        <w:rPr>
          <w:rFonts w:hint="eastAsia" w:ascii="仿宋_GB2312" w:hAnsi="仿宋_GB2312" w:eastAsia="仿宋_GB2312" w:cs="仿宋_GB2312"/>
          <w:color w:val="000000" w:themeColor="text1"/>
          <w:sz w:val="32"/>
          <w:szCs w:val="32"/>
          <w14:textFill>
            <w14:solidFill>
              <w14:schemeClr w14:val="tx1"/>
            </w14:solidFill>
          </w14:textFill>
        </w:rPr>
        <w:t>坚决守住不发生区域性金融风险的底线。强化监管协同，建立健全跨部门的金融风险监测、预警和处置协调机制，加强对重点领域、重点机构的风险排查。完善风险处置手段和市场退出机制，</w:t>
      </w:r>
      <w:r>
        <w:rPr>
          <w:rFonts w:hint="eastAsia" w:ascii="仿宋_GB2312" w:hAnsi="仿宋_GB2312" w:eastAsia="仿宋_GB2312" w:cs="仿宋_GB2312"/>
          <w:color w:val="000000" w:themeColor="text1"/>
          <w:spacing w:val="-6"/>
          <w:sz w:val="32"/>
          <w:szCs w:val="32"/>
          <w14:textFill>
            <w14:solidFill>
              <w14:schemeClr w14:val="tx1"/>
            </w14:solidFill>
          </w14:textFill>
        </w:rPr>
        <w:t>重点关注地方法人金融机构风险、企业信用违约风险以及非法金融活动风险，加强投资者教育和消费者权益保护，营造良好的金融生态。</w:t>
      </w:r>
      <w:r>
        <w:rPr>
          <w:rFonts w:hint="eastAsia" w:ascii="仿宋_GB2312" w:hAnsi="仿宋_GB2312" w:eastAsia="仿宋_GB2312" w:cs="仿宋_GB2312"/>
          <w:color w:val="000000" w:themeColor="text1"/>
          <w:spacing w:val="-6"/>
          <w:sz w:val="30"/>
          <w:szCs w:val="30"/>
          <w14:textFill>
            <w14:solidFill>
              <w14:schemeClr w14:val="tx1"/>
            </w14:solidFill>
          </w14:textFill>
        </w:rPr>
        <w:br w:type="page"/>
      </w:r>
    </w:p>
    <w:p>
      <w:pPr>
        <w:adjustRightInd w:val="0"/>
        <w:snapToGrid w:val="0"/>
        <w:spacing w:line="580" w:lineRule="exact"/>
        <w:jc w:val="center"/>
        <w:outlineLvl w:val="0"/>
        <w:rPr>
          <w:rFonts w:hint="eastAsia" w:ascii="方正小标宋简体" w:hAnsi="方正小标宋简体" w:eastAsia="方正小标宋简体" w:cs="方正小标宋简体"/>
          <w:color w:val="000000" w:themeColor="text1"/>
          <w:sz w:val="36"/>
          <w:szCs w:val="36"/>
          <w14:textFill>
            <w14:solidFill>
              <w14:schemeClr w14:val="tx1"/>
            </w14:solidFill>
          </w14:textFill>
        </w:rPr>
      </w:pPr>
      <w:bookmarkStart w:id="71" w:name="_Toc235000770"/>
      <w:r>
        <w:rPr>
          <w:rFonts w:hint="eastAsia" w:ascii="方正小标宋简体" w:hAnsi="方正小标宋简体" w:eastAsia="方正小标宋简体" w:cs="方正小标宋简体"/>
          <w:color w:val="000000" w:themeColor="text1"/>
          <w:sz w:val="36"/>
          <w:szCs w:val="36"/>
          <w14:textFill>
            <w14:solidFill>
              <w14:schemeClr w14:val="tx1"/>
            </w14:solidFill>
          </w14:textFill>
        </w:rPr>
        <w:t>第八章 强化区域协同共进，开创开放发展新局面</w:t>
      </w:r>
      <w:bookmarkEnd w:id="71"/>
    </w:p>
    <w:p>
      <w:pPr>
        <w:adjustRightInd w:val="0"/>
        <w:snapToGrid w:val="0"/>
        <w:spacing w:line="580" w:lineRule="exact"/>
        <w:jc w:val="center"/>
        <w:rPr>
          <w:rFonts w:hint="eastAsia" w:ascii="仿宋_GB2312" w:hAnsi="仿宋_GB2312" w:eastAsia="仿宋_GB2312" w:cs="仿宋_GB2312"/>
          <w:color w:val="000000" w:themeColor="text1"/>
          <w:sz w:val="32"/>
          <w:szCs w:val="32"/>
          <w14:textFill>
            <w14:solidFill>
              <w14:schemeClr w14:val="tx1"/>
            </w14:solidFill>
          </w14:textFill>
        </w:rPr>
      </w:pPr>
    </w:p>
    <w:p>
      <w:pPr>
        <w:adjustRightInd w:val="0"/>
        <w:snapToGrid w:val="0"/>
        <w:spacing w:line="58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坚持开放引领发展战略，深度融入国家区域发展格局，构建全方位开放体系。加快构建“1+3+N”开放平台矩阵，重点做大做强1个陆港核心区，建设箱包、竹木、中药材3大特色出口基地，布局N个海外仓与境外营销网络。通过优化区域协同空间布局、培育外向型经济新优势、提升分港平台功能，实施更大范围、更宽领域、更深层次对外开放，打造内陆地区改革开放新高地。</w:t>
      </w:r>
    </w:p>
    <w:p>
      <w:pPr>
        <w:adjustRightInd w:val="0"/>
        <w:snapToGrid w:val="0"/>
        <w:spacing w:line="580" w:lineRule="exact"/>
        <w:rPr>
          <w:rFonts w:hint="eastAsia" w:ascii="仿宋_GB2312" w:hAnsi="仿宋_GB2312" w:eastAsia="仿宋_GB2312" w:cs="仿宋_GB2312"/>
          <w:color w:val="000000" w:themeColor="text1"/>
          <w:sz w:val="30"/>
          <w:szCs w:val="30"/>
          <w14:textFill>
            <w14:solidFill>
              <w14:schemeClr w14:val="tx1"/>
            </w14:solidFill>
          </w14:textFill>
        </w:rPr>
      </w:pPr>
    </w:p>
    <w:p>
      <w:pPr>
        <w:adjustRightInd w:val="0"/>
        <w:snapToGrid w:val="0"/>
        <w:spacing w:line="580" w:lineRule="exact"/>
        <w:jc w:val="center"/>
        <w:outlineLvl w:val="1"/>
        <w:rPr>
          <w:rFonts w:hint="eastAsia" w:ascii="黑体" w:hAnsi="黑体" w:eastAsia="黑体" w:cs="黑体"/>
          <w:color w:val="000000" w:themeColor="text1"/>
          <w:sz w:val="32"/>
          <w:szCs w:val="32"/>
          <w14:textFill>
            <w14:solidFill>
              <w14:schemeClr w14:val="tx1"/>
            </w14:solidFill>
          </w14:textFill>
        </w:rPr>
      </w:pPr>
      <w:bookmarkStart w:id="72" w:name="_Toc235000771"/>
      <w:r>
        <w:rPr>
          <w:rFonts w:hint="eastAsia" w:ascii="黑体" w:hAnsi="黑体" w:eastAsia="黑体" w:cs="黑体"/>
          <w:color w:val="000000" w:themeColor="text1"/>
          <w:sz w:val="32"/>
          <w:szCs w:val="32"/>
          <w14:textFill>
            <w14:solidFill>
              <w14:schemeClr w14:val="tx1"/>
            </w14:solidFill>
          </w14:textFill>
        </w:rPr>
        <w:t>第一节 全力打造会同分港发展新平台</w:t>
      </w:r>
      <w:bookmarkEnd w:id="72"/>
    </w:p>
    <w:p>
      <w:pPr>
        <w:adjustRightInd w:val="0"/>
        <w:snapToGrid w:val="0"/>
        <w:spacing w:line="580" w:lineRule="exact"/>
        <w:ind w:firstLine="602" w:firstLineChars="200"/>
        <w:rPr>
          <w:rFonts w:hint="eastAsia" w:ascii="楷体_GB2312" w:hAnsi="楷体_GB2312" w:eastAsia="楷体_GB2312" w:cs="楷体_GB2312"/>
          <w:b/>
          <w:bCs/>
          <w:color w:val="000000" w:themeColor="text1"/>
          <w:sz w:val="30"/>
          <w:szCs w:val="30"/>
          <w14:textFill>
            <w14:solidFill>
              <w14:schemeClr w14:val="tx1"/>
            </w14:solidFill>
          </w14:textFill>
        </w:rPr>
      </w:pP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加快推进怀化国际陆港·会同分港建设。</w:t>
      </w:r>
      <w:r>
        <w:rPr>
          <w:rFonts w:hint="eastAsia" w:ascii="仿宋_GB2312" w:hAnsi="仿宋_GB2312" w:eastAsia="仿宋_GB2312" w:cs="仿宋_GB2312"/>
          <w:color w:val="000000" w:themeColor="text1"/>
          <w:sz w:val="32"/>
          <w:szCs w:val="32"/>
          <w14:textFill>
            <w14:solidFill>
              <w14:schemeClr w14:val="tx1"/>
            </w14:solidFill>
          </w14:textFill>
        </w:rPr>
        <w:t>着力构建现代化物流基础设施体系。重点推进冷链物流区、智慧仓储区和配套服务区三大功能区建设。确保港区在“十五五”初期建成投用，积极争取“同港同价”政策覆盖，显著降低县域企业跨境物流成本。深化与物料行业龙头企业战略合作，完善口岸功能与集疏运体系，提升港口运营效率和服务水平，将会同分港打造成为怀化南片区要素集聚、功能完备的重要物流节点，为承接国内外高梯度产业和资本转移提供坚实平台支撑。</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构建高效跨境物流网络。</w:t>
      </w:r>
      <w:r>
        <w:rPr>
          <w:rFonts w:hint="eastAsia" w:ascii="仿宋_GB2312" w:hAnsi="仿宋_GB2312" w:eastAsia="仿宋_GB2312" w:cs="仿宋_GB2312"/>
          <w:color w:val="000000" w:themeColor="text1"/>
          <w:sz w:val="32"/>
          <w:szCs w:val="32"/>
          <w14:textFill>
            <w14:solidFill>
              <w14:schemeClr w14:val="tx1"/>
            </w14:solidFill>
          </w14:textFill>
        </w:rPr>
        <w:t>积极构建“怀化陆港—会同专线—东盟市场”的高效跨境供应链和物流网络。大力发展跨境物流，持续开拓中老、中越等国际铁路班列线路，力争班列开行数量和货物吞吐量稳步增长。完善冷链物流体系，建设智慧冷链数字化物流中心，支撑本地特色农副产品进出口。加快发展电商物流，完善县乡村三级物流体系，促进线上线下融合发展。创新多式联运模式，推进公铁联运、铁海联运有效衔接，积极对接西部陆海新通道，将会同分港打造成为湘西南地区辐射东盟、连通内外的重要多式联运物流枢纽和贸易“桥头堡”，显著提升区域物流集散与辐射能力。</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拓展国际交流合作。</w:t>
      </w:r>
      <w:r>
        <w:rPr>
          <w:rFonts w:hint="eastAsia" w:ascii="仿宋_GB2312" w:hAnsi="仿宋_GB2312" w:eastAsia="仿宋_GB2312" w:cs="仿宋_GB2312"/>
          <w:color w:val="000000" w:themeColor="text1"/>
          <w:sz w:val="32"/>
          <w:szCs w:val="32"/>
          <w14:textFill>
            <w14:solidFill>
              <w14:schemeClr w14:val="tx1"/>
            </w14:solidFill>
          </w14:textFill>
        </w:rPr>
        <w:t>以会同分港为开放支点，深度融入西部陆海新通道建设，拓展国际交流合作新空间。着力促进经贸合作深度融合，依托港区大力发展箱包、竹木深加工、绿色食品等临港产业，支持重点企业利用跨境供应链拓展东盟市场，推动“会同制造”走出去。积极促进民心相通，借助中国—东盟经贸合作框架，开展文旅推介、产品展销等人文交流活动，持续打造文旅品牌，推动粟裕故里红培基地等文旅项目与东盟旅游市场对接。通过港产城一体化发展，使会同分港成为物流枢纽、产业高地和国际交往窗口，全面提升县域开放型经济发展水平。</w:t>
      </w:r>
    </w:p>
    <w:p>
      <w:pPr>
        <w:adjustRightInd w:val="0"/>
        <w:snapToGrid w:val="0"/>
        <w:spacing w:line="580" w:lineRule="exact"/>
        <w:jc w:val="left"/>
        <w:rPr>
          <w:rFonts w:hint="eastAsia" w:ascii="仿宋_GB2312" w:hAnsi="仿宋_GB2312" w:eastAsia="仿宋_GB2312" w:cs="仿宋_GB2312"/>
          <w:color w:val="000000" w:themeColor="text1"/>
          <w:sz w:val="32"/>
          <w:szCs w:val="32"/>
          <w14:textFill>
            <w14:solidFill>
              <w14:schemeClr w14:val="tx1"/>
            </w14:solidFill>
          </w14:textFill>
        </w:rPr>
      </w:pPr>
    </w:p>
    <w:p>
      <w:pPr>
        <w:adjustRightInd w:val="0"/>
        <w:snapToGrid w:val="0"/>
        <w:spacing w:line="580" w:lineRule="exact"/>
        <w:jc w:val="center"/>
        <w:outlineLvl w:val="1"/>
        <w:rPr>
          <w:rFonts w:hint="eastAsia" w:ascii="黑体" w:hAnsi="黑体" w:eastAsia="黑体" w:cs="黑体"/>
          <w:color w:val="000000" w:themeColor="text1"/>
          <w:sz w:val="32"/>
          <w:szCs w:val="32"/>
          <w14:textFill>
            <w14:solidFill>
              <w14:schemeClr w14:val="tx1"/>
            </w14:solidFill>
          </w14:textFill>
        </w:rPr>
      </w:pPr>
      <w:bookmarkStart w:id="73" w:name="_Toc235000772"/>
      <w:r>
        <w:rPr>
          <w:rFonts w:hint="eastAsia" w:ascii="黑体" w:hAnsi="黑体" w:eastAsia="黑体" w:cs="黑体"/>
          <w:color w:val="000000" w:themeColor="text1"/>
          <w:sz w:val="32"/>
          <w:szCs w:val="32"/>
          <w14:textFill>
            <w14:solidFill>
              <w14:schemeClr w14:val="tx1"/>
            </w14:solidFill>
          </w14:textFill>
        </w:rPr>
        <w:t>第二节 抢抓外向型经济发展新机遇</w:t>
      </w:r>
      <w:bookmarkEnd w:id="73"/>
    </w:p>
    <w:p>
      <w:pPr>
        <w:adjustRightInd w:val="0"/>
        <w:snapToGrid w:val="0"/>
        <w:spacing w:line="580" w:lineRule="exact"/>
        <w:ind w:firstLine="643" w:firstLineChars="200"/>
        <w:rPr>
          <w:rFonts w:hint="eastAsia" w:ascii="楷体_GB2312" w:hAnsi="楷体_GB2312" w:eastAsia="楷体_GB2312" w:cs="楷体_GB2312"/>
          <w:b/>
          <w:bCs/>
          <w:color w:val="000000" w:themeColor="text1"/>
          <w:sz w:val="32"/>
          <w:szCs w:val="32"/>
          <w14:textFill>
            <w14:solidFill>
              <w14:schemeClr w14:val="tx1"/>
            </w14:solidFill>
          </w14:textFill>
        </w:rPr>
      </w:pP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实施外向型企业培育工程。</w:t>
      </w:r>
      <w:r>
        <w:rPr>
          <w:rFonts w:hint="eastAsia" w:ascii="仿宋_GB2312" w:hAnsi="仿宋_GB2312" w:eastAsia="仿宋_GB2312" w:cs="仿宋_GB2312"/>
          <w:color w:val="000000" w:themeColor="text1"/>
          <w:sz w:val="32"/>
          <w:szCs w:val="32"/>
          <w14:textFill>
            <w14:solidFill>
              <w14:schemeClr w14:val="tx1"/>
            </w14:solidFill>
          </w14:textFill>
        </w:rPr>
        <w:t>立健全外贸企业孵化机制，重点推动箱包皮具、竹木深加工、绿色农林产品等领域生产企业开展进出口业务。创新“全程代办”、“五个到位”等服务模式，优化企业出海流程，着力培育一批进出口骨干企业。积极融入西部陆海新通道建设，拓展至东盟、中亚等地区的国际物流通道，完善口岸功能配套，为外向型经济发展提供全方位支撑，推动全县对外贸易总量规模实现跨越式增长。</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推动贸易结构优化与转型升级。</w:t>
      </w:r>
      <w:r>
        <w:rPr>
          <w:rFonts w:hint="eastAsia" w:ascii="仿宋_GB2312" w:hAnsi="仿宋_GB2312" w:eastAsia="仿宋_GB2312" w:cs="仿宋_GB2312"/>
          <w:color w:val="000000" w:themeColor="text1"/>
          <w:sz w:val="32"/>
          <w:szCs w:val="32"/>
          <w14:textFill>
            <w14:solidFill>
              <w14:schemeClr w14:val="tx1"/>
            </w14:solidFill>
          </w14:textFill>
        </w:rPr>
        <w:t>巩固提升货物贸易，做大做强箱包、竹木家具等特色产品出口，积极发展玉米、木薯、矿石、煤炭等加工贸易，延伸价值链。大力发展跨境电商，依托县级物流中心和“客货邮”融合体系，建设跨境电商公共服务平台，支持企业通过海外仓、线上平台开拓国际市场。促进市场采购贸易方式集群发展，探索建设面向特色产业的贸易集聚区。积极培育数字贸易、中间品贸易、绿色贸易等新增长点，推动贸易全流程数字化改造，</w:t>
      </w:r>
      <w:r>
        <w:rPr>
          <w:rFonts w:hint="eastAsia" w:ascii="仿宋_GB2312" w:hAnsi="仿宋_GB2312" w:eastAsia="仿宋_GB2312" w:cs="仿宋_GB2312"/>
          <w:color w:val="000000" w:themeColor="text1"/>
          <w:spacing w:val="-6"/>
          <w:sz w:val="32"/>
          <w:szCs w:val="32"/>
          <w14:textFill>
            <w14:solidFill>
              <w14:schemeClr w14:val="tx1"/>
            </w14:solidFill>
          </w14:textFill>
        </w:rPr>
        <w:t>支持竹木新材料、精密电子元件等中间产品进出口，鼓励竹代塑产品、低碳箱包等绿色低碳产品出口，构建多元互补的贸易结构体系。</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创新发展服务贸易。</w:t>
      </w:r>
      <w:r>
        <w:rPr>
          <w:rFonts w:hint="eastAsia" w:ascii="仿宋_GB2312" w:hAnsi="仿宋_GB2312" w:eastAsia="仿宋_GB2312" w:cs="仿宋_GB2312"/>
          <w:color w:val="000000" w:themeColor="text1"/>
          <w:sz w:val="32"/>
          <w:szCs w:val="32"/>
          <w14:textFill>
            <w14:solidFill>
              <w14:schemeClr w14:val="tx1"/>
            </w14:solidFill>
          </w14:textFill>
        </w:rPr>
        <w:t>重点拓展与现代制造业相匹配的研发设计、检验检测、国际物流等生产性服务贸易。全面落实跨境服务贸易负面清单管理制度，放宽市场准入，提升服务贸易自由化便利化水平。构建外向型产业支撑体系，围绕箱包、竹木、中药材等优势产业建设外贸转型升级基地，推动“会同制造”品牌国际化。完善政策促进体系，优化跨境金融、风险管理等专业服务供给，用足用好外贸促进政策，强化出口信用保险支撑，营造与国际接轨的贸易发展环境，形成货物贸易与服务贸易协同并进的发展新格局。</w:t>
      </w:r>
    </w:p>
    <w:p>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仿宋_GB2312" w:eastAsia="仿宋_GB2312" w:cs="仿宋_GB2312"/>
          <w:color w:val="000000" w:themeColor="text1"/>
          <w:sz w:val="30"/>
          <w:szCs w:val="30"/>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outlineLvl w:val="1"/>
        <w:rPr>
          <w:rFonts w:hint="eastAsia" w:ascii="黑体" w:hAnsi="黑体" w:eastAsia="黑体" w:cs="黑体"/>
          <w:color w:val="000000" w:themeColor="text1"/>
          <w:sz w:val="32"/>
          <w:szCs w:val="32"/>
          <w14:textFill>
            <w14:solidFill>
              <w14:schemeClr w14:val="tx1"/>
            </w14:solidFill>
          </w14:textFill>
        </w:rPr>
      </w:pPr>
      <w:bookmarkStart w:id="74" w:name="_Toc235000773"/>
      <w:r>
        <w:rPr>
          <w:rFonts w:hint="eastAsia" w:ascii="黑体" w:hAnsi="黑体" w:eastAsia="黑体" w:cs="黑体"/>
          <w:color w:val="000000" w:themeColor="text1"/>
          <w:sz w:val="32"/>
          <w:szCs w:val="32"/>
          <w14:textFill>
            <w14:solidFill>
              <w14:schemeClr w14:val="tx1"/>
            </w14:solidFill>
          </w14:textFill>
        </w:rPr>
        <w:t>第三节 构建区域协同发展新空间</w:t>
      </w:r>
      <w:bookmarkEnd w:id="74"/>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楷体_GB2312" w:hAnsi="楷体_GB2312" w:eastAsia="楷体_GB2312" w:cs="楷体_GB2312"/>
          <w:b/>
          <w:bCs/>
          <w:color w:val="000000" w:themeColor="text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深度对接国家战略。</w:t>
      </w:r>
      <w:r>
        <w:rPr>
          <w:rFonts w:hint="eastAsia" w:ascii="仿宋_GB2312" w:hAnsi="仿宋_GB2312" w:eastAsia="仿宋_GB2312" w:cs="仿宋_GB2312"/>
          <w:color w:val="000000" w:themeColor="text1"/>
          <w:sz w:val="32"/>
          <w:szCs w:val="32"/>
          <w14:textFill>
            <w14:solidFill>
              <w14:schemeClr w14:val="tx1"/>
            </w14:solidFill>
          </w14:textFill>
        </w:rPr>
        <w:t>积极融入国家区域协调发展和西部陆海新通道建设大局。把握沪昆高速复线等国家交通大动脉建设契机，优化县域空间布局与功能定位，着力打造成为怀化向南辐射联动的重要支点。依托怀化国际陆港·会同分港平台优势，深化与战略伙伴合作，构建便捷高效的对外贸易通道。大力发展箱包、竹木深加工等临港产业，支持企业拓展国际市场。健全跨境物流服务体系，有效降低贸易成本，全面提升产品国际竞争力。通过提前布局、主动承接，将区域交通优势转化为发展优势，力争打造成武陵山片区对外开放的重要节点和区域性物流枢纽。</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精准承接产业转移。</w:t>
      </w:r>
      <w:r>
        <w:rPr>
          <w:rFonts w:hint="eastAsia" w:ascii="仿宋_GB2312" w:hAnsi="仿宋_GB2312" w:eastAsia="仿宋_GB2312" w:cs="仿宋_GB2312"/>
          <w:color w:val="000000" w:themeColor="text1"/>
          <w:sz w:val="32"/>
          <w:szCs w:val="32"/>
          <w14:textFill>
            <w14:solidFill>
              <w14:schemeClr w14:val="tx1"/>
            </w14:solidFill>
          </w14:textFill>
        </w:rPr>
        <w:t>建积极承接长三角、珠三角等东部沿海地区优质产业转移，推动产业结构优化升级。聚焦“5+N”现代产业体系，重点引进箱包皮具、竹木加工、中药材、新能源、电子信息等产业项目。深化“五好”园区建设，创新跨省园区共建合作模式，提升园区承载能力。围绕箱包、生猪、竹木、中药材等特色产业，实施延链补链强链工程，发挥链主企业引领作用，构建从原材料到终端产品的完整产业链。</w:t>
      </w:r>
    </w:p>
    <w:p>
      <w:pPr>
        <w:adjustRightInd w:val="0"/>
        <w:snapToGrid w:val="0"/>
        <w:spacing w:line="580" w:lineRule="exact"/>
        <w:ind w:firstLine="643"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深化区域协同合作。</w:t>
      </w:r>
      <w:r>
        <w:rPr>
          <w:rFonts w:hint="eastAsia" w:ascii="仿宋_GB2312" w:hAnsi="仿宋_GB2312" w:eastAsia="仿宋_GB2312" w:cs="仿宋_GB2312"/>
          <w:color w:val="000000" w:themeColor="text1"/>
          <w:sz w:val="32"/>
          <w:szCs w:val="32"/>
          <w14:textFill>
            <w14:solidFill>
              <w14:schemeClr w14:val="tx1"/>
            </w14:solidFill>
          </w14:textFill>
        </w:rPr>
        <w:t>主动融入湘黔桂边区、北部湾、</w:t>
      </w:r>
      <w:r>
        <w:rPr>
          <w:rFonts w:ascii="Times New Roman" w:hAnsi="Times New Roman" w:eastAsia="仿宋_GB2312" w:cs="Times New Roman"/>
          <w:color w:val="000000" w:themeColor="text1"/>
          <w:sz w:val="36"/>
          <w:szCs w:val="36"/>
          <w14:textFill>
            <w14:solidFill>
              <w14:schemeClr w14:val="tx1"/>
            </w14:solidFill>
          </w14:textFill>
        </w:rPr>
        <w:t>成渝</w:t>
      </w:r>
      <w:r>
        <w:rPr>
          <w:rFonts w:hint="eastAsia" w:ascii="Times New Roman" w:hAnsi="Times New Roman" w:eastAsia="仿宋_GB2312" w:cs="Times New Roman"/>
          <w:color w:val="000000" w:themeColor="text1"/>
          <w:sz w:val="36"/>
          <w:szCs w:val="36"/>
          <w14:textFill>
            <w14:solidFill>
              <w14:schemeClr w14:val="tx1"/>
            </w14:solidFill>
          </w14:textFill>
        </w:rPr>
        <w:t>、</w:t>
      </w:r>
      <w:r>
        <w:rPr>
          <w:rFonts w:ascii="Times New Roman" w:hAnsi="Times New Roman" w:eastAsia="仿宋_GB2312" w:cs="Times New Roman"/>
          <w:color w:val="000000" w:themeColor="text1"/>
          <w:sz w:val="36"/>
          <w:szCs w:val="36"/>
          <w14:textFill>
            <w14:solidFill>
              <w14:schemeClr w14:val="tx1"/>
            </w14:solidFill>
          </w14:textFill>
        </w:rPr>
        <w:t>粤港澳等区域</w:t>
      </w:r>
      <w:r>
        <w:rPr>
          <w:rFonts w:hint="eastAsia" w:ascii="仿宋_GB2312" w:hAnsi="仿宋_GB2312" w:eastAsia="仿宋_GB2312" w:cs="仿宋_GB2312"/>
          <w:color w:val="000000" w:themeColor="text1"/>
          <w:sz w:val="32"/>
          <w:szCs w:val="32"/>
          <w14:textFill>
            <w14:solidFill>
              <w14:schemeClr w14:val="tx1"/>
            </w14:solidFill>
          </w14:textFill>
        </w:rPr>
        <w:t>合作，推动形成内外联动、双向互济的区域协调发展新格局。加强产业协同发展，围绕红色文化、绿色生态、民族风情等特色资源，与边区市县共建精品旅游线路，协同发展中药材、楠竹等特色农业，推动文旅品牌提质升级，共同打造区域旅游共同体。建立健全区域合作机制，推动产业发展、生态环保、社会治理等重点领域深度合作，促进要素自由流动、资源高效配置、市场深度融合，实现优势互补、互利共赢，全面提升区域整体竞争力。</w:t>
      </w:r>
    </w:p>
    <w:p>
      <w:pPr>
        <w:pStyle w:val="2"/>
        <w:spacing w:after="0" w:line="580" w:lineRule="exact"/>
        <w:rPr>
          <w:rFonts w:hint="eastAsia"/>
          <w:color w:val="000000" w:themeColor="text1"/>
          <w14:textFill>
            <w14:solidFill>
              <w14:schemeClr w14:val="tx1"/>
            </w14:solidFill>
          </w14:textFill>
        </w:rPr>
      </w:pPr>
    </w:p>
    <w:tbl>
      <w:tblPr>
        <w:tblStyle w:val="68"/>
        <w:tblW w:w="90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4" w:type="dxa"/>
            <w:tcBorders>
              <w:top w:val="single" w:color="auto" w:sz="4" w:space="0"/>
              <w:left w:val="single" w:color="auto" w:sz="4" w:space="0"/>
              <w:bottom w:val="single" w:color="auto" w:sz="4" w:space="0"/>
              <w:right w:val="single" w:color="auto" w:sz="4" w:space="0"/>
            </w:tcBorders>
          </w:tcPr>
          <w:p>
            <w:pPr>
              <w:adjustRightInd w:val="0"/>
              <w:snapToGrid w:val="0"/>
              <w:spacing w:before="156" w:beforeLines="50" w:line="360" w:lineRule="auto"/>
              <w:jc w:val="center"/>
              <w:rPr>
                <w:rFonts w:hint="eastAsia" w:ascii="黑体" w:hAnsi="黑体" w:eastAsia="黑体" w:cs="黑体"/>
                <w:color w:val="000000" w:themeColor="text1"/>
                <w:kern w:val="0"/>
                <w:sz w:val="28"/>
                <w:szCs w:val="28"/>
                <w14:textFill>
                  <w14:solidFill>
                    <w14:schemeClr w14:val="tx1"/>
                  </w14:solidFill>
                </w14:textFill>
                <w14:ligatures w14:val="none"/>
              </w:rPr>
            </w:pPr>
            <w:r>
              <w:rPr>
                <w:rFonts w:hint="eastAsia" w:ascii="黑体" w:hAnsi="黑体" w:eastAsia="黑体" w:cs="黑体"/>
                <w:color w:val="000000" w:themeColor="text1"/>
                <w:kern w:val="0"/>
                <w:sz w:val="32"/>
                <w:szCs w:val="32"/>
                <w14:textFill>
                  <w14:solidFill>
                    <w14:schemeClr w14:val="tx1"/>
                  </w14:solidFill>
                </w14:textFill>
                <w14:ligatures w14:val="none"/>
              </w:rPr>
              <w:t>专栏</w:t>
            </w:r>
            <w:r>
              <w:rPr>
                <w:rFonts w:hint="eastAsia" w:ascii="Times New Roman" w:hAnsi="Times New Roman" w:eastAsia="黑体" w:cs="Times New Roman"/>
                <w:color w:val="000000" w:themeColor="text1"/>
                <w:kern w:val="0"/>
                <w:sz w:val="32"/>
                <w:szCs w:val="32"/>
                <w14:textFill>
                  <w14:solidFill>
                    <w14:schemeClr w14:val="tx1"/>
                  </w14:solidFill>
                </w14:textFill>
                <w14:ligatures w14:val="none"/>
              </w:rPr>
              <w:t>13</w:t>
            </w:r>
            <w:r>
              <w:rPr>
                <w:rFonts w:hint="eastAsia" w:ascii="黑体" w:hAnsi="黑体" w:eastAsia="黑体" w:cs="黑体"/>
                <w:color w:val="000000" w:themeColor="text1"/>
                <w:kern w:val="0"/>
                <w:sz w:val="32"/>
                <w:szCs w:val="32"/>
                <w14:textFill>
                  <w14:solidFill>
                    <w14:schemeClr w14:val="tx1"/>
                  </w14:solidFill>
                </w14:textFill>
                <w14:ligatures w14:val="none"/>
              </w:rPr>
              <w:t xml:space="preserve"> 区域协同开放建设项目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4" w:type="dxa"/>
            <w:tcBorders>
              <w:top w:val="single" w:color="auto" w:sz="4" w:space="0"/>
              <w:left w:val="single" w:color="auto" w:sz="4" w:space="0"/>
              <w:bottom w:val="single" w:color="auto" w:sz="4" w:space="0"/>
              <w:right w:val="single" w:color="auto" w:sz="4" w:space="0"/>
            </w:tcBorders>
          </w:tcPr>
          <w:p>
            <w:pPr>
              <w:adjustRightInd w:val="0"/>
              <w:snapToGrid w:val="0"/>
              <w:spacing w:line="360" w:lineRule="auto"/>
              <w:ind w:firstLine="643" w:firstLineChars="200"/>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1．国际陆港与综合物流枢纽工程。</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高标准建设怀化国际陆港·会同分港，推进铁路专线、公铁联运物流园及综合货运</w:t>
            </w:r>
            <w:r>
              <w:rPr>
                <w:rFonts w:hint="eastAsia" w:ascii="楷体_GB2312" w:hAnsi="楷体_GB2312" w:eastAsia="楷体_GB2312" w:cs="楷体_GB2312"/>
                <w:color w:val="000000" w:themeColor="text1"/>
                <w:spacing w:val="6"/>
                <w:kern w:val="0"/>
                <w:sz w:val="32"/>
                <w:szCs w:val="32"/>
                <w14:textFill>
                  <w14:solidFill>
                    <w14:schemeClr w14:val="tx1"/>
                  </w14:solidFill>
                </w14:textFill>
                <w14:ligatures w14:val="none"/>
              </w:rPr>
              <w:t>枢纽建设，完善集疏运路网（含绕城东线），健全县乡村三级物流网络体系，强化与主港协同，构建湘黔边区多式联运中心。</w:t>
            </w:r>
          </w:p>
          <w:p>
            <w:pPr>
              <w:adjustRightInd w:val="0"/>
              <w:snapToGrid w:val="0"/>
              <w:spacing w:line="360" w:lineRule="auto"/>
              <w:ind w:firstLine="643" w:firstLineChars="200"/>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2．临港产业升级与制造基地项目。</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建设以箱包、竹木、生猪为主导的临港型特色制造产业园，新建高标准厂房及智能化生产线。配套建设品牌推广与外贸综合服务中心，支持企业拓展跨境电商与海外仓，提升特色制造业国际市场竞争力。</w:t>
            </w:r>
          </w:p>
          <w:p>
            <w:pPr>
              <w:adjustRightInd w:val="0"/>
              <w:snapToGrid w:val="0"/>
              <w:spacing w:line="360" w:lineRule="auto"/>
              <w:ind w:firstLine="643" w:firstLineChars="200"/>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3．粤港澳大湾区“菜篮子”工程项目。</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系统推进面向粤港澳大湾区的优质农产品供应基地建设。项目重点建设魔芋、楠竹、生猪等特色农产品的标准化、规模化种植养殖基地1万亩，配套现代化农业设施和先进生产技术。建设高标准的农产品加工中心和覆盖全域的冷链物流体系。</w:t>
            </w:r>
          </w:p>
          <w:p>
            <w:pPr>
              <w:adjustRightInd w:val="0"/>
              <w:snapToGrid w:val="0"/>
              <w:spacing w:line="360" w:lineRule="auto"/>
              <w:ind w:firstLine="643" w:firstLineChars="200"/>
              <w:rPr>
                <w:rFonts w:hint="eastAsia"/>
                <w:color w:val="000000" w:themeColor="text1"/>
                <w14:textFill>
                  <w14:solidFill>
                    <w14:schemeClr w14:val="tx1"/>
                  </w14:solidFill>
                </w14:textFill>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4.跨境电商孵化园。</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建设服务怀化国际陆港·会同分港的跨境电商孵化园。项目占地100亩。</w:t>
            </w:r>
          </w:p>
        </w:tc>
      </w:tr>
    </w:tbl>
    <w:p>
      <w:pPr>
        <w:adjustRightInd w:val="0"/>
        <w:snapToGrid w:val="0"/>
        <w:spacing w:line="360" w:lineRule="auto"/>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br w:type="page"/>
      </w:r>
    </w:p>
    <w:p>
      <w:pPr>
        <w:adjustRightInd w:val="0"/>
        <w:snapToGrid w:val="0"/>
        <w:spacing w:line="580" w:lineRule="exact"/>
        <w:jc w:val="center"/>
        <w:outlineLvl w:val="0"/>
        <w:rPr>
          <w:rFonts w:hint="eastAsia" w:ascii="方正小标宋简体" w:hAnsi="方正小标宋简体" w:eastAsia="方正小标宋简体" w:cs="方正小标宋简体"/>
          <w:color w:val="000000" w:themeColor="text1"/>
          <w:sz w:val="36"/>
          <w:szCs w:val="36"/>
          <w14:textFill>
            <w14:solidFill>
              <w14:schemeClr w14:val="tx1"/>
            </w14:solidFill>
          </w14:textFill>
        </w:rPr>
      </w:pPr>
      <w:bookmarkStart w:id="75" w:name="_Toc235000774"/>
      <w:r>
        <w:rPr>
          <w:rFonts w:hint="eastAsia" w:ascii="方正小标宋简体" w:hAnsi="方正小标宋简体" w:eastAsia="方正小标宋简体" w:cs="方正小标宋简体"/>
          <w:color w:val="000000" w:themeColor="text1"/>
          <w:sz w:val="36"/>
          <w:szCs w:val="36"/>
          <w14:textFill>
            <w14:solidFill>
              <w14:schemeClr w14:val="tx1"/>
            </w14:solidFill>
          </w14:textFill>
        </w:rPr>
        <w:t xml:space="preserve">第九章 </w:t>
      </w:r>
      <w:r>
        <w:rPr>
          <w:rFonts w:hint="eastAsia" w:ascii="方正小标宋简体" w:hAnsi="方正小标宋简体" w:eastAsia="方正小标宋简体" w:cs="方正小标宋简体"/>
          <w:color w:val="000000" w:themeColor="text1"/>
          <w:spacing w:val="-11"/>
          <w:sz w:val="36"/>
          <w:szCs w:val="36"/>
          <w14:textFill>
            <w14:solidFill>
              <w14:schemeClr w14:val="tx1"/>
            </w14:solidFill>
          </w14:textFill>
        </w:rPr>
        <w:t>坚持农业农村优先发展，深入推进乡村全面振兴</w:t>
      </w:r>
      <w:bookmarkEnd w:id="75"/>
    </w:p>
    <w:p>
      <w:pPr>
        <w:adjustRightInd w:val="0"/>
        <w:snapToGrid w:val="0"/>
        <w:spacing w:line="580" w:lineRule="exact"/>
        <w:jc w:val="center"/>
        <w:rPr>
          <w:rFonts w:hint="eastAsia" w:ascii="仿宋_GB2312" w:hAnsi="仿宋_GB2312" w:eastAsia="仿宋_GB2312" w:cs="仿宋_GB2312"/>
          <w:color w:val="000000" w:themeColor="text1"/>
          <w:sz w:val="32"/>
          <w:szCs w:val="32"/>
          <w14:textFill>
            <w14:solidFill>
              <w14:schemeClr w14:val="tx1"/>
            </w14:solidFill>
          </w14:textFill>
          <w14:ligatures w14:val="none"/>
        </w:rPr>
      </w:pPr>
    </w:p>
    <w:p>
      <w:pPr>
        <w:adjustRightInd w:val="0"/>
        <w:snapToGrid w:val="0"/>
        <w:spacing w:line="58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14:ligatures w14:val="none"/>
        </w:rPr>
      </w:pPr>
      <w:r>
        <w:rPr>
          <w:rFonts w:hint="eastAsia" w:ascii="仿宋_GB2312" w:hAnsi="仿宋_GB2312" w:eastAsia="仿宋_GB2312" w:cs="仿宋_GB2312"/>
          <w:color w:val="000000" w:themeColor="text1"/>
          <w:sz w:val="32"/>
          <w:szCs w:val="32"/>
          <w14:textFill>
            <w14:solidFill>
              <w14:schemeClr w14:val="tx1"/>
            </w14:solidFill>
          </w14:textFill>
          <w14:ligatures w14:val="none"/>
        </w:rPr>
        <w:t>坚持把解决好“三农”问题作为推进建设现代化新会同工作的重中之重，</w:t>
      </w:r>
      <w:r>
        <w:rPr>
          <w:rFonts w:hint="eastAsia" w:ascii="仿宋_GB2312" w:hAnsi="仿宋_GB2312" w:eastAsia="仿宋_GB2312" w:cs="仿宋_GB2312"/>
          <w:color w:val="000000" w:themeColor="text1"/>
          <w:kern w:val="0"/>
          <w:sz w:val="32"/>
          <w:szCs w:val="32"/>
          <w14:textFill>
            <w14:solidFill>
              <w14:schemeClr w14:val="tx1"/>
            </w14:solidFill>
          </w14:textFill>
          <w14:ligatures w14:val="none"/>
        </w:rPr>
        <w:t>深入学习运用“千万工程”经验，落实省委“五千工程”部署，大力实施“怀乡五百工程”，</w:t>
      </w:r>
      <w:r>
        <w:rPr>
          <w:rFonts w:hint="eastAsia" w:ascii="仿宋_GB2312" w:hAnsi="仿宋_GB2312" w:eastAsia="仿宋_GB2312" w:cs="仿宋_GB2312"/>
          <w:color w:val="000000" w:themeColor="text1"/>
          <w:sz w:val="32"/>
          <w:szCs w:val="32"/>
          <w14:textFill>
            <w14:solidFill>
              <w14:schemeClr w14:val="tx1"/>
            </w14:solidFill>
          </w14:textFill>
          <w14:ligatures w14:val="none"/>
        </w:rPr>
        <w:t>突出“绿色化、品牌化、融合化、数字化”的发展理念，持续巩固拓展脱贫攻坚成果，推动农村基本具备现代生活条件，加快农业农村现代化，推进县域经济高质量发展。</w:t>
      </w:r>
    </w:p>
    <w:p>
      <w:pPr>
        <w:adjustRightInd w:val="0"/>
        <w:snapToGrid w:val="0"/>
        <w:spacing w:line="58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14:ligatures w14:val="none"/>
        </w:rPr>
      </w:pPr>
    </w:p>
    <w:p>
      <w:pPr>
        <w:adjustRightInd w:val="0"/>
        <w:snapToGrid w:val="0"/>
        <w:spacing w:line="580" w:lineRule="exact"/>
        <w:jc w:val="center"/>
        <w:outlineLvl w:val="1"/>
        <w:rPr>
          <w:rFonts w:hint="eastAsia" w:ascii="黑体" w:hAnsi="黑体" w:eastAsia="黑体" w:cs="黑体"/>
          <w:color w:val="000000" w:themeColor="text1"/>
          <w:sz w:val="32"/>
          <w:szCs w:val="32"/>
          <w14:textFill>
            <w14:solidFill>
              <w14:schemeClr w14:val="tx1"/>
            </w14:solidFill>
          </w14:textFill>
          <w14:ligatures w14:val="none"/>
        </w:rPr>
      </w:pPr>
      <w:bookmarkStart w:id="76" w:name="_Toc235000775"/>
      <w:r>
        <w:rPr>
          <w:rFonts w:hint="eastAsia" w:ascii="黑体" w:hAnsi="黑体" w:eastAsia="黑体" w:cs="黑体"/>
          <w:color w:val="000000" w:themeColor="text1"/>
          <w:sz w:val="32"/>
          <w:szCs w:val="32"/>
          <w14:textFill>
            <w14:solidFill>
              <w14:schemeClr w14:val="tx1"/>
            </w14:solidFill>
          </w14:textFill>
          <w14:ligatures w14:val="none"/>
        </w:rPr>
        <w:t>第一节 推动农业产业提质增效</w:t>
      </w:r>
      <w:bookmarkEnd w:id="76"/>
    </w:p>
    <w:p>
      <w:pPr>
        <w:adjustRightInd w:val="0"/>
        <w:snapToGrid w:val="0"/>
        <w:spacing w:line="580" w:lineRule="exact"/>
        <w:ind w:firstLine="602" w:firstLineChars="200"/>
        <w:rPr>
          <w:rFonts w:hint="eastAsia" w:ascii="楷体_GB2312" w:hAnsi="楷体_GB2312" w:eastAsia="楷体_GB2312" w:cs="楷体_GB2312"/>
          <w:b/>
          <w:bCs/>
          <w:color w:val="000000" w:themeColor="text1"/>
          <w:sz w:val="30"/>
          <w:szCs w:val="30"/>
          <w14:textFill>
            <w14:solidFill>
              <w14:schemeClr w14:val="tx1"/>
            </w14:solidFill>
          </w14:textFill>
          <w14:ligatures w14:val="none"/>
        </w:rPr>
      </w:pP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sz w:val="32"/>
          <w:szCs w:val="32"/>
          <w14:textFill>
            <w14:solidFill>
              <w14:schemeClr w14:val="tx1"/>
            </w14:solidFill>
          </w14:textFill>
          <w14:ligatures w14:val="none"/>
        </w:rPr>
        <w:t>巩固和提高粮食生产能力</w:t>
      </w:r>
      <w:r>
        <w:rPr>
          <w:rFonts w:hint="eastAsia" w:ascii="楷体_GB2312" w:hAnsi="楷体_GB2312" w:eastAsia="楷体_GB2312" w:cs="楷体_GB2312"/>
          <w:b/>
          <w:color w:val="000000" w:themeColor="text1"/>
          <w:kern w:val="0"/>
          <w:sz w:val="36"/>
          <w:szCs w:val="36"/>
          <w14:textFill>
            <w14:solidFill>
              <w14:schemeClr w14:val="tx1"/>
            </w14:solidFill>
          </w14:textFill>
          <w14:ligatures w14:val="none"/>
        </w:rPr>
        <w:t>。</w:t>
      </w:r>
      <w:r>
        <w:rPr>
          <w:rFonts w:hint="eastAsia" w:ascii="仿宋_GB2312" w:hAnsi="仿宋_GB2312" w:eastAsia="仿宋_GB2312" w:cs="仿宋_GB2312"/>
          <w:color w:val="000000" w:themeColor="text1"/>
          <w:sz w:val="32"/>
          <w:szCs w:val="32"/>
          <w14:textFill>
            <w14:solidFill>
              <w14:schemeClr w14:val="tx1"/>
            </w14:solidFill>
          </w14:textFill>
          <w14:ligatures w14:val="none"/>
        </w:rPr>
        <w:t>坚持大农业观、大食物观，扛牢维护国家粮食安全政治责任，扎实推进藏粮于地、藏粮于技，落实新一轮千亿斤粮食产能提升任务，全县粮食种植面积稳定在29.5万亩以上。健全耕地数量、质量、生态“三位一体”保护制度体系，牢牢守住33.57万亩耕地29.8万亩永久基本农田红线。持续推进“国家储备粮源基地”和高标准农田建设。稳定土地承包关系，稳步推进第二轮土地承包到期后再延长三十年整县试点。大力推动粮食单产提升工程，“十五五”时期，全县平均单产提升5%以上。</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sz w:val="32"/>
          <w:szCs w:val="32"/>
          <w14:textFill>
            <w14:solidFill>
              <w14:schemeClr w14:val="tx1"/>
            </w14:solidFill>
          </w14:textFill>
          <w14:ligatures w14:val="none"/>
        </w:rPr>
        <w:t>强化科技赋能“三农”。</w:t>
      </w:r>
      <w:r>
        <w:rPr>
          <w:rFonts w:hint="eastAsia" w:ascii="仿宋_GB2312" w:hAnsi="仿宋_GB2312" w:eastAsia="仿宋_GB2312" w:cs="仿宋_GB2312"/>
          <w:color w:val="000000" w:themeColor="text1"/>
          <w:sz w:val="32"/>
          <w:szCs w:val="32"/>
          <w14:textFill>
            <w14:solidFill>
              <w14:schemeClr w14:val="tx1"/>
            </w14:solidFill>
          </w14:textFill>
          <w14:ligatures w14:val="none"/>
        </w:rPr>
        <w:t>促进良田良种良机良法集成增效，加快推进农作物全程机械化先进技术与高效智能农机具推广应用。抢抓怀化打造“国际种业之都”机遇，深入实施种业振兴行动，大力推进生猪、水稻、獭兔、魔芋、楠竹、</w:t>
      </w:r>
      <w:r>
        <w:rPr>
          <w:rFonts w:hint="eastAsia" w:ascii="仿宋_GB2312" w:hAnsi="仿宋_GB2312" w:eastAsia="仿宋_GB2312" w:cs="仿宋_GB2312"/>
          <w:color w:val="000000" w:themeColor="text1"/>
          <w:kern w:val="0"/>
          <w:sz w:val="32"/>
          <w:szCs w:val="32"/>
          <w14:textFill>
            <w14:solidFill>
              <w14:schemeClr w14:val="tx1"/>
            </w14:solidFill>
          </w14:textFill>
          <w14:ligatures w14:val="none"/>
        </w:rPr>
        <w:t>淫羊藿、野菊花</w:t>
      </w:r>
      <w:r>
        <w:rPr>
          <w:rFonts w:hint="eastAsia" w:ascii="仿宋_GB2312" w:hAnsi="仿宋_GB2312" w:eastAsia="仿宋_GB2312" w:cs="仿宋_GB2312"/>
          <w:color w:val="000000" w:themeColor="text1"/>
          <w:sz w:val="32"/>
          <w:szCs w:val="32"/>
          <w14:textFill>
            <w14:solidFill>
              <w14:schemeClr w14:val="tx1"/>
            </w14:solidFill>
          </w14:textFill>
          <w14:ligatures w14:val="none"/>
        </w:rPr>
        <w:t>等种业创新。充分发挥农业领域院士、专家团队的引领作用，依托茯苓、楠竹等特色产业，常态化开展“院士工作站+产学研基地”合作模式。通过专家驻点指导等方式，针对茯苓菌种改良、楠竹高效培育等关键技术难题开展攻关，将实验室成果转化为田间地头的实用技术。建立科技特派员包村联户制度，精准对接农户需求，推动科技红利真正下沉到产业链各环节。至2030年，全县主要农作物水稻生产综合机械化水平、农业科技进步贡献率、主要农作物良种覆盖率、病虫害绿色防控与统防统治覆盖率稳、畜禽粪污综合利用率、规模养殖场实施养殖“减抗”行动比例等指标全面提升。</w:t>
      </w:r>
    </w:p>
    <w:p>
      <w:pPr>
        <w:adjustRightInd w:val="0"/>
        <w:snapToGrid w:val="0"/>
        <w:spacing w:line="580" w:lineRule="exact"/>
        <w:ind w:firstLine="643" w:firstLineChars="200"/>
        <w:rPr>
          <w:rFonts w:hint="eastAsia" w:ascii="仿宋_GB2312" w:hAnsi="仿宋_GB2312" w:eastAsia="仿宋_GB2312" w:cs="仿宋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sz w:val="32"/>
          <w:szCs w:val="32"/>
          <w14:textFill>
            <w14:solidFill>
              <w14:schemeClr w14:val="tx1"/>
            </w14:solidFill>
          </w14:textFill>
          <w14:ligatures w14:val="none"/>
        </w:rPr>
        <w:t>推进农村产业融合发展。</w:t>
      </w:r>
      <w:r>
        <w:rPr>
          <w:rFonts w:hint="eastAsia" w:ascii="仿宋_GB2312" w:hAnsi="仿宋_GB2312" w:eastAsia="仿宋_GB2312" w:cs="仿宋_GB2312"/>
          <w:color w:val="000000" w:themeColor="text1"/>
          <w:kern w:val="0"/>
          <w:sz w:val="32"/>
          <w:szCs w:val="32"/>
          <w14:textFill>
            <w14:solidFill>
              <w14:schemeClr w14:val="tx1"/>
            </w14:solidFill>
          </w14:textFill>
          <w14:ligatures w14:val="none"/>
        </w:rPr>
        <w:t>突出会同独有的资源优势，持续优化种养结构，发展研发、推广、物流、加工、农旅“五位一体”的现代高效农业。</w:t>
      </w:r>
      <w:r>
        <w:rPr>
          <w:rFonts w:hint="eastAsia" w:ascii="Times New Roman" w:hAnsi="Times New Roman" w:eastAsia="仿宋" w:cs="Times New Roman"/>
          <w:bCs/>
          <w:color w:val="000000" w:themeColor="text1"/>
          <w:sz w:val="36"/>
          <w:szCs w:val="36"/>
          <w14:textFill>
            <w14:solidFill>
              <w14:schemeClr w14:val="tx1"/>
            </w14:solidFill>
          </w14:textFill>
        </w:rPr>
        <w:t>做大做强会同</w:t>
      </w:r>
      <w:r>
        <w:rPr>
          <w:rFonts w:ascii="Times New Roman" w:hAnsi="Times New Roman" w:eastAsia="仿宋" w:cs="Times New Roman"/>
          <w:bCs/>
          <w:color w:val="000000" w:themeColor="text1"/>
          <w:sz w:val="36"/>
          <w:szCs w:val="36"/>
          <w14:textFill>
            <w14:solidFill>
              <w14:schemeClr w14:val="tx1"/>
            </w14:solidFill>
          </w14:textFill>
        </w:rPr>
        <w:t>水稻、生猪</w:t>
      </w:r>
      <w:r>
        <w:rPr>
          <w:rFonts w:hint="eastAsia" w:ascii="Times New Roman" w:hAnsi="Times New Roman" w:eastAsia="仿宋" w:cs="Times New Roman"/>
          <w:bCs/>
          <w:color w:val="000000" w:themeColor="text1"/>
          <w:sz w:val="36"/>
          <w:szCs w:val="36"/>
          <w14:textFill>
            <w14:solidFill>
              <w14:schemeClr w14:val="tx1"/>
            </w14:solidFill>
          </w14:textFill>
        </w:rPr>
        <w:t>、</w:t>
      </w:r>
      <w:r>
        <w:rPr>
          <w:rFonts w:ascii="Times New Roman" w:hAnsi="Times New Roman" w:eastAsia="仿宋" w:cs="Times New Roman"/>
          <w:bCs/>
          <w:color w:val="000000" w:themeColor="text1"/>
          <w:sz w:val="36"/>
          <w:szCs w:val="36"/>
          <w14:textFill>
            <w14:solidFill>
              <w14:schemeClr w14:val="tx1"/>
            </w14:solidFill>
          </w14:textFill>
        </w:rPr>
        <w:t>竹笋、中药材、茶叶等</w:t>
      </w:r>
      <w:r>
        <w:rPr>
          <w:rFonts w:hint="eastAsia" w:eastAsia="仿宋" w:cs="Times New Roman"/>
          <w:bCs/>
          <w:color w:val="000000" w:themeColor="text1"/>
          <w:sz w:val="36"/>
          <w:szCs w:val="36"/>
          <w14:textFill>
            <w14:solidFill>
              <w14:schemeClr w14:val="tx1"/>
            </w14:solidFill>
          </w14:textFill>
        </w:rPr>
        <w:t>五大农业</w:t>
      </w:r>
      <w:r>
        <w:rPr>
          <w:rFonts w:hint="eastAsia" w:ascii="Times New Roman" w:hAnsi="Times New Roman" w:eastAsia="仿宋" w:cs="Times New Roman"/>
          <w:bCs/>
          <w:color w:val="000000" w:themeColor="text1"/>
          <w:sz w:val="36"/>
          <w:szCs w:val="36"/>
          <w14:textFill>
            <w14:solidFill>
              <w14:schemeClr w14:val="tx1"/>
            </w14:solidFill>
          </w14:textFill>
        </w:rPr>
        <w:t>主导</w:t>
      </w:r>
      <w:r>
        <w:rPr>
          <w:rFonts w:ascii="Times New Roman" w:hAnsi="Times New Roman" w:eastAsia="仿宋" w:cs="Times New Roman"/>
          <w:bCs/>
          <w:color w:val="000000" w:themeColor="text1"/>
          <w:sz w:val="36"/>
          <w:szCs w:val="36"/>
          <w14:textFill>
            <w14:solidFill>
              <w14:schemeClr w14:val="tx1"/>
            </w14:solidFill>
          </w14:textFill>
        </w:rPr>
        <w:t>产业，做精</w:t>
      </w:r>
      <w:r>
        <w:rPr>
          <w:rFonts w:hint="eastAsia" w:ascii="Times New Roman" w:hAnsi="Times New Roman" w:eastAsia="仿宋" w:cs="Times New Roman"/>
          <w:bCs/>
          <w:color w:val="000000" w:themeColor="text1"/>
          <w:sz w:val="36"/>
          <w:szCs w:val="36"/>
          <w14:textFill>
            <w14:solidFill>
              <w14:schemeClr w14:val="tx1"/>
            </w14:solidFill>
          </w14:textFill>
        </w:rPr>
        <w:t>做优</w:t>
      </w:r>
      <w:r>
        <w:rPr>
          <w:rFonts w:ascii="Times New Roman" w:hAnsi="Times New Roman" w:eastAsia="仿宋" w:cs="Times New Roman"/>
          <w:bCs/>
          <w:color w:val="000000" w:themeColor="text1"/>
          <w:sz w:val="36"/>
          <w:szCs w:val="36"/>
          <w14:textFill>
            <w14:solidFill>
              <w14:schemeClr w14:val="tx1"/>
            </w14:solidFill>
          </w14:textFill>
        </w:rPr>
        <w:t>蔬菜</w:t>
      </w:r>
      <w:r>
        <w:rPr>
          <w:rFonts w:hint="eastAsia" w:ascii="Times New Roman" w:hAnsi="Times New Roman" w:eastAsia="仿宋" w:cs="Times New Roman"/>
          <w:bCs/>
          <w:color w:val="000000" w:themeColor="text1"/>
          <w:sz w:val="36"/>
          <w:szCs w:val="36"/>
          <w14:textFill>
            <w14:solidFill>
              <w14:schemeClr w14:val="tx1"/>
            </w14:solidFill>
          </w14:textFill>
        </w:rPr>
        <w:t>、</w:t>
      </w:r>
      <w:r>
        <w:rPr>
          <w:rFonts w:ascii="Times New Roman" w:hAnsi="Times New Roman" w:eastAsia="仿宋" w:cs="Times New Roman"/>
          <w:bCs/>
          <w:color w:val="000000" w:themeColor="text1"/>
          <w:sz w:val="36"/>
          <w:szCs w:val="36"/>
          <w14:textFill>
            <w14:solidFill>
              <w14:schemeClr w14:val="tx1"/>
            </w14:solidFill>
          </w14:textFill>
        </w:rPr>
        <w:t>魔芋、油茶、水果、畜禽、水产等</w:t>
      </w:r>
      <w:r>
        <w:rPr>
          <w:rFonts w:hint="eastAsia" w:eastAsia="仿宋" w:cs="Times New Roman"/>
          <w:bCs/>
          <w:color w:val="000000" w:themeColor="text1"/>
          <w:sz w:val="36"/>
          <w:szCs w:val="36"/>
          <w14:textFill>
            <w14:solidFill>
              <w14:schemeClr w14:val="tx1"/>
            </w14:solidFill>
          </w14:textFill>
        </w:rPr>
        <w:t>六大农业</w:t>
      </w:r>
      <w:r>
        <w:rPr>
          <w:rFonts w:ascii="Times New Roman" w:hAnsi="Times New Roman" w:eastAsia="仿宋" w:cs="Times New Roman"/>
          <w:bCs/>
          <w:color w:val="000000" w:themeColor="text1"/>
          <w:sz w:val="36"/>
          <w:szCs w:val="36"/>
          <w14:textFill>
            <w14:solidFill>
              <w14:schemeClr w14:val="tx1"/>
            </w14:solidFill>
          </w14:textFill>
        </w:rPr>
        <w:t>特色产业</w:t>
      </w:r>
      <w:r>
        <w:rPr>
          <w:rFonts w:hint="eastAsia" w:ascii="仿宋_GB2312" w:hAnsi="仿宋_GB2312" w:eastAsia="仿宋_GB2312" w:cs="仿宋_GB2312"/>
          <w:color w:val="000000" w:themeColor="text1"/>
          <w:kern w:val="0"/>
          <w:sz w:val="32"/>
          <w:szCs w:val="32"/>
          <w14:textFill>
            <w14:solidFill>
              <w14:schemeClr w14:val="tx1"/>
            </w14:solidFill>
          </w14:textFill>
          <w14:ligatures w14:val="none"/>
        </w:rPr>
        <w:t>，打造高水平的供粤港澳大湾区“菜篮子”生产基地，提升会同农产品美誉度和影响力。加强农产品产地冷链物流设施建设，鼓励家庭农场、农民合作社和农村集体经济组织建设田头冷藏保鲜设施。积极推动实施一批利益联结紧密的农村一二三产业融合发展项目，</w:t>
      </w:r>
      <w:r>
        <w:rPr>
          <w:rFonts w:hint="eastAsia" w:ascii="仿宋_GB2312" w:hAnsi="仿宋_GB2312" w:eastAsia="仿宋_GB2312" w:cs="仿宋_GB2312"/>
          <w:color w:val="000000" w:themeColor="text1"/>
          <w:sz w:val="32"/>
          <w:szCs w:val="32"/>
          <w14:textFill>
            <w14:solidFill>
              <w14:schemeClr w14:val="tx1"/>
            </w14:solidFill>
          </w14:textFill>
          <w14:ligatures w14:val="none"/>
        </w:rPr>
        <w:t>大力发展林下经济，推广发展“林药、林菌、林禽”，</w:t>
      </w:r>
      <w:r>
        <w:rPr>
          <w:rFonts w:hint="eastAsia" w:ascii="仿宋_GB2312" w:hAnsi="仿宋_GB2312" w:eastAsia="仿宋_GB2312" w:cs="仿宋_GB2312"/>
          <w:color w:val="000000" w:themeColor="text1"/>
          <w:kern w:val="0"/>
          <w:sz w:val="32"/>
          <w:szCs w:val="32"/>
          <w14:textFill>
            <w14:solidFill>
              <w14:schemeClr w14:val="tx1"/>
            </w14:solidFill>
          </w14:textFill>
          <w14:ligatures w14:val="none"/>
        </w:rPr>
        <w:t>培育新产业、新模式、新动能，拓展农业多种功能，挖掘乡村多元价值。支持更多行政村和城市社区探索“土特产进城、城里人进村”途径。至2030年，力争创建省级现代农业产业园、特色产业园及各类产业强镇。</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sz w:val="32"/>
          <w:szCs w:val="32"/>
          <w14:textFill>
            <w14:solidFill>
              <w14:schemeClr w14:val="tx1"/>
            </w14:solidFill>
          </w14:textFill>
          <w14:ligatures w14:val="none"/>
        </w:rPr>
        <w:t>促进经营主体协调共进。</w:t>
      </w:r>
      <w:r>
        <w:rPr>
          <w:rFonts w:hint="eastAsia" w:ascii="仿宋_GB2312" w:hAnsi="仿宋_GB2312" w:eastAsia="仿宋_GB2312" w:cs="仿宋_GB2312"/>
          <w:color w:val="000000" w:themeColor="text1"/>
          <w:sz w:val="32"/>
          <w:szCs w:val="32"/>
          <w14:textFill>
            <w14:solidFill>
              <w14:schemeClr w14:val="tx1"/>
            </w14:solidFill>
          </w14:textFill>
          <w14:ligatures w14:val="none"/>
        </w:rPr>
        <w:t>引进国内知名农业企业入驻，支持本地农业企业做大做强，打造农业产业化龙头企业集群。深入实施新型农业经营主体提升行动，鼓励融合发展、协同推进，立足会同资源禀赋和优势特色产业，探索“小农户+家庭农场+农民合作社”、“家庭农场+农民合作社+联合社”以及“农民合作社+涉农企业+科研院所”等多种经营方式。引导新型农业经营主体率先应用先进适用技术、集成推广高产高效模式，组织示范带动小农户提高种养水平。健全新型农业经营主体扶持政策同带动农户增收挂钩机制，让农民更多分享产业增值收益。积极培育龙头企业、农业产业化联合体、现代农机专业合作社、农民合作社示范社、家庭农场示范场、五星级休闲农庄等各类经营主体。</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sz w:val="32"/>
          <w:szCs w:val="32"/>
          <w14:textFill>
            <w14:solidFill>
              <w14:schemeClr w14:val="tx1"/>
            </w14:solidFill>
          </w14:textFill>
          <w14:ligatures w14:val="none"/>
        </w:rPr>
        <w:t>培育做大农业品牌。</w:t>
      </w:r>
      <w:r>
        <w:rPr>
          <w:rFonts w:hint="eastAsia" w:ascii="仿宋_GB2312" w:hAnsi="仿宋_GB2312" w:eastAsia="仿宋_GB2312" w:cs="仿宋_GB2312"/>
          <w:color w:val="000000" w:themeColor="text1"/>
          <w:kern w:val="0"/>
          <w:sz w:val="32"/>
          <w:szCs w:val="32"/>
          <w14:textFill>
            <w14:solidFill>
              <w14:schemeClr w14:val="tx1"/>
            </w14:solidFill>
          </w14:textFill>
          <w14:ligatures w14:val="none"/>
        </w:rPr>
        <w:t>立足各乡镇自然条件、产业基础与市场需求，大力推行“一乡一业”“一村一品”发展模式，避免同质化竞争。支持各乡镇、各村庄企业在产品品种、品质、品牌塑造以及营销模式等方面积极创新。强化品牌培育，通过品牌策划、包装设计、宣传推广等手段，提升特色农产品、手工艺品等品牌知名度与美誉度。通过引入先进技术与设计理念、绿色有机种植技术，提升产品品质与附加值。</w:t>
      </w:r>
      <w:r>
        <w:rPr>
          <w:rFonts w:hint="eastAsia" w:ascii="仿宋_GB2312" w:hAnsi="仿宋_GB2312" w:eastAsia="仿宋_GB2312" w:cs="仿宋_GB2312"/>
          <w:color w:val="000000" w:themeColor="text1"/>
          <w:sz w:val="32"/>
          <w:szCs w:val="32"/>
          <w14:textFill>
            <w14:solidFill>
              <w14:schemeClr w14:val="tx1"/>
            </w14:solidFill>
          </w14:textFill>
          <w14:ligatures w14:val="none"/>
        </w:rPr>
        <w:t>围绕新型工业化主导型、农产品加工转化主导型做大做强我县“一主一特”产业，培育就业容量大的特色优势产业集群。</w:t>
      </w:r>
      <w:r>
        <w:rPr>
          <w:rFonts w:hint="eastAsia" w:ascii="仿宋_GB2312" w:hAnsi="仿宋_GB2312" w:eastAsia="仿宋_GB2312" w:cs="仿宋_GB2312"/>
          <w:color w:val="000000" w:themeColor="text1"/>
          <w:kern w:val="0"/>
          <w:sz w:val="32"/>
          <w:szCs w:val="32"/>
          <w14:textFill>
            <w14:solidFill>
              <w14:schemeClr w14:val="tx1"/>
            </w14:solidFill>
          </w14:textFill>
          <w14:ligatures w14:val="none"/>
        </w:rPr>
        <w:t>着力提升区域公用品牌影响力，积极申报国家农产品地理标志登记产品。到2030年，力争1个区域公用</w:t>
      </w:r>
      <w:r>
        <w:rPr>
          <w:rFonts w:hint="eastAsia" w:ascii="仿宋_GB2312" w:hAnsi="仿宋_GB2312" w:eastAsia="仿宋_GB2312" w:cs="仿宋_GB2312"/>
          <w:color w:val="000000" w:themeColor="text1"/>
          <w:sz w:val="32"/>
          <w:szCs w:val="32"/>
          <w14:textFill>
            <w14:solidFill>
              <w14:schemeClr w14:val="tx1"/>
            </w14:solidFill>
          </w14:textFill>
          <w14:ligatures w14:val="none"/>
        </w:rPr>
        <w:t>品牌进入全省片区品牌建设范围，2～3个品牌进入全省“一县一特”品牌建设重点支持范围。</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ascii="仿宋_GB2312" w:hAnsi="仿宋_GB2312" w:eastAsia="仿宋_GB2312" w:cs="仿宋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sz w:val="32"/>
          <w:szCs w:val="32"/>
          <w14:textFill>
            <w14:solidFill>
              <w14:schemeClr w14:val="tx1"/>
            </w14:solidFill>
          </w14:textFill>
          <w14:ligatures w14:val="none"/>
        </w:rPr>
        <w:t>推动规模经营。</w:t>
      </w:r>
      <w:r>
        <w:rPr>
          <w:rFonts w:hint="eastAsia" w:ascii="仿宋_GB2312" w:hAnsi="仿宋_GB2312" w:eastAsia="仿宋_GB2312" w:cs="仿宋_GB2312"/>
          <w:color w:val="000000" w:themeColor="text1"/>
          <w:kern w:val="0"/>
          <w:sz w:val="32"/>
          <w:szCs w:val="32"/>
          <w14:textFill>
            <w14:solidFill>
              <w14:schemeClr w14:val="tx1"/>
            </w14:solidFill>
          </w14:textFill>
          <w14:ligatures w14:val="none"/>
        </w:rPr>
        <w:t>创新承包经营模式，在“依法、自愿、有偿”原则下，引导农民将土地流转至种植大户、专业合作社等经营主体。完善土地流转服务体系、规范土地流转程序，大力推进土地流转与规模经营。着力解决土地抛荒、土地低效利用等问题，提高土地资源利用效率，促进农业产业结构优化升级。积极试行农地入股经营模式，鼓励农民以土地承包经营权入股，参与农业产业化经营，推动实现土地变资本、资源变资产、农民变股民的转变。健全联农带农机制，确保农民能够充分享受土地增值收益，拓宽农民增收渠道。</w:t>
      </w:r>
    </w:p>
    <w:p>
      <w:pPr>
        <w:pStyle w:val="2"/>
        <w:rPr>
          <w:rFonts w:hint="eastAsia"/>
          <w:color w:val="000000" w:themeColor="text1"/>
          <w14:textFill>
            <w14:solidFill>
              <w14:schemeClr w14:val="tx1"/>
            </w14:solidFill>
          </w14:textFill>
        </w:rPr>
      </w:pPr>
    </w:p>
    <w:tbl>
      <w:tblPr>
        <w:tblStyle w:val="80"/>
        <w:tblW w:w="90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9" w:type="dxa"/>
            <w:tcBorders>
              <w:top w:val="single" w:color="auto" w:sz="4" w:space="0"/>
              <w:left w:val="single" w:color="auto" w:sz="4" w:space="0"/>
              <w:bottom w:val="single" w:color="auto" w:sz="4" w:space="0"/>
              <w:right w:val="single" w:color="auto" w:sz="4" w:space="0"/>
            </w:tcBorders>
          </w:tcPr>
          <w:p>
            <w:pPr>
              <w:adjustRightInd w:val="0"/>
              <w:snapToGrid w:val="0"/>
              <w:spacing w:before="156" w:beforeLines="50" w:line="580" w:lineRule="exact"/>
              <w:jc w:val="center"/>
              <w:rPr>
                <w:rFonts w:hint="eastAsia" w:ascii="黑体" w:hAnsi="黑体" w:eastAsia="黑体" w:cs="黑体"/>
                <w:color w:val="000000" w:themeColor="text1"/>
                <w:kern w:val="0"/>
                <w:sz w:val="28"/>
                <w:szCs w:val="28"/>
                <w14:textFill>
                  <w14:solidFill>
                    <w14:schemeClr w14:val="tx1"/>
                  </w14:solidFill>
                </w14:textFill>
                <w14:ligatures w14:val="none"/>
              </w:rPr>
            </w:pPr>
            <w:r>
              <w:rPr>
                <w:rFonts w:hint="eastAsia" w:ascii="黑体" w:hAnsi="黑体" w:eastAsia="黑体" w:cs="黑体"/>
                <w:color w:val="000000" w:themeColor="text1"/>
                <w:kern w:val="0"/>
                <w:sz w:val="32"/>
                <w:szCs w:val="32"/>
                <w14:textFill>
                  <w14:solidFill>
                    <w14:schemeClr w14:val="tx1"/>
                  </w14:solidFill>
                </w14:textFill>
                <w14:ligatures w14:val="none"/>
              </w:rPr>
              <w:t>专栏</w:t>
            </w:r>
            <w:r>
              <w:rPr>
                <w:rFonts w:hint="eastAsia" w:ascii="Times New Roman" w:hAnsi="Times New Roman" w:eastAsia="黑体" w:cs="Times New Roman"/>
                <w:color w:val="000000" w:themeColor="text1"/>
                <w:kern w:val="0"/>
                <w:sz w:val="32"/>
                <w:szCs w:val="32"/>
                <w14:textFill>
                  <w14:solidFill>
                    <w14:schemeClr w14:val="tx1"/>
                  </w14:solidFill>
                </w14:textFill>
                <w14:ligatures w14:val="none"/>
              </w:rPr>
              <w:t>14</w:t>
            </w:r>
            <w:r>
              <w:rPr>
                <w:rFonts w:hint="eastAsia" w:ascii="黑体" w:hAnsi="黑体" w:eastAsia="黑体" w:cs="黑体"/>
                <w:color w:val="000000" w:themeColor="text1"/>
                <w:kern w:val="0"/>
                <w:sz w:val="32"/>
                <w:szCs w:val="32"/>
                <w14:textFill>
                  <w14:solidFill>
                    <w14:schemeClr w14:val="tx1"/>
                  </w14:solidFill>
                </w14:textFill>
                <w14:ligatures w14:val="none"/>
              </w:rPr>
              <w:t xml:space="preserve"> 农业产业提质增效项目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9" w:type="dxa"/>
            <w:tcBorders>
              <w:top w:val="single" w:color="auto" w:sz="4" w:space="0"/>
              <w:left w:val="single" w:color="auto" w:sz="4" w:space="0"/>
              <w:bottom w:val="single" w:color="auto" w:sz="4" w:space="0"/>
              <w:right w:val="single" w:color="auto" w:sz="4" w:space="0"/>
            </w:tcBorders>
          </w:tcPr>
          <w:p>
            <w:pPr>
              <w:pStyle w:val="31"/>
              <w:spacing w:after="0" w:line="580" w:lineRule="exact"/>
              <w:ind w:firstLine="643" w:firstLineChars="200"/>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1.国家级杂交水稻制种基地建设项目。</w:t>
            </w:r>
            <w:r>
              <w:rPr>
                <w:rFonts w:hint="eastAsia" w:ascii="楷体_GB2312" w:hAnsi="楷体_GB2312" w:eastAsia="楷体_GB2312" w:cs="楷体_GB2312"/>
                <w:color w:val="000000" w:themeColor="text1"/>
                <w:sz w:val="32"/>
                <w:szCs w:val="32"/>
                <w14:textFill>
                  <w14:solidFill>
                    <w14:schemeClr w14:val="tx1"/>
                  </w14:solidFill>
                </w14:textFill>
              </w:rPr>
              <w:t>建设高标准杂交水稻制种基地3万亩，完善基地机耕道、水渠、种子机械、晒场，建设产业园区，提升种业管理能力等。</w:t>
            </w:r>
          </w:p>
          <w:p>
            <w:pPr>
              <w:pStyle w:val="31"/>
              <w:spacing w:after="0" w:line="580" w:lineRule="exact"/>
              <w:ind w:firstLine="643" w:firstLineChars="200"/>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2.会同县高标准农田建设项目。</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在全县所有乡镇建设高标准农田，总建设面积为12万亩，主要实施水利措施、农业措施、田间道路工程、科技推广措施等工程。</w:t>
            </w:r>
          </w:p>
          <w:p>
            <w:pPr>
              <w:pStyle w:val="31"/>
              <w:spacing w:after="0" w:line="580" w:lineRule="exact"/>
              <w:ind w:firstLine="643" w:firstLineChars="200"/>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3.会同县红坡贡米提质增效项目。</w:t>
            </w:r>
            <w:r>
              <w:rPr>
                <w:rFonts w:hint="eastAsia" w:ascii="楷体_GB2312" w:hAnsi="楷体_GB2312" w:eastAsia="楷体_GB2312" w:cs="楷体_GB2312"/>
                <w:color w:val="000000" w:themeColor="text1"/>
                <w:sz w:val="32"/>
                <w:szCs w:val="32"/>
                <w14:textFill>
                  <w14:solidFill>
                    <w14:schemeClr w14:val="tx1"/>
                  </w14:solidFill>
                </w14:textFill>
              </w:rPr>
              <w:t>种植技术革新：传统工艺与现代科技深度融合，加工能力升级：从粗加工到高附加值产品开发，品牌价值提升：文化IP与市场渠道双轮驱动，产业链延伸：农旅融合与全链增值。</w:t>
            </w:r>
          </w:p>
          <w:p>
            <w:pPr>
              <w:pStyle w:val="31"/>
              <w:spacing w:after="0" w:line="580" w:lineRule="exact"/>
              <w:ind w:firstLine="643" w:firstLineChars="200"/>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4.会同县稻油轮作项目。</w:t>
            </w:r>
            <w:r>
              <w:rPr>
                <w:rFonts w:hint="eastAsia" w:ascii="楷体_GB2312" w:hAnsi="楷体_GB2312" w:eastAsia="楷体_GB2312" w:cs="楷体_GB2312"/>
                <w:color w:val="000000" w:themeColor="text1"/>
                <w:sz w:val="32"/>
                <w:szCs w:val="32"/>
                <w14:textFill>
                  <w14:solidFill>
                    <w14:schemeClr w14:val="tx1"/>
                  </w14:solidFill>
                </w14:textFill>
              </w:rPr>
              <w:t>在全县18个乡镇建设13万亩优质稻和优质油菜轮作基地，年产优质稻6万吨，优质菜籽1.8万吨。</w:t>
            </w:r>
          </w:p>
          <w:p>
            <w:pPr>
              <w:pStyle w:val="31"/>
              <w:spacing w:after="0" w:line="580" w:lineRule="exact"/>
              <w:ind w:firstLine="643" w:firstLineChars="200"/>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5.会同县生态大棚蔬菜标准园创建项目。</w:t>
            </w:r>
            <w:r>
              <w:rPr>
                <w:rFonts w:hint="eastAsia" w:ascii="楷体_GB2312" w:hAnsi="楷体_GB2312" w:eastAsia="楷体_GB2312" w:cs="楷体_GB2312"/>
                <w:color w:val="000000" w:themeColor="text1"/>
                <w:sz w:val="32"/>
                <w:szCs w:val="32"/>
                <w14:textFill>
                  <w14:solidFill>
                    <w14:schemeClr w14:val="tx1"/>
                  </w14:solidFill>
                </w14:textFill>
              </w:rPr>
              <w:t>生态大棚及配套工程，智能化与机械化升级，标准化技术落地，全链条可追溯，配套服务设施。</w:t>
            </w:r>
          </w:p>
          <w:p>
            <w:pPr>
              <w:pStyle w:val="31"/>
              <w:spacing w:after="0" w:line="580" w:lineRule="exact"/>
              <w:ind w:firstLine="643" w:firstLineChars="200"/>
              <w:rPr>
                <w:rFonts w:hint="eastAsia"/>
                <w:color w:val="000000" w:themeColor="text1"/>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6.会同县生态大棚食用菌标准园创建项目。</w:t>
            </w:r>
            <w:r>
              <w:rPr>
                <w:rFonts w:hint="eastAsia" w:ascii="楷体_GB2312" w:hAnsi="楷体_GB2312" w:eastAsia="楷体_GB2312" w:cs="楷体_GB2312"/>
                <w:color w:val="000000" w:themeColor="text1"/>
                <w:sz w:val="32"/>
                <w:szCs w:val="32"/>
                <w14:textFill>
                  <w14:solidFill>
                    <w14:schemeClr w14:val="tx1"/>
                  </w14:solidFill>
                </w14:textFill>
              </w:rPr>
              <w:t>生态大棚及配套工程，智能化与机械化升级，标准化技术落地，全链条可追溯，配套服务设施。</w:t>
            </w:r>
          </w:p>
        </w:tc>
      </w:tr>
    </w:tbl>
    <w:p>
      <w:pPr>
        <w:adjustRightInd w:val="0"/>
        <w:snapToGrid w:val="0"/>
        <w:spacing w:line="580" w:lineRule="exact"/>
        <w:jc w:val="center"/>
        <w:outlineLvl w:val="1"/>
        <w:rPr>
          <w:rFonts w:ascii="黑体" w:hAnsi="黑体" w:eastAsia="黑体" w:cs="黑体"/>
          <w:color w:val="000000" w:themeColor="text1"/>
          <w:sz w:val="32"/>
          <w:szCs w:val="32"/>
          <w14:textFill>
            <w14:solidFill>
              <w14:schemeClr w14:val="tx1"/>
            </w14:solidFill>
          </w14:textFill>
          <w14:ligatures w14:val="none"/>
        </w:rPr>
      </w:pPr>
    </w:p>
    <w:p>
      <w:pPr>
        <w:adjustRightInd w:val="0"/>
        <w:snapToGrid w:val="0"/>
        <w:spacing w:line="580" w:lineRule="exact"/>
        <w:jc w:val="center"/>
        <w:outlineLvl w:val="1"/>
        <w:rPr>
          <w:rFonts w:hint="eastAsia" w:ascii="黑体" w:hAnsi="黑体" w:eastAsia="黑体" w:cs="黑体"/>
          <w:color w:val="000000" w:themeColor="text1"/>
          <w:sz w:val="32"/>
          <w:szCs w:val="32"/>
          <w14:textFill>
            <w14:solidFill>
              <w14:schemeClr w14:val="tx1"/>
            </w14:solidFill>
          </w14:textFill>
          <w14:ligatures w14:val="none"/>
        </w:rPr>
      </w:pPr>
      <w:bookmarkStart w:id="77" w:name="_Toc235000776"/>
      <w:r>
        <w:rPr>
          <w:rFonts w:hint="eastAsia" w:ascii="黑体" w:hAnsi="黑体" w:eastAsia="黑体" w:cs="黑体"/>
          <w:color w:val="000000" w:themeColor="text1"/>
          <w:sz w:val="32"/>
          <w:szCs w:val="32"/>
          <w14:textFill>
            <w14:solidFill>
              <w14:schemeClr w14:val="tx1"/>
            </w14:solidFill>
          </w14:textFill>
          <w14:ligatures w14:val="none"/>
        </w:rPr>
        <w:t>第二节 建设宜居宜业和美乡村</w:t>
      </w:r>
      <w:bookmarkEnd w:id="77"/>
    </w:p>
    <w:p>
      <w:pPr>
        <w:adjustRightInd w:val="0"/>
        <w:snapToGrid w:val="0"/>
        <w:spacing w:line="580" w:lineRule="exact"/>
        <w:ind w:firstLine="602" w:firstLineChars="200"/>
        <w:rPr>
          <w:rFonts w:hint="eastAsia" w:ascii="楷体_GB2312" w:hAnsi="楷体_GB2312" w:eastAsia="楷体_GB2312" w:cs="楷体_GB2312"/>
          <w:b/>
          <w:bCs/>
          <w:color w:val="000000" w:themeColor="text1"/>
          <w:sz w:val="30"/>
          <w:szCs w:val="30"/>
          <w14:textFill>
            <w14:solidFill>
              <w14:schemeClr w14:val="tx1"/>
            </w14:solidFill>
          </w14:textFill>
          <w14:ligatures w14:val="none"/>
        </w:rPr>
      </w:pPr>
    </w:p>
    <w:p>
      <w:pPr>
        <w:adjustRightInd w:val="0"/>
        <w:snapToGrid w:val="0"/>
        <w:spacing w:line="580" w:lineRule="exact"/>
        <w:ind w:firstLine="643" w:firstLineChars="200"/>
        <w:rPr>
          <w:rFonts w:hint="eastAsia" w:ascii="仿宋_GB2312" w:hAnsi="仿宋_GB2312" w:eastAsia="仿宋_GB2312" w:cs="仿宋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sz w:val="32"/>
          <w:szCs w:val="32"/>
          <w14:textFill>
            <w14:solidFill>
              <w14:schemeClr w14:val="tx1"/>
            </w14:solidFill>
          </w14:textFill>
          <w14:ligatures w14:val="none"/>
        </w:rPr>
        <w:t>提高村庄规划编制质量和实效。</w:t>
      </w:r>
      <w:r>
        <w:rPr>
          <w:rFonts w:hint="eastAsia" w:ascii="仿宋_GB2312" w:hAnsi="仿宋_GB2312" w:eastAsia="仿宋_GB2312" w:cs="仿宋_GB2312"/>
          <w:color w:val="000000" w:themeColor="text1"/>
          <w:kern w:val="0"/>
          <w:sz w:val="32"/>
          <w:szCs w:val="32"/>
          <w14:textFill>
            <w14:solidFill>
              <w14:schemeClr w14:val="tx1"/>
            </w14:solidFill>
          </w14:textFill>
          <w14:ligatures w14:val="none"/>
        </w:rPr>
        <w:t>科学精准定位，锚定打造城乡融合发展先行区战略目标，从实际出发，分类有序推进村庄规划编制。立足本地资源禀赋特点和资产关系，深入挖掘村庄自然资源和历史文化内涵，突出地域特色和比较优势，量身定制乡村发展规划，避免“千村一面”。因地制宜开展乡村空间设计，塑造美丽乡村特色风貌，合理安排农村地区生产、生活、生态空间和乡村社区健康安全单元，统筹自然、历史、乡土文化和农耕景观资源，统筹人口、产业、土地和资产关系。村庄规划成果要让农民看得懂、好操作、能监督。</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sz w:val="32"/>
          <w:szCs w:val="32"/>
          <w14:textFill>
            <w14:solidFill>
              <w14:schemeClr w14:val="tx1"/>
            </w14:solidFill>
          </w14:textFill>
          <w14:ligatures w14:val="none"/>
        </w:rPr>
        <w:t>推动乡村建设强基补短。</w:t>
      </w:r>
      <w:r>
        <w:rPr>
          <w:rFonts w:hint="eastAsia" w:ascii="仿宋_GB2312" w:hAnsi="仿宋_GB2312" w:eastAsia="仿宋_GB2312" w:cs="仿宋_GB2312"/>
          <w:color w:val="000000" w:themeColor="text1"/>
          <w:kern w:val="0"/>
          <w:sz w:val="32"/>
          <w:szCs w:val="32"/>
          <w14:textFill>
            <w14:solidFill>
              <w14:schemeClr w14:val="tx1"/>
            </w14:solidFill>
          </w14:textFill>
          <w14:ligatures w14:val="none"/>
        </w:rPr>
        <w:t>实施新一轮农村公路提升行动，开展农村公路及桥梁隧道风险隐患排查和整治，打造“交通+旅游”“交通+产业”等特色模式，推动农村公路建设养护与全县产业发展、生态保护、文化传承深度融合，持续巩固“四好农村路”全国示范县创建成果。加强农村水利基础设施建设，完善农村供水工程网络。实施农村电网巩固提升工程，加强农村分布式可再生能源开发利用。在常住人口较多的乡镇加快建设公共充电基础设施。全面推广“五村联创”模式，持续整治提升农村人居环境，以钉钉子精神解决好农村改厕、垃圾围村等问题，加快补齐农村现代生活条件短板，创造乡村优质生活空间。开展农房规范化建设，积极引导和推广农村集中建房模式。形成监管合力，常态化开展农村房屋安全隐患排查整治，持续推进农村危房改造和抗震改造。实施数字乡村发展行动，</w:t>
      </w:r>
      <w:r>
        <w:rPr>
          <w:rFonts w:hint="eastAsia" w:ascii="仿宋_GB2312" w:hAnsi="仿宋_GB2312" w:eastAsia="仿宋_GB2312" w:cs="仿宋_GB2312"/>
          <w:color w:val="000000" w:themeColor="text1"/>
          <w:sz w:val="32"/>
          <w:szCs w:val="32"/>
          <w14:textFill>
            <w14:solidFill>
              <w14:schemeClr w14:val="tx1"/>
            </w14:solidFill>
          </w14:textFill>
          <w14:ligatures w14:val="none"/>
        </w:rPr>
        <w:t>持续推进数字乡村综合治理，通过数字技术推动乡村治理从“粗放式”向“精细化”转变，持续补齐农村现代生活条件短板，缩小城乡“数字鸿沟”。</w:t>
      </w:r>
    </w:p>
    <w:p>
      <w:pPr>
        <w:adjustRightInd w:val="0"/>
        <w:snapToGrid w:val="0"/>
        <w:spacing w:line="580" w:lineRule="exact"/>
        <w:ind w:firstLine="643" w:firstLineChars="200"/>
        <w:rPr>
          <w:rFonts w:hint="eastAsia" w:ascii="仿宋_GB2312" w:hAnsi="仿宋_GB2312" w:eastAsia="仿宋_GB2312" w:cs="仿宋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sz w:val="32"/>
          <w:szCs w:val="32"/>
          <w14:textFill>
            <w14:solidFill>
              <w14:schemeClr w14:val="tx1"/>
            </w14:solidFill>
          </w14:textFill>
          <w14:ligatures w14:val="none"/>
        </w:rPr>
        <w:t>推进乡村振兴片区建设。</w:t>
      </w:r>
      <w:r>
        <w:rPr>
          <w:rFonts w:hint="eastAsia" w:ascii="仿宋_GB2312" w:hAnsi="仿宋_GB2312" w:eastAsia="仿宋_GB2312" w:cs="仿宋_GB2312"/>
          <w:color w:val="000000" w:themeColor="text1"/>
          <w:kern w:val="0"/>
          <w:sz w:val="32"/>
          <w:szCs w:val="32"/>
          <w14:textFill>
            <w14:solidFill>
              <w14:schemeClr w14:val="tx1"/>
            </w14:solidFill>
          </w14:textFill>
          <w14:ligatures w14:val="none"/>
        </w:rPr>
        <w:t>结合各乡镇的产业体系布局，打造一批基础设施完善、产业特色鲜明、生态环境优美、乡村文化繁荣的和美乡村。立足各乡镇发展实际，科学规划片区布局，合理确定片区面积、覆盖村庄和人口数量，因地制宜、分区施策，扎实推进乡村振兴。推动片区党建联建、资源整合、产业融合、人才聚合，全要素推进乡村产业、人才、文化、生态、组织“五个振兴”，推动片区内村庄整体提升，构建新型乡村生产生活生态共同体，提升乡村振兴片区引领带动效应。围绕坪村红色文旅、堡子柴火月饼、高椅古村、连山中药材、金竹楠竹、宝田茶旅等特色资源打造一批特色示范小镇。推动全县传统村落保护利用由点到面，全力推进渠水流域传统村落集群和巫水流域传统村落集群两大集中连片区域建设，积极申请和建设全国传统村落集中连片保护利用示范县。</w:t>
      </w:r>
    </w:p>
    <w:p>
      <w:pPr>
        <w:adjustRightInd w:val="0"/>
        <w:snapToGrid w:val="0"/>
        <w:spacing w:line="580" w:lineRule="exact"/>
        <w:ind w:firstLine="643" w:firstLineChars="200"/>
        <w:rPr>
          <w:rFonts w:ascii="仿宋_GB2312" w:hAnsi="仿宋_GB2312" w:eastAsia="仿宋_GB2312" w:cs="仿宋_GB2312"/>
          <w:color w:val="000000" w:themeColor="text1"/>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sz w:val="32"/>
          <w:szCs w:val="32"/>
          <w14:textFill>
            <w14:solidFill>
              <w14:schemeClr w14:val="tx1"/>
            </w14:solidFill>
          </w14:textFill>
          <w14:ligatures w14:val="none"/>
        </w:rPr>
        <w:t>创建示范乡村。</w:t>
      </w:r>
      <w:r>
        <w:rPr>
          <w:rFonts w:hint="eastAsia" w:ascii="仿宋_GB2312" w:hAnsi="仿宋_GB2312" w:eastAsia="仿宋_GB2312" w:cs="仿宋_GB2312"/>
          <w:color w:val="000000" w:themeColor="text1"/>
          <w:sz w:val="32"/>
          <w:szCs w:val="32"/>
          <w14:textFill>
            <w14:solidFill>
              <w14:schemeClr w14:val="tx1"/>
            </w14:solidFill>
          </w14:textFill>
          <w14:ligatures w14:val="none"/>
        </w:rPr>
        <w:t>集中力量打造样板，形成示范带头作用，启动青朗至漠滨沿线民族团结示范乡村创建。全面推广“五村联创”经验做法，以“党建”为媒，打破地域界限，深入实施以“党建引领、五村联创、整镇推进、共同富裕”的乡村发展新路径，完善乡村共建共治格局。以党员先锋引领集结联创村庄力量共同守护好“金山银山”，推动人居环境联治、基础设施联建、环境保护联动。 进一步完善村务公开和民主议事制度，支持农民群众多渠道参与村级议事协商。清理整合面向基层的政务应用程序，持续深化整治“指尖上的形式主义”。开展对村巡察，深化整治群众身边不正之风和腐败问题。</w:t>
      </w:r>
    </w:p>
    <w:tbl>
      <w:tblPr>
        <w:tblStyle w:val="80"/>
        <w:tblW w:w="90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9" w:type="dxa"/>
            <w:tcBorders>
              <w:top w:val="single" w:color="auto" w:sz="4" w:space="0"/>
              <w:left w:val="single" w:color="auto" w:sz="4" w:space="0"/>
              <w:bottom w:val="single" w:color="auto" w:sz="4" w:space="0"/>
              <w:right w:val="single" w:color="auto" w:sz="4" w:space="0"/>
            </w:tcBorders>
          </w:tcPr>
          <w:p>
            <w:pPr>
              <w:adjustRightInd w:val="0"/>
              <w:snapToGrid w:val="0"/>
              <w:spacing w:line="580" w:lineRule="exact"/>
              <w:jc w:val="center"/>
              <w:rPr>
                <w:rFonts w:hint="eastAsia" w:ascii="黑体" w:hAnsi="黑体" w:eastAsia="黑体" w:cs="黑体"/>
                <w:color w:val="000000" w:themeColor="text1"/>
                <w:kern w:val="0"/>
                <w:sz w:val="28"/>
                <w:szCs w:val="28"/>
                <w14:textFill>
                  <w14:solidFill>
                    <w14:schemeClr w14:val="tx1"/>
                  </w14:solidFill>
                </w14:textFill>
                <w14:ligatures w14:val="none"/>
              </w:rPr>
            </w:pPr>
            <w:r>
              <w:rPr>
                <w:rFonts w:hint="eastAsia" w:ascii="黑体" w:hAnsi="黑体" w:eastAsia="黑体" w:cs="黑体"/>
                <w:color w:val="000000" w:themeColor="text1"/>
                <w:kern w:val="0"/>
                <w:sz w:val="32"/>
                <w:szCs w:val="32"/>
                <w14:textFill>
                  <w14:solidFill>
                    <w14:schemeClr w14:val="tx1"/>
                  </w14:solidFill>
                </w14:textFill>
                <w14:ligatures w14:val="none"/>
              </w:rPr>
              <w:t>专栏</w:t>
            </w:r>
            <w:r>
              <w:rPr>
                <w:rFonts w:hint="eastAsia" w:ascii="Times New Roman" w:hAnsi="Times New Roman" w:eastAsia="黑体" w:cs="Times New Roman"/>
                <w:color w:val="000000" w:themeColor="text1"/>
                <w:kern w:val="0"/>
                <w:sz w:val="32"/>
                <w:szCs w:val="32"/>
                <w14:textFill>
                  <w14:solidFill>
                    <w14:schemeClr w14:val="tx1"/>
                  </w14:solidFill>
                </w14:textFill>
                <w14:ligatures w14:val="none"/>
              </w:rPr>
              <w:t>15</w:t>
            </w:r>
            <w:r>
              <w:rPr>
                <w:rFonts w:hint="eastAsia" w:ascii="黑体" w:hAnsi="黑体" w:eastAsia="黑体" w:cs="黑体"/>
                <w:color w:val="000000" w:themeColor="text1"/>
                <w:kern w:val="0"/>
                <w:sz w:val="32"/>
                <w:szCs w:val="32"/>
                <w14:textFill>
                  <w14:solidFill>
                    <w14:schemeClr w14:val="tx1"/>
                  </w14:solidFill>
                </w14:textFill>
                <w14:ligatures w14:val="none"/>
              </w:rPr>
              <w:t xml:space="preserve"> 和美乡村项目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9" w:type="dxa"/>
            <w:tcBorders>
              <w:top w:val="single" w:color="auto" w:sz="4" w:space="0"/>
              <w:left w:val="single" w:color="auto" w:sz="4" w:space="0"/>
              <w:bottom w:val="single" w:color="auto" w:sz="4" w:space="0"/>
              <w:right w:val="single" w:color="auto" w:sz="4" w:space="0"/>
            </w:tcBorders>
          </w:tcPr>
          <w:p>
            <w:pPr>
              <w:pStyle w:val="31"/>
              <w:adjustRightInd w:val="0"/>
              <w:snapToGrid w:val="0"/>
              <w:spacing w:after="0" w:line="580" w:lineRule="exact"/>
              <w:ind w:firstLine="643" w:firstLineChars="200"/>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1.会同县农村人居环境整治建设项目。</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新建集中式污水处理系统30处，总处理量为620m³/d，新建三联户一体化净化槽64套，五联户一体化净化槽102套，接户管7020m。</w:t>
            </w:r>
          </w:p>
          <w:p>
            <w:pPr>
              <w:pStyle w:val="31"/>
              <w:spacing w:after="0" w:line="580" w:lineRule="exact"/>
              <w:ind w:firstLine="643" w:firstLineChars="200"/>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2.会同县传统村落保护与开发项目。</w:t>
            </w:r>
            <w:r>
              <w:rPr>
                <w:rFonts w:hint="eastAsia" w:ascii="楷体_GB2312" w:hAnsi="楷体_GB2312" w:eastAsia="楷体_GB2312" w:cs="楷体_GB2312"/>
                <w:color w:val="000000" w:themeColor="text1"/>
                <w:sz w:val="32"/>
                <w:szCs w:val="32"/>
                <w14:textFill>
                  <w14:solidFill>
                    <w14:schemeClr w14:val="tx1"/>
                  </w14:solidFill>
                </w14:textFill>
              </w:rPr>
              <w:t>分三期对全县20个省、市级传统村落进行保护开发。</w:t>
            </w:r>
          </w:p>
          <w:p>
            <w:pPr>
              <w:pStyle w:val="16"/>
              <w:spacing w:after="0" w:line="580" w:lineRule="exact"/>
              <w:ind w:firstLine="643" w:firstLineChars="200"/>
              <w:rPr>
                <w:rFonts w:hint="eastAsia"/>
                <w:color w:val="000000" w:themeColor="text1"/>
                <w14:textFill>
                  <w14:solidFill>
                    <w14:schemeClr w14:val="tx1"/>
                  </w14:solidFill>
                </w14:textFill>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3.渠水移民集聚区美丽移民村建设项目。</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修建生产道路15.5km,渠道11km、泵站10座110kW，库周交通新建通组公路2.4km、道路改造13.8km、新建铁索桥1座。人居环境整治场地整理10处，绿化21300㎡；文体设施30套等。</w:t>
            </w:r>
          </w:p>
        </w:tc>
      </w:tr>
    </w:tbl>
    <w:p>
      <w:pPr>
        <w:pStyle w:val="24"/>
        <w:adjustRightInd w:val="0"/>
        <w:snapToGrid w:val="0"/>
        <w:spacing w:line="580" w:lineRule="exact"/>
        <w:ind w:firstLine="0"/>
        <w:rPr>
          <w:rFonts w:hint="eastAsia"/>
          <w:color w:val="000000" w:themeColor="text1"/>
          <w:sz w:val="32"/>
          <w:szCs w:val="22"/>
          <w14:textFill>
            <w14:solidFill>
              <w14:schemeClr w14:val="tx1"/>
            </w14:solidFill>
          </w14:textFill>
        </w:rPr>
      </w:pPr>
    </w:p>
    <w:p>
      <w:pPr>
        <w:adjustRightInd w:val="0"/>
        <w:snapToGrid w:val="0"/>
        <w:spacing w:line="580" w:lineRule="exact"/>
        <w:jc w:val="center"/>
        <w:outlineLvl w:val="1"/>
        <w:rPr>
          <w:rFonts w:hint="eastAsia" w:ascii="黑体" w:hAnsi="黑体" w:eastAsia="黑体" w:cs="黑体"/>
          <w:color w:val="000000" w:themeColor="text1"/>
          <w:sz w:val="32"/>
          <w:szCs w:val="32"/>
          <w14:textFill>
            <w14:solidFill>
              <w14:schemeClr w14:val="tx1"/>
            </w14:solidFill>
          </w14:textFill>
          <w14:ligatures w14:val="none"/>
        </w:rPr>
      </w:pPr>
      <w:bookmarkStart w:id="78" w:name="_Toc235000777"/>
      <w:r>
        <w:rPr>
          <w:rFonts w:hint="eastAsia" w:ascii="黑体" w:hAnsi="黑体" w:eastAsia="黑体" w:cs="黑体"/>
          <w:color w:val="000000" w:themeColor="text1"/>
          <w:sz w:val="32"/>
          <w:szCs w:val="32"/>
          <w14:textFill>
            <w14:solidFill>
              <w14:schemeClr w14:val="tx1"/>
            </w14:solidFill>
          </w14:textFill>
          <w14:ligatures w14:val="none"/>
        </w:rPr>
        <w:t>第三节 提升强农惠农富农政策效能</w:t>
      </w:r>
      <w:bookmarkEnd w:id="78"/>
    </w:p>
    <w:p>
      <w:pPr>
        <w:adjustRightInd w:val="0"/>
        <w:snapToGrid w:val="0"/>
        <w:spacing w:line="580" w:lineRule="exact"/>
        <w:ind w:firstLine="643" w:firstLineChars="200"/>
        <w:rPr>
          <w:rFonts w:hint="eastAsia" w:ascii="楷体_GB2312" w:hAnsi="楷体_GB2312" w:eastAsia="楷体_GB2312" w:cs="楷体_GB2312"/>
          <w:b/>
          <w:bCs/>
          <w:color w:val="000000" w:themeColor="text1"/>
          <w:sz w:val="32"/>
          <w:szCs w:val="32"/>
          <w14:textFill>
            <w14:solidFill>
              <w14:schemeClr w14:val="tx1"/>
            </w14:solidFill>
          </w14:textFill>
          <w14:ligatures w14:val="none"/>
        </w:rPr>
      </w:pPr>
    </w:p>
    <w:p>
      <w:pPr>
        <w:keepNext w:val="0"/>
        <w:keepLines w:val="0"/>
        <w:pageBreakBefore w:val="0"/>
        <w:widowControl w:val="0"/>
        <w:kinsoku/>
        <w:wordWrap/>
        <w:overflowPunct/>
        <w:topLinePunct w:val="0"/>
        <w:autoSpaceDE/>
        <w:autoSpaceDN/>
        <w:bidi w:val="0"/>
        <w:adjustRightInd w:val="0"/>
        <w:snapToGrid w:val="0"/>
        <w:spacing w:line="620" w:lineRule="exact"/>
        <w:ind w:firstLine="643"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sz w:val="32"/>
          <w:szCs w:val="32"/>
          <w14:textFill>
            <w14:solidFill>
              <w14:schemeClr w14:val="tx1"/>
            </w14:solidFill>
          </w14:textFill>
          <w14:ligatures w14:val="none"/>
        </w:rPr>
        <w:t>拓宽农民增收渠道。</w:t>
      </w:r>
      <w:r>
        <w:rPr>
          <w:rFonts w:hint="eastAsia" w:ascii="仿宋_GB2312" w:hAnsi="仿宋_GB2312" w:eastAsia="仿宋_GB2312" w:cs="仿宋_GB2312"/>
          <w:color w:val="000000" w:themeColor="text1"/>
          <w:sz w:val="32"/>
          <w:szCs w:val="32"/>
          <w14:textFill>
            <w14:solidFill>
              <w14:schemeClr w14:val="tx1"/>
            </w14:solidFill>
          </w14:textFill>
          <w14:ligatures w14:val="none"/>
        </w:rPr>
        <w:t>保护和调动农民务农种粮积极性，落实价格、补贴、保险等政策支持和协同。完善联农带动机制，引导企业、农民合作社、家庭农场与农户等紧密联合与合作，通过保底分红、入股参股、服务带动等方式，让农民更多分享产业增值收益。引导农民发展适合家庭经营的产业项目，因地制宜发展庭院经济、林下经济、民宿经济。扶持就业帮扶车间，实现村民“家门口就业”。抢抓国家关于扩大以工代赈项目实施规模的政策机遇，广泛吸纳相</w:t>
      </w:r>
      <w:r>
        <w:rPr>
          <w:rFonts w:hint="eastAsia" w:ascii="仿宋_GB2312" w:hAnsi="仿宋_GB2312" w:eastAsia="仿宋_GB2312" w:cs="仿宋_GB2312"/>
          <w:color w:val="000000" w:themeColor="text1"/>
          <w:spacing w:val="-6"/>
          <w:sz w:val="32"/>
          <w:szCs w:val="32"/>
          <w14:textFill>
            <w14:solidFill>
              <w14:schemeClr w14:val="tx1"/>
            </w14:solidFill>
          </w14:textFill>
          <w14:ligatures w14:val="none"/>
        </w:rPr>
        <w:t>关失业人员、返乡农民工等群体就业。强化就业服务和劳务协作，重点加强大龄农民工就业扶持。大力提升农业转移人口劳动技能素质。</w:t>
      </w:r>
    </w:p>
    <w:p>
      <w:pPr>
        <w:adjustRightInd w:val="0"/>
        <w:snapToGrid w:val="0"/>
        <w:spacing w:line="580" w:lineRule="exact"/>
        <w:ind w:firstLine="645"/>
        <w:jc w:val="left"/>
        <w:rPr>
          <w:rFonts w:hint="eastAsia" w:ascii="仿宋_GB2312" w:hAnsi="仿宋_GB2312" w:eastAsia="仿宋_GB2312" w:cs="仿宋_GB2312"/>
          <w:color w:val="000000" w:themeColor="text1"/>
          <w:sz w:val="22"/>
          <w:szCs w:val="28"/>
          <w14:textFill>
            <w14:solidFill>
              <w14:schemeClr w14:val="tx1"/>
            </w14:solidFill>
          </w14:textFill>
          <w14:ligatures w14:val="none"/>
        </w:rPr>
      </w:pPr>
      <w:r>
        <w:rPr>
          <w:rFonts w:hint="eastAsia" w:ascii="楷体_GB2312" w:hAnsi="楷体_GB2312" w:eastAsia="楷体_GB2312" w:cs="楷体_GB2312"/>
          <w:b/>
          <w:bCs/>
          <w:color w:val="000000" w:themeColor="text1"/>
          <w:sz w:val="32"/>
          <w:szCs w:val="32"/>
          <w14:textFill>
            <w14:solidFill>
              <w14:schemeClr w14:val="tx1"/>
            </w14:solidFill>
          </w14:textFill>
          <w14:ligatures w14:val="none"/>
        </w:rPr>
        <w:t>发展壮大农村集体经济。</w:t>
      </w:r>
      <w:r>
        <w:rPr>
          <w:rFonts w:hint="eastAsia" w:ascii="仿宋_GB2312" w:hAnsi="仿宋_GB2312" w:eastAsia="仿宋_GB2312" w:cs="仿宋_GB2312"/>
          <w:color w:val="000000" w:themeColor="text1"/>
          <w:sz w:val="32"/>
          <w:szCs w:val="32"/>
          <w:lang w:val="zh-CN"/>
          <w14:textFill>
            <w14:solidFill>
              <w14:schemeClr w14:val="tx1"/>
            </w14:solidFill>
          </w14:textFill>
          <w14:ligatures w14:val="none"/>
        </w:rPr>
        <w:t>细化农村集体产权制度改革成果运用，探索集体经营性建设用地入市。统筹整合各类帮扶资金，发展壮大村级集体经济，打造一批具有一定辐射带动能力的经济强村。鼓励新型农村集体经济组织</w:t>
      </w:r>
      <w:r>
        <w:rPr>
          <w:rFonts w:hint="eastAsia" w:ascii="仿宋_GB2312" w:hAnsi="仿宋_GB2312" w:eastAsia="仿宋_GB2312" w:cs="仿宋_GB2312"/>
          <w:color w:val="000000" w:themeColor="text1"/>
          <w:sz w:val="32"/>
          <w:szCs w:val="32"/>
          <w14:textFill>
            <w14:solidFill>
              <w14:schemeClr w14:val="tx1"/>
            </w14:solidFill>
          </w14:textFill>
          <w14:ligatures w14:val="none"/>
        </w:rPr>
        <w:t>积极</w:t>
      </w:r>
      <w:r>
        <w:rPr>
          <w:rFonts w:hint="eastAsia" w:ascii="仿宋_GB2312" w:hAnsi="仿宋_GB2312" w:eastAsia="仿宋_GB2312" w:cs="仿宋_GB2312"/>
          <w:color w:val="000000" w:themeColor="text1"/>
          <w:sz w:val="32"/>
          <w:szCs w:val="32"/>
          <w:lang w:val="zh-CN"/>
          <w14:textFill>
            <w14:solidFill>
              <w14:schemeClr w14:val="tx1"/>
            </w14:solidFill>
          </w14:textFill>
          <w14:ligatures w14:val="none"/>
        </w:rPr>
        <w:t>发展特色产业、休闲观光、农创文旅、农耕体验、康养基地等新产业新业态。有序推进农村集体经营性建设用地入市改革，健全土地增值收益分配机制。鼓励农村集体经济组织盘活土地资源，升级改造集体固定资产，</w:t>
      </w:r>
      <w:r>
        <w:rPr>
          <w:rFonts w:hint="eastAsia" w:ascii="仿宋_GB2312" w:hAnsi="仿宋_GB2312" w:eastAsia="仿宋_GB2312" w:cs="仿宋_GB2312"/>
          <w:color w:val="000000" w:themeColor="text1"/>
          <w:sz w:val="32"/>
          <w:szCs w:val="32"/>
          <w14:textFill>
            <w14:solidFill>
              <w14:schemeClr w14:val="tx1"/>
            </w14:solidFill>
          </w14:textFill>
          <w14:ligatures w14:val="none"/>
        </w:rPr>
        <w:t>积极</w:t>
      </w:r>
      <w:r>
        <w:rPr>
          <w:rFonts w:hint="eastAsia" w:ascii="仿宋_GB2312" w:hAnsi="仿宋_GB2312" w:eastAsia="仿宋_GB2312" w:cs="仿宋_GB2312"/>
          <w:color w:val="000000" w:themeColor="text1"/>
          <w:sz w:val="32"/>
          <w:szCs w:val="32"/>
          <w:lang w:val="zh-CN"/>
          <w14:textFill>
            <w14:solidFill>
              <w14:schemeClr w14:val="tx1"/>
            </w14:solidFill>
          </w14:textFill>
          <w14:ligatures w14:val="none"/>
        </w:rPr>
        <w:t>发展物业经济、股权经济和服务经济。鼓励村集体经济抱团发展，实现大村带小村、强村带弱村。到20</w:t>
      </w:r>
      <w:r>
        <w:rPr>
          <w:rFonts w:hint="eastAsia" w:ascii="仿宋_GB2312" w:hAnsi="仿宋_GB2312" w:eastAsia="仿宋_GB2312" w:cs="仿宋_GB2312"/>
          <w:color w:val="000000" w:themeColor="text1"/>
          <w:sz w:val="32"/>
          <w:szCs w:val="32"/>
          <w14:textFill>
            <w14:solidFill>
              <w14:schemeClr w14:val="tx1"/>
            </w14:solidFill>
          </w14:textFill>
          <w14:ligatures w14:val="none"/>
        </w:rPr>
        <w:t>30</w:t>
      </w:r>
      <w:r>
        <w:rPr>
          <w:rFonts w:hint="eastAsia" w:ascii="仿宋_GB2312" w:hAnsi="仿宋_GB2312" w:eastAsia="仿宋_GB2312" w:cs="仿宋_GB2312"/>
          <w:color w:val="000000" w:themeColor="text1"/>
          <w:sz w:val="32"/>
          <w:szCs w:val="32"/>
          <w:lang w:val="zh-CN"/>
          <w14:textFill>
            <w14:solidFill>
              <w14:schemeClr w14:val="tx1"/>
            </w14:solidFill>
          </w14:textFill>
          <w14:ligatures w14:val="none"/>
        </w:rPr>
        <w:t>年，</w:t>
      </w:r>
      <w:r>
        <w:rPr>
          <w:rFonts w:hint="eastAsia" w:ascii="仿宋_GB2312" w:hAnsi="仿宋_GB2312" w:eastAsia="仿宋_GB2312" w:cs="仿宋_GB2312"/>
          <w:color w:val="000000" w:themeColor="text1"/>
          <w:sz w:val="32"/>
          <w:szCs w:val="32"/>
          <w14:textFill>
            <w14:solidFill>
              <w14:schemeClr w14:val="tx1"/>
            </w14:solidFill>
          </w14:textFill>
          <w14:ligatures w14:val="none"/>
        </w:rPr>
        <w:t>力争</w:t>
      </w:r>
      <w:r>
        <w:rPr>
          <w:rFonts w:hint="eastAsia" w:ascii="仿宋_GB2312" w:hAnsi="仿宋_GB2312" w:eastAsia="仿宋_GB2312" w:cs="仿宋_GB2312"/>
          <w:color w:val="000000" w:themeColor="text1"/>
          <w:sz w:val="32"/>
          <w:szCs w:val="32"/>
          <w:lang w:val="zh-CN"/>
          <w14:textFill>
            <w14:solidFill>
              <w14:schemeClr w14:val="tx1"/>
            </w14:solidFill>
          </w14:textFill>
          <w14:ligatures w14:val="none"/>
        </w:rPr>
        <w:t>实现集体经济年收入10万元以上的行政村全覆盖。</w:t>
      </w:r>
    </w:p>
    <w:p>
      <w:pPr>
        <w:adjustRightInd w:val="0"/>
        <w:snapToGrid w:val="0"/>
        <w:spacing w:line="580" w:lineRule="exact"/>
        <w:ind w:firstLine="643" w:firstLineChars="200"/>
        <w:rPr>
          <w:rFonts w:ascii="仿宋_GB2312" w:hAnsi="仿宋_GB2312" w:eastAsia="仿宋_GB2312" w:cs="仿宋_GB2312"/>
          <w:color w:val="000000" w:themeColor="text1"/>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sz w:val="32"/>
          <w:szCs w:val="32"/>
          <w14:textFill>
            <w14:solidFill>
              <w14:schemeClr w14:val="tx1"/>
            </w14:solidFill>
          </w14:textFill>
          <w14:ligatures w14:val="none"/>
        </w:rPr>
        <w:t>落实常态化防止返贫致贫机制。</w:t>
      </w:r>
      <w:r>
        <w:rPr>
          <w:rFonts w:hint="eastAsia" w:ascii="仿宋_GB2312" w:hAnsi="仿宋_GB2312" w:eastAsia="仿宋_GB2312" w:cs="仿宋_GB2312"/>
          <w:color w:val="000000" w:themeColor="text1"/>
          <w:sz w:val="32"/>
          <w:szCs w:val="32"/>
          <w14:textFill>
            <w14:solidFill>
              <w14:schemeClr w14:val="tx1"/>
            </w14:solidFill>
          </w14:textFill>
          <w14:ligatures w14:val="none"/>
        </w:rPr>
        <w:t>完善“县乡村组”四级联动监测网络。结合网格化管理定期开展入户排查，对脱贫户、边缘易致贫户、突发严重困难户实行排查，对因灾、因病等导致收入骤减的农户及时预警，完善快速响应链。运用大数据比对医保报销、学籍信息等数据，确保监测对象不遗漏，提高排查精准度和效率。健全“产业稳基、就业增收、保障托底”防返贫保障体系，持续做好困难群众的精准帮扶。继续完善联农带农利益联结机制，推动帮扶措施从“应急救助”向“发展扶持”转变，促进农村低收入群体稳收增收。综合运用公益性岗位安置、医疗救助、设立防返贫互助金等措施化解返贫风险。建立帮扶成效跟踪机制，定期评估帮扶效果。深入推进库区移民集聚区基础设施完善和公共服务提升工程。</w:t>
      </w:r>
    </w:p>
    <w:p>
      <w:pPr>
        <w:pStyle w:val="2"/>
        <w:rPr>
          <w:rFonts w:hint="eastAsia"/>
          <w:color w:val="000000" w:themeColor="text1"/>
          <w14:textFill>
            <w14:solidFill>
              <w14:schemeClr w14:val="tx1"/>
            </w14:solidFill>
          </w14:textFill>
        </w:rPr>
      </w:pPr>
    </w:p>
    <w:tbl>
      <w:tblPr>
        <w:tblStyle w:val="80"/>
        <w:tblW w:w="90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9" w:type="dxa"/>
            <w:tcBorders>
              <w:top w:val="single" w:color="auto" w:sz="4" w:space="0"/>
              <w:left w:val="single" w:color="auto" w:sz="4" w:space="0"/>
              <w:bottom w:val="single" w:color="auto" w:sz="4" w:space="0"/>
              <w:right w:val="single" w:color="auto" w:sz="4" w:space="0"/>
            </w:tcBorders>
          </w:tcPr>
          <w:p>
            <w:pPr>
              <w:adjustRightInd w:val="0"/>
              <w:snapToGrid w:val="0"/>
              <w:spacing w:line="580" w:lineRule="exact"/>
              <w:jc w:val="center"/>
              <w:rPr>
                <w:rFonts w:hint="eastAsia" w:ascii="黑体" w:hAnsi="黑体" w:eastAsia="黑体" w:cs="黑体"/>
                <w:color w:val="000000" w:themeColor="text1"/>
                <w:kern w:val="0"/>
                <w:sz w:val="28"/>
                <w:szCs w:val="28"/>
                <w14:textFill>
                  <w14:solidFill>
                    <w14:schemeClr w14:val="tx1"/>
                  </w14:solidFill>
                </w14:textFill>
                <w14:ligatures w14:val="none"/>
              </w:rPr>
            </w:pPr>
            <w:r>
              <w:rPr>
                <w:rFonts w:hint="eastAsia" w:ascii="黑体" w:hAnsi="黑体" w:eastAsia="黑体" w:cs="黑体"/>
                <w:color w:val="000000" w:themeColor="text1"/>
                <w:kern w:val="0"/>
                <w:sz w:val="32"/>
                <w:szCs w:val="32"/>
                <w14:textFill>
                  <w14:solidFill>
                    <w14:schemeClr w14:val="tx1"/>
                  </w14:solidFill>
                </w14:textFill>
                <w14:ligatures w14:val="none"/>
              </w:rPr>
              <w:t>专栏</w:t>
            </w:r>
            <w:r>
              <w:rPr>
                <w:rFonts w:hint="eastAsia" w:ascii="Times New Roman" w:hAnsi="Times New Roman" w:eastAsia="黑体" w:cs="Times New Roman"/>
                <w:color w:val="000000" w:themeColor="text1"/>
                <w:kern w:val="0"/>
                <w:sz w:val="32"/>
                <w:szCs w:val="32"/>
                <w14:textFill>
                  <w14:solidFill>
                    <w14:schemeClr w14:val="tx1"/>
                  </w14:solidFill>
                </w14:textFill>
                <w14:ligatures w14:val="none"/>
              </w:rPr>
              <w:t>16</w:t>
            </w:r>
            <w:r>
              <w:rPr>
                <w:rFonts w:hint="eastAsia" w:ascii="黑体" w:hAnsi="黑体" w:eastAsia="黑体" w:cs="黑体"/>
                <w:color w:val="000000" w:themeColor="text1"/>
                <w:kern w:val="0"/>
                <w:sz w:val="32"/>
                <w:szCs w:val="32"/>
                <w14:textFill>
                  <w14:solidFill>
                    <w14:schemeClr w14:val="tx1"/>
                  </w14:solidFill>
                </w14:textFill>
                <w14:ligatures w14:val="none"/>
              </w:rPr>
              <w:t xml:space="preserve"> 乡村振兴项目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9" w:type="dxa"/>
            <w:tcBorders>
              <w:top w:val="single" w:color="auto" w:sz="4" w:space="0"/>
              <w:left w:val="single" w:color="auto" w:sz="4" w:space="0"/>
              <w:bottom w:val="single" w:color="auto" w:sz="4" w:space="0"/>
              <w:right w:val="single" w:color="auto" w:sz="4" w:space="0"/>
            </w:tcBorders>
          </w:tcPr>
          <w:p>
            <w:pPr>
              <w:adjustRightInd w:val="0"/>
              <w:snapToGrid w:val="0"/>
              <w:spacing w:line="580" w:lineRule="exact"/>
              <w:ind w:firstLine="643" w:firstLineChars="200"/>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1.创建国家乡村振兴重点县。</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重点持续推进“五村联创”“五朵金花”等具有代表示范模式，打造怀化典型乡村振兴示范样板。</w:t>
            </w:r>
          </w:p>
          <w:p>
            <w:pPr>
              <w:adjustRightInd w:val="0"/>
              <w:snapToGrid w:val="0"/>
              <w:spacing w:line="580" w:lineRule="exact"/>
              <w:ind w:firstLine="643" w:firstLineChars="200"/>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2.会同县乡村振兴带头人“头雁”培育项目。</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培育对象与目标定位，培育内容与课程体系，培育方式与支撑体系建设。</w:t>
            </w:r>
          </w:p>
          <w:p>
            <w:pPr>
              <w:adjustRightInd w:val="0"/>
              <w:snapToGrid w:val="0"/>
              <w:spacing w:line="580" w:lineRule="exact"/>
              <w:ind w:firstLine="643" w:firstLineChars="200"/>
              <w:rPr>
                <w:rFonts w:hint="eastAsia" w:ascii="仿宋_GB2312" w:hAnsi="仿宋_GB2312" w:eastAsia="仿宋_GB2312" w:cs="仿宋_GB2312"/>
                <w:color w:val="000000" w:themeColor="text1"/>
                <w:kern w:val="0"/>
                <w:sz w:val="28"/>
                <w:szCs w:val="28"/>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3.“十五五”以工代赈项目。</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新建、改造道路、沟渠、管网，堡坎、护坡、挡土墙、护山塘、蓄水池、建拦水坝以及其他配套基础设施工程共30个项目以上。</w:t>
            </w:r>
          </w:p>
        </w:tc>
      </w:tr>
    </w:tbl>
    <w:p>
      <w:pPr>
        <w:adjustRightInd w:val="0"/>
        <w:snapToGrid w:val="0"/>
        <w:spacing w:line="360" w:lineRule="auto"/>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p>
    <w:p>
      <w:pPr>
        <w:adjustRightInd w:val="0"/>
        <w:snapToGrid w:val="0"/>
        <w:spacing w:line="360" w:lineRule="auto"/>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sectPr>
          <w:pgSz w:w="11906" w:h="16838"/>
          <w:pgMar w:top="2041" w:right="1531" w:bottom="1757" w:left="1531" w:header="851" w:footer="1134" w:gutter="0"/>
          <w:pgNumType w:fmt="numberInDash"/>
          <w:cols w:space="0" w:num="1"/>
          <w:titlePg/>
          <w:docGrid w:type="lines" w:linePitch="312" w:charSpace="0"/>
        </w:sectPr>
      </w:pPr>
    </w:p>
    <w:p>
      <w:pPr>
        <w:adjustRightInd w:val="0"/>
        <w:snapToGrid w:val="0"/>
        <w:spacing w:line="580" w:lineRule="exact"/>
        <w:jc w:val="center"/>
        <w:outlineLvl w:val="0"/>
        <w:rPr>
          <w:rFonts w:hint="eastAsia" w:ascii="方正小标宋简体" w:hAnsi="方正小标宋简体" w:eastAsia="方正小标宋简体" w:cs="方正小标宋简体"/>
          <w:color w:val="000000" w:themeColor="text1"/>
          <w:sz w:val="36"/>
          <w:szCs w:val="36"/>
          <w14:textFill>
            <w14:solidFill>
              <w14:schemeClr w14:val="tx1"/>
            </w14:solidFill>
          </w14:textFill>
        </w:rPr>
      </w:pPr>
      <w:bookmarkStart w:id="79" w:name="_Toc215048344"/>
      <w:bookmarkStart w:id="80" w:name="_Toc235000778"/>
      <w:r>
        <w:rPr>
          <w:rFonts w:hint="eastAsia" w:ascii="方正小标宋简体" w:hAnsi="方正小标宋简体" w:eastAsia="方正小标宋简体" w:cs="方正小标宋简体"/>
          <w:color w:val="000000" w:themeColor="text1"/>
          <w:sz w:val="36"/>
          <w:szCs w:val="36"/>
          <w14:textFill>
            <w14:solidFill>
              <w14:schemeClr w14:val="tx1"/>
            </w14:solidFill>
          </w14:textFill>
        </w:rPr>
        <w:t xml:space="preserve">第十章 </w:t>
      </w:r>
      <w:bookmarkEnd w:id="79"/>
      <w:r>
        <w:rPr>
          <w:rFonts w:hint="eastAsia" w:ascii="方正小标宋简体" w:hAnsi="方正小标宋简体" w:eastAsia="方正小标宋简体" w:cs="方正小标宋简体"/>
          <w:color w:val="000000" w:themeColor="text1"/>
          <w:sz w:val="36"/>
          <w:szCs w:val="36"/>
          <w14:textFill>
            <w14:solidFill>
              <w14:schemeClr w14:val="tx1"/>
            </w14:solidFill>
          </w14:textFill>
        </w:rPr>
        <w:t>推动基础设施升级，促进城乡融合发展</w:t>
      </w:r>
      <w:bookmarkEnd w:id="80"/>
    </w:p>
    <w:p>
      <w:pPr>
        <w:overflowPunct w:val="0"/>
        <w:adjustRightInd w:val="0"/>
        <w:snapToGrid w:val="0"/>
        <w:spacing w:line="580" w:lineRule="exact"/>
        <w:ind w:firstLine="600" w:firstLineChars="200"/>
        <w:textAlignment w:val="bottom"/>
        <w:rPr>
          <w:rFonts w:hint="eastAsia" w:ascii="仿宋_GB2312" w:hAnsi="仿宋_GB2312" w:eastAsia="仿宋_GB2312" w:cs="仿宋_GB2312"/>
          <w:color w:val="000000" w:themeColor="text1"/>
          <w:sz w:val="30"/>
          <w:szCs w:val="30"/>
          <w14:textFill>
            <w14:solidFill>
              <w14:schemeClr w14:val="tx1"/>
            </w14:solidFill>
          </w14:textFill>
        </w:rPr>
      </w:pPr>
    </w:p>
    <w:p>
      <w:pPr>
        <w:overflowPunct w:val="0"/>
        <w:adjustRightInd w:val="0"/>
        <w:snapToGrid w:val="0"/>
        <w:spacing w:line="580" w:lineRule="exact"/>
        <w:ind w:firstLine="640" w:firstLineChars="200"/>
        <w:textAlignment w:val="bottom"/>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立足国土空间整体格局，统筹推进交通、水利、城镇等基础设施建设。通过构建现代化综合交通体系、建设安全韧性水网、提升新型城镇化水平，全面增强城乡基础设施承载能力和服务水平，加快形成城乡互补、协调发展、共同繁荣的新型城乡关系，不断为现代化新会同注入强劲动力，高质量打造城乡融合发展先行区。</w:t>
      </w:r>
    </w:p>
    <w:p>
      <w:pPr>
        <w:overflowPunct w:val="0"/>
        <w:adjustRightInd w:val="0"/>
        <w:snapToGrid w:val="0"/>
        <w:spacing w:line="580" w:lineRule="exact"/>
        <w:textAlignment w:val="bottom"/>
        <w:rPr>
          <w:rFonts w:hint="eastAsia" w:ascii="仿宋_GB2312" w:hAnsi="仿宋_GB2312" w:eastAsia="仿宋_GB2312" w:cs="仿宋_GB2312"/>
          <w:color w:val="000000" w:themeColor="text1"/>
          <w:sz w:val="32"/>
          <w:szCs w:val="32"/>
          <w14:textFill>
            <w14:solidFill>
              <w14:schemeClr w14:val="tx1"/>
            </w14:solidFill>
          </w14:textFill>
        </w:rPr>
      </w:pPr>
    </w:p>
    <w:p>
      <w:pPr>
        <w:adjustRightInd w:val="0"/>
        <w:snapToGrid w:val="0"/>
        <w:spacing w:line="580" w:lineRule="exact"/>
        <w:jc w:val="center"/>
        <w:outlineLvl w:val="1"/>
        <w:rPr>
          <w:rFonts w:hint="eastAsia" w:ascii="黑体" w:hAnsi="黑体" w:eastAsia="黑体" w:cs="黑体"/>
          <w:color w:val="000000" w:themeColor="text1"/>
          <w:sz w:val="32"/>
          <w:szCs w:val="32"/>
          <w14:textFill>
            <w14:solidFill>
              <w14:schemeClr w14:val="tx1"/>
            </w14:solidFill>
          </w14:textFill>
        </w:rPr>
      </w:pPr>
      <w:bookmarkStart w:id="81" w:name="_Toc215048312"/>
      <w:bookmarkStart w:id="82" w:name="_Toc235000779"/>
      <w:r>
        <w:rPr>
          <w:rFonts w:hint="eastAsia" w:ascii="黑体" w:hAnsi="黑体" w:eastAsia="黑体" w:cs="黑体"/>
          <w:color w:val="000000" w:themeColor="text1"/>
          <w:sz w:val="32"/>
          <w:szCs w:val="32"/>
          <w14:textFill>
            <w14:solidFill>
              <w14:schemeClr w14:val="tx1"/>
            </w14:solidFill>
          </w14:textFill>
        </w:rPr>
        <w:t xml:space="preserve">第一节 </w:t>
      </w:r>
      <w:bookmarkEnd w:id="81"/>
      <w:r>
        <w:rPr>
          <w:rFonts w:hint="eastAsia" w:ascii="黑体" w:hAnsi="黑体" w:eastAsia="黑体" w:cs="黑体"/>
          <w:color w:val="000000" w:themeColor="text1"/>
          <w:sz w:val="32"/>
          <w:szCs w:val="32"/>
          <w14:textFill>
            <w14:solidFill>
              <w14:schemeClr w14:val="tx1"/>
            </w14:solidFill>
          </w14:textFill>
        </w:rPr>
        <w:t>优化国土空间发展格局</w:t>
      </w:r>
      <w:bookmarkEnd w:id="82"/>
    </w:p>
    <w:p>
      <w:pPr>
        <w:adjustRightInd w:val="0"/>
        <w:snapToGrid w:val="0"/>
        <w:spacing w:line="580" w:lineRule="exact"/>
        <w:ind w:firstLine="643" w:firstLineChars="200"/>
        <w:rPr>
          <w:rFonts w:hint="eastAsia" w:ascii="楷体_GB2312" w:hAnsi="楷体_GB2312" w:eastAsia="楷体_GB2312" w:cs="楷体_GB2312"/>
          <w:b/>
          <w:bCs/>
          <w:color w:val="000000" w:themeColor="text1"/>
          <w:sz w:val="32"/>
          <w:szCs w:val="32"/>
          <w14:textFill>
            <w14:solidFill>
              <w14:schemeClr w14:val="tx1"/>
            </w14:solidFill>
          </w14:textFill>
        </w:rPr>
      </w:pPr>
    </w:p>
    <w:p>
      <w:pPr>
        <w:adjustRightInd w:val="0"/>
        <w:snapToGrid w:val="0"/>
        <w:spacing w:line="580" w:lineRule="exact"/>
        <w:ind w:firstLine="643" w:firstLineChars="200"/>
        <w:rPr>
          <w:rFonts w:hint="eastAsia" w:ascii="仿宋_GB2312" w:hAnsi="仿宋_GB2312" w:eastAsia="仿宋_GB2312" w:cs="仿宋_GB2312"/>
          <w:b/>
          <w:bCs/>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优化国土空间总体发展格局</w:t>
      </w:r>
      <w:r>
        <w:rPr>
          <w:rFonts w:hint="eastAsia" w:ascii="楷体_GB2312" w:hAnsi="楷体_GB2312" w:eastAsia="楷体_GB2312" w:cs="楷体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合理确定生态、农业和城镇三类空间，落实“三区三线”规划要求，实行全域全类型国土空间用途管制，持续优化国土空间结构。落实全国生态功能区相关要求，增加生态空间。强化耕地保护与粮食安全保障，优化农用地空间布局，减少农村低效建设空间，约束乡镇和村庄建设用地扩展，引导零散生产空间向产业园区集聚。有序增加中心城区城镇建设用地供给，进一步配套完善各类功能。</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bookmarkStart w:id="83" w:name="OLE_LINK11"/>
      <w:r>
        <w:rPr>
          <w:rFonts w:hint="eastAsia" w:ascii="楷体_GB2312" w:hAnsi="楷体_GB2312" w:eastAsia="楷体_GB2312" w:cs="楷体_GB2312"/>
          <w:b/>
          <w:bCs/>
          <w:color w:val="000000" w:themeColor="text1"/>
          <w:sz w:val="32"/>
          <w:szCs w:val="32"/>
          <w14:textFill>
            <w14:solidFill>
              <w14:schemeClr w14:val="tx1"/>
            </w14:solidFill>
          </w14:textFill>
        </w:rPr>
        <w:t>统筹生态空间保护与发展。</w:t>
      </w:r>
      <w:bookmarkEnd w:id="83"/>
      <w:r>
        <w:rPr>
          <w:rFonts w:hint="eastAsia" w:ascii="仿宋_GB2312" w:hAnsi="仿宋_GB2312" w:eastAsia="仿宋_GB2312" w:cs="仿宋_GB2312"/>
          <w:color w:val="000000" w:themeColor="text1"/>
          <w:sz w:val="32"/>
          <w:szCs w:val="32"/>
          <w14:textFill>
            <w14:solidFill>
              <w14:schemeClr w14:val="tx1"/>
            </w14:solidFill>
          </w14:textFill>
        </w:rPr>
        <w:t>强化森林山系的生态屏障作用，提升森林山系在自然保护、气候调节和区域生态稳定性维护方面的保障能力，统筹划定湖南鹰嘴界国家级自然保护区核心保护区和一般控制区，以雪峰山、金龙山、八仙山、雷坡界等为重点进一步提升全县森林保有量。强化</w:t>
      </w:r>
      <w:bookmarkStart w:id="84" w:name="OLE_LINK10"/>
      <w:r>
        <w:rPr>
          <w:rFonts w:hint="eastAsia" w:ascii="仿宋_GB2312" w:hAnsi="仿宋_GB2312" w:eastAsia="仿宋_GB2312" w:cs="仿宋_GB2312"/>
          <w:color w:val="000000" w:themeColor="text1"/>
          <w:sz w:val="32"/>
          <w:szCs w:val="32"/>
          <w14:textFill>
            <w14:solidFill>
              <w14:schemeClr w14:val="tx1"/>
            </w14:solidFill>
          </w14:textFill>
        </w:rPr>
        <w:t>水系流域和重要湿地生态涵养能力</w:t>
      </w:r>
      <w:bookmarkEnd w:id="84"/>
      <w:r>
        <w:rPr>
          <w:rFonts w:hint="eastAsia" w:ascii="仿宋_GB2312" w:hAnsi="仿宋_GB2312" w:eastAsia="仿宋_GB2312" w:cs="仿宋_GB2312"/>
          <w:color w:val="000000" w:themeColor="text1"/>
          <w:sz w:val="32"/>
          <w:szCs w:val="32"/>
          <w14:textFill>
            <w14:solidFill>
              <w14:schemeClr w14:val="tx1"/>
            </w14:solidFill>
          </w14:textFill>
        </w:rPr>
        <w:t>，构建涵</w:t>
      </w:r>
      <w:r>
        <w:rPr>
          <w:rFonts w:hint="eastAsia" w:ascii="仿宋_GB2312" w:hAnsi="仿宋_GB2312" w:eastAsia="仿宋_GB2312" w:cs="仿宋_GB2312"/>
          <w:color w:val="000000" w:themeColor="text1"/>
          <w:spacing w:val="-6"/>
          <w:sz w:val="32"/>
          <w:szCs w:val="32"/>
          <w14:textFill>
            <w14:solidFill>
              <w14:schemeClr w14:val="tx1"/>
            </w14:solidFill>
          </w14:textFill>
        </w:rPr>
        <w:t>盖渠水、巫水、沅水干支流河网的河湖体系，建立覆盖沅江会同县段全流域的生态涵养带，完善国家湿地公园和重要水源地生态功能。</w:t>
      </w:r>
    </w:p>
    <w:p>
      <w:pPr>
        <w:adjustRightInd w:val="0"/>
        <w:snapToGrid w:val="0"/>
        <w:spacing w:line="580" w:lineRule="exact"/>
        <w:ind w:firstLine="643" w:firstLineChars="200"/>
        <w:rPr>
          <w:rFonts w:hint="eastAsia" w:ascii="仿宋_GB2312" w:hAnsi="仿宋_GB2312" w:eastAsia="仿宋_GB2312" w:cs="仿宋_GB2312"/>
          <w:color w:val="000000" w:themeColor="text1"/>
          <w:kern w:val="0"/>
          <w:sz w:val="32"/>
          <w:szCs w:val="32"/>
          <w14:textFill>
            <w14:solidFill>
              <w14:schemeClr w14:val="tx1"/>
            </w14:solidFill>
          </w14:textFill>
          <w14:ligatures w14:val="none"/>
        </w:rPr>
      </w:pPr>
      <w:bookmarkStart w:id="85" w:name="OLE_LINK15"/>
      <w:r>
        <w:rPr>
          <w:rFonts w:hint="eastAsia" w:ascii="楷体_GB2312" w:hAnsi="楷体_GB2312" w:eastAsia="楷体_GB2312" w:cs="楷体_GB2312"/>
          <w:b/>
          <w:bCs/>
          <w:color w:val="000000" w:themeColor="text1"/>
          <w:sz w:val="32"/>
          <w:szCs w:val="32"/>
          <w14:textFill>
            <w14:solidFill>
              <w14:schemeClr w14:val="tx1"/>
            </w14:solidFill>
          </w14:textFill>
        </w:rPr>
        <w:t>完善农业空间布局和乡村建设。</w:t>
      </w:r>
      <w:r>
        <w:rPr>
          <w:rFonts w:hint="eastAsia" w:ascii="仿宋_GB2312" w:hAnsi="仿宋_GB2312" w:eastAsia="仿宋_GB2312" w:cs="仿宋_GB2312"/>
          <w:color w:val="000000" w:themeColor="text1"/>
          <w:kern w:val="0"/>
          <w:sz w:val="32"/>
          <w:szCs w:val="32"/>
          <w14:textFill>
            <w14:solidFill>
              <w14:schemeClr w14:val="tx1"/>
            </w14:solidFill>
          </w14:textFill>
          <w14:ligatures w14:val="none"/>
        </w:rPr>
        <w:t>严格落实耕地保护目标任务和农业发展要求，严守耕地保护红线，</w:t>
      </w:r>
      <w:bookmarkEnd w:id="85"/>
      <w:r>
        <w:rPr>
          <w:rFonts w:hint="eastAsia" w:ascii="仿宋_GB2312" w:hAnsi="仿宋_GB2312" w:eastAsia="仿宋_GB2312" w:cs="仿宋_GB2312"/>
          <w:color w:val="000000" w:themeColor="text1"/>
          <w:kern w:val="0"/>
          <w:sz w:val="32"/>
          <w:szCs w:val="32"/>
          <w14:textFill>
            <w14:solidFill>
              <w14:schemeClr w14:val="tx1"/>
            </w14:solidFill>
          </w14:textFill>
          <w14:ligatures w14:val="none"/>
        </w:rPr>
        <w:t>确保耕地面积基本稳定、质量不下降，优化完善耕地布局和后备储备，保障粮食作物生产空间、特色农产品生产空间和休闲农业发展空间。加快推动美丽乡村建设，深入推进农村人居环境整治，县乡两级合力强化对乡村振兴的空间保障，探索乡村新产业新业态项目点状供地实施机制。</w:t>
      </w:r>
    </w:p>
    <w:p>
      <w:pPr>
        <w:adjustRightInd w:val="0"/>
        <w:snapToGrid w:val="0"/>
        <w:spacing w:line="360" w:lineRule="auto"/>
        <w:rPr>
          <w:rFonts w:hint="eastAsia" w:ascii="仿宋_GB2312" w:hAnsi="仿宋_GB2312" w:eastAsia="仿宋_GB2312" w:cs="仿宋_GB2312"/>
          <w:color w:val="000000" w:themeColor="text1"/>
          <w:kern w:val="0"/>
          <w:sz w:val="30"/>
          <w:szCs w:val="30"/>
          <w14:textFill>
            <w14:solidFill>
              <w14:schemeClr w14:val="tx1"/>
            </w14:solidFill>
          </w14:textFill>
          <w14:ligatures w14:val="none"/>
        </w:rPr>
      </w:pPr>
      <w:r>
        <w:rPr>
          <w:rFonts w:ascii="仿宋_GB2312" w:hAnsi="仿宋_GB2312" w:eastAsia="仿宋_GB2312" w:cs="仿宋_GB2312"/>
          <w:color w:val="000000" w:themeColor="text1"/>
          <w:kern w:val="0"/>
          <w:sz w:val="30"/>
          <w:szCs w:val="30"/>
          <w14:textFill>
            <w14:solidFill>
              <w14:schemeClr w14:val="tx1"/>
            </w14:solidFill>
          </w14:textFill>
          <w14:ligatures w14:val="none"/>
        </w:rPr>
        <w:drawing>
          <wp:inline distT="0" distB="0" distL="0" distR="0">
            <wp:extent cx="5514975" cy="3716655"/>
            <wp:effectExtent l="0" t="0" r="0" b="0"/>
            <wp:docPr id="91" name="图片 90" descr="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0" descr="图示&#10;&#10;AI 生成的内容可能不正确。"/>
                    <pic:cNvPicPr>
                      <a:picLocks noChangeAspect="1"/>
                    </pic:cNvPicPr>
                  </pic:nvPicPr>
                  <pic:blipFill>
                    <a:blip r:embed="rId8"/>
                    <a:srcRect l="3402" t="2233" r="3642" b="3937"/>
                    <a:stretch>
                      <a:fillRect/>
                    </a:stretch>
                  </pic:blipFill>
                  <pic:spPr>
                    <a:xfrm>
                      <a:off x="0" y="0"/>
                      <a:ext cx="5514975" cy="3716655"/>
                    </a:xfrm>
                    <a:prstGeom prst="rect">
                      <a:avLst/>
                    </a:prstGeom>
                  </pic:spPr>
                </pic:pic>
              </a:graphicData>
            </a:graphic>
          </wp:inline>
        </w:drawing>
      </w:r>
    </w:p>
    <w:p>
      <w:pPr>
        <w:adjustRightInd w:val="0"/>
        <w:snapToGrid w:val="0"/>
        <w:spacing w:line="360" w:lineRule="auto"/>
        <w:jc w:val="center"/>
        <w:rPr>
          <w:rFonts w:hint="eastAsia" w:ascii="楷体_GB2312" w:hAnsi="楷体_GB2312" w:eastAsia="楷体_GB2312" w:cs="楷体_GB2312"/>
          <w:b/>
          <w:bCs/>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图1  城镇空间格局</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优化城镇空间结构。</w:t>
      </w:r>
      <w:r>
        <w:rPr>
          <w:rFonts w:hint="eastAsia" w:ascii="Times New Roman" w:hAnsi="Times New Roman" w:eastAsia="仿宋_GB2312" w:cs="Times New Roman"/>
          <w:color w:val="000000" w:themeColor="text1"/>
          <w:sz w:val="32"/>
          <w:szCs w:val="32"/>
          <w14:textFill>
            <w14:solidFill>
              <w14:schemeClr w14:val="tx1"/>
            </w14:solidFill>
          </w14:textFill>
        </w:rPr>
        <w:t>立足城镇基础、特色禀赋和重要交通基础设施，构建</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14:textFill>
            <w14:solidFill>
              <w14:schemeClr w14:val="tx1"/>
            </w14:solidFill>
          </w14:textFill>
        </w:rPr>
        <w:t>一高地、三走廊、多节点</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14:textFill>
            <w14:solidFill>
              <w14:schemeClr w14:val="tx1"/>
            </w14:solidFill>
          </w14:textFill>
        </w:rPr>
        <w:t>城镇空间结构。推动中心城区联动连山打造县域高质量发展高地，重点加强产业集聚、完善公共服务设施、优化人居环境，实施城市更新，提升发展能级，吸引县域乡镇人口向中心城区集聚。</w:t>
      </w:r>
      <w:r>
        <w:rPr>
          <w:rFonts w:hint="eastAsia" w:ascii="Times New Roman" w:hAnsi="Times New Roman" w:eastAsia="仿宋_GB2312" w:cs="仿宋_GB2312"/>
          <w:color w:val="000000" w:themeColor="text1"/>
          <w:sz w:val="32"/>
          <w:szCs w:val="32"/>
          <w14:textFill>
            <w14:solidFill>
              <w14:schemeClr w14:val="tx1"/>
            </w14:solidFill>
          </w14:textFill>
        </w:rPr>
        <w:t>依托包茂高速、焦柳铁路、国道</w:t>
      </w:r>
      <w:r>
        <w:rPr>
          <w:rFonts w:ascii="Times New Roman" w:hAnsi="Times New Roman" w:eastAsia="仿宋_GB2312" w:cs="仿宋_GB2312"/>
          <w:color w:val="000000" w:themeColor="text1"/>
          <w:sz w:val="32"/>
          <w:szCs w:val="32"/>
          <w14:textFill>
            <w14:solidFill>
              <w14:schemeClr w14:val="tx1"/>
            </w14:solidFill>
          </w14:textFill>
        </w:rPr>
        <w:t>G209</w:t>
      </w:r>
      <w:r>
        <w:rPr>
          <w:rFonts w:hint="eastAsia" w:ascii="Times New Roman" w:hAnsi="Times New Roman" w:eastAsia="仿宋_GB2312" w:cs="仿宋_GB2312"/>
          <w:color w:val="000000" w:themeColor="text1"/>
          <w:sz w:val="32"/>
          <w:szCs w:val="32"/>
          <w14:textFill>
            <w14:solidFill>
              <w14:schemeClr w14:val="tx1"/>
            </w14:solidFill>
          </w14:textFill>
        </w:rPr>
        <w:t>和怀桂高铁形成县域活力走廊，依托省道</w:t>
      </w:r>
      <w:r>
        <w:rPr>
          <w:rFonts w:ascii="Times New Roman" w:hAnsi="Times New Roman" w:eastAsia="仿宋_GB2312" w:cs="仿宋_GB2312"/>
          <w:color w:val="000000" w:themeColor="text1"/>
          <w:sz w:val="32"/>
          <w:szCs w:val="32"/>
          <w14:textFill>
            <w14:solidFill>
              <w14:schemeClr w14:val="tx1"/>
            </w14:solidFill>
          </w14:textFill>
        </w:rPr>
        <w:t>S249</w:t>
      </w:r>
      <w:r>
        <w:rPr>
          <w:rFonts w:hint="eastAsia" w:ascii="Times New Roman" w:hAnsi="Times New Roman" w:eastAsia="仿宋_GB2312" w:cs="仿宋_GB2312"/>
          <w:color w:val="000000" w:themeColor="text1"/>
          <w:sz w:val="32"/>
          <w:szCs w:val="32"/>
          <w14:textFill>
            <w14:solidFill>
              <w14:schemeClr w14:val="tx1"/>
            </w14:solidFill>
          </w14:textFill>
        </w:rPr>
        <w:t>形成纵贯南北的生态文旅走廊，依托东西向</w:t>
      </w:r>
      <w:r>
        <w:rPr>
          <w:rFonts w:ascii="Times New Roman" w:hAnsi="Times New Roman" w:eastAsia="仿宋_GB2312" w:cs="仿宋_GB2312"/>
          <w:color w:val="000000" w:themeColor="text1"/>
          <w:sz w:val="32"/>
          <w:szCs w:val="32"/>
          <w14:textFill>
            <w14:solidFill>
              <w14:schemeClr w14:val="tx1"/>
            </w14:solidFill>
          </w14:textFill>
        </w:rPr>
        <w:t>G60</w:t>
      </w:r>
      <w:r>
        <w:rPr>
          <w:rFonts w:hint="eastAsia" w:ascii="Times New Roman" w:hAnsi="Times New Roman" w:eastAsia="仿宋_GB2312" w:cs="仿宋_GB2312"/>
          <w:color w:val="000000" w:themeColor="text1"/>
          <w:sz w:val="32"/>
          <w:szCs w:val="32"/>
          <w14:textFill>
            <w14:solidFill>
              <w14:schemeClr w14:val="tx1"/>
            </w14:solidFill>
          </w14:textFill>
        </w:rPr>
        <w:t>沪昆高速形成串联东中西的城乡融合走廊。以乡镇为节点，发挥区位、交通、资源优势，支持城郊服务型、生态保护型、商贸物流型、现代农业型、文旅融合型、产业发展型等特色乡镇差异化发展，</w:t>
      </w:r>
      <w:r>
        <w:rPr>
          <w:rFonts w:hint="eastAsia" w:ascii="Times New Roman" w:hAnsi="Times New Roman" w:eastAsia="仿宋_GB2312" w:cs="Times New Roman"/>
          <w:color w:val="000000" w:themeColor="text1"/>
          <w:sz w:val="32"/>
          <w:szCs w:val="32"/>
          <w14:textFill>
            <w14:solidFill>
              <w14:schemeClr w14:val="tx1"/>
            </w14:solidFill>
          </w14:textFill>
        </w:rPr>
        <w:t>因地制宜提升各乡镇基础设施、公共服务、产业发展和生态保护水平</w:t>
      </w:r>
      <w:r>
        <w:rPr>
          <w:rFonts w:hint="eastAsia" w:ascii="仿宋_GB2312" w:hAnsi="仿宋_GB2312" w:eastAsia="仿宋_GB2312" w:cs="仿宋_GB2312"/>
          <w:color w:val="000000" w:themeColor="text1"/>
          <w:sz w:val="32"/>
          <w:szCs w:val="32"/>
          <w14:textFill>
            <w14:solidFill>
              <w14:schemeClr w14:val="tx1"/>
            </w14:solidFill>
          </w14:textFill>
        </w:rPr>
        <w:t>。</w:t>
      </w:r>
    </w:p>
    <w:p>
      <w:pPr>
        <w:adjustRightInd w:val="0"/>
        <w:snapToGrid w:val="0"/>
        <w:spacing w:line="580" w:lineRule="exact"/>
        <w:rPr>
          <w:rFonts w:hint="eastAsia" w:ascii="仿宋_GB2312" w:hAnsi="仿宋_GB2312" w:eastAsia="仿宋_GB2312" w:cs="仿宋_GB2312"/>
          <w:color w:val="000000" w:themeColor="text1"/>
          <w:sz w:val="32"/>
          <w:szCs w:val="32"/>
          <w14:textFill>
            <w14:solidFill>
              <w14:schemeClr w14:val="tx1"/>
            </w14:solidFill>
          </w14:textFill>
        </w:rPr>
      </w:pPr>
    </w:p>
    <w:p>
      <w:pPr>
        <w:adjustRightInd w:val="0"/>
        <w:snapToGrid w:val="0"/>
        <w:spacing w:line="580" w:lineRule="exact"/>
        <w:jc w:val="center"/>
        <w:outlineLvl w:val="1"/>
        <w:rPr>
          <w:rFonts w:hint="eastAsia" w:ascii="黑体" w:hAnsi="黑体" w:eastAsia="黑体" w:cs="黑体"/>
          <w:color w:val="000000" w:themeColor="text1"/>
          <w:sz w:val="32"/>
          <w:szCs w:val="32"/>
          <w14:textFill>
            <w14:solidFill>
              <w14:schemeClr w14:val="tx1"/>
            </w14:solidFill>
          </w14:textFill>
        </w:rPr>
      </w:pPr>
      <w:bookmarkStart w:id="86" w:name="_Toc235000780"/>
      <w:r>
        <w:rPr>
          <w:rFonts w:hint="eastAsia" w:ascii="黑体" w:hAnsi="黑体" w:eastAsia="黑体" w:cs="黑体"/>
          <w:color w:val="000000" w:themeColor="text1"/>
          <w:sz w:val="32"/>
          <w:szCs w:val="32"/>
          <w14:textFill>
            <w14:solidFill>
              <w14:schemeClr w14:val="tx1"/>
            </w14:solidFill>
          </w14:textFill>
        </w:rPr>
        <w:t>第二节 构建现代化综合交通体系</w:t>
      </w:r>
      <w:bookmarkEnd w:id="86"/>
    </w:p>
    <w:p>
      <w:pPr>
        <w:adjustRightInd w:val="0"/>
        <w:snapToGrid w:val="0"/>
        <w:spacing w:line="580" w:lineRule="exact"/>
        <w:ind w:firstLine="643" w:firstLineChars="200"/>
        <w:rPr>
          <w:rFonts w:hint="eastAsia" w:ascii="楷体_GB2312" w:hAnsi="楷体_GB2312" w:eastAsia="楷体_GB2312" w:cs="楷体_GB2312"/>
          <w:b/>
          <w:bCs/>
          <w:color w:val="000000" w:themeColor="text1"/>
          <w:sz w:val="32"/>
          <w:szCs w:val="32"/>
          <w14:textFill>
            <w14:solidFill>
              <w14:schemeClr w14:val="tx1"/>
            </w14:solidFill>
          </w14:textFill>
        </w:rPr>
      </w:pP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强化对外战略通道能级。</w:t>
      </w:r>
      <w:r>
        <w:rPr>
          <w:rFonts w:hint="eastAsia" w:ascii="仿宋_GB2312" w:hAnsi="仿宋_GB2312" w:eastAsia="仿宋_GB2312" w:cs="仿宋_GB2312"/>
          <w:color w:val="000000" w:themeColor="text1"/>
          <w:sz w:val="32"/>
          <w:szCs w:val="32"/>
          <w14:textFill>
            <w14:solidFill>
              <w14:schemeClr w14:val="tx1"/>
            </w14:solidFill>
          </w14:textFill>
        </w:rPr>
        <w:t>着力构建“外联内畅、高效便捷”的综合交通运输体系，全面提升对外通道能级。重点推进高速铁路网建设，积极争取怀桂高铁、兴永郴赣铁路过境设站，努力构建“双交叉”枢纽格局，补齐铁路运输短板。完善高速公路网络布局，加快推进洞天高速（会同段）建设，强化与周边重要城市群的快速连通。实施国省道干线提质改造工程，重点提升G209、S342等干线公路技术等级，增强省际通道通行能力和可靠性。着力打通省际边界交通微循环，以堡子、广坪等边界口子镇为重点，推进省际连接线建设和“断头路”打通工程，实现与毗邻地区路网无缝对接。通过构建多方式、高效率的对外交通体系，全面提升区域交通枢纽功能，增强对外辐射能力，为深度融入国家综合立体交通网提供有力支撑。</w:t>
      </w:r>
    </w:p>
    <w:p>
      <w:pPr>
        <w:widowControl/>
        <w:spacing w:line="580" w:lineRule="exact"/>
        <w:ind w:firstLine="643" w:firstLineChars="200"/>
        <w:jc w:val="left"/>
        <w:rPr>
          <w:rFonts w:hint="eastAsia"/>
          <w:color w:val="000000" w:themeColor="text1"/>
          <w:sz w:val="22"/>
          <w:szCs w:val="24"/>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优化县域路网结构功能。</w:t>
      </w:r>
      <w:r>
        <w:rPr>
          <w:rFonts w:hint="eastAsia" w:ascii="仿宋_GB2312" w:hAnsi="仿宋_GB2312" w:eastAsia="仿宋_GB2312" w:cs="仿宋_GB2312"/>
          <w:color w:val="000000" w:themeColor="text1"/>
          <w:sz w:val="32"/>
          <w:szCs w:val="32"/>
          <w14:textFill>
            <w14:solidFill>
              <w14:schemeClr w14:val="tx1"/>
            </w14:solidFill>
          </w14:textFill>
        </w:rPr>
        <w:t>打造“一纵一横”十字型高速公路主通道、“四纵三横”国省干线公路主骨架的县域公路网络，加快发展智慧交通、绿色交通。推进国省道干线互联互通，实施一批重点公路项目，提升主干路网技术等级和服务水平。推动“四好农村路”建设，实现乡镇通三级公路全覆盖，推进建制村通双车道工程，全面提升农村公路通行能力和安全保障水平。畅通城乡交通微循环，完善产业园区、旅游景区和重要集镇连接线路，有效服务县域经济发展。创新“交通+”融合发展模式，结合特色产业布局和旅游资源分布，建设产业路、旅游路、资源路，助推文旅品牌建设和特色产业发展。健全公路建管养运长效机制，推广以工代赈等模式，促进群众参与和可持续发展，为城乡统筹发展和乡村振兴战略实施提供坚实的交通保障。</w:t>
      </w:r>
    </w:p>
    <w:p>
      <w:pPr>
        <w:adjustRightInd w:val="0"/>
        <w:snapToGrid w:val="0"/>
        <w:spacing w:line="580" w:lineRule="exact"/>
        <w:ind w:firstLine="643"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提升综合交通服务效能。</w:t>
      </w:r>
      <w:r>
        <w:rPr>
          <w:rFonts w:hint="eastAsia" w:ascii="仿宋_GB2312" w:hAnsi="仿宋_GB2312" w:eastAsia="仿宋_GB2312" w:cs="仿宋_GB2312"/>
          <w:color w:val="000000" w:themeColor="text1"/>
          <w:sz w:val="32"/>
          <w:szCs w:val="32"/>
          <w14:textFill>
            <w14:solidFill>
              <w14:schemeClr w14:val="tx1"/>
            </w14:solidFill>
          </w14:textFill>
        </w:rPr>
        <w:t>依托怀化国际陆港·会同分港平台优势，完善综合交通枢纽布局，提升客货运服务效能。高标准建设物流枢纽节点，推进多式联运设施建设，强化与主要物流枢纽的业务协同，打造区域性物流集散中心。完善县乡村三级物流网络，建设综合客运枢纽和物流服务站点，提升城乡物流服务覆盖能力。探索发展低空经济，推动无人机物流配送在应急保障、山区运输等场景的应用试点。大力发展智慧交通，建设交通运输信息化平台，推进新能源汽车充电基础设施布局，实现重点区域充换电设施全覆盖。深化客货邮融合发展，整合邮政、快递、电商等资源，优化城乡物流配送体系。提升客运服务质量和覆盖水平，推进客运站场功能升级，构建便捷高效的客运服务网络。通过构建布局合理、功能完善、智能高效的现代交通体系，有效降低社会物流成本，提升区域经济竞争力。</w:t>
      </w:r>
    </w:p>
    <w:p>
      <w:pPr>
        <w:pStyle w:val="2"/>
        <w:ind w:firstLine="480"/>
        <w:rPr>
          <w:rFonts w:hint="eastAsia"/>
          <w:color w:val="000000" w:themeColor="text1"/>
          <w:sz w:val="24"/>
          <w:szCs w:val="32"/>
          <w14:textFill>
            <w14:solidFill>
              <w14:schemeClr w14:val="tx1"/>
            </w14:solidFill>
          </w14:textFill>
        </w:rPr>
      </w:pPr>
    </w:p>
    <w:tbl>
      <w:tblPr>
        <w:tblStyle w:val="68"/>
        <w:tblW w:w="88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4" w:type="dxa"/>
            <w:tcBorders>
              <w:top w:val="single" w:color="auto" w:sz="4" w:space="0"/>
              <w:left w:val="single" w:color="auto" w:sz="4" w:space="0"/>
              <w:bottom w:val="single" w:color="auto" w:sz="4" w:space="0"/>
              <w:right w:val="single" w:color="auto" w:sz="4" w:space="0"/>
            </w:tcBorders>
          </w:tcPr>
          <w:p>
            <w:pPr>
              <w:adjustRightInd w:val="0"/>
              <w:snapToGrid w:val="0"/>
              <w:spacing w:line="580" w:lineRule="exact"/>
              <w:jc w:val="center"/>
              <w:rPr>
                <w:rFonts w:hint="eastAsia" w:ascii="黑体" w:hAnsi="黑体" w:eastAsia="黑体" w:cs="黑体"/>
                <w:color w:val="000000" w:themeColor="text1"/>
                <w:kern w:val="0"/>
                <w:sz w:val="28"/>
                <w:szCs w:val="28"/>
                <w14:textFill>
                  <w14:solidFill>
                    <w14:schemeClr w14:val="tx1"/>
                  </w14:solidFill>
                </w14:textFill>
                <w14:ligatures w14:val="none"/>
              </w:rPr>
            </w:pPr>
            <w:r>
              <w:rPr>
                <w:rFonts w:hint="eastAsia" w:ascii="黑体" w:hAnsi="黑体" w:eastAsia="黑体" w:cs="黑体"/>
                <w:color w:val="000000" w:themeColor="text1"/>
                <w:kern w:val="0"/>
                <w:sz w:val="32"/>
                <w:szCs w:val="32"/>
                <w14:textFill>
                  <w14:solidFill>
                    <w14:schemeClr w14:val="tx1"/>
                  </w14:solidFill>
                </w14:textFill>
                <w14:ligatures w14:val="none"/>
              </w:rPr>
              <w:t>专栏</w:t>
            </w:r>
            <w:r>
              <w:rPr>
                <w:rFonts w:hint="eastAsia" w:ascii="Times New Roman" w:hAnsi="Times New Roman" w:eastAsia="黑体" w:cs="Times New Roman"/>
                <w:color w:val="000000" w:themeColor="text1"/>
                <w:kern w:val="0"/>
                <w:sz w:val="32"/>
                <w:szCs w:val="32"/>
                <w14:textFill>
                  <w14:solidFill>
                    <w14:schemeClr w14:val="tx1"/>
                  </w14:solidFill>
                </w14:textFill>
                <w14:ligatures w14:val="none"/>
              </w:rPr>
              <w:t>17</w:t>
            </w:r>
            <w:r>
              <w:rPr>
                <w:rFonts w:hint="eastAsia" w:ascii="黑体" w:hAnsi="黑体" w:eastAsia="黑体" w:cs="黑体"/>
                <w:color w:val="000000" w:themeColor="text1"/>
                <w:kern w:val="0"/>
                <w:sz w:val="32"/>
                <w:szCs w:val="32"/>
                <w14:textFill>
                  <w14:solidFill>
                    <w14:schemeClr w14:val="tx1"/>
                  </w14:solidFill>
                </w14:textFill>
                <w14:ligatures w14:val="none"/>
              </w:rPr>
              <w:t xml:space="preserve"> 现代化综合交通体系建设项目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4" w:type="dxa"/>
            <w:tcBorders>
              <w:top w:val="single" w:color="auto" w:sz="4" w:space="0"/>
              <w:left w:val="single" w:color="auto" w:sz="4" w:space="0"/>
              <w:bottom w:val="single" w:color="auto" w:sz="4" w:space="0"/>
              <w:right w:val="single" w:color="auto" w:sz="4" w:space="0"/>
            </w:tcBorders>
          </w:tcPr>
          <w:p>
            <w:pPr>
              <w:pStyle w:val="24"/>
              <w:adjustRightInd w:val="0"/>
              <w:snapToGrid w:val="0"/>
              <w:spacing w:line="580" w:lineRule="exact"/>
              <w:ind w:firstLine="539"/>
              <w:rPr>
                <w:rFonts w:hint="eastAsia" w:ascii="楷体_GB2312" w:hAnsi="楷体_GB2312" w:eastAsia="楷体_GB2312" w:cs="楷体_GB2312"/>
                <w:color w:val="000000" w:themeColor="text1"/>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sz w:val="32"/>
                <w:szCs w:val="32"/>
                <w14:textFill>
                  <w14:solidFill>
                    <w14:schemeClr w14:val="tx1"/>
                  </w14:solidFill>
                </w14:textFill>
                <w14:ligatures w14:val="none"/>
              </w:rPr>
              <w:t>1.区域对外大通道工程。</w:t>
            </w:r>
            <w:r>
              <w:rPr>
                <w:rFonts w:hint="eastAsia" w:ascii="楷体_GB2312" w:hAnsi="楷体_GB2312" w:eastAsia="楷体_GB2312" w:cs="楷体_GB2312"/>
                <w:color w:val="000000" w:themeColor="text1"/>
                <w:sz w:val="32"/>
                <w:szCs w:val="32"/>
                <w14:textFill>
                  <w14:solidFill>
                    <w14:schemeClr w14:val="tx1"/>
                  </w14:solidFill>
                </w14:textFill>
                <w14:ligatures w14:val="none"/>
              </w:rPr>
              <w:t>全力推进怀化至桂林高铁（设计时速350公里）、G6025洞口至天柱高速公路（双向六车道）</w:t>
            </w:r>
            <w:r>
              <w:rPr>
                <w:rFonts w:hint="eastAsia" w:ascii="楷体_GB2312" w:hAnsi="楷体_GB2312" w:eastAsia="楷体_GB2312" w:cs="楷体_GB2312"/>
                <w:color w:val="000000" w:themeColor="text1"/>
                <w:spacing w:val="-6"/>
                <w:sz w:val="32"/>
                <w:szCs w:val="32"/>
                <w14:textFill>
                  <w14:solidFill>
                    <w14:schemeClr w14:val="tx1"/>
                  </w14:solidFill>
                </w14:textFill>
                <w14:ligatures w14:val="none"/>
              </w:rPr>
              <w:t>等战略通道建设，实施沅水金紫至洪江段航道升级整治工程，全面融入国家与区域高速交通网络，提升区位交通优势。</w:t>
            </w:r>
          </w:p>
          <w:p>
            <w:pPr>
              <w:pStyle w:val="24"/>
              <w:adjustRightInd w:val="0"/>
              <w:snapToGrid w:val="0"/>
              <w:spacing w:line="580" w:lineRule="exact"/>
              <w:ind w:firstLine="539"/>
              <w:rPr>
                <w:rFonts w:hint="eastAsia" w:ascii="楷体_GB2312" w:hAnsi="楷体_GB2312" w:eastAsia="楷体_GB2312" w:cs="楷体_GB2312"/>
                <w:color w:val="000000" w:themeColor="text1"/>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sz w:val="32"/>
                <w:szCs w:val="32"/>
                <w14:textFill>
                  <w14:solidFill>
                    <w14:schemeClr w14:val="tx1"/>
                  </w14:solidFill>
                </w14:textFill>
                <w14:ligatures w14:val="none"/>
              </w:rPr>
              <w:t>2.县域路网提质增效工程。</w:t>
            </w:r>
            <w:r>
              <w:rPr>
                <w:rFonts w:hint="eastAsia" w:ascii="楷体_GB2312" w:hAnsi="楷体_GB2312" w:eastAsia="楷体_GB2312" w:cs="楷体_GB2312"/>
                <w:color w:val="000000" w:themeColor="text1"/>
                <w:sz w:val="32"/>
                <w:szCs w:val="32"/>
                <w14:textFill>
                  <w14:solidFill>
                    <w14:schemeClr w14:val="tx1"/>
                  </w14:solidFill>
                </w14:textFill>
                <w14:ligatures w14:val="none"/>
              </w:rPr>
              <w:t>实施干线公路升级改造，完成G209、S249等重点路段改建。推进乡镇通三级公路、建制村通双车道及农村公路安防设施建设，全面优化路网结构、提升安全通行能力。推进“交通+”融合发展，建设服务特色产业与重点景区的产业路、旅游路、资源路。</w:t>
            </w:r>
          </w:p>
          <w:p>
            <w:pPr>
              <w:pStyle w:val="24"/>
              <w:adjustRightInd w:val="0"/>
              <w:snapToGrid w:val="0"/>
              <w:spacing w:line="580" w:lineRule="exact"/>
              <w:ind w:firstLine="539"/>
              <w:rPr>
                <w:rFonts w:hint="eastAsia" w:ascii="仿宋_GB2312" w:hAnsi="仿宋_GB2312" w:eastAsia="仿宋_GB2312" w:cs="仿宋_GB2312"/>
                <w:color w:val="000000" w:themeColor="text1"/>
                <w:sz w:val="28"/>
                <w:szCs w:val="28"/>
                <w14:textFill>
                  <w14:solidFill>
                    <w14:schemeClr w14:val="tx1"/>
                  </w14:solidFill>
                </w14:textFill>
                <w14:ligatures w14:val="none"/>
              </w:rPr>
            </w:pPr>
            <w:r>
              <w:rPr>
                <w:rFonts w:hint="eastAsia" w:ascii="楷体_GB2312" w:hAnsi="楷体_GB2312" w:eastAsia="楷体_GB2312" w:cs="楷体_GB2312"/>
                <w:b/>
                <w:bCs/>
                <w:color w:val="000000" w:themeColor="text1"/>
                <w:sz w:val="32"/>
                <w:szCs w:val="32"/>
                <w14:textFill>
                  <w14:solidFill>
                    <w14:schemeClr w14:val="tx1"/>
                  </w14:solidFill>
                </w14:textFill>
                <w14:ligatures w14:val="none"/>
              </w:rPr>
              <w:t>3.城乡交通一体化示范工程。</w:t>
            </w:r>
            <w:r>
              <w:rPr>
                <w:rFonts w:hint="eastAsia" w:ascii="楷体_GB2312" w:hAnsi="楷体_GB2312" w:eastAsia="楷体_GB2312" w:cs="楷体_GB2312"/>
                <w:color w:val="000000" w:themeColor="text1"/>
                <w:sz w:val="32"/>
                <w:szCs w:val="32"/>
                <w14:textFill>
                  <w14:solidFill>
                    <w14:schemeClr w14:val="tx1"/>
                  </w14:solidFill>
                </w14:textFill>
                <w14:ligatures w14:val="none"/>
              </w:rPr>
              <w:t>以创建全国城乡交通运输一体化示范县为目标，系统优化县乡村三级公路网并促进有效衔接。推进农村公路提档升级与危桥改造，建设城乡客运一体化枢纽与智慧公交设施。深化“客货邮”融合，推广“公交+物流”模式，完善农村公路数字化管养平台，建立长效运营机制，全面提升城乡互联互通与公共服务水平。</w:t>
            </w:r>
          </w:p>
        </w:tc>
      </w:tr>
    </w:tbl>
    <w:p>
      <w:pPr>
        <w:spacing w:line="580" w:lineRule="exact"/>
        <w:rPr>
          <w:rFonts w:hint="eastAsia"/>
          <w:color w:val="000000" w:themeColor="text1"/>
          <w14:textFill>
            <w14:solidFill>
              <w14:schemeClr w14:val="tx1"/>
            </w14:solidFill>
          </w14:textFill>
        </w:rPr>
      </w:pPr>
    </w:p>
    <w:p>
      <w:pPr>
        <w:adjustRightInd w:val="0"/>
        <w:snapToGrid w:val="0"/>
        <w:spacing w:line="580" w:lineRule="exact"/>
        <w:jc w:val="center"/>
        <w:outlineLvl w:val="1"/>
        <w:rPr>
          <w:rFonts w:hint="eastAsia" w:ascii="黑体" w:hAnsi="黑体" w:eastAsia="黑体" w:cs="黑体"/>
          <w:color w:val="000000" w:themeColor="text1"/>
          <w:sz w:val="32"/>
          <w:szCs w:val="32"/>
          <w14:textFill>
            <w14:solidFill>
              <w14:schemeClr w14:val="tx1"/>
            </w14:solidFill>
          </w14:textFill>
        </w:rPr>
      </w:pPr>
      <w:bookmarkStart w:id="87" w:name="_Toc235000781"/>
      <w:r>
        <w:rPr>
          <w:rFonts w:hint="eastAsia" w:ascii="黑体" w:hAnsi="黑体" w:eastAsia="黑体" w:cs="黑体"/>
          <w:color w:val="000000" w:themeColor="text1"/>
          <w:sz w:val="32"/>
          <w:szCs w:val="32"/>
          <w14:textFill>
            <w14:solidFill>
              <w14:schemeClr w14:val="tx1"/>
            </w14:solidFill>
          </w14:textFill>
        </w:rPr>
        <w:t>第三节 建设安全韧性的现代化水网</w:t>
      </w:r>
      <w:bookmarkEnd w:id="87"/>
    </w:p>
    <w:p>
      <w:pPr>
        <w:adjustRightInd w:val="0"/>
        <w:snapToGrid w:val="0"/>
        <w:spacing w:line="580" w:lineRule="exact"/>
        <w:ind w:firstLine="643" w:firstLineChars="200"/>
        <w:rPr>
          <w:rFonts w:hint="eastAsia" w:ascii="楷体_GB2312" w:hAnsi="楷体_GB2312" w:eastAsia="楷体_GB2312" w:cs="楷体_GB2312"/>
          <w:b/>
          <w:bCs/>
          <w:color w:val="000000" w:themeColor="text1"/>
          <w:sz w:val="32"/>
          <w:szCs w:val="32"/>
          <w14:textFill>
            <w14:solidFill>
              <w14:schemeClr w14:val="tx1"/>
            </w14:solidFill>
          </w14:textFill>
        </w:rPr>
      </w:pPr>
    </w:p>
    <w:p>
      <w:pPr>
        <w:adjustRightInd w:val="0"/>
        <w:snapToGrid w:val="0"/>
        <w:spacing w:line="580" w:lineRule="exact"/>
        <w:ind w:firstLine="643" w:firstLineChars="200"/>
        <w:rPr>
          <w:rFonts w:hint="eastAsia" w:ascii="仿宋_GB2312" w:hAnsi="仿宋_GB2312" w:eastAsia="仿宋_GB2312" w:cs="仿宋_GB2312"/>
          <w:b/>
          <w:bCs/>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构建调控有序的防洪减灾体系。</w:t>
      </w:r>
      <w:r>
        <w:rPr>
          <w:rFonts w:hint="eastAsia" w:ascii="仿宋_GB2312" w:hAnsi="仿宋_GB2312" w:eastAsia="仿宋_GB2312" w:cs="仿宋_GB2312"/>
          <w:color w:val="000000" w:themeColor="text1"/>
          <w:sz w:val="32"/>
          <w:szCs w:val="32"/>
          <w14:textFill>
            <w14:solidFill>
              <w14:schemeClr w14:val="tx1"/>
            </w14:solidFill>
          </w14:textFill>
        </w:rPr>
        <w:t>立足“一江二水”流域特点和湘黔边界特殊区位，系统构建以水库调蓄、堤防防护、智慧预警为核心的防洪减灾体系。重点推进沅江干流、渠水和巫水等跨市河流的系统治理，实施中小河流、山洪沟综合整治工程，计划完成病险水库除险加固和水库的安全鉴定，骨干山塘加固维修和清淤扩容，中型水闸等调蓄工程的建设，显著提升流域洪水调控能力。进一步完善城市防洪排涝设施，按照中心城区50年一遇、重点乡镇20年一遇的防洪标准，推进城东、城南等重点片区排水防涝工程建设。构建智慧防洪体系，建设覆盖全县的雨水情监测预报系统，建立洪水风险调度与应急指挥平台，实现预报预警预演预案功能。深化湘黔边区防洪协同，建立跨省防洪调度和信息共享机制，共同提升区域防洪整体效能，筑牢水安全保障防线。</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建设高效集约的水资源配置体系。</w:t>
      </w:r>
      <w:r>
        <w:rPr>
          <w:rFonts w:hint="eastAsia" w:ascii="仿宋_GB2312" w:hAnsi="仿宋_GB2312" w:eastAsia="仿宋_GB2312" w:cs="仿宋_GB2312"/>
          <w:color w:val="000000" w:themeColor="text1"/>
          <w:sz w:val="32"/>
          <w:szCs w:val="32"/>
          <w14:textFill>
            <w14:solidFill>
              <w14:schemeClr w14:val="tx1"/>
            </w14:solidFill>
          </w14:textFill>
        </w:rPr>
        <w:t>坚持“四水四定”原则，构建城乡统筹、丰枯调剂的水资源配置格局。全面推进城乡供水一体化建设，完善“从源头到龙头”的城乡供水管网系统，实现城乡供水同源、同网、同质、同服务。加强饮用水水源地保护，推进千人以上水源地规范化建设，健全覆盖全县的水源地水质监测网络。建设智慧水务管理系统，整合水源、水厂、管网等各环节数据，实现从取水、制水到供水的全过程智慧化管理和调度。大力推进农业节水增效，实施小型灌区续建配套与现代化改造，计划推进广坪中型灌区和团河中型灌区建设，推广高效节水灌溉技术，提升灌溉水利用率。建立健全水资源刚性约束制度，严格取用水管理，强化用水总量和强度双控，全面提升水资源集约节约利用水平。</w:t>
      </w:r>
    </w:p>
    <w:p>
      <w:pPr>
        <w:adjustRightInd w:val="0"/>
        <w:snapToGrid w:val="0"/>
        <w:spacing w:line="580" w:lineRule="exact"/>
        <w:ind w:firstLine="643"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打造健康优美的水生态保护体系。</w:t>
      </w:r>
      <w:r>
        <w:rPr>
          <w:rFonts w:hint="eastAsia" w:ascii="仿宋_GB2312" w:hAnsi="仿宋_GB2312" w:eastAsia="仿宋_GB2312" w:cs="仿宋_GB2312"/>
          <w:color w:val="000000" w:themeColor="text1"/>
          <w:sz w:val="32"/>
          <w:szCs w:val="32"/>
          <w14:textFill>
            <w14:solidFill>
              <w14:schemeClr w14:val="tx1"/>
            </w14:solidFill>
          </w14:textFill>
        </w:rPr>
        <w:t>坚持山水林田湖草系统治理，构建生态清洁小流域综合治理体系。重点推进坡耕地水土流失治理，实施生态清洁小流域建设，采取工程措施与生物措施相结合的方式，有效控制水土流失。加强河湖生态保护修复，重点推进渠水、巫水等主要河流生态廊道建设，实施水生态保护修复工程，建设一批具有会同特色的幸福河湖。创新水生态产品价值实现机制，探索建立水权交易、生态补偿等市场化手段，推动“水利+旅游”深度融合发展，建设渠水、巫水生</w:t>
      </w:r>
      <w:r>
        <w:rPr>
          <w:rFonts w:hint="eastAsia" w:ascii="仿宋_GB2312" w:hAnsi="仿宋_GB2312" w:eastAsia="仿宋_GB2312" w:cs="仿宋_GB2312"/>
          <w:color w:val="000000" w:themeColor="text1"/>
          <w:spacing w:val="6"/>
          <w:sz w:val="32"/>
          <w:szCs w:val="32"/>
          <w14:textFill>
            <w14:solidFill>
              <w14:schemeClr w14:val="tx1"/>
            </w14:solidFill>
          </w14:textFill>
        </w:rPr>
        <w:t>态廊道水利风景区。强化河湖空间管控，完善河湖长制工作机制，加强水域岸线管理保护，维护河湖健康生命，打造人与自然和谐共生的水生态环境，实现生态效益与经济效益的有机统一。</w:t>
      </w:r>
    </w:p>
    <w:tbl>
      <w:tblPr>
        <w:tblStyle w:val="68"/>
        <w:tblW w:w="89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9" w:type="dxa"/>
          </w:tcPr>
          <w:p>
            <w:pPr>
              <w:adjustRightInd w:val="0"/>
              <w:snapToGrid w:val="0"/>
              <w:spacing w:line="580" w:lineRule="exact"/>
              <w:jc w:val="center"/>
              <w:rPr>
                <w:rFonts w:hint="eastAsia" w:ascii="黑体" w:hAnsi="黑体" w:eastAsia="黑体" w:cs="黑体"/>
                <w:color w:val="000000" w:themeColor="text1"/>
                <w:kern w:val="0"/>
                <w:sz w:val="28"/>
                <w:szCs w:val="28"/>
                <w14:textFill>
                  <w14:solidFill>
                    <w14:schemeClr w14:val="tx1"/>
                  </w14:solidFill>
                </w14:textFill>
                <w14:ligatures w14:val="none"/>
              </w:rPr>
            </w:pPr>
            <w:r>
              <w:rPr>
                <w:rFonts w:hint="eastAsia" w:ascii="黑体" w:hAnsi="黑体" w:eastAsia="黑体" w:cs="黑体"/>
                <w:color w:val="000000" w:themeColor="text1"/>
                <w:kern w:val="0"/>
                <w:sz w:val="32"/>
                <w:szCs w:val="32"/>
                <w14:textFill>
                  <w14:solidFill>
                    <w14:schemeClr w14:val="tx1"/>
                  </w14:solidFill>
                </w14:textFill>
                <w14:ligatures w14:val="none"/>
              </w:rPr>
              <w:t>专栏</w:t>
            </w:r>
            <w:r>
              <w:rPr>
                <w:rFonts w:hint="eastAsia" w:ascii="Times New Roman" w:hAnsi="Times New Roman" w:eastAsia="黑体" w:cs="Times New Roman"/>
                <w:color w:val="000000" w:themeColor="text1"/>
                <w:kern w:val="0"/>
                <w:sz w:val="32"/>
                <w:szCs w:val="32"/>
                <w14:textFill>
                  <w14:solidFill>
                    <w14:schemeClr w14:val="tx1"/>
                  </w14:solidFill>
                </w14:textFill>
                <w14:ligatures w14:val="none"/>
              </w:rPr>
              <w:t>18</w:t>
            </w:r>
            <w:r>
              <w:rPr>
                <w:rFonts w:hint="eastAsia" w:ascii="黑体" w:hAnsi="黑体" w:eastAsia="黑体" w:cs="黑体"/>
                <w:color w:val="000000" w:themeColor="text1"/>
                <w:kern w:val="0"/>
                <w:sz w:val="32"/>
                <w:szCs w:val="32"/>
                <w14:textFill>
                  <w14:solidFill>
                    <w14:schemeClr w14:val="tx1"/>
                  </w14:solidFill>
                </w14:textFill>
                <w14:ligatures w14:val="none"/>
              </w:rPr>
              <w:t xml:space="preserve"> 现代化水网建设项目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9" w:type="dxa"/>
          </w:tcPr>
          <w:p>
            <w:pPr>
              <w:adjustRightInd w:val="0"/>
              <w:snapToGrid w:val="0"/>
              <w:spacing w:line="580" w:lineRule="exact"/>
              <w:ind w:firstLine="643" w:firstLineChars="200"/>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1.骨干水利基础设施工程。</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推进渠水大型灌区续建配套与现代化改造，完善水库、泵站及渠系工程，提升农业灌溉保障能力与水资源利用效率。协同实施沅水干流渠水巫水综合治理工程，加固堤防护岸，增强干流防洪能力。</w:t>
            </w:r>
          </w:p>
          <w:p>
            <w:pPr>
              <w:adjustRightInd w:val="0"/>
              <w:snapToGrid w:val="0"/>
              <w:spacing w:line="580" w:lineRule="exact"/>
              <w:ind w:firstLine="643" w:firstLineChars="200"/>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2.防洪减灾体系建设工程。</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①实施水库除险加固，按期完成客寨、立功庙等6座小（2）型水库除险加固，推进八一等16座小（1）型水库安全鉴定与加固。②完善城市防洪排涝设施，按50年一遇标准设防中心城区，推进城东农贸市场、城南黄泥井等4大片区排水防涝工程。③中小河流、山洪沟治理。进一步推进地灵溪、若水溪、大坪江河流</w:t>
            </w:r>
            <w:r>
              <w:rPr>
                <w:rFonts w:hint="eastAsia" w:ascii="楷体_GB2312" w:hAnsi="楷体_GB2312" w:eastAsia="楷体_GB2312" w:cs="楷体_GB2312"/>
                <w:color w:val="000000" w:themeColor="text1"/>
                <w:spacing w:val="-11"/>
                <w:kern w:val="0"/>
                <w:sz w:val="32"/>
                <w:szCs w:val="32"/>
                <w14:textFill>
                  <w14:solidFill>
                    <w14:schemeClr w14:val="tx1"/>
                  </w14:solidFill>
                </w14:textFill>
                <w14:ligatures w14:val="none"/>
              </w:rPr>
              <w:t>的治理，积极争取竹瓦溪等7条山洪沟治理，确保沿线村庄、农田的安全。</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④构建智慧防洪体系，建设雨水情监测预报“三道防线”，实现60座小型水库安全监测设施全覆盖，建立全县洪水风险调度与应急指挥平台。</w:t>
            </w:r>
          </w:p>
          <w:p>
            <w:pPr>
              <w:adjustRightInd w:val="0"/>
              <w:snapToGrid w:val="0"/>
              <w:spacing w:line="580" w:lineRule="exact"/>
              <w:ind w:firstLine="643" w:firstLineChars="200"/>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3.城乡供水安全保障工程。</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新建瑶丰水库作为第二水源，实施二水厂应急水源管网工程，新建取水泵站及输水管道5.87km。完善城乡供水网络，推进城乡供水一体化工程，延伸二水厂管网覆盖周边集镇；实施团河、若水等3个乡镇水厂改造，新建改造供水管网168.5km；在偏远山区新建改造小型供水工程7处，配套管网100.7km。提升供水水质智慧管理，开展34处千人以上饮用水水源地规范化建设，建设县级农村供水信息管理系统，规模化水厂智能水表覆盖率100%，实现从水源到龙头全过程水质监控与智慧调度</w:t>
            </w:r>
          </w:p>
          <w:p>
            <w:pPr>
              <w:adjustRightInd w:val="0"/>
              <w:snapToGrid w:val="0"/>
              <w:spacing w:line="580" w:lineRule="exact"/>
              <w:ind w:firstLine="643" w:firstLineChars="200"/>
              <w:rPr>
                <w:rFonts w:hint="eastAsia" w:ascii="仿宋_GB2312" w:hAnsi="仿宋_GB2312" w:eastAsia="仿宋_GB2312" w:cs="仿宋_GB2312"/>
                <w:color w:val="000000" w:themeColor="text1"/>
                <w:kern w:val="0"/>
                <w:sz w:val="28"/>
                <w:szCs w:val="28"/>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4.水土保持与生态治理工程。</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实施小流域水土流失综合治理，推进坡耕地治理，有效防治水土流失，改善区域水生态环境。</w:t>
            </w:r>
          </w:p>
        </w:tc>
      </w:tr>
    </w:tbl>
    <w:p>
      <w:pPr>
        <w:adjustRightInd w:val="0"/>
        <w:snapToGrid w:val="0"/>
        <w:spacing w:line="580" w:lineRule="exact"/>
        <w:rPr>
          <w:rFonts w:hint="eastAsia" w:ascii="仿宋_GB2312" w:hAnsi="仿宋_GB2312" w:eastAsia="仿宋_GB2312" w:cs="仿宋_GB2312"/>
          <w:color w:val="000000" w:themeColor="text1"/>
          <w:sz w:val="32"/>
          <w:szCs w:val="32"/>
          <w14:textFill>
            <w14:solidFill>
              <w14:schemeClr w14:val="tx1"/>
            </w14:solidFill>
          </w14:textFill>
        </w:rPr>
      </w:pPr>
    </w:p>
    <w:p>
      <w:pPr>
        <w:adjustRightInd w:val="0"/>
        <w:snapToGrid w:val="0"/>
        <w:spacing w:line="580" w:lineRule="exact"/>
        <w:jc w:val="center"/>
        <w:outlineLvl w:val="1"/>
        <w:rPr>
          <w:rFonts w:hint="eastAsia" w:ascii="黑体" w:hAnsi="黑体" w:eastAsia="黑体" w:cs="黑体"/>
          <w:color w:val="000000" w:themeColor="text1"/>
          <w:sz w:val="30"/>
          <w:szCs w:val="30"/>
          <w14:textFill>
            <w14:solidFill>
              <w14:schemeClr w14:val="tx1"/>
            </w14:solidFill>
          </w14:textFill>
        </w:rPr>
      </w:pPr>
      <w:bookmarkStart w:id="88" w:name="_Toc215048347"/>
      <w:bookmarkStart w:id="89" w:name="_Toc235000782"/>
      <w:r>
        <w:rPr>
          <w:rFonts w:hint="eastAsia" w:ascii="黑体" w:hAnsi="黑体" w:eastAsia="黑体" w:cs="黑体"/>
          <w:color w:val="000000" w:themeColor="text1"/>
          <w:sz w:val="32"/>
          <w:szCs w:val="32"/>
          <w14:textFill>
            <w14:solidFill>
              <w14:schemeClr w14:val="tx1"/>
            </w14:solidFill>
          </w14:textFill>
        </w:rPr>
        <w:t xml:space="preserve">第四节 </w:t>
      </w:r>
      <w:bookmarkEnd w:id="88"/>
      <w:r>
        <w:rPr>
          <w:rFonts w:hint="eastAsia" w:ascii="黑体" w:hAnsi="黑体" w:eastAsia="黑体" w:cs="黑体"/>
          <w:color w:val="000000" w:themeColor="text1"/>
          <w:sz w:val="32"/>
          <w:szCs w:val="32"/>
          <w14:textFill>
            <w14:solidFill>
              <w14:schemeClr w14:val="tx1"/>
            </w14:solidFill>
          </w14:textFill>
        </w:rPr>
        <w:t>推进县域新型城镇化提质增效</w:t>
      </w:r>
      <w:bookmarkEnd w:id="89"/>
    </w:p>
    <w:p>
      <w:pPr>
        <w:adjustRightInd w:val="0"/>
        <w:snapToGrid w:val="0"/>
        <w:spacing w:line="580" w:lineRule="exact"/>
        <w:ind w:firstLine="643" w:firstLineChars="200"/>
        <w:rPr>
          <w:rFonts w:hint="eastAsia" w:ascii="楷体_GB2312" w:hAnsi="楷体_GB2312" w:eastAsia="楷体_GB2312" w:cs="楷体_GB2312"/>
          <w:b/>
          <w:bCs/>
          <w:color w:val="000000" w:themeColor="text1"/>
          <w:sz w:val="32"/>
          <w:szCs w:val="32"/>
          <w14:textFill>
            <w14:solidFill>
              <w14:schemeClr w14:val="tx1"/>
            </w14:solidFill>
          </w14:textFill>
        </w:rPr>
      </w:pP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加快农业转移人口市民化进程。</w:t>
      </w:r>
      <w:r>
        <w:rPr>
          <w:rFonts w:hint="eastAsia" w:ascii="仿宋_GB2312" w:hAnsi="仿宋_GB2312" w:eastAsia="仿宋_GB2312" w:cs="仿宋_GB2312"/>
          <w:color w:val="000000" w:themeColor="text1"/>
          <w:sz w:val="32"/>
          <w:szCs w:val="32"/>
          <w14:textFill>
            <w14:solidFill>
              <w14:schemeClr w14:val="tx1"/>
            </w14:solidFill>
          </w14:textFill>
        </w:rPr>
        <w:t>实施电子居住证申领“全程网办”，逐步扩大电子证照在户籍业务中的应用范围，为农业转移人口提供便捷高效的政务服务。强化基本公共服务保障，按照常住人口规模动态优化教育、医疗、住房等资源配置，全面落实随迁子女入学政策，逐步将农业转移人口纳入流入地普惠性学前教育和普通高中教育保障范围。将稳定就业的农业转移人口纳入住房保障政策范围，支持灵活就业人员参加住房公积金制度，推动租购住房群体享有同等公共服务权利。扩大社会保障覆盖面，完善社保关系跨地</w:t>
      </w:r>
      <w:r>
        <w:rPr>
          <w:rFonts w:hint="eastAsia" w:ascii="仿宋_GB2312" w:hAnsi="仿宋_GB2312" w:eastAsia="仿宋_GB2312" w:cs="仿宋_GB2312"/>
          <w:color w:val="000000" w:themeColor="text1"/>
          <w:spacing w:val="-6"/>
          <w:sz w:val="32"/>
          <w:szCs w:val="32"/>
          <w14:textFill>
            <w14:solidFill>
              <w14:schemeClr w14:val="tx1"/>
            </w14:solidFill>
          </w14:textFill>
        </w:rPr>
        <w:t>区转移接续机制，推动财政资金、建设用地指标与农业转移人口落户规模相匹配，切实保障农业转移人口平等享有城镇基本公共服务。</w:t>
      </w:r>
    </w:p>
    <w:p>
      <w:pPr>
        <w:adjustRightInd w:val="0"/>
        <w:snapToGrid w:val="0"/>
        <w:spacing w:line="580" w:lineRule="exact"/>
        <w:ind w:firstLine="643" w:firstLineChars="200"/>
        <w:rPr>
          <w:rFonts w:hint="eastAsia" w:ascii="仿宋_GB2312" w:hAnsi="仿宋_GB2312" w:eastAsia="仿宋_GB2312" w:cs="仿宋_GB2312"/>
          <w:b/>
          <w:bCs/>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畅通城乡要素双向流动渠道。</w:t>
      </w:r>
      <w:r>
        <w:rPr>
          <w:rFonts w:hint="eastAsia" w:ascii="仿宋_GB2312" w:hAnsi="仿宋_GB2312" w:eastAsia="仿宋_GB2312" w:cs="仿宋_GB2312"/>
          <w:color w:val="000000" w:themeColor="text1"/>
          <w:sz w:val="32"/>
          <w:szCs w:val="32"/>
          <w14:textFill>
            <w14:solidFill>
              <w14:schemeClr w14:val="tx1"/>
            </w14:solidFill>
          </w14:textFill>
        </w:rPr>
        <w:t>着力破除妨碍城乡要素双向流动和平等交换的体制机制壁垒。稳妥推进农村土地制度改革，在堡子镇、青朗乡等基础较好乡镇试点推进农村集体经营性建设用地入市改革，探索完善入市规则、价格形成和收益分配机制。保障进城落户农民土地承包权、宅基地使用权、集体收益分配权，探索依法自愿有偿转让退出机制，激活农村资源要素。创新人才和资本入乡机制，实施“新农人”培育五年行动计划，引导高校毕业生、退役军人等返乡入乡创业。落实“小县大城”人口集聚目标，引导农业转移人口向县城有序集聚。深化政银企合作，引导社会资本投向农业农村重点领域，为推进乡村全面振兴注入新动能。</w:t>
      </w:r>
    </w:p>
    <w:p>
      <w:pPr>
        <w:adjustRightInd w:val="0"/>
        <w:snapToGrid w:val="0"/>
        <w:spacing w:line="580" w:lineRule="exact"/>
        <w:ind w:firstLine="643"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强化县城辐射带动功能。</w:t>
      </w:r>
      <w:r>
        <w:rPr>
          <w:rFonts w:hint="eastAsia" w:ascii="仿宋_GB2312" w:hAnsi="仿宋_GB2312" w:eastAsia="仿宋_GB2312" w:cs="仿宋_GB2312"/>
          <w:color w:val="000000" w:themeColor="text1"/>
          <w:sz w:val="32"/>
          <w:szCs w:val="32"/>
          <w14:textFill>
            <w14:solidFill>
              <w14:schemeClr w14:val="tx1"/>
            </w14:solidFill>
          </w14:textFill>
        </w:rPr>
        <w:t>深入实施强县工程，推进以县城为重要载体的就地城镇化和以县域为单元的城乡融合发展。构建以县城为核心、中心镇为节点、小城镇为基础的三级城镇体系。重点培育连山、堡子、广坪、团河等特色中心乡镇，团河镇着力壮大水稻制种、中药材种植、畜禽养殖、红提种植及竹木加工等产业；堡子镇依托临近县城的区位优势，发展农旅融合、现代农业、商贸物流，并积极对接县域箱包、竹木加工等产业链延伸需求。增强县城综合承载能力，推动城镇基础设施和公共服务向乡村延伸覆盖，实施城乡交通、燃气、供排水、污水治理等基础设施一体化建设，完善中心镇交通路网、公共服务及生产性服务业布局。实施城市更新行动，加快推进老城区改造，完善市政基础设施，建设创新、宜居、美丽、韧性、文明、智慧的现代化人民城市。全面提升县域城镇化质量，促进县乡村功能衔接互补，夯实全域高质量发展基础。</w:t>
      </w:r>
    </w:p>
    <w:p>
      <w:pPr>
        <w:pStyle w:val="2"/>
        <w:rPr>
          <w:rFonts w:hint="eastAsia"/>
          <w:color w:val="000000" w:themeColor="text1"/>
          <w14:textFill>
            <w14:solidFill>
              <w14:schemeClr w14:val="tx1"/>
            </w14:solidFill>
          </w14:textFill>
        </w:rPr>
      </w:pPr>
    </w:p>
    <w:tbl>
      <w:tblPr>
        <w:tblStyle w:val="68"/>
        <w:tblW w:w="90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84" w:type="dxa"/>
            <w:tcBorders>
              <w:top w:val="single" w:color="auto" w:sz="4" w:space="0"/>
              <w:left w:val="single" w:color="auto" w:sz="4" w:space="0"/>
              <w:bottom w:val="single" w:color="auto" w:sz="4" w:space="0"/>
              <w:right w:val="single" w:color="auto" w:sz="4" w:space="0"/>
            </w:tcBorders>
          </w:tcPr>
          <w:p>
            <w:pPr>
              <w:adjustRightInd w:val="0"/>
              <w:snapToGrid w:val="0"/>
              <w:spacing w:line="580" w:lineRule="exact"/>
              <w:jc w:val="center"/>
              <w:rPr>
                <w:rFonts w:hint="eastAsia" w:ascii="黑体" w:hAnsi="黑体" w:eastAsia="黑体" w:cs="黑体"/>
                <w:color w:val="000000" w:themeColor="text1"/>
                <w:kern w:val="0"/>
                <w:sz w:val="28"/>
                <w:szCs w:val="28"/>
                <w14:textFill>
                  <w14:solidFill>
                    <w14:schemeClr w14:val="tx1"/>
                  </w14:solidFill>
                </w14:textFill>
                <w14:ligatures w14:val="none"/>
              </w:rPr>
            </w:pPr>
            <w:r>
              <w:rPr>
                <w:rFonts w:hint="eastAsia" w:ascii="黑体" w:hAnsi="黑体" w:eastAsia="黑体" w:cs="黑体"/>
                <w:color w:val="000000" w:themeColor="text1"/>
                <w:kern w:val="0"/>
                <w:sz w:val="32"/>
                <w:szCs w:val="32"/>
                <w14:textFill>
                  <w14:solidFill>
                    <w14:schemeClr w14:val="tx1"/>
                  </w14:solidFill>
                </w14:textFill>
                <w14:ligatures w14:val="none"/>
              </w:rPr>
              <w:t>专栏</w:t>
            </w:r>
            <w:r>
              <w:rPr>
                <w:rFonts w:hint="eastAsia" w:ascii="Times New Roman" w:hAnsi="Times New Roman" w:eastAsia="黑体" w:cs="Times New Roman"/>
                <w:color w:val="000000" w:themeColor="text1"/>
                <w:kern w:val="0"/>
                <w:sz w:val="32"/>
                <w:szCs w:val="32"/>
                <w14:textFill>
                  <w14:solidFill>
                    <w14:schemeClr w14:val="tx1"/>
                  </w14:solidFill>
                </w14:textFill>
                <w14:ligatures w14:val="none"/>
              </w:rPr>
              <w:t>19</w:t>
            </w:r>
            <w:r>
              <w:rPr>
                <w:rFonts w:hint="eastAsia" w:ascii="黑体" w:hAnsi="黑体" w:eastAsia="黑体" w:cs="黑体"/>
                <w:color w:val="000000" w:themeColor="text1"/>
                <w:kern w:val="0"/>
                <w:sz w:val="32"/>
                <w:szCs w:val="32"/>
                <w14:textFill>
                  <w14:solidFill>
                    <w14:schemeClr w14:val="tx1"/>
                  </w14:solidFill>
                </w14:textFill>
                <w14:ligatures w14:val="none"/>
              </w:rPr>
              <w:t xml:space="preserve"> 新型城镇化建设项目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84" w:type="dxa"/>
            <w:tcBorders>
              <w:top w:val="single" w:color="auto" w:sz="4" w:space="0"/>
              <w:left w:val="single" w:color="auto" w:sz="4" w:space="0"/>
              <w:bottom w:val="single" w:color="auto" w:sz="4" w:space="0"/>
              <w:right w:val="single" w:color="auto" w:sz="4" w:space="0"/>
            </w:tcBorders>
          </w:tcPr>
          <w:p>
            <w:pPr>
              <w:adjustRightInd w:val="0"/>
              <w:snapToGrid w:val="0"/>
              <w:spacing w:line="580" w:lineRule="exact"/>
              <w:ind w:firstLine="643" w:firstLineChars="200"/>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1.城市更新项目。</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①实施2005年以前的老旧小区改造项目，改造小区内燃气、排水、供水、供热、道路、绿化、消防、安防等基础设施，以及社区综合服务、文化体育、无障碍、适老化等便民公共服务设施等；②实施城市危旧房改造项目。主要改造经专业机构鉴定的国有土地上C、D级危旧住房，国有企事业单位破产改制等遗留的非成套住房。</w:t>
            </w:r>
          </w:p>
          <w:p>
            <w:pPr>
              <w:widowControl/>
              <w:spacing w:line="580" w:lineRule="exact"/>
              <w:ind w:firstLine="643" w:firstLineChars="200"/>
              <w:jc w:val="left"/>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2.城市地下管网改造工程。</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①城市污水收集管网提质改造工程。改造污水管网错搭混接点300处，修复老旧污水管道17.5公里，改造污水管网47.5公里，改造污水检查井1500座等。项目实施后，提升污水集中收集率15%，提高污水处理厂进水BOD浓度47%。②城市老旧供水管道及设施改造工程。改造老旧供水管道约5.3km，改造后的管道材质为K9级球墨铸铁管；改造市政消火栓为智慧消火栓200座，新建智慧消火栓500座，新增配套管网4公里；城区1000座供水井盖升级防静音、防尘沙球墨铸铁井盖。③燃气管网扩容提质改造工程。改造DN90-200主管道长10公里，改造DN32-63管道32公里，居民区DN20进户管道45公里；管道阀门井更新2035套，调压箱更新450个以及智能监测设备更新等。智慧燃气及GIS系统，其中包括管网GIS地理信息系统；SCADA管控系统；安检管理系统；巡检管理系统；综合调度管理系统等。④</w:t>
            </w:r>
            <w:r>
              <w:rPr>
                <w:rFonts w:hint="eastAsia" w:ascii="楷体_GB2312" w:hAnsi="楷体_GB2312" w:eastAsia="楷体_GB2312" w:cs="楷体_GB2312"/>
                <w:color w:val="000000" w:themeColor="text1"/>
                <w:kern w:val="0"/>
                <w:sz w:val="32"/>
                <w:szCs w:val="32"/>
                <w:lang w:bidi="ar"/>
                <w14:textFill>
                  <w14:solidFill>
                    <w14:schemeClr w14:val="tx1"/>
                  </w14:solidFill>
                </w14:textFill>
                <w14:ligatures w14:val="none"/>
              </w:rPr>
              <w:t>会同县主城区排水管网提质改造项目。项目改造雨水管长度共计65km，改造后雨水管升级为钢筋砼雨水管；改造检查井468座、配备20套分区计量设备等内，及附属智慧设备。</w:t>
            </w:r>
          </w:p>
          <w:p>
            <w:pPr>
              <w:adjustRightInd w:val="0"/>
              <w:snapToGrid w:val="0"/>
              <w:spacing w:line="580" w:lineRule="exact"/>
              <w:ind w:firstLine="643" w:firstLineChars="200"/>
              <w:rPr>
                <w:rFonts w:hint="eastAsia" w:ascii="仿宋_GB2312" w:hAnsi="仿宋_GB2312" w:eastAsia="仿宋_GB2312" w:cs="仿宋_GB2312"/>
                <w:color w:val="000000" w:themeColor="text1"/>
                <w:kern w:val="0"/>
                <w:sz w:val="28"/>
                <w:szCs w:val="28"/>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3.市政设施提档升级项目。</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①智能停车基础设施建设项目。项目涉及停车位1717个，包括建设红培基地生态停车位239个，宝田生态停车位130个，高椅生态停车位148个，新增路内划线停车泊位1200个，配套完善智能停车设施、充电桩等。②城市路网提质改造项目。改造县城道路10公里以上。</w:t>
            </w:r>
          </w:p>
        </w:tc>
      </w:tr>
    </w:tbl>
    <w:p>
      <w:pPr>
        <w:adjustRightInd w:val="0"/>
        <w:snapToGrid w:val="0"/>
        <w:spacing w:line="240" w:lineRule="exact"/>
        <w:jc w:val="left"/>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br w:type="page"/>
      </w:r>
    </w:p>
    <w:p>
      <w:pPr>
        <w:adjustRightInd w:val="0"/>
        <w:snapToGrid w:val="0"/>
        <w:spacing w:line="580" w:lineRule="exact"/>
        <w:jc w:val="center"/>
        <w:outlineLvl w:val="0"/>
        <w:rPr>
          <w:rFonts w:hint="eastAsia" w:ascii="仿宋_GB2312" w:hAnsi="仿宋_GB2312" w:eastAsia="仿宋_GB2312" w:cs="仿宋_GB2312"/>
          <w:color w:val="000000" w:themeColor="text1"/>
          <w:spacing w:val="-17"/>
          <w:sz w:val="36"/>
          <w:szCs w:val="36"/>
          <w14:textFill>
            <w14:solidFill>
              <w14:schemeClr w14:val="tx1"/>
            </w14:solidFill>
          </w14:textFill>
        </w:rPr>
      </w:pPr>
      <w:bookmarkStart w:id="90" w:name="_Toc235000783"/>
      <w:bookmarkStart w:id="91" w:name="_Toc215048353"/>
      <w:r>
        <w:rPr>
          <w:rFonts w:hint="eastAsia" w:ascii="方正小标宋简体" w:hAnsi="方正小标宋简体" w:eastAsia="方正小标宋简体" w:cs="方正小标宋简体"/>
          <w:color w:val="000000" w:themeColor="text1"/>
          <w:spacing w:val="-17"/>
          <w:sz w:val="36"/>
          <w:szCs w:val="36"/>
          <w14:textFill>
            <w14:solidFill>
              <w14:schemeClr w14:val="tx1"/>
            </w14:solidFill>
          </w14:textFill>
        </w:rPr>
        <w:t>第十一章 激发文化创新创造活力，繁荣发展社会主义文化</w:t>
      </w:r>
      <w:bookmarkEnd w:id="90"/>
      <w:bookmarkEnd w:id="91"/>
    </w:p>
    <w:p>
      <w:pPr>
        <w:adjustRightInd w:val="0"/>
        <w:snapToGrid w:val="0"/>
        <w:spacing w:line="580" w:lineRule="exact"/>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p>
    <w:p>
      <w:pPr>
        <w:adjustRightInd w:val="0"/>
        <w:snapToGrid w:val="0"/>
        <w:spacing w:line="58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坚持马克思主义在意识形态领域的指导地位，立足粟裕故里红色根脉，扎实推进文化强县建设，推动地域文化创新性发展、创造性转化，更好以文化赋能经济社会发展，高标准打造湘黔边区红色文化引领区。</w:t>
      </w:r>
    </w:p>
    <w:p>
      <w:pPr>
        <w:pStyle w:val="24"/>
        <w:adjustRightInd w:val="0"/>
        <w:snapToGrid w:val="0"/>
        <w:spacing w:line="580" w:lineRule="exact"/>
        <w:rPr>
          <w:rFonts w:hint="eastAsia"/>
          <w:color w:val="000000" w:themeColor="text1"/>
          <w:sz w:val="32"/>
          <w:szCs w:val="22"/>
          <w14:textFill>
            <w14:solidFill>
              <w14:schemeClr w14:val="tx1"/>
            </w14:solidFill>
          </w14:textFill>
        </w:rPr>
      </w:pPr>
    </w:p>
    <w:p>
      <w:pPr>
        <w:adjustRightInd w:val="0"/>
        <w:snapToGrid w:val="0"/>
        <w:spacing w:line="580" w:lineRule="exact"/>
        <w:jc w:val="center"/>
        <w:outlineLvl w:val="1"/>
        <w:rPr>
          <w:rFonts w:hint="eastAsia" w:ascii="黑体" w:hAnsi="黑体" w:eastAsia="黑体" w:cs="黑体"/>
          <w:color w:val="000000" w:themeColor="text1"/>
          <w:sz w:val="32"/>
          <w:szCs w:val="32"/>
          <w14:textFill>
            <w14:solidFill>
              <w14:schemeClr w14:val="tx1"/>
            </w14:solidFill>
          </w14:textFill>
        </w:rPr>
      </w:pPr>
      <w:bookmarkStart w:id="92" w:name="_Toc235000784"/>
      <w:r>
        <w:rPr>
          <w:rFonts w:hint="eastAsia" w:ascii="黑体" w:hAnsi="黑体" w:eastAsia="黑体" w:cs="黑体"/>
          <w:color w:val="000000" w:themeColor="text1"/>
          <w:sz w:val="32"/>
          <w:szCs w:val="32"/>
          <w14:textFill>
            <w14:solidFill>
              <w14:schemeClr w14:val="tx1"/>
            </w14:solidFill>
          </w14:textFill>
        </w:rPr>
        <w:t>第一节 弘扬和践行社会主义核心价值观</w:t>
      </w:r>
      <w:bookmarkEnd w:id="92"/>
    </w:p>
    <w:p>
      <w:pPr>
        <w:adjustRightInd w:val="0"/>
        <w:snapToGrid w:val="0"/>
        <w:spacing w:line="580" w:lineRule="exact"/>
        <w:ind w:firstLine="643" w:firstLineChars="200"/>
        <w:rPr>
          <w:rFonts w:hint="eastAsia" w:ascii="楷体_GB2312" w:hAnsi="楷体_GB2312" w:eastAsia="楷体_GB2312" w:cs="楷体_GB2312"/>
          <w:b/>
          <w:bCs/>
          <w:color w:val="000000" w:themeColor="text1"/>
          <w:sz w:val="32"/>
          <w:szCs w:val="32"/>
          <w14:textFill>
            <w14:solidFill>
              <w14:schemeClr w14:val="tx1"/>
            </w14:solidFill>
          </w14:textFill>
        </w:rPr>
      </w:pP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发展壮大主流意识形态。</w:t>
      </w:r>
      <w:r>
        <w:rPr>
          <w:rFonts w:hint="eastAsia" w:ascii="仿宋_GB2312" w:hAnsi="仿宋_GB2312" w:eastAsia="仿宋_GB2312" w:cs="仿宋_GB2312"/>
          <w:color w:val="000000" w:themeColor="text1"/>
          <w:sz w:val="32"/>
          <w:szCs w:val="32"/>
          <w14:textFill>
            <w14:solidFill>
              <w14:schemeClr w14:val="tx1"/>
            </w14:solidFill>
          </w14:textFill>
        </w:rPr>
        <w:t xml:space="preserve">落实意识形态工作责任制，将意识形态教育纳入各级教育体系，强化党史、新中国史等宣传工作，深入开展理想信念教育、爱国主义教育、集体主义教育、社会主义教育、全民国防教育。推进粟裕故里、红军长征路等红色文化研学课程研发，推动“田野诗班”等思政教育实践活动与文旅深度融合。办好学习贯彻习近平新时代中国特色社会主义思想主题宣讲活动，引导人民群众树立正确的历史观和价值观。用好县融媒体中心，及时有效回应社会关切，深化与中央媒体、头部商业平台等合作，推出一批体现会同特色、展现时代风貌、群众喜闻乐见的新闻作品。 </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持续提升精神文明建设水平。</w:t>
      </w:r>
      <w:r>
        <w:rPr>
          <w:rFonts w:hint="eastAsia" w:ascii="仿宋_GB2312" w:hAnsi="仿宋_GB2312" w:eastAsia="仿宋_GB2312" w:cs="仿宋_GB2312"/>
          <w:color w:val="000000" w:themeColor="text1"/>
          <w:sz w:val="32"/>
          <w:szCs w:val="32"/>
          <w14:textFill>
            <w14:solidFill>
              <w14:schemeClr w14:val="tx1"/>
            </w14:solidFill>
          </w14:textFill>
        </w:rPr>
        <w:t>统筹推动文明培育、文明实践、文明创建，推动居民幸福指数不断提升，全县向上向善氛围更加浓厚。深化文明培育工作，积极开展中华优秀传统文化进校园活动，加强未成年人保护和心理健康教育，深化全环境立德树人工程。组织开展“好家庭、好家教、好家风”巡讲，常态化开展典型选树宣传活动，健全完善道德模范等先进典型礼遇帮扶等工作机制。优化文明实践活动，推广新时代文明实践展示带建设典型经验，推动跨村联建、串点成线，统筹整合各类公共设施资源，构建区域化文明实践矩阵。广泛开展文明交通、助老扶幼、志愿服务等文明实践活动，深化文明实践品牌建设，培育一批接地气、有特色、可持续的精品项目，深化文明城市、文明村镇、文明单位、文明家庭、文明校园等群众性精神文明创建活动，推动文明乡风建设，持续深化移风易俗，坚持城乡统筹，推进城乡精神文明建设融合发展。</w:t>
      </w:r>
    </w:p>
    <w:p>
      <w:pPr>
        <w:pStyle w:val="24"/>
        <w:adjustRightInd w:val="0"/>
        <w:snapToGrid w:val="0"/>
        <w:spacing w:line="580" w:lineRule="exact"/>
        <w:rPr>
          <w:rFonts w:hint="eastAsia"/>
          <w:color w:val="000000" w:themeColor="text1"/>
          <w:sz w:val="32"/>
          <w:szCs w:val="22"/>
          <w14:textFill>
            <w14:solidFill>
              <w14:schemeClr w14:val="tx1"/>
            </w14:solidFill>
          </w14:textFill>
        </w:rPr>
      </w:pPr>
    </w:p>
    <w:p>
      <w:pPr>
        <w:adjustRightInd w:val="0"/>
        <w:snapToGrid w:val="0"/>
        <w:spacing w:line="580" w:lineRule="exact"/>
        <w:jc w:val="center"/>
        <w:outlineLvl w:val="1"/>
        <w:rPr>
          <w:rFonts w:hint="eastAsia" w:ascii="黑体" w:hAnsi="黑体" w:eastAsia="黑体" w:cs="黑体"/>
          <w:color w:val="000000" w:themeColor="text1"/>
          <w:sz w:val="30"/>
          <w:szCs w:val="30"/>
          <w14:textFill>
            <w14:solidFill>
              <w14:schemeClr w14:val="tx1"/>
            </w14:solidFill>
          </w14:textFill>
        </w:rPr>
      </w:pPr>
      <w:bookmarkStart w:id="93" w:name="_Toc235000785"/>
      <w:r>
        <w:rPr>
          <w:rFonts w:hint="eastAsia" w:ascii="黑体" w:hAnsi="黑体" w:eastAsia="黑体" w:cs="黑体"/>
          <w:color w:val="000000" w:themeColor="text1"/>
          <w:sz w:val="32"/>
          <w:szCs w:val="32"/>
          <w14:textFill>
            <w14:solidFill>
              <w14:schemeClr w14:val="tx1"/>
            </w14:solidFill>
          </w14:textFill>
        </w:rPr>
        <w:t>第二节 完善公共文化服务体系</w:t>
      </w:r>
      <w:bookmarkEnd w:id="93"/>
      <w:r>
        <w:rPr>
          <w:rFonts w:hint="eastAsia" w:ascii="黑体" w:hAnsi="黑体" w:eastAsia="黑体" w:cs="黑体"/>
          <w:color w:val="000000" w:themeColor="text1"/>
          <w:sz w:val="30"/>
          <w:szCs w:val="30"/>
          <w14:textFill>
            <w14:solidFill>
              <w14:schemeClr w14:val="tx1"/>
            </w14:solidFill>
          </w14:textFill>
        </w:rPr>
        <w:tab/>
      </w:r>
    </w:p>
    <w:p>
      <w:pPr>
        <w:adjustRightInd w:val="0"/>
        <w:snapToGrid w:val="0"/>
        <w:spacing w:line="58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p>
    <w:p>
      <w:pPr>
        <w:adjustRightInd w:val="0"/>
        <w:snapToGrid w:val="0"/>
        <w:spacing w:line="580" w:lineRule="exact"/>
        <w:ind w:firstLine="640" w:firstLineChars="200"/>
        <w:rPr>
          <w:rFonts w:hint="eastAsia" w:ascii="仿宋_GB2312" w:hAnsi="仿宋_GB2312" w:eastAsia="仿宋_GB2312" w:cs="仿宋_GB2312"/>
          <w:color w:val="000000" w:themeColor="text1"/>
          <w:spacing w:val="-6"/>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加强县、乡、村三级公共文化服务设施建设提升，推进乡镇综合文化站、村（社区）文化服务中心标准化建设，建设一批接地气的“乡村书屋”与文化广场，促进城乡公共文化服务一体化、均等化。健全村（社区）综合文化服务设施管好用活长效机制，鼓励全社会力量参与公共文化服务供给管理。高度重视档案管理工作，启动县档案馆提质升级建设，加快档案信息化转型升级。探索开展公共文化设施的延时、错时服务，鼓励发展数字文化。创新实施文化惠民工程，继续开展公共文化场馆免费开放和全民阅读活动，深入组织开</w:t>
      </w:r>
      <w:r>
        <w:rPr>
          <w:rFonts w:hint="eastAsia" w:ascii="仿宋_GB2312" w:hAnsi="仿宋_GB2312" w:eastAsia="仿宋_GB2312" w:cs="仿宋_GB2312"/>
          <w:color w:val="000000" w:themeColor="text1"/>
          <w:spacing w:val="-6"/>
          <w:sz w:val="32"/>
          <w:szCs w:val="32"/>
          <w14:textFill>
            <w14:solidFill>
              <w14:schemeClr w14:val="tx1"/>
            </w14:solidFill>
          </w14:textFill>
        </w:rPr>
        <w:t>展群众喜闻乐道的文体活动，继续实施“文化进万家”“送戏下乡演艺惠民”“欢乐潇湘”等文化活动，不断丰富群众精神文化生活。</w:t>
      </w:r>
    </w:p>
    <w:p>
      <w:pPr>
        <w:adjustRightInd w:val="0"/>
        <w:snapToGrid w:val="0"/>
        <w:spacing w:line="580" w:lineRule="exact"/>
        <w:rPr>
          <w:rFonts w:hint="eastAsia" w:ascii="仿宋_GB2312" w:hAnsi="仿宋_GB2312" w:eastAsia="仿宋_GB2312" w:cs="仿宋_GB2312"/>
          <w:color w:val="000000" w:themeColor="text1"/>
          <w:sz w:val="32"/>
          <w:szCs w:val="32"/>
          <w14:textFill>
            <w14:solidFill>
              <w14:schemeClr w14:val="tx1"/>
            </w14:solidFill>
          </w14:textFill>
        </w:rPr>
      </w:pPr>
    </w:p>
    <w:p>
      <w:pPr>
        <w:adjustRightInd w:val="0"/>
        <w:snapToGrid w:val="0"/>
        <w:spacing w:line="580" w:lineRule="exact"/>
        <w:jc w:val="center"/>
        <w:outlineLvl w:val="1"/>
        <w:rPr>
          <w:rFonts w:hint="eastAsia" w:ascii="黑体" w:hAnsi="黑体" w:eastAsia="黑体" w:cs="黑体"/>
          <w:color w:val="000000" w:themeColor="text1"/>
          <w:sz w:val="30"/>
          <w:szCs w:val="30"/>
          <w14:textFill>
            <w14:solidFill>
              <w14:schemeClr w14:val="tx1"/>
            </w14:solidFill>
          </w14:textFill>
        </w:rPr>
      </w:pPr>
      <w:bookmarkStart w:id="94" w:name="_Toc235000786"/>
      <w:r>
        <w:rPr>
          <w:rFonts w:hint="eastAsia" w:ascii="黑体" w:hAnsi="黑体" w:eastAsia="黑体" w:cs="黑体"/>
          <w:color w:val="000000" w:themeColor="text1"/>
          <w:sz w:val="32"/>
          <w:szCs w:val="32"/>
          <w14:textFill>
            <w14:solidFill>
              <w14:schemeClr w14:val="tx1"/>
            </w14:solidFill>
          </w14:textFill>
        </w:rPr>
        <w:t>第三节 保护传承优秀传统文化</w:t>
      </w:r>
      <w:bookmarkEnd w:id="94"/>
      <w:r>
        <w:rPr>
          <w:rFonts w:hint="eastAsia" w:ascii="黑体" w:hAnsi="黑体" w:eastAsia="黑体" w:cs="黑体"/>
          <w:color w:val="000000" w:themeColor="text1"/>
          <w:sz w:val="30"/>
          <w:szCs w:val="30"/>
          <w14:textFill>
            <w14:solidFill>
              <w14:schemeClr w14:val="tx1"/>
            </w14:solidFill>
          </w14:textFill>
        </w:rPr>
        <w:tab/>
      </w:r>
    </w:p>
    <w:p>
      <w:pPr>
        <w:adjustRightInd w:val="0"/>
        <w:snapToGrid w:val="0"/>
        <w:spacing w:line="580" w:lineRule="exact"/>
        <w:ind w:firstLine="602"/>
        <w:rPr>
          <w:rFonts w:hint="eastAsia" w:ascii="楷体_GB2312" w:hAnsi="楷体_GB2312" w:eastAsia="楷体_GB2312" w:cs="楷体_GB2312"/>
          <w:b/>
          <w:bCs/>
          <w:color w:val="000000" w:themeColor="text1"/>
          <w:sz w:val="32"/>
          <w:szCs w:val="32"/>
          <w14:textFill>
            <w14:solidFill>
              <w14:schemeClr w14:val="tx1"/>
            </w14:solidFill>
          </w14:textFill>
        </w:rPr>
      </w:pPr>
    </w:p>
    <w:p>
      <w:pPr>
        <w:adjustRightInd w:val="0"/>
        <w:snapToGrid w:val="0"/>
        <w:spacing w:line="580" w:lineRule="exact"/>
        <w:ind w:firstLine="602"/>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挖掘历史、民族文化。</w:t>
      </w:r>
      <w:r>
        <w:rPr>
          <w:rFonts w:hint="eastAsia" w:ascii="仿宋_GB2312" w:hAnsi="仿宋_GB2312" w:eastAsia="仿宋_GB2312" w:cs="仿宋_GB2312"/>
          <w:color w:val="000000" w:themeColor="text1"/>
          <w:sz w:val="32"/>
          <w:szCs w:val="32"/>
          <w14:textFill>
            <w14:solidFill>
              <w14:schemeClr w14:val="tx1"/>
            </w14:solidFill>
          </w14:textFill>
        </w:rPr>
        <w:t>深度挖掘农耕文化、古村文化、民族文化等文化资源的内涵，放大炎帝故里、高椅古村影响效应。实施非遗点亮行动，建设若干非遗工坊，设立非遗保护专项资金，推进傩戏杠菩萨、会同草龙、竹编、木雕、野生茶制作等非遗项目传承发展。传承发展会同傩堂戏、沙溪唢呐、打鼓锄茶、板凳龙、舞龙灯、罗汉戏狮、斗牛舞、花灯等侗苗民族节庆文化，办好高椅黑饭节、油菜花节、堡子月饼节等文化活动，开展民俗文化进校园、进社区等活动，促进民族文化融合发展。培育“一镇一品”特色文化品牌。保护利用好文物古迹、历史建筑、传统村落，推进高椅古村、官舟村、墓脚古村等重点文物修缮保护工作。加大申报力度，力争新晋一批国家级和省级文物保护单位。</w:t>
      </w:r>
    </w:p>
    <w:p>
      <w:pPr>
        <w:adjustRightInd w:val="0"/>
        <w:snapToGrid w:val="0"/>
        <w:spacing w:line="580" w:lineRule="exact"/>
        <w:ind w:firstLine="602"/>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传承弘扬红色文化。</w:t>
      </w:r>
      <w:r>
        <w:rPr>
          <w:rFonts w:hint="eastAsia" w:ascii="仿宋_GB2312" w:hAnsi="仿宋_GB2312" w:eastAsia="仿宋_GB2312" w:cs="仿宋_GB2312"/>
          <w:color w:val="000000" w:themeColor="text1"/>
          <w:sz w:val="32"/>
          <w:szCs w:val="32"/>
          <w14:textFill>
            <w14:solidFill>
              <w14:schemeClr w14:val="tx1"/>
            </w14:solidFill>
          </w14:textFill>
        </w:rPr>
        <w:t>以粟裕故居、粟裕同志纪念馆、县红色文化教育培训基地为核心，开办红色课堂，开展专题宣讲，推动红色文化与党性教育、研学旅游深度融合，打造全国红色文化传承创新基地。挖掘红二、六军团长征过会同的红色资源，用好“中国红色诗歌文化教育创作基地”金字招牌，组织创作更多红色题材精品，讲好会同红色精品故事。推动湘黔边革命老区（会同）研学体验基地及配套设施建设，加快建设湘黔边界红色文化引领区。</w:t>
      </w:r>
    </w:p>
    <w:p>
      <w:pPr>
        <w:adjustRightInd w:val="0"/>
        <w:snapToGrid w:val="0"/>
        <w:spacing w:line="580" w:lineRule="exact"/>
        <w:ind w:firstLine="602"/>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全面加强文化遗产保护与传承利用。</w:t>
      </w:r>
      <w:r>
        <w:rPr>
          <w:rFonts w:hint="eastAsia" w:ascii="仿宋_GB2312" w:hAnsi="仿宋_GB2312" w:eastAsia="仿宋_GB2312" w:cs="仿宋_GB2312"/>
          <w:color w:val="000000" w:themeColor="text1"/>
          <w:sz w:val="32"/>
          <w:szCs w:val="32"/>
          <w14:textFill>
            <w14:solidFill>
              <w14:schemeClr w14:val="tx1"/>
            </w14:solidFill>
          </w14:textFill>
        </w:rPr>
        <w:t>实施古建筑修缮、古遗址勘探、非遗技艺传承等保护工程，围绕高椅古村明清古建筑群、粟裕故居、官州古建筑群、墓脚古建筑群等国保、省保传统建筑，打造一批保护示范项目，支持非遗传承人、保护工作者参与省、市相关交流活动。鼓励社会力量投身文化遗产保护，设立专项基金、开展志愿服务，增强基层文化遗产保护的多元活力。推动与周边地区开展文化遗产联合保护、研学考察等合作，提升会同文化遗产的知名度和影响力。促进文化遗产与旅游融合，夯实文化遗产保护发展的坚实基础。</w:t>
      </w:r>
    </w:p>
    <w:p>
      <w:pPr>
        <w:pStyle w:val="25"/>
        <w:spacing w:line="580" w:lineRule="exact"/>
        <w:rPr>
          <w:rFonts w:hint="eastAsia"/>
          <w:color w:val="000000" w:themeColor="text1"/>
          <w14:textFill>
            <w14:solidFill>
              <w14:schemeClr w14:val="tx1"/>
            </w14:solidFill>
          </w14:textFill>
        </w:rPr>
      </w:pPr>
    </w:p>
    <w:p>
      <w:pPr>
        <w:adjustRightInd w:val="0"/>
        <w:snapToGrid w:val="0"/>
        <w:spacing w:line="580" w:lineRule="exact"/>
        <w:jc w:val="center"/>
        <w:outlineLvl w:val="1"/>
        <w:rPr>
          <w:rFonts w:hint="eastAsia" w:ascii="黑体" w:hAnsi="黑体" w:eastAsia="黑体" w:cs="黑体"/>
          <w:color w:val="000000" w:themeColor="text1"/>
          <w:sz w:val="32"/>
          <w:szCs w:val="32"/>
          <w14:textFill>
            <w14:solidFill>
              <w14:schemeClr w14:val="tx1"/>
            </w14:solidFill>
          </w14:textFill>
        </w:rPr>
      </w:pPr>
      <w:bookmarkStart w:id="95" w:name="_Toc235000787"/>
      <w:r>
        <w:rPr>
          <w:rFonts w:hint="eastAsia" w:ascii="黑体" w:hAnsi="黑体" w:eastAsia="黑体" w:cs="黑体"/>
          <w:color w:val="000000" w:themeColor="text1"/>
          <w:sz w:val="32"/>
          <w:szCs w:val="32"/>
          <w14:textFill>
            <w14:solidFill>
              <w14:schemeClr w14:val="tx1"/>
            </w14:solidFill>
          </w14:textFill>
        </w:rPr>
        <w:t>第四节 提升文化创新与传播能力</w:t>
      </w:r>
      <w:bookmarkEnd w:id="95"/>
      <w:r>
        <w:rPr>
          <w:rFonts w:hint="eastAsia" w:ascii="黑体" w:hAnsi="黑体" w:eastAsia="黑体" w:cs="黑体"/>
          <w:color w:val="000000" w:themeColor="text1"/>
          <w:sz w:val="32"/>
          <w:szCs w:val="32"/>
          <w14:textFill>
            <w14:solidFill>
              <w14:schemeClr w14:val="tx1"/>
            </w14:solidFill>
          </w14:textFill>
        </w:rPr>
        <w:tab/>
      </w:r>
    </w:p>
    <w:p>
      <w:pPr>
        <w:adjustRightInd w:val="0"/>
        <w:snapToGrid w:val="0"/>
        <w:spacing w:line="58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p>
    <w:p>
      <w:pPr>
        <w:adjustRightInd w:val="0"/>
        <w:snapToGrid w:val="0"/>
        <w:spacing w:line="58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坚持创新与传播双轮驱动，构建全媒体传播体系，统筹内宣外宣、线上线下，讲好粟裕、贺琼等故事，塑造一批文化品牌。实施文艺作品数量、质量提升工程，围绕粟裕红色文化、侗苗民族文化打造一批精品力作，鼓励优秀人才、精品节目参加省、市文化活动。深化文化体制改革，做优做强传统特色产业，推动非遗技艺与现代艺术、数字技术融合，发展数字藏品、文创微短剧等新业态。鼓励社会力量积极参与公共文化服务，不断增强基层公共文化服务创新活力。鼓励各类文化机构开展跨地区文化交流活动，提升会同文化的影响力和辐射力。依托文旅品牌，建设文旅创意产业园，吸引中小微企业集聚，孵化非遗文创、文旅电商、数字内容等项目，培育本土市场主体，增强文化创新活力与发展动能，形成“创新赋能产业、传播放大价值”的良性循环。推动文化与旅游、文化与体育、文化与科技、文化与金融等深度融合，增强文化发展硬实力。</w:t>
      </w:r>
    </w:p>
    <w:p>
      <w:pPr>
        <w:pStyle w:val="2"/>
        <w:rPr>
          <w:rFonts w:hint="eastAsia"/>
          <w:color w:val="000000" w:themeColor="text1"/>
          <w14:textFill>
            <w14:solidFill>
              <w14:schemeClr w14:val="tx1"/>
            </w14:solidFill>
          </w14:textFill>
        </w:rPr>
      </w:pPr>
    </w:p>
    <w:tbl>
      <w:tblPr>
        <w:tblStyle w:val="78"/>
        <w:tblW w:w="906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9" w:type="dxa"/>
            <w:tcBorders>
              <w:top w:val="single" w:color="auto" w:sz="4" w:space="0"/>
              <w:left w:val="single" w:color="auto" w:sz="4" w:space="0"/>
              <w:bottom w:val="single" w:color="auto" w:sz="4" w:space="0"/>
              <w:right w:val="single" w:color="auto" w:sz="4" w:space="0"/>
            </w:tcBorders>
          </w:tcPr>
          <w:p>
            <w:pPr>
              <w:adjustRightInd w:val="0"/>
              <w:snapToGrid w:val="0"/>
              <w:spacing w:line="580" w:lineRule="exact"/>
              <w:jc w:val="center"/>
              <w:rPr>
                <w:rFonts w:hint="eastAsia" w:ascii="黑体" w:hAnsi="黑体" w:eastAsia="黑体" w:cs="黑体"/>
                <w:color w:val="000000" w:themeColor="text1"/>
                <w:kern w:val="0"/>
                <w:sz w:val="28"/>
                <w:szCs w:val="28"/>
                <w14:textFill>
                  <w14:solidFill>
                    <w14:schemeClr w14:val="tx1"/>
                  </w14:solidFill>
                </w14:textFill>
                <w14:ligatures w14:val="none"/>
              </w:rPr>
            </w:pPr>
            <w:r>
              <w:rPr>
                <w:rFonts w:hint="eastAsia" w:ascii="黑体" w:hAnsi="黑体" w:eastAsia="黑体" w:cs="黑体"/>
                <w:color w:val="000000" w:themeColor="text1"/>
                <w:kern w:val="0"/>
                <w:sz w:val="32"/>
                <w:szCs w:val="32"/>
                <w14:textFill>
                  <w14:solidFill>
                    <w14:schemeClr w14:val="tx1"/>
                  </w14:solidFill>
                </w14:textFill>
                <w14:ligatures w14:val="none"/>
              </w:rPr>
              <w:t>专栏</w:t>
            </w:r>
            <w:r>
              <w:rPr>
                <w:rFonts w:hint="eastAsia" w:ascii="Times New Roman" w:hAnsi="Times New Roman" w:eastAsia="黑体" w:cs="Times New Roman"/>
                <w:color w:val="000000" w:themeColor="text1"/>
                <w:kern w:val="0"/>
                <w:sz w:val="32"/>
                <w:szCs w:val="32"/>
                <w14:textFill>
                  <w14:solidFill>
                    <w14:schemeClr w14:val="tx1"/>
                  </w14:solidFill>
                </w14:textFill>
                <w14:ligatures w14:val="none"/>
              </w:rPr>
              <w:t>20</w:t>
            </w:r>
            <w:r>
              <w:rPr>
                <w:rFonts w:hint="eastAsia" w:ascii="黑体" w:hAnsi="黑体" w:eastAsia="黑体" w:cs="黑体"/>
                <w:color w:val="000000" w:themeColor="text1"/>
                <w:kern w:val="0"/>
                <w:sz w:val="32"/>
                <w:szCs w:val="32"/>
                <w14:textFill>
                  <w14:solidFill>
                    <w14:schemeClr w14:val="tx1"/>
                  </w14:solidFill>
                </w14:textFill>
                <w14:ligatures w14:val="none"/>
              </w:rPr>
              <w:t xml:space="preserve"> 文化事业项目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9" w:type="dxa"/>
            <w:tcBorders>
              <w:top w:val="single" w:color="auto" w:sz="4" w:space="0"/>
              <w:left w:val="single" w:color="auto" w:sz="4" w:space="0"/>
              <w:bottom w:val="single" w:color="auto" w:sz="4" w:space="0"/>
              <w:right w:val="single" w:color="auto" w:sz="4" w:space="0"/>
            </w:tcBorders>
          </w:tcPr>
          <w:p>
            <w:pPr>
              <w:adjustRightInd w:val="0"/>
              <w:snapToGrid w:val="0"/>
              <w:spacing w:line="580" w:lineRule="exact"/>
              <w:ind w:firstLine="643" w:firstLineChars="200"/>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1.会同县革命文物传承保护工程。</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建设粟裕同志纪念馆基本陈列“十年大改”改陈项目。</w:t>
            </w:r>
          </w:p>
          <w:p>
            <w:pPr>
              <w:adjustRightInd w:val="0"/>
              <w:snapToGrid w:val="0"/>
              <w:spacing w:line="580" w:lineRule="exact"/>
              <w:ind w:firstLine="643" w:firstLineChars="200"/>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2.会同县文化智慧网络与传播体系建设工程。</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铺设连接县、乡、村三级文化设施的专用网络，实现活动直播、会议联线、资源调度的高速稳定传输。为重要设施安装物联网设备，实现智慧化管理。与主流媒体、短视频平台合作，打造会同文化品牌。培养本土“乡村网红”“文化推荐官”，通过直播、短视频等方式传播会同文化。</w:t>
            </w:r>
          </w:p>
          <w:p>
            <w:pPr>
              <w:adjustRightInd w:val="0"/>
              <w:snapToGrid w:val="0"/>
              <w:spacing w:line="580" w:lineRule="exact"/>
              <w:ind w:firstLine="643" w:firstLineChars="200"/>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3.会同县舞台情景剧《沧海一粟》。</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剧情主要以粟裕大将的人生历程为主线，借助现代艺术手法，通过“田野诗班”的</w:t>
            </w:r>
            <w:r>
              <w:rPr>
                <w:rFonts w:hint="eastAsia" w:ascii="楷体_GB2312" w:hAnsi="楷体_GB2312" w:eastAsia="楷体_GB2312" w:cs="楷体_GB2312"/>
                <w:color w:val="000000" w:themeColor="text1"/>
                <w:spacing w:val="-6"/>
                <w:kern w:val="0"/>
                <w:sz w:val="32"/>
                <w:szCs w:val="32"/>
                <w14:textFill>
                  <w14:solidFill>
                    <w14:schemeClr w14:val="tx1"/>
                  </w14:solidFill>
                </w14:textFill>
                <w14:ligatures w14:val="none"/>
              </w:rPr>
              <w:t>诗述与歌颂，串联起粟裕大将心系家乡的故土情结和波澜壮阔的革命生涯，将沉浸体验与交互推理融入剧情，让历史叙事与现实演绎交相辉映。</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一是推动该剧开展全国巡演，全力冲刺国家级文艺奖项，提升品牌影响力；二是推动其市场化运营，实现常态化演出，探索“红色文艺+文旅”融合发展新路径，将其打造为我县持久的红色文化名片。</w:t>
            </w:r>
          </w:p>
          <w:p>
            <w:pPr>
              <w:adjustRightInd w:val="0"/>
              <w:snapToGrid w:val="0"/>
              <w:spacing w:line="580" w:lineRule="exact"/>
              <w:ind w:firstLine="643" w:firstLineChars="200"/>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4.会同文创产业基地。</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建设会同文创产业基地，围绕会同红色、绿色、古色主题，以会同非遗、民俗、旅游商品、红色文化等通过引进具有规模影响力文化旅游企业以创意设计、旅游、艺术表演、影视传媒、数字娱乐为发展重点，打造会同特色IP，促进与实体深度融合，丰富本土文化旅游内容，提升本土文旅旅游质量，培育文化旅游经济新增长点。</w:t>
            </w:r>
          </w:p>
          <w:p>
            <w:pPr>
              <w:tabs>
                <w:tab w:val="center" w:pos="4040"/>
              </w:tabs>
              <w:adjustRightInd w:val="0"/>
              <w:snapToGrid w:val="0"/>
              <w:spacing w:line="580" w:lineRule="exact"/>
              <w:ind w:firstLine="643" w:firstLineChars="200"/>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5.会同县品牌活动塑造工程。</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打造春夏秋冬四季大型主题文旅活动。升级送戏下乡活动，从“送一场戏”升级为“送一套剧”，配套开展艺术讲座和工作坊。设立“会同文化名家工作室”，实施“乡村文化带头人”培育计划，创作一批具有会同特色的精品文艺剧目。</w:t>
            </w:r>
          </w:p>
          <w:p>
            <w:pPr>
              <w:adjustRightInd w:val="0"/>
              <w:snapToGrid w:val="0"/>
              <w:spacing w:line="580" w:lineRule="exact"/>
              <w:ind w:firstLine="643" w:firstLineChars="200"/>
              <w:rPr>
                <w:rFonts w:hint="eastAsia" w:ascii="仿宋_GB2312" w:hAnsi="仿宋_GB2312" w:eastAsia="仿宋_GB2312" w:cs="仿宋_GB2312"/>
                <w:color w:val="000000" w:themeColor="text1"/>
                <w:kern w:val="0"/>
                <w:sz w:val="28"/>
                <w:szCs w:val="28"/>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6.会同县“非遗+旅游”融合项目。</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如傩戏展演、竹编体验工坊等。</w:t>
            </w:r>
          </w:p>
        </w:tc>
      </w:tr>
    </w:tbl>
    <w:p>
      <w:pPr>
        <w:adjustRightInd w:val="0"/>
        <w:snapToGrid w:val="0"/>
        <w:spacing w:line="580" w:lineRule="exact"/>
        <w:jc w:val="left"/>
        <w:rPr>
          <w:rFonts w:hint="eastAsia" w:ascii="仿宋_GB2312" w:hAnsi="仿宋_GB2312" w:eastAsia="仿宋_GB2312" w:cs="仿宋_GB2312"/>
          <w:color w:val="000000" w:themeColor="text1"/>
          <w:sz w:val="32"/>
          <w:szCs w:val="32"/>
          <w14:textFill>
            <w14:solidFill>
              <w14:schemeClr w14:val="tx1"/>
            </w14:solidFill>
          </w14:textFill>
        </w:rPr>
      </w:pPr>
      <w:bookmarkStart w:id="96" w:name="_Toc215048354"/>
      <w:r>
        <w:rPr>
          <w:rFonts w:hint="eastAsia" w:ascii="仿宋_GB2312" w:hAnsi="仿宋_GB2312" w:eastAsia="仿宋_GB2312" w:cs="仿宋_GB2312"/>
          <w:color w:val="000000" w:themeColor="text1"/>
          <w:sz w:val="32"/>
          <w:szCs w:val="32"/>
          <w14:textFill>
            <w14:solidFill>
              <w14:schemeClr w14:val="tx1"/>
            </w14:solidFill>
          </w14:textFill>
        </w:rPr>
        <w:br w:type="page"/>
      </w:r>
    </w:p>
    <w:p>
      <w:pPr>
        <w:adjustRightInd w:val="0"/>
        <w:snapToGrid w:val="0"/>
        <w:spacing w:line="580" w:lineRule="exact"/>
        <w:jc w:val="center"/>
        <w:outlineLvl w:val="0"/>
        <w:rPr>
          <w:rFonts w:hint="eastAsia" w:ascii="方正小标宋简体" w:hAnsi="方正小标宋简体" w:eastAsia="方正小标宋简体" w:cs="方正小标宋简体"/>
          <w:color w:val="000000" w:themeColor="text1"/>
          <w:sz w:val="36"/>
          <w:szCs w:val="36"/>
          <w14:textFill>
            <w14:solidFill>
              <w14:schemeClr w14:val="tx1"/>
            </w14:solidFill>
          </w14:textFill>
        </w:rPr>
      </w:pPr>
      <w:bookmarkStart w:id="97" w:name="_Toc235000788"/>
      <w:r>
        <w:rPr>
          <w:rFonts w:hint="eastAsia" w:ascii="方正小标宋简体" w:hAnsi="方正小标宋简体" w:eastAsia="方正小标宋简体" w:cs="方正小标宋简体"/>
          <w:color w:val="000000" w:themeColor="text1"/>
          <w:sz w:val="36"/>
          <w:szCs w:val="36"/>
          <w14:textFill>
            <w14:solidFill>
              <w14:schemeClr w14:val="tx1"/>
            </w14:solidFill>
          </w14:textFill>
        </w:rPr>
        <w:t>第十二章 持续增进民生福祉，扎实推进共同富裕</w:t>
      </w:r>
      <w:bookmarkEnd w:id="96"/>
      <w:bookmarkEnd w:id="97"/>
    </w:p>
    <w:p>
      <w:pPr>
        <w:adjustRightInd w:val="0"/>
        <w:snapToGrid w:val="0"/>
        <w:spacing w:line="580" w:lineRule="exact"/>
        <w:rPr>
          <w:rFonts w:hint="eastAsia" w:ascii="仿宋_GB2312" w:hAnsi="仿宋_GB2312" w:eastAsia="仿宋_GB2312" w:cs="仿宋_GB2312"/>
          <w:color w:val="000000" w:themeColor="text1"/>
          <w:sz w:val="32"/>
          <w:szCs w:val="32"/>
          <w14:textFill>
            <w14:solidFill>
              <w14:schemeClr w14:val="tx1"/>
            </w14:solidFill>
          </w14:textFill>
        </w:rPr>
      </w:pPr>
    </w:p>
    <w:p>
      <w:pPr>
        <w:adjustRightInd w:val="0"/>
        <w:snapToGrid w:val="0"/>
        <w:spacing w:line="58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坚持以人民为中心，持续加大保障和改善民生力度，以“家门口工程”为引领，推动公共服务均衡普及、高质量发展，打造高品质幸福宜居会同。</w:t>
      </w:r>
    </w:p>
    <w:p>
      <w:pPr>
        <w:pStyle w:val="24"/>
        <w:adjustRightInd w:val="0"/>
        <w:snapToGrid w:val="0"/>
        <w:spacing w:line="580" w:lineRule="exact"/>
        <w:rPr>
          <w:rFonts w:hint="eastAsia"/>
          <w:color w:val="000000" w:themeColor="text1"/>
          <w:sz w:val="32"/>
          <w:szCs w:val="22"/>
          <w14:textFill>
            <w14:solidFill>
              <w14:schemeClr w14:val="tx1"/>
            </w14:solidFill>
          </w14:textFill>
        </w:rPr>
      </w:pPr>
    </w:p>
    <w:p>
      <w:pPr>
        <w:adjustRightInd w:val="0"/>
        <w:snapToGrid w:val="0"/>
        <w:spacing w:line="580" w:lineRule="exact"/>
        <w:jc w:val="center"/>
        <w:outlineLvl w:val="1"/>
        <w:rPr>
          <w:rFonts w:hint="eastAsia" w:ascii="黑体" w:hAnsi="黑体" w:eastAsia="黑体" w:cs="黑体"/>
          <w:color w:val="000000" w:themeColor="text1"/>
          <w:sz w:val="32"/>
          <w:szCs w:val="32"/>
          <w14:textFill>
            <w14:solidFill>
              <w14:schemeClr w14:val="tx1"/>
            </w14:solidFill>
          </w14:textFill>
        </w:rPr>
      </w:pPr>
      <w:bookmarkStart w:id="98" w:name="_Toc215048355"/>
      <w:bookmarkStart w:id="99" w:name="_Toc235000789"/>
      <w:r>
        <w:rPr>
          <w:rFonts w:hint="eastAsia" w:ascii="黑体" w:hAnsi="黑体" w:eastAsia="黑体" w:cs="黑体"/>
          <w:color w:val="000000" w:themeColor="text1"/>
          <w:sz w:val="32"/>
          <w:szCs w:val="32"/>
          <w14:textFill>
            <w14:solidFill>
              <w14:schemeClr w14:val="tx1"/>
            </w14:solidFill>
          </w14:textFill>
        </w:rPr>
        <w:t xml:space="preserve">第一节 </w:t>
      </w:r>
      <w:bookmarkEnd w:id="98"/>
      <w:r>
        <w:rPr>
          <w:rFonts w:hint="eastAsia" w:ascii="黑体" w:hAnsi="黑体" w:eastAsia="黑体" w:cs="黑体"/>
          <w:color w:val="000000" w:themeColor="text1"/>
          <w:sz w:val="32"/>
          <w:szCs w:val="32"/>
          <w14:textFill>
            <w14:solidFill>
              <w14:schemeClr w14:val="tx1"/>
            </w14:solidFill>
          </w14:textFill>
        </w:rPr>
        <w:t>促进高质量充分就业</w:t>
      </w:r>
      <w:bookmarkEnd w:id="99"/>
    </w:p>
    <w:p>
      <w:pPr>
        <w:adjustRightInd w:val="0"/>
        <w:snapToGrid w:val="0"/>
        <w:spacing w:line="580" w:lineRule="exact"/>
        <w:ind w:firstLine="643" w:firstLineChars="200"/>
        <w:rPr>
          <w:rFonts w:hint="eastAsia" w:ascii="楷体_GB2312" w:hAnsi="楷体_GB2312" w:eastAsia="楷体_GB2312" w:cs="楷体_GB2312"/>
          <w:b/>
          <w:bCs/>
          <w:color w:val="000000" w:themeColor="text1"/>
          <w:sz w:val="32"/>
          <w:szCs w:val="32"/>
          <w14:textFill>
            <w14:solidFill>
              <w14:schemeClr w14:val="tx1"/>
            </w14:solidFill>
          </w14:textFill>
        </w:rPr>
      </w:pP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促进高质量充分就业</w:t>
      </w:r>
      <w:r>
        <w:rPr>
          <w:rFonts w:hint="eastAsia" w:ascii="楷体_GB2312" w:hAnsi="楷体_GB2312" w:eastAsia="楷体_GB2312" w:cs="楷体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健全落实就业优先战略和积极就业政策制度体系，完善创业带动就业、多渠道灵活就业机制，加大各类资金资源统筹支持力度，促进充分就业、提高就业质量。优化创业促进就业政策环境，实施“</w:t>
      </w:r>
      <w:r>
        <w:rPr>
          <w:rFonts w:hint="eastAsia" w:ascii="Calibri" w:hAnsi="Calibri" w:eastAsia="仿宋_GB2312" w:cs="Calibri"/>
          <w:color w:val="000000" w:themeColor="text1"/>
          <w:sz w:val="32"/>
          <w:szCs w:val="32"/>
          <w14:textFill>
            <w14:solidFill>
              <w14:schemeClr w14:val="tx1"/>
            </w14:solidFill>
          </w14:textFill>
        </w:rPr>
        <w:t>引老乡、回故乡、建家乡”行动，</w:t>
      </w:r>
      <w:r>
        <w:rPr>
          <w:rFonts w:hint="eastAsia" w:ascii="仿宋_GB2312" w:hAnsi="仿宋_GB2312" w:eastAsia="仿宋_GB2312" w:cs="仿宋_GB2312"/>
          <w:color w:val="000000" w:themeColor="text1"/>
          <w:sz w:val="32"/>
          <w:szCs w:val="32"/>
          <w14:textFill>
            <w14:solidFill>
              <w14:schemeClr w14:val="tx1"/>
            </w14:solidFill>
          </w14:textFill>
        </w:rPr>
        <w:t>大力实施“家门口就业”“家门口创业”工程，大力推行“链上就业”模式，因地制宜发展乡村车间，争取每年开发就业岗位3000个以上。加强就业困难人员、脱贫人口帮扶，持续提高公益岗位等兜底保障能力，动态消除“零就业”家庭。</w:t>
      </w:r>
      <w:r>
        <w:rPr>
          <w:rFonts w:hint="eastAsia" w:ascii="楷体_GB2312" w:hAnsi="楷体_GB2312" w:eastAsia="楷体_GB2312" w:cs="楷体_GB2312"/>
          <w:b/>
          <w:bCs/>
          <w:color w:val="000000" w:themeColor="text1"/>
          <w:sz w:val="32"/>
          <w:szCs w:val="32"/>
          <w14:textFill>
            <w14:solidFill>
              <w14:schemeClr w14:val="tx1"/>
            </w14:solidFill>
          </w14:textFill>
        </w:rPr>
        <w:t>不断优化就业结构。</w:t>
      </w:r>
      <w:r>
        <w:rPr>
          <w:rFonts w:hint="eastAsia" w:ascii="仿宋_GB2312" w:hAnsi="仿宋_GB2312" w:eastAsia="仿宋_GB2312" w:cs="仿宋_GB2312"/>
          <w:color w:val="000000" w:themeColor="text1"/>
          <w:sz w:val="32"/>
          <w:szCs w:val="32"/>
          <w14:textFill>
            <w14:solidFill>
              <w14:schemeClr w14:val="tx1"/>
            </w14:solidFill>
          </w14:textFill>
        </w:rPr>
        <w:t>加快发展新质生产力，改造传统产业，以产业结构升级带动就业结构升级。落实好职业技能培训补贴政策，统筹抓好“六类人员”职业技能培训，促进返乡大学生、农民工、脱贫劳动力、退役军人等重点人群就业创业。支持储能材料、硅基新材料等发展，增加就业吸纳能力，统筹用好新技术应用和岗位转换，创造新的就业机会。推动会同县职业中专专业设置和人才培养模式改革，培养更多适应县域产业结构的能工巧匠。</w:t>
      </w:r>
    </w:p>
    <w:p>
      <w:pPr>
        <w:adjustRightInd w:val="0"/>
        <w:snapToGrid w:val="0"/>
        <w:spacing w:line="580" w:lineRule="exact"/>
        <w:ind w:firstLine="643"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完善就业公共服务体系。</w:t>
      </w:r>
      <w:r>
        <w:rPr>
          <w:rFonts w:hint="eastAsia" w:ascii="仿宋_GB2312" w:hAnsi="仿宋_GB2312" w:eastAsia="仿宋_GB2312" w:cs="仿宋_GB2312"/>
          <w:color w:val="000000" w:themeColor="text1"/>
          <w:sz w:val="32"/>
          <w:szCs w:val="32"/>
          <w14:textFill>
            <w14:solidFill>
              <w14:schemeClr w14:val="tx1"/>
            </w14:solidFill>
          </w14:textFill>
        </w:rPr>
        <w:t>建设县级就业创业公共实训基地，开展大规模职业技能提升职业培训行动，增加制造业、服务业紧缺技能人才供给。完善更新“就业立交桥”信息管理平台，做优做强“人社驿站”，促进劳动力市场供需精准对接，推动县内企业就业占比提升至30%。加强劳动保障监察执法，规范劳动用工和人力资源市场秩序，建设县级劳动争议“一站式”处理中心，完善劳动关系协商协调机制，坚决纠正各类就业歧视，持续巩固“无欠薪县城”创建成果，维护劳动者权益。</w:t>
      </w:r>
    </w:p>
    <w:p>
      <w:pPr>
        <w:pStyle w:val="24"/>
        <w:adjustRightInd w:val="0"/>
        <w:snapToGrid w:val="0"/>
        <w:spacing w:line="580" w:lineRule="exact"/>
        <w:rPr>
          <w:rFonts w:hint="eastAsia"/>
          <w:color w:val="000000" w:themeColor="text1"/>
          <w:sz w:val="32"/>
          <w:szCs w:val="22"/>
          <w14:textFill>
            <w14:solidFill>
              <w14:schemeClr w14:val="tx1"/>
            </w14:solidFill>
          </w14:textFill>
        </w:rPr>
      </w:pPr>
    </w:p>
    <w:p>
      <w:pPr>
        <w:adjustRightInd w:val="0"/>
        <w:snapToGrid w:val="0"/>
        <w:spacing w:line="580" w:lineRule="exact"/>
        <w:jc w:val="center"/>
        <w:outlineLvl w:val="1"/>
        <w:rPr>
          <w:rFonts w:hint="eastAsia" w:ascii="黑体" w:hAnsi="黑体" w:eastAsia="黑体" w:cs="黑体"/>
          <w:color w:val="000000" w:themeColor="text1"/>
          <w:sz w:val="32"/>
          <w:szCs w:val="32"/>
          <w14:textFill>
            <w14:solidFill>
              <w14:schemeClr w14:val="tx1"/>
            </w14:solidFill>
          </w14:textFill>
        </w:rPr>
      </w:pPr>
      <w:bookmarkStart w:id="100" w:name="_Toc215048356"/>
      <w:bookmarkStart w:id="101" w:name="_Toc235000790"/>
      <w:r>
        <w:rPr>
          <w:rFonts w:hint="eastAsia" w:ascii="黑体" w:hAnsi="黑体" w:eastAsia="黑体" w:cs="黑体"/>
          <w:color w:val="000000" w:themeColor="text1"/>
          <w:sz w:val="32"/>
          <w:szCs w:val="32"/>
          <w14:textFill>
            <w14:solidFill>
              <w14:schemeClr w14:val="tx1"/>
            </w14:solidFill>
          </w14:textFill>
        </w:rPr>
        <w:t>第二节 推动教育高质量发展</w:t>
      </w:r>
      <w:bookmarkEnd w:id="100"/>
      <w:bookmarkEnd w:id="101"/>
    </w:p>
    <w:p>
      <w:pPr>
        <w:adjustRightInd w:val="0"/>
        <w:snapToGrid w:val="0"/>
        <w:spacing w:line="580" w:lineRule="exact"/>
        <w:ind w:firstLine="643" w:firstLineChars="200"/>
        <w:rPr>
          <w:rFonts w:hint="eastAsia" w:ascii="楷体_GB2312" w:hAnsi="楷体_GB2312" w:eastAsia="楷体_GB2312" w:cs="楷体_GB2312"/>
          <w:b/>
          <w:bCs/>
          <w:color w:val="000000" w:themeColor="text1"/>
          <w:sz w:val="32"/>
          <w:szCs w:val="32"/>
          <w14:textFill>
            <w14:solidFill>
              <w14:schemeClr w14:val="tx1"/>
            </w14:solidFill>
          </w14:textFill>
        </w:rPr>
      </w:pP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优化教育资源布局。</w:t>
      </w:r>
      <w:r>
        <w:rPr>
          <w:rFonts w:hint="eastAsia" w:ascii="仿宋_GB2312" w:hAnsi="仿宋_GB2312" w:eastAsia="仿宋_GB2312" w:cs="仿宋_GB2312"/>
          <w:color w:val="000000" w:themeColor="text1"/>
          <w:sz w:val="32"/>
          <w:szCs w:val="32"/>
          <w14:textFill>
            <w14:solidFill>
              <w14:schemeClr w14:val="tx1"/>
            </w14:solidFill>
          </w14:textFill>
        </w:rPr>
        <w:t>健全与人口变化相适应的教育资源统筹调配机制，以实施“家门口上学”工程为重点，加大对农村留守儿童、困境儿童等群体的教育保障力度，办好必要的农村小规模学校，加强乡镇寄宿制学校建设管理，有序做好农村学校撤并工作，注重闲置资产盘活，将闲置资产进行适当改造用作特殊教育学校、留守儿童之家、研学实践教育基地、农村教师周转房等，进一步发展农村教育事业。加快推进县城学校扩容增位，优质发展，逐步推行免费学前教育，增加公办幼儿园供给，新建城南等公办幼儿园。推动义务教育提质升级，新建天马山学校，改扩建林城中学、会同三中。继续补充普通高中学位，增加会同一中、会同三中学位数。鼓励社会力量依法兴办教育，引导规范民办教育健康发展。</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推进城乡教育一体化。</w:t>
      </w:r>
      <w:r>
        <w:rPr>
          <w:rFonts w:hint="eastAsia" w:ascii="仿宋_GB2312" w:hAnsi="仿宋_GB2312" w:eastAsia="仿宋_GB2312" w:cs="仿宋_GB2312"/>
          <w:color w:val="000000" w:themeColor="text1"/>
          <w:sz w:val="32"/>
          <w:szCs w:val="32"/>
          <w14:textFill>
            <w14:solidFill>
              <w14:schemeClr w14:val="tx1"/>
            </w14:solidFill>
          </w14:textFill>
        </w:rPr>
        <w:t>健全城乡统一的义务教育经费保障机制，推进城乡义务教育学校标准化建设，切实改善学校教学生活和安全保障条件。加快城乡学校共同体建设，推动县内强弱学校、城乡学校结对帮扶。大力推进教育数字化，完善提升“三通两平台”建设，大力提升薄弱学校、农村学校办学水平。制定完善中长期教师队伍建设规划，深化中小学教师“县管校聘”管理改革，建设高素质专业化教育队伍。实施新时代立德树人工程，加快中小学思政一体化平台建设，开发红色研学精品课程，统一设计红色主题思政课实践教学案例，结合会同红色资源特点以及重大历史事件、重要历史人物等，将红色文化有机融入各类课程教学，在日常教学中发挥铸魂育人功能。实行中小学阳光招生，深化教学教研改革，推动基础教育质量持续提升。</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推进智慧教育建设。</w:t>
      </w:r>
      <w:r>
        <w:rPr>
          <w:rFonts w:hint="eastAsia" w:ascii="仿宋_GB2312" w:hAnsi="仿宋_GB2312" w:eastAsia="仿宋_GB2312" w:cs="仿宋_GB2312"/>
          <w:color w:val="000000" w:themeColor="text1"/>
          <w:sz w:val="32"/>
          <w:szCs w:val="32"/>
          <w14:textFill>
            <w14:solidFill>
              <w14:schemeClr w14:val="tx1"/>
            </w14:solidFill>
          </w14:textFill>
        </w:rPr>
        <w:t>推进信息标准化建设，逐步普及教学智能终端。推进IPV6规模部署及应用，推动中小学校合理扩容出口带宽，满足教育需求。引导学校支持网络基础设施建设，逐步实现校园无线网覆盖。加快建设教育专网，探索建设教育行业云，有序推动教育应用上云。继续为县域义务教育学校增设网络多媒体教室，拓宽中心机房带宽。整合社会各类资源，加大科技教育投入力度。加快配备教学机器人套件，为师生创造优质的科技学习环境和硬件保障。从城区向乡镇逐步推进“智慧操场”建设，构建“可量化、可记录、可监督、可分析、可评定”的智能化管理与监测体系，驱动体育教育革新，以数字化助力体育教育高质量发展。在有条件、有需求的学校推进“智慧食堂”试点，引入AI技术与大数据管理，实现餐饮服务的智能化升级，聚焦物美价廉、营养健康、个性需求与环保节约，打造现代化智慧餐饮服务体系。</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方正楷体_GBK" w:hAnsi="方正楷体_GBK" w:eastAsia="方正楷体_GBK" w:cs="方正楷体_GBK"/>
          <w:b/>
          <w:bCs/>
          <w:color w:val="000000" w:themeColor="text1"/>
          <w:sz w:val="32"/>
          <w:szCs w:val="32"/>
          <w14:textFill>
            <w14:solidFill>
              <w14:schemeClr w14:val="tx1"/>
            </w14:solidFill>
          </w14:textFill>
        </w:rPr>
        <w:t>加强教育区域合作。</w:t>
      </w:r>
      <w:r>
        <w:rPr>
          <w:rFonts w:hint="eastAsia" w:ascii="仿宋_GB2312" w:hAnsi="仿宋_GB2312" w:eastAsia="仿宋_GB2312" w:cs="仿宋_GB2312"/>
          <w:color w:val="000000" w:themeColor="text1"/>
          <w:sz w:val="32"/>
          <w:szCs w:val="32"/>
          <w14:textFill>
            <w14:solidFill>
              <w14:schemeClr w14:val="tx1"/>
            </w14:solidFill>
          </w14:textFill>
        </w:rPr>
        <w:t>拓展与省内外优质教育资源合作，对内加强与长沙长郡、怀化三中的资源合作，对外拓展与黄冈中学、衡水中学等省外名校的专项联盟，加强与贵州天柱、镇远及邵阳绥宁、洞口等周边县的教育协作，建立常态化教育协作机制，促进区域教育协同发展，实现优质教育资源跨区域流动。</w:t>
      </w:r>
    </w:p>
    <w:p>
      <w:pPr>
        <w:adjustRightInd w:val="0"/>
        <w:snapToGrid w:val="0"/>
        <w:spacing w:line="580" w:lineRule="exact"/>
        <w:ind w:firstLine="643"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坚持强化产教融合。</w:t>
      </w:r>
      <w:r>
        <w:rPr>
          <w:rFonts w:hint="eastAsia" w:ascii="仿宋_GB2312" w:hAnsi="仿宋_GB2312" w:eastAsia="仿宋_GB2312" w:cs="仿宋_GB2312"/>
          <w:color w:val="000000" w:themeColor="text1"/>
          <w:sz w:val="32"/>
          <w:szCs w:val="32"/>
          <w14:textFill>
            <w14:solidFill>
              <w14:schemeClr w14:val="tx1"/>
            </w14:solidFill>
          </w14:textFill>
        </w:rPr>
        <w:t>增强职业教育适应性，引导职业中专学校加强校企合作，积极培育适应会同竹产业、箱包产业有关的产业技能人才，促进教育链、人才链、与产业链、创新链有机衔接。</w:t>
      </w:r>
    </w:p>
    <w:p>
      <w:pPr>
        <w:pStyle w:val="2"/>
        <w:rPr>
          <w:rFonts w:hint="eastAsia"/>
          <w:color w:val="000000" w:themeColor="text1"/>
          <w14:textFill>
            <w14:solidFill>
              <w14:schemeClr w14:val="tx1"/>
            </w14:solidFill>
          </w14:textFill>
        </w:rPr>
      </w:pPr>
    </w:p>
    <w:tbl>
      <w:tblPr>
        <w:tblStyle w:val="78"/>
        <w:tblW w:w="90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4" w:type="dxa"/>
            <w:tcBorders>
              <w:top w:val="single" w:color="auto" w:sz="4" w:space="0"/>
              <w:left w:val="single" w:color="auto" w:sz="4" w:space="0"/>
              <w:bottom w:val="single" w:color="auto" w:sz="4" w:space="0"/>
              <w:right w:val="single" w:color="auto" w:sz="4" w:space="0"/>
            </w:tcBorders>
          </w:tcPr>
          <w:p>
            <w:pPr>
              <w:adjustRightInd w:val="0"/>
              <w:snapToGrid w:val="0"/>
              <w:spacing w:line="580" w:lineRule="exact"/>
              <w:ind w:firstLine="640" w:firstLineChars="200"/>
              <w:jc w:val="center"/>
              <w:rPr>
                <w:rFonts w:hint="eastAsia" w:ascii="黑体" w:hAnsi="黑体" w:eastAsia="黑体" w:cs="黑体"/>
                <w:color w:val="000000" w:themeColor="text1"/>
                <w:kern w:val="0"/>
                <w:sz w:val="28"/>
                <w:szCs w:val="28"/>
                <w14:textFill>
                  <w14:solidFill>
                    <w14:schemeClr w14:val="tx1"/>
                  </w14:solidFill>
                </w14:textFill>
                <w14:ligatures w14:val="none"/>
              </w:rPr>
            </w:pPr>
            <w:r>
              <w:rPr>
                <w:rFonts w:hint="eastAsia" w:ascii="黑体" w:hAnsi="黑体" w:eastAsia="黑体" w:cs="黑体"/>
                <w:color w:val="000000" w:themeColor="text1"/>
                <w:kern w:val="0"/>
                <w:sz w:val="32"/>
                <w:szCs w:val="32"/>
                <w14:textFill>
                  <w14:solidFill>
                    <w14:schemeClr w14:val="tx1"/>
                  </w14:solidFill>
                </w14:textFill>
                <w14:ligatures w14:val="none"/>
              </w:rPr>
              <w:t>专栏</w:t>
            </w:r>
            <w:r>
              <w:rPr>
                <w:rFonts w:hint="eastAsia" w:ascii="Times New Roman" w:hAnsi="Times New Roman" w:eastAsia="黑体" w:cs="Times New Roman"/>
                <w:color w:val="000000" w:themeColor="text1"/>
                <w:kern w:val="0"/>
                <w:sz w:val="32"/>
                <w:szCs w:val="32"/>
                <w14:textFill>
                  <w14:solidFill>
                    <w14:schemeClr w14:val="tx1"/>
                  </w14:solidFill>
                </w14:textFill>
                <w14:ligatures w14:val="none"/>
              </w:rPr>
              <w:t>21</w:t>
            </w:r>
            <w:r>
              <w:rPr>
                <w:rFonts w:hint="eastAsia" w:ascii="黑体" w:hAnsi="黑体" w:eastAsia="黑体" w:cs="黑体"/>
                <w:color w:val="000000" w:themeColor="text1"/>
                <w:kern w:val="0"/>
                <w:sz w:val="32"/>
                <w:szCs w:val="32"/>
                <w14:textFill>
                  <w14:solidFill>
                    <w14:schemeClr w14:val="tx1"/>
                  </w14:solidFill>
                </w14:textFill>
                <w14:ligatures w14:val="none"/>
              </w:rPr>
              <w:t xml:space="preserve"> 教育高质量发展项目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24" w:type="dxa"/>
            <w:tcBorders>
              <w:top w:val="single" w:color="auto" w:sz="4" w:space="0"/>
              <w:left w:val="single" w:color="auto" w:sz="4" w:space="0"/>
              <w:bottom w:val="single" w:color="auto" w:sz="4" w:space="0"/>
              <w:right w:val="single" w:color="auto" w:sz="4" w:space="0"/>
            </w:tcBorders>
          </w:tcPr>
          <w:p>
            <w:pPr>
              <w:widowControl/>
              <w:adjustRightInd w:val="0"/>
              <w:snapToGrid w:val="0"/>
              <w:spacing w:line="580" w:lineRule="exact"/>
              <w:ind w:firstLine="643" w:firstLineChars="200"/>
              <w:jc w:val="left"/>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1.县城教育资源提质项目。</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将县城6个教育项目打包建设，涵盖：新建城南幼儿园（12个班，4000㎡）；新建一完小食堂综合楼（3500㎡）；林城中学改扩建（征拆133户，新建宿舍、食堂及报告厅5000㎡、教学楼2000㎡）；三中新建学生宿舍楼（4000㎡）；职业中专新建体艺及生活配套综合楼（12645.97㎡）；特教学校扩建综合楼（1500㎡）。项目建成后将补齐各类学校办学短板，提升全县教育承载能力，夯实优质均衡发展基础。</w:t>
            </w:r>
          </w:p>
          <w:p>
            <w:pPr>
              <w:adjustRightInd w:val="0"/>
              <w:snapToGrid w:val="0"/>
              <w:spacing w:line="580" w:lineRule="exact"/>
              <w:ind w:firstLine="643" w:firstLineChars="200"/>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2.农村教育资源提质项目。</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提质改造2-3个农村人口集中乡镇寄宿制学校教学楼、宿舍楼、食堂等生活设施，总建筑面积12000㎡，完善相关教学配套设施。</w:t>
            </w:r>
          </w:p>
          <w:p>
            <w:pPr>
              <w:adjustRightInd w:val="0"/>
              <w:snapToGrid w:val="0"/>
              <w:spacing w:line="580" w:lineRule="exact"/>
              <w:ind w:firstLine="643" w:firstLineChars="200"/>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3.会同县天马山学校。</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总用地面积86667㎡，总建筑面积约50000㎡，主要包括场地平整、修建防护墙、两栋教学楼、</w:t>
            </w:r>
            <w:r>
              <w:rPr>
                <w:rFonts w:hint="eastAsia" w:ascii="楷体_GB2312" w:hAnsi="楷体_GB2312" w:eastAsia="楷体_GB2312" w:cs="楷体_GB2312"/>
                <w:color w:val="000000" w:themeColor="text1"/>
                <w:spacing w:val="6"/>
                <w:kern w:val="0"/>
                <w:sz w:val="32"/>
                <w:szCs w:val="32"/>
                <w14:textFill>
                  <w14:solidFill>
                    <w14:schemeClr w14:val="tx1"/>
                  </w14:solidFill>
                </w14:textFill>
                <w14:ligatures w14:val="none"/>
              </w:rPr>
              <w:t>两栋学生公寓、食堂、图书馆、科技楼等7栋楼房建设，及校园内道路、绿化、给排水、供配电、弱电消防、护坡等附属工程。</w:t>
            </w:r>
          </w:p>
          <w:p>
            <w:pPr>
              <w:adjustRightInd w:val="0"/>
              <w:snapToGrid w:val="0"/>
              <w:spacing w:line="580" w:lineRule="exact"/>
              <w:ind w:firstLine="643" w:firstLineChars="200"/>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4.教育闲置资产盘活项目。</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盘底县域闲置国有资产，将闲置厂房、办公楼、校舍等国有资产改造为特殊教育分校区、乡镇留守儿童之家、县级研学实践教育基地、劳动教育基地、农村教师周转房等。</w:t>
            </w:r>
          </w:p>
          <w:p>
            <w:pPr>
              <w:adjustRightInd w:val="0"/>
              <w:snapToGrid w:val="0"/>
              <w:spacing w:line="580" w:lineRule="exact"/>
              <w:ind w:firstLine="643" w:firstLineChars="200"/>
              <w:rPr>
                <w:rFonts w:hint="eastAsia" w:eastAsia="仿宋_GB2312"/>
                <w:color w:val="000000" w:themeColor="text1"/>
                <w14:textFill>
                  <w14:solidFill>
                    <w14:schemeClr w14:val="tx1"/>
                  </w14:solidFill>
                </w14:textFill>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5.红色思政实践教育基地建设项目。</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依托粟裕故居等本地红色资源，打造县级红色思政实践教育基地，主要包括教育基</w:t>
            </w:r>
            <w:r>
              <w:rPr>
                <w:rFonts w:hint="eastAsia" w:ascii="楷体_GB2312" w:hAnsi="楷体_GB2312" w:eastAsia="楷体_GB2312" w:cs="楷体_GB2312"/>
                <w:color w:val="000000" w:themeColor="text1"/>
                <w:spacing w:val="-6"/>
                <w:kern w:val="0"/>
                <w:sz w:val="32"/>
                <w:szCs w:val="32"/>
                <w14:textFill>
                  <w14:solidFill>
                    <w14:schemeClr w14:val="tx1"/>
                  </w14:solidFill>
                </w14:textFill>
                <w14:ligatures w14:val="none"/>
              </w:rPr>
              <w:t>地业务用房、宿舍、食堂及红色文化体验园、公用卫生间、陈列室、步道、宣传展示牌附属配套工程，总建筑面积30000㎡。</w:t>
            </w:r>
          </w:p>
        </w:tc>
      </w:tr>
    </w:tbl>
    <w:p>
      <w:pPr>
        <w:adjustRightInd w:val="0"/>
        <w:snapToGrid w:val="0"/>
        <w:spacing w:line="580" w:lineRule="exact"/>
        <w:jc w:val="center"/>
        <w:outlineLvl w:val="1"/>
        <w:rPr>
          <w:rFonts w:hint="eastAsia" w:ascii="黑体" w:hAnsi="黑体" w:eastAsia="黑体" w:cs="黑体"/>
          <w:color w:val="000000" w:themeColor="text1"/>
          <w:sz w:val="32"/>
          <w:szCs w:val="32"/>
          <w14:textFill>
            <w14:solidFill>
              <w14:schemeClr w14:val="tx1"/>
            </w14:solidFill>
          </w14:textFill>
        </w:rPr>
      </w:pPr>
      <w:bookmarkStart w:id="102" w:name="_Toc215048357"/>
      <w:bookmarkStart w:id="103" w:name="_Toc235000791"/>
    </w:p>
    <w:p>
      <w:pPr>
        <w:adjustRightInd w:val="0"/>
        <w:snapToGrid w:val="0"/>
        <w:spacing w:line="580" w:lineRule="exact"/>
        <w:jc w:val="center"/>
        <w:outlineLvl w:val="1"/>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第三节 深化健康会同建设</w:t>
      </w:r>
      <w:bookmarkEnd w:id="102"/>
      <w:bookmarkEnd w:id="103"/>
    </w:p>
    <w:p>
      <w:pPr>
        <w:adjustRightInd w:val="0"/>
        <w:snapToGrid w:val="0"/>
        <w:spacing w:line="580" w:lineRule="exact"/>
        <w:ind w:firstLine="643" w:firstLineChars="200"/>
        <w:rPr>
          <w:rFonts w:hint="eastAsia" w:ascii="楷体_GB2312" w:hAnsi="楷体_GB2312" w:eastAsia="楷体_GB2312" w:cs="楷体_GB2312"/>
          <w:b/>
          <w:bCs/>
          <w:color w:val="000000" w:themeColor="text1"/>
          <w:sz w:val="32"/>
          <w:szCs w:val="32"/>
          <w14:textFill>
            <w14:solidFill>
              <w14:schemeClr w14:val="tx1"/>
            </w14:solidFill>
          </w14:textFill>
        </w:rPr>
      </w:pP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以基层为重点推进城乡融合和区域均衡发展。</w:t>
      </w:r>
      <w:r>
        <w:rPr>
          <w:rFonts w:hint="eastAsia" w:ascii="仿宋_GB2312" w:hAnsi="仿宋_GB2312" w:eastAsia="仿宋_GB2312" w:cs="仿宋_GB2312"/>
          <w:color w:val="000000" w:themeColor="text1"/>
          <w:sz w:val="32"/>
          <w:szCs w:val="32"/>
          <w14:textFill>
            <w14:solidFill>
              <w14:schemeClr w14:val="tx1"/>
            </w14:solidFill>
          </w14:textFill>
        </w:rPr>
        <w:t>积极谋划推进医疗卫生强基工程，健全以县级医院为龙头、乡镇卫生院为枢纽、村卫生室为基础的乡村医疗卫生服务体系。落实区域医疗中心功能定位，以紧密型医共体为抓手，推动县级公立医院医生向基层下沉，到2030年基本实现每个乡镇卫生院、社区卫生服务中心均有县级医疗卫生机构中高级职称医师派驻。加强乡镇卫生院、社区卫生服务中心特色科室建设，强化村卫生室基本医疗服务功能，提高家庭医生签约服务质量。实时巡回医疗制度，推进资源薄弱乡镇常态化巡回医疗全覆盖，全面提升基层医疗卫生服务质效。</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深化医药卫生体制改革。</w:t>
      </w:r>
      <w:r>
        <w:rPr>
          <w:rFonts w:hint="eastAsia" w:ascii="仿宋_GB2312" w:hAnsi="仿宋_GB2312" w:eastAsia="仿宋_GB2312" w:cs="仿宋_GB2312"/>
          <w:bCs/>
          <w:color w:val="000000" w:themeColor="text1"/>
          <w:sz w:val="32"/>
          <w:szCs w:val="32"/>
          <w14:textFill>
            <w14:solidFill>
              <w14:schemeClr w14:val="tx1"/>
            </w14:solidFill>
          </w14:textFill>
        </w:rPr>
        <w:t>顺应人民群众多样化、品质化、个性化就医需求，持续深化医药卫生体制改革。</w:t>
      </w:r>
      <w:r>
        <w:rPr>
          <w:rFonts w:hint="eastAsia" w:ascii="仿宋_GB2312" w:hAnsi="仿宋_GB2312" w:eastAsia="仿宋_GB2312" w:cs="仿宋_GB2312"/>
          <w:color w:val="000000" w:themeColor="text1"/>
          <w:sz w:val="32"/>
          <w:szCs w:val="32"/>
          <w14:textFill>
            <w14:solidFill>
              <w14:schemeClr w14:val="tx1"/>
            </w14:solidFill>
          </w14:textFill>
        </w:rPr>
        <w:t>加强党对卫生健康和医改工作的领导，健全维护公益性的运行保障机制，推进医疗、医保、医药“三医”协同发展和治理，以县城为单位全面推广三明医改经验，推进实施健康优先发展战略。以公益性为导向，推进公立医院编制、医疗服务价格、薪酬等动态调整，创新医疗卫生监管手段。坚持盘活存量与做优增量并举，加强医疗机构功能整合和分工协作，提升医疗卫生服务的水平和质量。</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提升公共卫生服务水平。</w:t>
      </w:r>
      <w:r>
        <w:rPr>
          <w:rFonts w:hint="eastAsia" w:ascii="仿宋_GB2312" w:hAnsi="仿宋_GB2312" w:eastAsia="仿宋_GB2312" w:cs="仿宋_GB2312"/>
          <w:color w:val="000000" w:themeColor="text1"/>
          <w:sz w:val="32"/>
          <w:szCs w:val="32"/>
          <w14:textFill>
            <w14:solidFill>
              <w14:schemeClr w14:val="tx1"/>
            </w14:solidFill>
          </w14:textFill>
        </w:rPr>
        <w:t>坚持预防为主、医防结合，推动卫生机构以治病为中心向以人民健康为中心转变，提供覆盖全生命周期的卫生健康服务。加强重大疾病防治和公共卫生突发应急体系建设，完善职业病和传染病等防治体系，持续推进慢性病、地方病、结核病、艾滋病等综合防治。加强公共卫生服务体系建设，推动各级疾病预防控制中心标准化建设，改扩建一批社区卫生服务中心，深入开展二级医疗卫生机构对口支援乡镇卫生院项目，稳定乡村两级卫生人才队伍，做实做细家庭医生签约服务。</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提升医疗服务质量。</w:t>
      </w:r>
      <w:r>
        <w:rPr>
          <w:rFonts w:hint="eastAsia" w:ascii="仿宋_GB2312" w:hAnsi="仿宋_GB2312" w:eastAsia="仿宋_GB2312" w:cs="仿宋_GB2312"/>
          <w:color w:val="000000" w:themeColor="text1"/>
          <w:sz w:val="32"/>
          <w:szCs w:val="32"/>
          <w14:textFill>
            <w14:solidFill>
              <w14:schemeClr w14:val="tx1"/>
            </w14:solidFill>
          </w14:textFill>
        </w:rPr>
        <w:t>以实施“家门口看病”工程为重点，加快推进县人民医院省级边界类区域医疗中心建设，实施县人民医院、中医院病房改造工程，启动金子岩侗族苗族乡等乡镇卫生院整体搬迁，有序推动乡镇卫生院设备更新，更好满足群众就近享有高水平医疗服务需求。进一步深化紧密型县域医共体改革，加大全科医生培养培训力度，完善基层医疗卫生人才激励机制，提高基层防病治病和健康服务能力。建立健全药品追溯机制，引导规范民营医院发展，完善中医药传承创新发展机制。</w:t>
      </w:r>
    </w:p>
    <w:p>
      <w:pPr>
        <w:adjustRightInd w:val="0"/>
        <w:snapToGrid w:val="0"/>
        <w:spacing w:line="580" w:lineRule="exact"/>
        <w:ind w:firstLine="643"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倡导全民健身行动。</w:t>
      </w:r>
      <w:r>
        <w:rPr>
          <w:rFonts w:hint="eastAsia" w:ascii="仿宋_GB2312" w:hAnsi="仿宋_GB2312" w:eastAsia="仿宋_GB2312" w:cs="仿宋_GB2312"/>
          <w:color w:val="000000" w:themeColor="text1"/>
          <w:sz w:val="32"/>
          <w:szCs w:val="32"/>
          <w14:textFill>
            <w14:solidFill>
              <w14:schemeClr w14:val="tx1"/>
            </w14:solidFill>
          </w14:textFill>
        </w:rPr>
        <w:t>夯实学校体育基础，积极发展青少年体育。广泛开展全民健身活动，鼓励培育集运动健身和全民健康等业态于一体的复合型群众性赛事活动，积极推动村超、湘超等赛事发展，鼓励发展更多适合老年人、残疾人等特殊群体的体育活动，吸引更多群众参与体育活动。加强公共体育设施建设，深入挖掘老城区、人口密集区“金角银边”地段潜力建设室内外结合的“小而美”全民健身场地设施，鼓励依法利用工业厂房、商业用房、仓储用房等打造体育运动空间。推动全民健身与全民健康深度融合，深入实施“全民健身场地设施提升行动”，坚持“全民全运、全运惠民”，广泛开展全民健身赛事活动。</w:t>
      </w:r>
    </w:p>
    <w:p>
      <w:pPr>
        <w:pStyle w:val="2"/>
        <w:rPr>
          <w:rFonts w:hint="eastAsia"/>
          <w:color w:val="000000" w:themeColor="text1"/>
          <w14:textFill>
            <w14:solidFill>
              <w14:schemeClr w14:val="tx1"/>
            </w14:solidFill>
          </w14:textFill>
        </w:rPr>
      </w:pPr>
    </w:p>
    <w:tbl>
      <w:tblPr>
        <w:tblStyle w:val="32"/>
        <w:tblW w:w="9054" w:type="dxa"/>
        <w:tblInd w:w="0" w:type="dxa"/>
        <w:tblLayout w:type="fixed"/>
        <w:tblCellMar>
          <w:top w:w="0" w:type="dxa"/>
          <w:left w:w="108" w:type="dxa"/>
          <w:bottom w:w="0" w:type="dxa"/>
          <w:right w:w="108" w:type="dxa"/>
        </w:tblCellMar>
      </w:tblPr>
      <w:tblGrid>
        <w:gridCol w:w="9054"/>
      </w:tblGrid>
      <w:tr>
        <w:tblPrEx>
          <w:tblCellMar>
            <w:top w:w="0" w:type="dxa"/>
            <w:left w:w="108" w:type="dxa"/>
            <w:bottom w:w="0" w:type="dxa"/>
            <w:right w:w="108" w:type="dxa"/>
          </w:tblCellMar>
        </w:tblPrEx>
        <w:trPr>
          <w:trHeight w:val="710" w:hRule="atLeast"/>
        </w:trPr>
        <w:tc>
          <w:tcPr>
            <w:tcW w:w="9054"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580" w:lineRule="exact"/>
              <w:jc w:val="center"/>
              <w:rPr>
                <w:rFonts w:hint="eastAsia" w:ascii="黑体" w:hAnsi="黑体" w:eastAsia="黑体" w:cs="黑体"/>
                <w:color w:val="000000" w:themeColor="text1"/>
                <w:kern w:val="0"/>
                <w:sz w:val="28"/>
                <w:szCs w:val="28"/>
                <w14:textFill>
                  <w14:solidFill>
                    <w14:schemeClr w14:val="tx1"/>
                  </w14:solidFill>
                </w14:textFill>
                <w14:ligatures w14:val="none"/>
              </w:rPr>
            </w:pPr>
            <w:r>
              <w:rPr>
                <w:rFonts w:hint="eastAsia" w:ascii="黑体" w:hAnsi="黑体" w:eastAsia="黑体" w:cs="黑体"/>
                <w:color w:val="000000" w:themeColor="text1"/>
                <w:sz w:val="32"/>
                <w:szCs w:val="32"/>
                <w14:textFill>
                  <w14:solidFill>
                    <w14:schemeClr w14:val="tx1"/>
                  </w14:solidFill>
                </w14:textFill>
                <w14:ligatures w14:val="none"/>
              </w:rPr>
              <w:t>专栏</w:t>
            </w:r>
            <w:r>
              <w:rPr>
                <w:rFonts w:hint="eastAsia" w:ascii="Times New Roman" w:hAnsi="Times New Roman" w:eastAsia="黑体" w:cs="Times New Roman"/>
                <w:color w:val="000000" w:themeColor="text1"/>
                <w:kern w:val="0"/>
                <w:sz w:val="32"/>
                <w:szCs w:val="32"/>
                <w14:textFill>
                  <w14:solidFill>
                    <w14:schemeClr w14:val="tx1"/>
                  </w14:solidFill>
                </w14:textFill>
                <w14:ligatures w14:val="none"/>
              </w:rPr>
              <w:t>22</w:t>
            </w:r>
            <w:r>
              <w:rPr>
                <w:rFonts w:hint="eastAsia" w:ascii="黑体" w:hAnsi="黑体" w:eastAsia="黑体" w:cs="黑体"/>
                <w:color w:val="000000" w:themeColor="text1"/>
                <w:sz w:val="32"/>
                <w:szCs w:val="32"/>
                <w14:textFill>
                  <w14:solidFill>
                    <w14:schemeClr w14:val="tx1"/>
                  </w14:solidFill>
                </w14:textFill>
                <w14:ligatures w14:val="none"/>
              </w:rPr>
              <w:t xml:space="preserve"> 全民健康项目</w:t>
            </w:r>
          </w:p>
        </w:tc>
      </w:tr>
      <w:tr>
        <w:tblPrEx>
          <w:tblCellMar>
            <w:top w:w="0" w:type="dxa"/>
            <w:left w:w="108" w:type="dxa"/>
            <w:bottom w:w="0" w:type="dxa"/>
            <w:right w:w="108" w:type="dxa"/>
          </w:tblCellMar>
        </w:tblPrEx>
        <w:trPr>
          <w:trHeight w:val="699" w:hRule="atLeast"/>
        </w:trPr>
        <w:tc>
          <w:tcPr>
            <w:tcW w:w="90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620" w:lineRule="exact"/>
              <w:ind w:firstLine="643" w:firstLineChars="200"/>
              <w:textAlignment w:val="auto"/>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1.公共卫生防控能力提升项目。</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项目总建筑面积4800</w:t>
            </w:r>
            <w:r>
              <w:rPr>
                <w:rFonts w:hint="eastAsia" w:ascii="楷体_GB2312" w:hAnsi="楷体_GB2312" w:eastAsia="楷体_GB2312" w:cs="楷体_GB2312"/>
                <w:color w:val="000000" w:themeColor="text1"/>
                <w:kern w:val="0"/>
                <w:sz w:val="32"/>
                <w:szCs w:val="32"/>
                <w:lang w:eastAsia="zh-CN"/>
                <w14:textFill>
                  <w14:solidFill>
                    <w14:schemeClr w14:val="tx1"/>
                  </w14:solidFill>
                </w14:textFill>
                <w14:ligatures w14:val="none"/>
              </w:rPr>
              <w:t>㎡</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，其中新建疾控综合楼1栋，5层，面积3000</w:t>
            </w:r>
            <w:r>
              <w:rPr>
                <w:rFonts w:hint="eastAsia" w:ascii="楷体_GB2312" w:hAnsi="楷体_GB2312" w:eastAsia="楷体_GB2312" w:cs="楷体_GB2312"/>
                <w:color w:val="000000" w:themeColor="text1"/>
                <w:kern w:val="0"/>
                <w:sz w:val="32"/>
                <w:szCs w:val="32"/>
                <w:lang w:eastAsia="zh-CN"/>
                <w14:textFill>
                  <w14:solidFill>
                    <w14:schemeClr w14:val="tx1"/>
                  </w14:solidFill>
                </w14:textFill>
                <w14:ligatures w14:val="none"/>
              </w:rPr>
              <w:t>㎡</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；新建应急医疗物资储备库1栋，设计为3层，共1650</w:t>
            </w:r>
            <w:r>
              <w:rPr>
                <w:rFonts w:hint="eastAsia" w:ascii="楷体_GB2312" w:hAnsi="楷体_GB2312" w:eastAsia="楷体_GB2312" w:cs="楷体_GB2312"/>
                <w:color w:val="000000" w:themeColor="text1"/>
                <w:kern w:val="0"/>
                <w:sz w:val="32"/>
                <w:szCs w:val="32"/>
                <w:lang w:eastAsia="zh-CN"/>
                <w14:textFill>
                  <w14:solidFill>
                    <w14:schemeClr w14:val="tx1"/>
                  </w14:solidFill>
                </w14:textFill>
                <w14:ligatures w14:val="none"/>
              </w:rPr>
              <w:t>㎡</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；附属用房150</w:t>
            </w:r>
            <w:r>
              <w:rPr>
                <w:rFonts w:hint="eastAsia" w:ascii="楷体_GB2312" w:hAnsi="楷体_GB2312" w:eastAsia="楷体_GB2312" w:cs="楷体_GB2312"/>
                <w:color w:val="000000" w:themeColor="text1"/>
                <w:kern w:val="0"/>
                <w:sz w:val="32"/>
                <w:szCs w:val="32"/>
                <w:lang w:eastAsia="zh-CN"/>
                <w14:textFill>
                  <w14:solidFill>
                    <w14:schemeClr w14:val="tx1"/>
                  </w14:solidFill>
                </w14:textFill>
                <w14:ligatures w14:val="none"/>
              </w:rPr>
              <w:t>㎡</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。同时购置实验设备设施，完成配套基础设施建设。</w:t>
            </w:r>
          </w:p>
          <w:p>
            <w:pPr>
              <w:keepNext w:val="0"/>
              <w:keepLines w:val="0"/>
              <w:pageBreakBefore w:val="0"/>
              <w:widowControl w:val="0"/>
              <w:kinsoku/>
              <w:wordWrap/>
              <w:overflowPunct/>
              <w:topLinePunct w:val="0"/>
              <w:autoSpaceDE/>
              <w:autoSpaceDN/>
              <w:bidi w:val="0"/>
              <w:adjustRightInd w:val="0"/>
              <w:snapToGrid w:val="0"/>
              <w:spacing w:line="620" w:lineRule="exact"/>
              <w:ind w:firstLine="643" w:firstLineChars="200"/>
              <w:textAlignment w:val="auto"/>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2.第一中医医院建设项目。</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项目用地面积18842</w:t>
            </w:r>
            <w:r>
              <w:rPr>
                <w:rFonts w:hint="eastAsia" w:ascii="楷体_GB2312" w:hAnsi="楷体_GB2312" w:eastAsia="楷体_GB2312" w:cs="楷体_GB2312"/>
                <w:color w:val="000000" w:themeColor="text1"/>
                <w:kern w:val="0"/>
                <w:sz w:val="32"/>
                <w:szCs w:val="32"/>
                <w:lang w:eastAsia="zh-CN"/>
                <w14:textFill>
                  <w14:solidFill>
                    <w14:schemeClr w14:val="tx1"/>
                  </w14:solidFill>
                </w14:textFill>
                <w14:ligatures w14:val="none"/>
              </w:rPr>
              <w:t>㎡</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，总建筑面积49500</w:t>
            </w:r>
            <w:r>
              <w:rPr>
                <w:rFonts w:hint="eastAsia" w:ascii="楷体_GB2312" w:hAnsi="楷体_GB2312" w:eastAsia="楷体_GB2312" w:cs="楷体_GB2312"/>
                <w:color w:val="000000" w:themeColor="text1"/>
                <w:kern w:val="0"/>
                <w:sz w:val="32"/>
                <w:szCs w:val="32"/>
                <w:lang w:eastAsia="zh-CN"/>
                <w14:textFill>
                  <w14:solidFill>
                    <w14:schemeClr w14:val="tx1"/>
                  </w14:solidFill>
                </w14:textFill>
                <w14:ligatures w14:val="none"/>
              </w:rPr>
              <w:t>㎡</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，拟新建门诊楼和住院楼于一体的医疗综合楼、康复中心、员工倒班宿舍、传染病房隔离区等。</w:t>
            </w:r>
          </w:p>
          <w:p>
            <w:pPr>
              <w:keepNext w:val="0"/>
              <w:keepLines w:val="0"/>
              <w:pageBreakBefore w:val="0"/>
              <w:widowControl w:val="0"/>
              <w:kinsoku/>
              <w:wordWrap/>
              <w:overflowPunct/>
              <w:topLinePunct w:val="0"/>
              <w:autoSpaceDE/>
              <w:autoSpaceDN/>
              <w:bidi w:val="0"/>
              <w:adjustRightInd w:val="0"/>
              <w:snapToGrid w:val="0"/>
              <w:spacing w:line="620" w:lineRule="exact"/>
              <w:ind w:firstLine="643" w:firstLineChars="200"/>
              <w:textAlignment w:val="auto"/>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3.金子岩侗族苗族乡中心卫生院整体搬迁建设项目。</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对会同县金子岩中心卫生院公共卫生进行提质改造。</w:t>
            </w:r>
          </w:p>
          <w:p>
            <w:pPr>
              <w:keepNext w:val="0"/>
              <w:keepLines w:val="0"/>
              <w:pageBreakBefore w:val="0"/>
              <w:widowControl w:val="0"/>
              <w:kinsoku/>
              <w:wordWrap/>
              <w:overflowPunct/>
              <w:topLinePunct w:val="0"/>
              <w:autoSpaceDE/>
              <w:autoSpaceDN/>
              <w:bidi w:val="0"/>
              <w:spacing w:line="620" w:lineRule="exact"/>
              <w:ind w:firstLine="643" w:firstLineChars="200"/>
              <w:textAlignment w:val="auto"/>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4.紧密型医共体医养结合服务设施建设项目。</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改</w:t>
            </w:r>
            <w:r>
              <w:rPr>
                <w:rFonts w:hint="eastAsia" w:ascii="楷体_GB2312" w:hAnsi="楷体_GB2312" w:eastAsia="楷体_GB2312" w:cs="楷体_GB2312"/>
                <w:color w:val="000000" w:themeColor="text1"/>
                <w:kern w:val="0"/>
                <w:sz w:val="32"/>
                <w:szCs w:val="32"/>
                <w:lang w:bidi="ar"/>
                <w14:textFill>
                  <w14:solidFill>
                    <w14:schemeClr w14:val="tx1"/>
                  </w14:solidFill>
                </w14:textFill>
                <w14:ligatures w14:val="none"/>
              </w:rPr>
              <w:t>造病房面积18250</w:t>
            </w:r>
            <w:r>
              <w:rPr>
                <w:rFonts w:hint="eastAsia" w:ascii="楷体_GB2312" w:hAnsi="楷体_GB2312" w:eastAsia="楷体_GB2312" w:cs="楷体_GB2312"/>
                <w:color w:val="000000" w:themeColor="text1"/>
                <w:kern w:val="0"/>
                <w:sz w:val="32"/>
                <w:szCs w:val="32"/>
                <w:lang w:eastAsia="zh-CN" w:bidi="ar"/>
                <w14:textFill>
                  <w14:solidFill>
                    <w14:schemeClr w14:val="tx1"/>
                  </w14:solidFill>
                </w14:textFill>
                <w14:ligatures w14:val="none"/>
              </w:rPr>
              <w:t>㎡</w:t>
            </w:r>
            <w:r>
              <w:rPr>
                <w:rFonts w:hint="eastAsia" w:ascii="楷体_GB2312" w:hAnsi="楷体_GB2312" w:eastAsia="楷体_GB2312" w:cs="楷体_GB2312"/>
                <w:color w:val="000000" w:themeColor="text1"/>
                <w:kern w:val="0"/>
                <w:sz w:val="32"/>
                <w:szCs w:val="32"/>
                <w:lang w:bidi="ar"/>
                <w14:textFill>
                  <w14:solidFill>
                    <w14:schemeClr w14:val="tx1"/>
                  </w14:solidFill>
                </w14:textFill>
                <w14:ligatures w14:val="none"/>
              </w:rPr>
              <w:t>，新增医养结合床位365张，配套购置生活设施，保健设施工程等，并完成智慧平台系统和信息化建设。</w:t>
            </w:r>
          </w:p>
          <w:p>
            <w:pPr>
              <w:keepNext w:val="0"/>
              <w:keepLines w:val="0"/>
              <w:pageBreakBefore w:val="0"/>
              <w:widowControl w:val="0"/>
              <w:kinsoku/>
              <w:wordWrap/>
              <w:overflowPunct/>
              <w:topLinePunct w:val="0"/>
              <w:autoSpaceDE/>
              <w:autoSpaceDN/>
              <w:bidi w:val="0"/>
              <w:adjustRightInd w:val="0"/>
              <w:snapToGrid w:val="0"/>
              <w:spacing w:line="620" w:lineRule="exact"/>
              <w:ind w:firstLine="643" w:firstLineChars="200"/>
              <w:textAlignment w:val="auto"/>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5.医养结合示范基地建设项目。</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总用地面积12亩，总建筑面积1.5万㎡，主要建设医养结合示范基地，同时配套给排水、供配电、停车位等。</w:t>
            </w:r>
          </w:p>
          <w:p>
            <w:pPr>
              <w:keepNext w:val="0"/>
              <w:keepLines w:val="0"/>
              <w:pageBreakBefore w:val="0"/>
              <w:widowControl w:val="0"/>
              <w:kinsoku/>
              <w:wordWrap/>
              <w:overflowPunct/>
              <w:topLinePunct w:val="0"/>
              <w:autoSpaceDE/>
              <w:autoSpaceDN/>
              <w:bidi w:val="0"/>
              <w:adjustRightInd w:val="0"/>
              <w:snapToGrid w:val="0"/>
              <w:spacing w:line="620" w:lineRule="exact"/>
              <w:ind w:firstLine="643" w:firstLineChars="200"/>
              <w:textAlignment w:val="auto"/>
              <w:rPr>
                <w:rFonts w:hint="eastAsia" w:ascii="仿宋_GB2312" w:hAnsi="仿宋_GB2312" w:eastAsia="仿宋_GB2312" w:cs="仿宋_GB2312"/>
                <w:color w:val="000000" w:themeColor="text1"/>
                <w:kern w:val="0"/>
                <w:sz w:val="28"/>
                <w:szCs w:val="28"/>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6.全民健身建设项目。</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建设县乡村三级全民健身活动中心，体育公园、健身步道、骑行步道等体育基础设施项目。</w:t>
            </w:r>
          </w:p>
        </w:tc>
      </w:tr>
    </w:tbl>
    <w:p>
      <w:pPr>
        <w:adjustRightInd w:val="0"/>
        <w:snapToGrid w:val="0"/>
        <w:spacing w:line="58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p>
    <w:p>
      <w:pPr>
        <w:adjustRightInd w:val="0"/>
        <w:snapToGrid w:val="0"/>
        <w:spacing w:line="580" w:lineRule="exact"/>
        <w:jc w:val="center"/>
        <w:outlineLvl w:val="1"/>
        <w:rPr>
          <w:rFonts w:hint="eastAsia" w:ascii="黑体" w:hAnsi="黑体" w:eastAsia="黑体" w:cs="黑体"/>
          <w:color w:val="000000" w:themeColor="text1"/>
          <w:sz w:val="32"/>
          <w:szCs w:val="32"/>
          <w14:textFill>
            <w14:solidFill>
              <w14:schemeClr w14:val="tx1"/>
            </w14:solidFill>
          </w14:textFill>
        </w:rPr>
      </w:pPr>
      <w:bookmarkStart w:id="104" w:name="_Toc215048358"/>
      <w:bookmarkStart w:id="105" w:name="_Toc235000792"/>
      <w:r>
        <w:rPr>
          <w:rFonts w:hint="eastAsia" w:ascii="黑体" w:hAnsi="黑体" w:eastAsia="黑体" w:cs="黑体"/>
          <w:color w:val="000000" w:themeColor="text1"/>
          <w:sz w:val="32"/>
          <w:szCs w:val="32"/>
          <w14:textFill>
            <w14:solidFill>
              <w14:schemeClr w14:val="tx1"/>
            </w14:solidFill>
          </w14:textFill>
        </w:rPr>
        <w:t xml:space="preserve">第四节 </w:t>
      </w:r>
      <w:bookmarkEnd w:id="104"/>
      <w:r>
        <w:rPr>
          <w:rFonts w:hint="eastAsia" w:ascii="黑体" w:hAnsi="黑体" w:eastAsia="黑体" w:cs="黑体"/>
          <w:color w:val="000000" w:themeColor="text1"/>
          <w:sz w:val="32"/>
          <w:szCs w:val="32"/>
          <w14:textFill>
            <w14:solidFill>
              <w14:schemeClr w14:val="tx1"/>
            </w14:solidFill>
          </w14:textFill>
        </w:rPr>
        <w:t>促进人口高质量发展</w:t>
      </w:r>
      <w:bookmarkEnd w:id="105"/>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楷体_GB2312" w:hAnsi="楷体_GB2312" w:eastAsia="楷体_GB2312" w:cs="楷体_GB2312"/>
          <w:b/>
          <w:bCs/>
          <w:color w:val="000000" w:themeColor="text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b/>
          <w:bCs/>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实施生育率提升行动</w:t>
      </w:r>
      <w:r>
        <w:rPr>
          <w:rFonts w:hint="eastAsia" w:ascii="楷体_GB2312" w:hAnsi="楷体_GB2312" w:eastAsia="楷体_GB2312" w:cs="楷体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完善生育支持政策体系，落实生育津贴制度、生育休假等国家优化生育政策制度，完善母婴健康、生殖健康和儿童健康服务体系，有效降低家庭生育养育教育成本，推动建设生育友好型社会。大力推进托育服务体系高质量发展，加快建设县级托育综合服务中心。支持用人单位办托、社区嵌入式托育、家庭托育点等多种模式发展，大力发展家门口的全日托、半日托、临</w:t>
      </w:r>
      <w:r>
        <w:rPr>
          <w:rFonts w:hint="eastAsia" w:ascii="仿宋_GB2312" w:hAnsi="仿宋_GB2312" w:eastAsia="仿宋_GB2312" w:cs="仿宋_GB2312"/>
          <w:color w:val="000000" w:themeColor="text1"/>
          <w:spacing w:val="-6"/>
          <w:sz w:val="32"/>
          <w:szCs w:val="32"/>
          <w14:textFill>
            <w14:solidFill>
              <w14:schemeClr w14:val="tx1"/>
            </w14:solidFill>
          </w14:textFill>
        </w:rPr>
        <w:t>时托、计时托等多种形式的普惠托育服务，降低生育、养育成本。大力推动托幼一体化发展，鼓励招生困难的幼儿园招收2-3岁幼儿。</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增加养老服务供给。</w:t>
      </w:r>
      <w:r>
        <w:rPr>
          <w:rFonts w:hint="eastAsia" w:ascii="仿宋_GB2312" w:hAnsi="仿宋_GB2312" w:eastAsia="仿宋_GB2312" w:cs="仿宋_GB2312"/>
          <w:color w:val="000000" w:themeColor="text1"/>
          <w:sz w:val="32"/>
          <w:szCs w:val="32"/>
          <w14:textFill>
            <w14:solidFill>
              <w14:schemeClr w14:val="tx1"/>
            </w14:solidFill>
          </w14:textFill>
        </w:rPr>
        <w:t>多渠道扩大“一老一小”服务低成本场地设施供给。推动普惠托育纳入企事业单位职工福利体系，用人单位开展普惠托育服务的有关支出，按规定从职工福利费中列支，用人单位工会经费可以适当补充。充分发挥公办养老机构及公建民营养老机构兜底保障作用，优先解决重点人群养老问题。加快补齐农村养老服务短板，大力发展政府扶得起、村里办得起、农民用得上、服务可持续的农村互助养老设施。推动病床使用率较低的公立医疗卫生机构通过新建或改扩建医养结合服务设施，提供医养结合服</w:t>
      </w:r>
      <w:r>
        <w:rPr>
          <w:rFonts w:hint="eastAsia" w:ascii="仿宋_GB2312" w:hAnsi="仿宋_GB2312" w:eastAsia="仿宋_GB2312" w:cs="仿宋_GB2312"/>
          <w:color w:val="000000" w:themeColor="text1"/>
          <w:spacing w:val="-6"/>
          <w:sz w:val="32"/>
          <w:szCs w:val="32"/>
          <w14:textFill>
            <w14:solidFill>
              <w14:schemeClr w14:val="tx1"/>
            </w14:solidFill>
          </w14:textFill>
        </w:rPr>
        <w:t>务，增加护理型床位比例，探索村医参与健康养老事业的机制。强化政策引导与资金扶持，支持社会力量发展普惠养老、家政服务业。</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建设老年友好型社会。</w:t>
      </w:r>
      <w:r>
        <w:rPr>
          <w:rFonts w:hint="eastAsia" w:ascii="仿宋_GB2312" w:hAnsi="仿宋_GB2312" w:eastAsia="仿宋_GB2312" w:cs="仿宋_GB2312"/>
          <w:color w:val="000000" w:themeColor="text1"/>
          <w:sz w:val="32"/>
          <w:szCs w:val="32"/>
          <w14:textFill>
            <w14:solidFill>
              <w14:schemeClr w14:val="tx1"/>
            </w14:solidFill>
          </w14:textFill>
        </w:rPr>
        <w:t>弘扬孝亲敬老传统美德，营造孝老尊老助老良好社会氛围，加强老年人权益保障。落实渐进式延迟法定退休年龄改革，积极开发老年人力资源，创造合适老人的多样化、个性化就业岗位。推进公共场所适老化改造，发展居家养老六助服务，推动老年友好型社区建设。</w:t>
      </w:r>
    </w:p>
    <w:p>
      <w:pPr>
        <w:pStyle w:val="2"/>
        <w:rPr>
          <w:rFonts w:hint="eastAsia"/>
          <w:color w:val="000000" w:themeColor="text1"/>
          <w14:textFill>
            <w14:solidFill>
              <w14:schemeClr w14:val="tx1"/>
            </w14:solidFill>
          </w14:textFill>
        </w:rPr>
      </w:pPr>
    </w:p>
    <w:tbl>
      <w:tblPr>
        <w:tblStyle w:val="78"/>
        <w:tblW w:w="89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79" w:type="dxa"/>
            <w:tcBorders>
              <w:top w:val="single" w:color="auto" w:sz="4" w:space="0"/>
              <w:left w:val="single" w:color="auto" w:sz="4" w:space="0"/>
              <w:bottom w:val="single" w:color="auto" w:sz="4" w:space="0"/>
              <w:right w:val="single" w:color="auto" w:sz="4" w:space="0"/>
            </w:tcBorders>
          </w:tcPr>
          <w:p>
            <w:pPr>
              <w:adjustRightInd w:val="0"/>
              <w:snapToGrid w:val="0"/>
              <w:spacing w:line="580" w:lineRule="exact"/>
              <w:jc w:val="center"/>
              <w:rPr>
                <w:rFonts w:hint="eastAsia" w:ascii="黑体" w:hAnsi="黑体" w:eastAsia="黑体" w:cs="黑体"/>
                <w:color w:val="000000" w:themeColor="text1"/>
                <w:kern w:val="0"/>
                <w:sz w:val="30"/>
                <w:szCs w:val="30"/>
                <w14:textFill>
                  <w14:solidFill>
                    <w14:schemeClr w14:val="tx1"/>
                  </w14:solidFill>
                </w14:textFill>
                <w14:ligatures w14:val="none"/>
              </w:rPr>
            </w:pPr>
            <w:r>
              <w:rPr>
                <w:rFonts w:hint="eastAsia" w:ascii="黑体" w:hAnsi="黑体" w:eastAsia="黑体" w:cs="黑体"/>
                <w:color w:val="000000" w:themeColor="text1"/>
                <w:kern w:val="0"/>
                <w:sz w:val="32"/>
                <w:szCs w:val="32"/>
                <w14:textFill>
                  <w14:solidFill>
                    <w14:schemeClr w14:val="tx1"/>
                  </w14:solidFill>
                </w14:textFill>
                <w14:ligatures w14:val="none"/>
              </w:rPr>
              <w:t>专栏</w:t>
            </w:r>
            <w:r>
              <w:rPr>
                <w:rFonts w:hint="eastAsia" w:ascii="Times New Roman" w:hAnsi="Times New Roman" w:eastAsia="黑体" w:cs="Times New Roman"/>
                <w:color w:val="000000" w:themeColor="text1"/>
                <w:kern w:val="0"/>
                <w:sz w:val="32"/>
                <w:szCs w:val="32"/>
                <w14:textFill>
                  <w14:solidFill>
                    <w14:schemeClr w14:val="tx1"/>
                  </w14:solidFill>
                </w14:textFill>
                <w14:ligatures w14:val="none"/>
              </w:rPr>
              <w:t>23</w:t>
            </w:r>
            <w:r>
              <w:rPr>
                <w:rFonts w:hint="eastAsia" w:ascii="黑体" w:hAnsi="黑体" w:eastAsia="黑体" w:cs="黑体"/>
                <w:color w:val="000000" w:themeColor="text1"/>
                <w:kern w:val="0"/>
                <w:sz w:val="32"/>
                <w:szCs w:val="32"/>
                <w14:textFill>
                  <w14:solidFill>
                    <w14:schemeClr w14:val="tx1"/>
                  </w14:solidFill>
                </w14:textFill>
                <w14:ligatures w14:val="none"/>
              </w:rPr>
              <w:t xml:space="preserve"> “一老一小”服务项目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79"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1.养老项目。</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①养老服务中心建设项目。建床位规模300张，规划总用地面积22506</w:t>
            </w:r>
            <w:r>
              <w:rPr>
                <w:rFonts w:hint="eastAsia" w:ascii="楷体_GB2312" w:hAnsi="楷体_GB2312" w:eastAsia="楷体_GB2312" w:cs="楷体_GB2312"/>
                <w:color w:val="000000" w:themeColor="text1"/>
                <w:kern w:val="0"/>
                <w:sz w:val="32"/>
                <w:szCs w:val="32"/>
                <w:lang w:eastAsia="zh-CN"/>
                <w14:textFill>
                  <w14:solidFill>
                    <w14:schemeClr w14:val="tx1"/>
                  </w14:solidFill>
                </w14:textFill>
                <w14:ligatures w14:val="none"/>
              </w:rPr>
              <w:t>㎡</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，总建筑面积13350</w:t>
            </w:r>
            <w:r>
              <w:rPr>
                <w:rFonts w:hint="eastAsia" w:ascii="楷体_GB2312" w:hAnsi="楷体_GB2312" w:eastAsia="楷体_GB2312" w:cs="楷体_GB2312"/>
                <w:color w:val="000000" w:themeColor="text1"/>
                <w:kern w:val="0"/>
                <w:sz w:val="32"/>
                <w:szCs w:val="32"/>
                <w:lang w:eastAsia="zh-CN"/>
                <w14:textFill>
                  <w14:solidFill>
                    <w14:schemeClr w14:val="tx1"/>
                  </w14:solidFill>
                </w14:textFill>
                <w14:ligatures w14:val="none"/>
              </w:rPr>
              <w:t>㎡</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。②会同县若水镇敬老院提质改造项目。提质改造若水镇敬老院，规划用地面积11627</w:t>
            </w:r>
            <w:r>
              <w:rPr>
                <w:rFonts w:hint="eastAsia" w:ascii="楷体_GB2312" w:hAnsi="楷体_GB2312" w:eastAsia="楷体_GB2312" w:cs="楷体_GB2312"/>
                <w:color w:val="000000" w:themeColor="text1"/>
                <w:kern w:val="0"/>
                <w:sz w:val="32"/>
                <w:szCs w:val="32"/>
                <w:lang w:eastAsia="zh-CN"/>
                <w14:textFill>
                  <w14:solidFill>
                    <w14:schemeClr w14:val="tx1"/>
                  </w14:solidFill>
                </w14:textFill>
                <w14:ligatures w14:val="none"/>
              </w:rPr>
              <w:t>㎡</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，总建筑面积9592</w:t>
            </w:r>
            <w:r>
              <w:rPr>
                <w:rFonts w:hint="eastAsia" w:ascii="楷体_GB2312" w:hAnsi="楷体_GB2312" w:eastAsia="楷体_GB2312" w:cs="楷体_GB2312"/>
                <w:color w:val="000000" w:themeColor="text1"/>
                <w:kern w:val="0"/>
                <w:sz w:val="32"/>
                <w:szCs w:val="32"/>
                <w:lang w:eastAsia="zh-CN"/>
                <w14:textFill>
                  <w14:solidFill>
                    <w14:schemeClr w14:val="tx1"/>
                  </w14:solidFill>
                </w14:textFill>
                <w14:ligatures w14:val="none"/>
              </w:rPr>
              <w:t>㎡</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，新增护理性床位257张。③社区养老服务网络建设项目。建设改河社区等11个村（居）养老服务标准化站点：计划床位330张（其中护理型床位230张），项目总建筑面积11550</w:t>
            </w:r>
            <w:r>
              <w:rPr>
                <w:rFonts w:hint="eastAsia" w:ascii="楷体_GB2312" w:hAnsi="楷体_GB2312" w:eastAsia="楷体_GB2312" w:cs="楷体_GB2312"/>
                <w:color w:val="000000" w:themeColor="text1"/>
                <w:kern w:val="0"/>
                <w:sz w:val="32"/>
                <w:szCs w:val="32"/>
                <w:lang w:eastAsia="zh-CN"/>
                <w14:textFill>
                  <w14:solidFill>
                    <w14:schemeClr w14:val="tx1"/>
                  </w14:solidFill>
                </w14:textFill>
                <w14:ligatures w14:val="none"/>
              </w:rPr>
              <w:t>㎡</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color w:val="000000" w:themeColor="text1"/>
                <w:kern w:val="0"/>
                <w:sz w:val="28"/>
                <w:szCs w:val="28"/>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2.托幼项目。</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建设托育综合服务中心，改造1栋-1+4F的托育综合服务中心及1间门卫室，设置托位150个，停车位6个，完成场区绿化、硬化、消防、给排水等配套基础设施。总用地面积6017</w:t>
            </w:r>
            <w:r>
              <w:rPr>
                <w:rFonts w:hint="eastAsia" w:ascii="楷体_GB2312" w:hAnsi="楷体_GB2312" w:eastAsia="楷体_GB2312" w:cs="楷体_GB2312"/>
                <w:color w:val="000000" w:themeColor="text1"/>
                <w:kern w:val="0"/>
                <w:sz w:val="32"/>
                <w:szCs w:val="32"/>
                <w:lang w:eastAsia="zh-CN"/>
                <w14:textFill>
                  <w14:solidFill>
                    <w14:schemeClr w14:val="tx1"/>
                  </w14:solidFill>
                </w14:textFill>
                <w14:ligatures w14:val="none"/>
              </w:rPr>
              <w:t>㎡</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，总建筑面积5420.93</w:t>
            </w:r>
            <w:r>
              <w:rPr>
                <w:rFonts w:hint="eastAsia" w:ascii="楷体_GB2312" w:hAnsi="楷体_GB2312" w:eastAsia="楷体_GB2312" w:cs="楷体_GB2312"/>
                <w:color w:val="000000" w:themeColor="text1"/>
                <w:kern w:val="0"/>
                <w:sz w:val="32"/>
                <w:szCs w:val="32"/>
                <w:lang w:eastAsia="zh-CN"/>
                <w14:textFill>
                  <w14:solidFill>
                    <w14:schemeClr w14:val="tx1"/>
                  </w14:solidFill>
                </w14:textFill>
                <w14:ligatures w14:val="none"/>
              </w:rPr>
              <w:t>㎡</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w:t>
            </w:r>
          </w:p>
        </w:tc>
      </w:tr>
    </w:tbl>
    <w:p>
      <w:pPr>
        <w:adjustRightInd w:val="0"/>
        <w:snapToGrid w:val="0"/>
        <w:spacing w:line="580" w:lineRule="exact"/>
        <w:jc w:val="center"/>
        <w:outlineLvl w:val="1"/>
        <w:rPr>
          <w:rFonts w:hint="eastAsia" w:ascii="黑体" w:hAnsi="黑体" w:eastAsia="黑体" w:cs="黑体"/>
          <w:color w:val="000000" w:themeColor="text1"/>
          <w:sz w:val="32"/>
          <w:szCs w:val="32"/>
          <w14:textFill>
            <w14:solidFill>
              <w14:schemeClr w14:val="tx1"/>
            </w14:solidFill>
          </w14:textFill>
        </w:rPr>
      </w:pPr>
      <w:bookmarkStart w:id="106" w:name="_Toc235000793"/>
      <w:bookmarkStart w:id="107" w:name="_Toc215048359"/>
      <w:r>
        <w:rPr>
          <w:rFonts w:hint="eastAsia" w:ascii="黑体" w:hAnsi="黑体" w:eastAsia="黑体" w:cs="黑体"/>
          <w:color w:val="000000" w:themeColor="text1"/>
          <w:sz w:val="32"/>
          <w:szCs w:val="32"/>
          <w14:textFill>
            <w14:solidFill>
              <w14:schemeClr w14:val="tx1"/>
            </w14:solidFill>
          </w14:textFill>
        </w:rPr>
        <w:t>第五节 提升社会保障水平</w:t>
      </w:r>
      <w:bookmarkEnd w:id="106"/>
      <w:bookmarkEnd w:id="107"/>
    </w:p>
    <w:p>
      <w:pPr>
        <w:adjustRightInd w:val="0"/>
        <w:snapToGrid w:val="0"/>
        <w:spacing w:line="580" w:lineRule="exact"/>
        <w:ind w:firstLine="643" w:firstLineChars="200"/>
        <w:rPr>
          <w:rFonts w:hint="eastAsia" w:ascii="楷体_GB2312" w:hAnsi="楷体_GB2312" w:eastAsia="楷体_GB2312" w:cs="楷体_GB2312"/>
          <w:b/>
          <w:bCs/>
          <w:color w:val="000000" w:themeColor="text1"/>
          <w:sz w:val="32"/>
          <w:szCs w:val="32"/>
          <w14:textFill>
            <w14:solidFill>
              <w14:schemeClr w14:val="tx1"/>
            </w14:solidFill>
          </w14:textFill>
        </w:rPr>
      </w:pP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完善社会保险制度</w:t>
      </w:r>
      <w:r>
        <w:rPr>
          <w:rFonts w:hint="eastAsia" w:ascii="楷体_GB2312" w:hAnsi="楷体_GB2312" w:eastAsia="楷体_GB2312" w:cs="楷体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实施高质量全民参保计划，推动基本养老、基本医疗、工伤、失业、生育保险扩面提质，以灵活就业人员、农民工、新就业形态人员等群体为重点扩大参保覆盖范围，推动符合条件的人员应保尽保。进一步提高对城乡特困人员、低保对象、城乡低保边缘对象、脱贫人口及监测对象等困难群众参加城乡居民医疗保险的资助标准。巩固基本医保参保率，完善大病保险和医疗救助制度。落实企业职工基本养老保险全国统筹，落实好城乡居民基础养老金待遇正常调节政策，推动各类有条件、有意愿的用人单位建立企业年金，扩大制度覆盖范围，推行个人养老金制度。发挥各类商业保险补充保障作用。完善失业保险制度，逐步提高失业保障水平，进一步推进工伤预防和工伤康复工作。加强社保基金的管理和监督，推动社会保障卡跨地区应用。</w:t>
      </w:r>
    </w:p>
    <w:p>
      <w:pPr>
        <w:adjustRightInd w:val="0"/>
        <w:snapToGrid w:val="0"/>
        <w:spacing w:line="580" w:lineRule="exact"/>
        <w:ind w:firstLine="643"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健全多层次社会保障体系。</w:t>
      </w:r>
      <w:r>
        <w:rPr>
          <w:rFonts w:hint="eastAsia" w:ascii="仿宋_GB2312" w:hAnsi="仿宋_GB2312" w:eastAsia="仿宋_GB2312" w:cs="仿宋_GB2312"/>
          <w:color w:val="000000" w:themeColor="text1"/>
          <w:sz w:val="32"/>
          <w:szCs w:val="32"/>
          <w14:textFill>
            <w14:solidFill>
              <w14:schemeClr w14:val="tx1"/>
            </w14:solidFill>
          </w14:textFill>
        </w:rPr>
        <w:t>完善基本救助、专项救助、急难救助保障网，提高城乡低保、特困供养、抚恤补助等保障标准。完善农村留守儿童、老年人、困难儿童关爱服务体系，建立健全困难残疾人生活补贴和重度残疾人护理补贴制度。鼓励社会各界以社会救助对象对重点，广泛开展扶贫济困、赈灾救孤、扶老助残、助学助医等慈善活动。加强妇女儿童权益保护，扩大农村妇女“两癌”免费检查和救助覆盖面。完善流浪乞讨人员救助管理工作协同机制。加大慈善组织孵化力度，重点培育扶贫济困、扶老救孤、助残助医、赈灾助学等支持性和服务性慈善组织。建立更加完备的慈善综合监管体系，推进“依法治善”“依法行善”。</w:t>
      </w:r>
    </w:p>
    <w:p>
      <w:pPr>
        <w:pStyle w:val="2"/>
        <w:rPr>
          <w:rFonts w:hint="eastAsia"/>
          <w:color w:val="000000" w:themeColor="text1"/>
          <w14:textFill>
            <w14:solidFill>
              <w14:schemeClr w14:val="tx1"/>
            </w14:solidFill>
          </w14:textFill>
        </w:rPr>
      </w:pPr>
    </w:p>
    <w:tbl>
      <w:tblPr>
        <w:tblStyle w:val="78"/>
        <w:tblW w:w="89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8994" w:type="dxa"/>
            <w:tcBorders>
              <w:top w:val="single" w:color="auto" w:sz="4" w:space="0"/>
              <w:left w:val="single" w:color="auto" w:sz="4" w:space="0"/>
              <w:bottom w:val="single" w:color="auto" w:sz="4" w:space="0"/>
              <w:right w:val="single" w:color="auto" w:sz="4" w:space="0"/>
            </w:tcBorders>
          </w:tcPr>
          <w:p>
            <w:pPr>
              <w:adjustRightInd w:val="0"/>
              <w:snapToGrid w:val="0"/>
              <w:spacing w:line="580" w:lineRule="exact"/>
              <w:jc w:val="center"/>
              <w:rPr>
                <w:rFonts w:hint="eastAsia" w:ascii="黑体" w:hAnsi="黑体" w:eastAsia="黑体" w:cs="黑体"/>
                <w:color w:val="000000" w:themeColor="text1"/>
                <w:kern w:val="0"/>
                <w:sz w:val="30"/>
                <w:szCs w:val="30"/>
                <w14:textFill>
                  <w14:solidFill>
                    <w14:schemeClr w14:val="tx1"/>
                  </w14:solidFill>
                </w14:textFill>
                <w14:ligatures w14:val="none"/>
              </w:rPr>
            </w:pPr>
            <w:r>
              <w:rPr>
                <w:rFonts w:hint="eastAsia" w:ascii="黑体" w:hAnsi="黑体" w:eastAsia="黑体" w:cs="黑体"/>
                <w:color w:val="000000" w:themeColor="text1"/>
                <w:kern w:val="0"/>
                <w:sz w:val="32"/>
                <w:szCs w:val="32"/>
                <w14:textFill>
                  <w14:solidFill>
                    <w14:schemeClr w14:val="tx1"/>
                  </w14:solidFill>
                </w14:textFill>
                <w14:ligatures w14:val="none"/>
              </w:rPr>
              <w:t>专栏</w:t>
            </w:r>
            <w:r>
              <w:rPr>
                <w:rFonts w:hint="eastAsia" w:ascii="Times New Roman" w:hAnsi="Times New Roman" w:eastAsia="黑体" w:cs="Times New Roman"/>
                <w:color w:val="000000" w:themeColor="text1"/>
                <w:kern w:val="0"/>
                <w:sz w:val="32"/>
                <w:szCs w:val="32"/>
                <w14:textFill>
                  <w14:solidFill>
                    <w14:schemeClr w14:val="tx1"/>
                  </w14:solidFill>
                </w14:textFill>
                <w14:ligatures w14:val="none"/>
              </w:rPr>
              <w:t>24</w:t>
            </w:r>
            <w:r>
              <w:rPr>
                <w:rFonts w:hint="eastAsia" w:ascii="黑体" w:hAnsi="黑体" w:eastAsia="黑体" w:cs="黑体"/>
                <w:color w:val="000000" w:themeColor="text1"/>
                <w:kern w:val="0"/>
                <w:sz w:val="32"/>
                <w:szCs w:val="32"/>
                <w14:textFill>
                  <w14:solidFill>
                    <w14:schemeClr w14:val="tx1"/>
                  </w14:solidFill>
                </w14:textFill>
                <w14:ligatures w14:val="none"/>
              </w:rPr>
              <w:t xml:space="preserve"> 社会保障领域项目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94" w:type="dxa"/>
            <w:tcBorders>
              <w:top w:val="single" w:color="auto" w:sz="4" w:space="0"/>
              <w:left w:val="single" w:color="auto" w:sz="4" w:space="0"/>
              <w:bottom w:val="single" w:color="auto" w:sz="4" w:space="0"/>
              <w:right w:val="single" w:color="auto" w:sz="4" w:space="0"/>
            </w:tcBorders>
          </w:tcPr>
          <w:p>
            <w:pPr>
              <w:adjustRightInd w:val="0"/>
              <w:snapToGrid w:val="0"/>
              <w:spacing w:line="580" w:lineRule="exact"/>
              <w:ind w:firstLine="643" w:firstLineChars="200"/>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1.失智托养照顾中心。</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规划用地面积9300</w:t>
            </w:r>
            <w:r>
              <w:rPr>
                <w:rFonts w:hint="eastAsia" w:ascii="楷体_GB2312" w:hAnsi="楷体_GB2312" w:eastAsia="楷体_GB2312" w:cs="楷体_GB2312"/>
                <w:color w:val="000000" w:themeColor="text1"/>
                <w:kern w:val="0"/>
                <w:sz w:val="32"/>
                <w:szCs w:val="32"/>
                <w:lang w:eastAsia="zh-CN"/>
                <w14:textFill>
                  <w14:solidFill>
                    <w14:schemeClr w14:val="tx1"/>
                  </w14:solidFill>
                </w14:textFill>
                <w14:ligatures w14:val="none"/>
              </w:rPr>
              <w:t>㎡</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，总建筑面积6000</w:t>
            </w:r>
            <w:r>
              <w:rPr>
                <w:rFonts w:hint="eastAsia" w:ascii="楷体_GB2312" w:hAnsi="楷体_GB2312" w:eastAsia="楷体_GB2312" w:cs="楷体_GB2312"/>
                <w:color w:val="000000" w:themeColor="text1"/>
                <w:kern w:val="0"/>
                <w:sz w:val="32"/>
                <w:szCs w:val="32"/>
                <w:lang w:eastAsia="zh-CN"/>
                <w14:textFill>
                  <w14:solidFill>
                    <w14:schemeClr w14:val="tx1"/>
                  </w14:solidFill>
                </w14:textFill>
                <w14:ligatures w14:val="none"/>
              </w:rPr>
              <w:t>㎡</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，新增护理性床位200张。</w:t>
            </w:r>
          </w:p>
          <w:p>
            <w:pPr>
              <w:adjustRightInd w:val="0"/>
              <w:snapToGrid w:val="0"/>
              <w:spacing w:line="580" w:lineRule="exact"/>
              <w:ind w:firstLine="643" w:firstLineChars="200"/>
              <w:rPr>
                <w:rFonts w:hint="eastAsia"/>
                <w:color w:val="000000" w:themeColor="text1"/>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2.烈士陵园提质改造工程。</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将会同公墓区30余座集中安葬的烈士墓迁移至会同县粟裕公园内烈士纪念广场后坡，对纪念广场浮雕墙、工程简介碑、烈士名录碑等拆除重建，对烈士纪念亭、贺琼烈士纪念亭、红军长征纪念亭等设施进行修缮，对破损的纪念碑、地面、护栏、景观石、廊亭等进行修复;在入口广场增设大型浮雕墙、文化立柱、更新展示栏等。</w:t>
            </w:r>
          </w:p>
        </w:tc>
      </w:tr>
    </w:tbl>
    <w:p>
      <w:pPr>
        <w:adjustRightInd w:val="0"/>
        <w:snapToGrid w:val="0"/>
        <w:spacing w:line="580" w:lineRule="exact"/>
        <w:jc w:val="center"/>
        <w:rPr>
          <w:rFonts w:hint="eastAsia" w:ascii="黑体" w:hAnsi="黑体" w:eastAsia="黑体" w:cs="黑体"/>
          <w:color w:val="000000" w:themeColor="text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val="0"/>
        <w:snapToGrid w:val="0"/>
        <w:spacing w:line="620" w:lineRule="exact"/>
        <w:jc w:val="center"/>
        <w:textAlignment w:val="auto"/>
        <w:outlineLvl w:val="1"/>
        <w:rPr>
          <w:rFonts w:hint="eastAsia" w:ascii="黑体" w:hAnsi="黑体" w:eastAsia="黑体" w:cs="黑体"/>
          <w:color w:val="000000" w:themeColor="text1"/>
          <w:sz w:val="32"/>
          <w:szCs w:val="32"/>
          <w14:textFill>
            <w14:solidFill>
              <w14:schemeClr w14:val="tx1"/>
            </w14:solidFill>
          </w14:textFill>
        </w:rPr>
      </w:pPr>
      <w:bookmarkStart w:id="108" w:name="_Toc235000794"/>
      <w:r>
        <w:rPr>
          <w:rFonts w:hint="eastAsia" w:ascii="黑体" w:hAnsi="黑体" w:eastAsia="黑体" w:cs="黑体"/>
          <w:color w:val="000000" w:themeColor="text1"/>
          <w:sz w:val="32"/>
          <w:szCs w:val="32"/>
          <w14:textFill>
            <w14:solidFill>
              <w14:schemeClr w14:val="tx1"/>
            </w14:solidFill>
          </w14:textFill>
        </w:rPr>
        <w:t>第六节 推动房地产高质量发展</w:t>
      </w:r>
      <w:bookmarkEnd w:id="108"/>
    </w:p>
    <w:p>
      <w:pPr>
        <w:keepNext w:val="0"/>
        <w:keepLines w:val="0"/>
        <w:pageBreakBefore w:val="0"/>
        <w:widowControl w:val="0"/>
        <w:kinsoku/>
        <w:wordWrap/>
        <w:overflowPunct/>
        <w:topLinePunct w:val="0"/>
        <w:autoSpaceDE/>
        <w:autoSpaceDN/>
        <w:bidi w:val="0"/>
        <w:adjustRightInd w:val="0"/>
        <w:snapToGrid w:val="0"/>
        <w:spacing w:line="620" w:lineRule="exact"/>
        <w:ind w:firstLine="643" w:firstLineChars="200"/>
        <w:textAlignment w:val="auto"/>
        <w:rPr>
          <w:rFonts w:hint="eastAsia" w:ascii="楷体_GB2312" w:hAnsi="楷体_GB2312" w:eastAsia="楷体_GB2312" w:cs="楷体_GB2312"/>
          <w:b/>
          <w:bCs/>
          <w:color w:val="000000" w:themeColor="text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val="0"/>
        <w:snapToGrid w:val="0"/>
        <w:spacing w:line="620" w:lineRule="exact"/>
        <w:ind w:firstLine="643"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完善住房供应体系与强化要素保障。</w:t>
      </w:r>
      <w:r>
        <w:rPr>
          <w:rFonts w:hint="eastAsia" w:ascii="仿宋_GB2312" w:hAnsi="仿宋_GB2312" w:eastAsia="仿宋_GB2312" w:cs="仿宋_GB2312"/>
          <w:color w:val="000000" w:themeColor="text1"/>
          <w:sz w:val="32"/>
          <w:szCs w:val="32"/>
          <w14:textFill>
            <w14:solidFill>
              <w14:schemeClr w14:val="tx1"/>
            </w14:solidFill>
          </w14:textFill>
        </w:rPr>
        <w:t>坚持“市场+保障”双轨并行，优化土地供应管理，根据人口变化和商品住宅去化周期合理确定土地供应规模和时序。加大保障性住房建设和供给力度，通过新建、配建、收购存量商品房转化等多种方式，增加保障性租赁住房和配售型保障性住房房源，着力满足工薪收入群体、新市民和青年人的基本住房需求。改革完善商品房销售制度，稳步推进现房销售试点，优化预售资金监管，全力推进“保交楼”工作，切实维护购房群众合法权益。</w:t>
      </w:r>
    </w:p>
    <w:p>
      <w:pPr>
        <w:keepNext w:val="0"/>
        <w:keepLines w:val="0"/>
        <w:pageBreakBefore w:val="0"/>
        <w:widowControl w:val="0"/>
        <w:kinsoku/>
        <w:wordWrap/>
        <w:overflowPunct/>
        <w:topLinePunct w:val="0"/>
        <w:autoSpaceDE/>
        <w:autoSpaceDN/>
        <w:bidi w:val="0"/>
        <w:adjustRightInd w:val="0"/>
        <w:snapToGrid w:val="0"/>
        <w:spacing w:line="620" w:lineRule="exact"/>
        <w:ind w:firstLine="643"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着力推进“好房子”建设与品质提升。</w:t>
      </w:r>
      <w:r>
        <w:rPr>
          <w:rFonts w:hint="eastAsia" w:ascii="仿宋_GB2312" w:hAnsi="仿宋_GB2312" w:eastAsia="仿宋_GB2312" w:cs="仿宋_GB2312"/>
          <w:color w:val="000000" w:themeColor="text1"/>
          <w:sz w:val="32"/>
          <w:szCs w:val="32"/>
          <w14:textFill>
            <w14:solidFill>
              <w14:schemeClr w14:val="tx1"/>
            </w14:solidFill>
          </w14:textFill>
        </w:rPr>
        <w:t>聚焦人民群众对居住品质的新期待，全面提升住房的绿色、低碳、智能、安全水平。新建住宅项目严格按照“好房子”标准进行规划建设，鼓励采用高品质建筑材料和绿色建造方式。结合城市更新行动，持续推进城镇老旧小区改造，完善水电气信等基础设施，因地制宜推进加装电梯、适老化改造及社区服务设施补短板，提升物业服务水平，努力将新房子建成“好房子”，老房子改造成“好房子”。</w:t>
      </w:r>
    </w:p>
    <w:p>
      <w:pPr>
        <w:keepNext w:val="0"/>
        <w:keepLines w:val="0"/>
        <w:pageBreakBefore w:val="0"/>
        <w:widowControl w:val="0"/>
        <w:kinsoku/>
        <w:wordWrap/>
        <w:overflowPunct/>
        <w:topLinePunct w:val="0"/>
        <w:autoSpaceDE/>
        <w:autoSpaceDN/>
        <w:bidi w:val="0"/>
        <w:adjustRightInd w:val="0"/>
        <w:snapToGrid w:val="0"/>
        <w:spacing w:line="620" w:lineRule="exact"/>
        <w:ind w:firstLine="1285" w:firstLineChars="400"/>
        <w:textAlignment w:val="auto"/>
        <w:rPr>
          <w:rFonts w:ascii="仿宋_GB2312" w:hAnsi="仿宋_GB2312" w:eastAsia="仿宋_GB2312" w:cs="仿宋_GB2312"/>
          <w:color w:val="000000" w:themeColor="text1"/>
          <w:spacing w:val="-1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促进房地产市场平稳健康发展。</w:t>
      </w:r>
      <w:r>
        <w:rPr>
          <w:rFonts w:hint="eastAsia" w:ascii="仿宋_GB2312" w:hAnsi="仿宋_GB2312" w:eastAsia="仿宋_GB2312" w:cs="仿宋_GB2312"/>
          <w:color w:val="000000" w:themeColor="text1"/>
          <w:sz w:val="32"/>
          <w:szCs w:val="32"/>
          <w14:textFill>
            <w14:solidFill>
              <w14:schemeClr w14:val="tx1"/>
            </w14:solidFill>
          </w14:textFill>
        </w:rPr>
        <w:t>用好用足国家层面的政策“组合拳”，优化房地产相关政策。持续规范房地产市场秩序，加强房地产开发、交易、租赁等环节的监管。引导房地产企业</w:t>
      </w:r>
      <w:r>
        <w:rPr>
          <w:rFonts w:hint="eastAsia" w:ascii="仿宋_GB2312" w:hAnsi="仿宋_GB2312" w:eastAsia="仿宋_GB2312" w:cs="仿宋_GB2312"/>
          <w:color w:val="000000" w:themeColor="text1"/>
          <w:spacing w:val="-11"/>
          <w:sz w:val="32"/>
          <w:szCs w:val="32"/>
          <w14:textFill>
            <w14:solidFill>
              <w14:schemeClr w14:val="tx1"/>
            </w14:solidFill>
          </w14:textFill>
        </w:rPr>
        <w:t>积极转型，从开发建设向高质量的运营服务转变，参与城市更新、老旧小区改造、物业服务提升等项目，促进房地产业良性循环和健康发展。</w:t>
      </w:r>
    </w:p>
    <w:p>
      <w:pPr>
        <w:pStyle w:val="2"/>
        <w:rPr>
          <w:color w:val="000000" w:themeColor="text1"/>
          <w14:textFill>
            <w14:solidFill>
              <w14:schemeClr w14:val="tx1"/>
            </w14:solidFill>
          </w14:textFill>
        </w:rPr>
      </w:pPr>
    </w:p>
    <w:p>
      <w:pPr>
        <w:rPr>
          <w:color w:val="000000" w:themeColor="text1"/>
          <w14:textFill>
            <w14:solidFill>
              <w14:schemeClr w14:val="tx1"/>
            </w14:solidFill>
          </w14:textFill>
        </w:rPr>
      </w:pPr>
    </w:p>
    <w:p>
      <w:pPr>
        <w:pStyle w:val="2"/>
        <w:rPr>
          <w:rFonts w:hint="eastAsia"/>
          <w:color w:val="000000" w:themeColor="text1"/>
          <w14:textFill>
            <w14:solidFill>
              <w14:schemeClr w14:val="tx1"/>
            </w14:solidFill>
          </w14:textFill>
        </w:rPr>
      </w:pPr>
    </w:p>
    <w:tbl>
      <w:tblPr>
        <w:tblStyle w:val="78"/>
        <w:tblW w:w="89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994" w:type="dxa"/>
            <w:tcBorders>
              <w:top w:val="single" w:color="auto" w:sz="4" w:space="0"/>
              <w:left w:val="single" w:color="auto" w:sz="4" w:space="0"/>
              <w:bottom w:val="single" w:color="auto" w:sz="4" w:space="0"/>
              <w:right w:val="single" w:color="auto" w:sz="4" w:space="0"/>
            </w:tcBorders>
          </w:tcPr>
          <w:p>
            <w:pPr>
              <w:adjustRightInd w:val="0"/>
              <w:snapToGrid w:val="0"/>
              <w:spacing w:line="580" w:lineRule="exact"/>
              <w:jc w:val="center"/>
              <w:rPr>
                <w:rFonts w:hint="eastAsia" w:ascii="黑体" w:hAnsi="黑体" w:eastAsia="黑体" w:cs="黑体"/>
                <w:color w:val="000000" w:themeColor="text1"/>
                <w:kern w:val="0"/>
                <w:sz w:val="30"/>
                <w:szCs w:val="30"/>
                <w14:textFill>
                  <w14:solidFill>
                    <w14:schemeClr w14:val="tx1"/>
                  </w14:solidFill>
                </w14:textFill>
                <w14:ligatures w14:val="none"/>
              </w:rPr>
            </w:pPr>
            <w:r>
              <w:rPr>
                <w:rFonts w:hint="eastAsia" w:ascii="黑体" w:hAnsi="黑体" w:eastAsia="黑体" w:cs="黑体"/>
                <w:color w:val="000000" w:themeColor="text1"/>
                <w:kern w:val="0"/>
                <w:sz w:val="32"/>
                <w:szCs w:val="32"/>
                <w14:textFill>
                  <w14:solidFill>
                    <w14:schemeClr w14:val="tx1"/>
                  </w14:solidFill>
                </w14:textFill>
                <w14:ligatures w14:val="none"/>
              </w:rPr>
              <w:t>专栏</w:t>
            </w:r>
            <w:r>
              <w:rPr>
                <w:rFonts w:hint="eastAsia" w:ascii="Times New Roman" w:hAnsi="Times New Roman" w:eastAsia="黑体" w:cs="Times New Roman"/>
                <w:color w:val="000000" w:themeColor="text1"/>
                <w:kern w:val="0"/>
                <w:sz w:val="32"/>
                <w:szCs w:val="32"/>
                <w14:textFill>
                  <w14:solidFill>
                    <w14:schemeClr w14:val="tx1"/>
                  </w14:solidFill>
                </w14:textFill>
                <w14:ligatures w14:val="none"/>
              </w:rPr>
              <w:t>25</w:t>
            </w:r>
            <w:r>
              <w:rPr>
                <w:rFonts w:hint="eastAsia" w:ascii="黑体" w:hAnsi="黑体" w:eastAsia="黑体" w:cs="黑体"/>
                <w:color w:val="000000" w:themeColor="text1"/>
                <w:kern w:val="0"/>
                <w:sz w:val="32"/>
                <w:szCs w:val="32"/>
                <w14:textFill>
                  <w14:solidFill>
                    <w14:schemeClr w14:val="tx1"/>
                  </w14:solidFill>
                </w14:textFill>
                <w14:ligatures w14:val="none"/>
              </w:rPr>
              <w:t xml:space="preserve"> </w:t>
            </w:r>
            <w:r>
              <w:rPr>
                <w:rFonts w:hint="eastAsia" w:ascii="黑体" w:hAnsi="黑体" w:eastAsia="黑体" w:cs="黑体"/>
                <w:color w:val="000000" w:themeColor="text1"/>
                <w:sz w:val="32"/>
                <w:szCs w:val="32"/>
                <w14:textFill>
                  <w14:solidFill>
                    <w14:schemeClr w14:val="tx1"/>
                  </w14:solidFill>
                </w14:textFill>
              </w:rPr>
              <w:t>房地产高质量发展项目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94" w:type="dxa"/>
            <w:tcBorders>
              <w:top w:val="single" w:color="auto" w:sz="4" w:space="0"/>
              <w:left w:val="single" w:color="auto" w:sz="4" w:space="0"/>
              <w:bottom w:val="single" w:color="auto" w:sz="4" w:space="0"/>
              <w:right w:val="single" w:color="auto" w:sz="4" w:space="0"/>
            </w:tcBorders>
          </w:tcPr>
          <w:p>
            <w:pPr>
              <w:adjustRightInd w:val="0"/>
              <w:snapToGrid w:val="0"/>
              <w:spacing w:line="580" w:lineRule="exact"/>
              <w:ind w:firstLine="643" w:firstLineChars="200"/>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1.半山书院建设项目。</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项目总建设用地105亩，总建筑面积7万</w:t>
            </w:r>
            <w:r>
              <w:rPr>
                <w:rFonts w:hint="eastAsia" w:ascii="楷体_GB2312" w:hAnsi="楷体_GB2312" w:eastAsia="楷体_GB2312" w:cs="楷体_GB2312"/>
                <w:color w:val="000000" w:themeColor="text1"/>
                <w:kern w:val="0"/>
                <w:sz w:val="32"/>
                <w:szCs w:val="32"/>
                <w:lang w:eastAsia="zh-CN"/>
                <w14:textFill>
                  <w14:solidFill>
                    <w14:schemeClr w14:val="tx1"/>
                  </w14:solidFill>
                </w14:textFill>
                <w14:ligatures w14:val="none"/>
              </w:rPr>
              <w:t>㎡</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，主要进行基础设施建设和康养公寓开发。</w:t>
            </w:r>
          </w:p>
          <w:p>
            <w:pPr>
              <w:adjustRightInd w:val="0"/>
              <w:snapToGrid w:val="0"/>
              <w:spacing w:line="580" w:lineRule="exact"/>
              <w:ind w:firstLine="643" w:firstLineChars="200"/>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2.福祥家园项目。</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项目规划总用地面积23537</w:t>
            </w:r>
            <w:r>
              <w:rPr>
                <w:rFonts w:hint="eastAsia" w:ascii="楷体_GB2312" w:hAnsi="楷体_GB2312" w:eastAsia="楷体_GB2312" w:cs="楷体_GB2312"/>
                <w:color w:val="000000" w:themeColor="text1"/>
                <w:kern w:val="0"/>
                <w:sz w:val="32"/>
                <w:szCs w:val="32"/>
                <w:lang w:eastAsia="zh-CN"/>
                <w14:textFill>
                  <w14:solidFill>
                    <w14:schemeClr w14:val="tx1"/>
                  </w14:solidFill>
                </w14:textFill>
                <w14:ligatures w14:val="none"/>
              </w:rPr>
              <w:t>㎡</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，建筑面积73625</w:t>
            </w:r>
            <w:r>
              <w:rPr>
                <w:rFonts w:hint="eastAsia" w:ascii="楷体_GB2312" w:hAnsi="楷体_GB2312" w:eastAsia="楷体_GB2312" w:cs="楷体_GB2312"/>
                <w:color w:val="000000" w:themeColor="text1"/>
                <w:kern w:val="0"/>
                <w:sz w:val="32"/>
                <w:szCs w:val="32"/>
                <w:lang w:eastAsia="zh-CN"/>
                <w14:textFill>
                  <w14:solidFill>
                    <w14:schemeClr w14:val="tx1"/>
                  </w14:solidFill>
                </w14:textFill>
                <w14:ligatures w14:val="none"/>
              </w:rPr>
              <w:t>㎡</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w:t>
            </w:r>
          </w:p>
          <w:p>
            <w:pPr>
              <w:adjustRightInd w:val="0"/>
              <w:snapToGrid w:val="0"/>
              <w:spacing w:line="580" w:lineRule="exact"/>
              <w:ind w:firstLine="643" w:firstLineChars="200"/>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3.龙家团房地产开发项目。</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开发房地产项目100亩。</w:t>
            </w:r>
          </w:p>
          <w:p>
            <w:pPr>
              <w:adjustRightInd w:val="0"/>
              <w:snapToGrid w:val="0"/>
              <w:spacing w:line="580" w:lineRule="exact"/>
              <w:ind w:firstLine="643" w:firstLineChars="200"/>
              <w:rPr>
                <w:rFonts w:hint="eastAsia" w:ascii="仿宋_GB2312" w:hAnsi="仿宋_GB2312" w:eastAsia="楷体_GB2312" w:cs="仿宋_GB2312"/>
                <w:color w:val="000000" w:themeColor="text1"/>
                <w:kern w:val="0"/>
                <w:sz w:val="28"/>
                <w:szCs w:val="28"/>
                <w14:textFill>
                  <w14:solidFill>
                    <w14:schemeClr w14:val="tx1"/>
                  </w14:solidFill>
                </w14:textFill>
                <w14:ligatures w14:val="none"/>
              </w:rPr>
            </w:pPr>
            <w:r>
              <w:rPr>
                <w:rFonts w:hint="eastAsia" w:ascii="楷体_GB2312" w:hAnsi="楷体_GB2312" w:eastAsia="楷体_GB2312" w:cs="楷体_GB2312"/>
                <w:b/>
                <w:bCs/>
                <w:color w:val="000000" w:themeColor="text1"/>
                <w:kern w:val="0"/>
                <w:sz w:val="32"/>
                <w:szCs w:val="32"/>
                <w14:textFill>
                  <w14:solidFill>
                    <w14:schemeClr w14:val="tx1"/>
                  </w14:solidFill>
                </w14:textFill>
                <w14:ligatures w14:val="none"/>
              </w:rPr>
              <w:t>4.吉上吉二期。</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吉上吉十里江湾，开发50亩，建筑面积10万</w:t>
            </w:r>
            <w:r>
              <w:rPr>
                <w:rFonts w:hint="eastAsia" w:ascii="楷体_GB2312" w:hAnsi="楷体_GB2312" w:eastAsia="楷体_GB2312" w:cs="楷体_GB2312"/>
                <w:color w:val="000000" w:themeColor="text1"/>
                <w:kern w:val="0"/>
                <w:sz w:val="32"/>
                <w:szCs w:val="32"/>
                <w:lang w:eastAsia="zh-CN"/>
                <w14:textFill>
                  <w14:solidFill>
                    <w14:schemeClr w14:val="tx1"/>
                  </w14:solidFill>
                </w14:textFill>
                <w14:ligatures w14:val="none"/>
              </w:rPr>
              <w:t>㎡</w:t>
            </w:r>
            <w:r>
              <w:rPr>
                <w:rFonts w:hint="eastAsia" w:ascii="楷体_GB2312" w:hAnsi="楷体_GB2312" w:eastAsia="楷体_GB2312" w:cs="楷体_GB2312"/>
                <w:color w:val="000000" w:themeColor="text1"/>
                <w:kern w:val="0"/>
                <w:sz w:val="32"/>
                <w:szCs w:val="32"/>
                <w14:textFill>
                  <w14:solidFill>
                    <w14:schemeClr w14:val="tx1"/>
                  </w14:solidFill>
                </w14:textFill>
                <w14:ligatures w14:val="none"/>
              </w:rPr>
              <w:t>，预计完成投资5亿。</w:t>
            </w:r>
          </w:p>
        </w:tc>
      </w:tr>
    </w:tbl>
    <w:p>
      <w:pPr>
        <w:pStyle w:val="2"/>
        <w:spacing w:after="0" w:line="580" w:lineRule="exact"/>
        <w:ind w:left="0" w:leftChars="0" w:firstLine="0" w:firstLineChars="0"/>
        <w:rPr>
          <w:color w:val="000000" w:themeColor="text1"/>
          <w14:textFill>
            <w14:solidFill>
              <w14:schemeClr w14:val="tx1"/>
            </w14:solidFill>
          </w14:textFill>
        </w:rPr>
      </w:pPr>
    </w:p>
    <w:p>
      <w:pPr>
        <w:adjustRightInd w:val="0"/>
        <w:snapToGrid w:val="0"/>
        <w:spacing w:line="580" w:lineRule="exact"/>
        <w:jc w:val="center"/>
        <w:outlineLvl w:val="1"/>
        <w:rPr>
          <w:rFonts w:hint="eastAsia" w:ascii="黑体" w:hAnsi="黑体" w:eastAsia="黑体" w:cs="黑体"/>
          <w:color w:val="000000" w:themeColor="text1"/>
          <w:sz w:val="32"/>
          <w:szCs w:val="32"/>
          <w14:textFill>
            <w14:solidFill>
              <w14:schemeClr w14:val="tx1"/>
            </w14:solidFill>
          </w14:textFill>
        </w:rPr>
      </w:pPr>
      <w:bookmarkStart w:id="109" w:name="_Toc235000795"/>
      <w:r>
        <w:rPr>
          <w:rFonts w:hint="eastAsia" w:ascii="黑体" w:hAnsi="黑体" w:eastAsia="黑体" w:cs="黑体"/>
          <w:color w:val="000000" w:themeColor="text1"/>
          <w:sz w:val="32"/>
          <w:szCs w:val="32"/>
          <w14:textFill>
            <w14:solidFill>
              <w14:schemeClr w14:val="tx1"/>
            </w14:solidFill>
          </w14:textFill>
        </w:rPr>
        <w:t>第七节 保障基本公共服务均等化</w:t>
      </w:r>
      <w:bookmarkEnd w:id="109"/>
    </w:p>
    <w:p>
      <w:pPr>
        <w:adjustRightInd w:val="0"/>
        <w:snapToGrid w:val="0"/>
        <w:spacing w:line="58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p>
    <w:p>
      <w:pPr>
        <w:adjustRightInd w:val="0"/>
        <w:snapToGrid w:val="0"/>
        <w:spacing w:line="58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依据国家基本公共服务标准，结合会同实际，细化实施标准，推动基本公共服务覆盖全民、兜住底线、均等享有。强化常住人口公共服务供给导向，保障农业转移人口与其他常住人口享有均等化的基本公共服务。以县域为基本单元，统筹规划公共服务设施布局，推动教育、医疗、养老等资源在城乡间均衡配置，促进人才、技术等要素向基层流动。</w:t>
      </w:r>
    </w:p>
    <w:p>
      <w:pPr>
        <w:adjustRightInd w:val="0"/>
        <w:snapToGrid w:val="0"/>
        <w:spacing w:line="580" w:lineRule="exact"/>
        <w:jc w:val="left"/>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br w:type="page"/>
      </w:r>
    </w:p>
    <w:bookmarkEnd w:id="41"/>
    <w:bookmarkEnd w:id="42"/>
    <w:p>
      <w:pPr>
        <w:adjustRightInd w:val="0"/>
        <w:snapToGrid w:val="0"/>
        <w:spacing w:line="580" w:lineRule="exact"/>
        <w:jc w:val="center"/>
        <w:outlineLvl w:val="0"/>
        <w:rPr>
          <w:rFonts w:hint="eastAsia" w:ascii="方正小标宋简体" w:hAnsi="方正小标宋简体" w:eastAsia="方正小标宋简体" w:cs="方正小标宋简体"/>
          <w:color w:val="000000" w:themeColor="text1"/>
          <w:spacing w:val="-17"/>
          <w:sz w:val="36"/>
          <w:szCs w:val="36"/>
          <w14:textFill>
            <w14:solidFill>
              <w14:schemeClr w14:val="tx1"/>
            </w14:solidFill>
          </w14:textFill>
        </w:rPr>
      </w:pPr>
      <w:bookmarkStart w:id="110" w:name="_Toc235000796"/>
      <w:r>
        <w:rPr>
          <w:rFonts w:hint="eastAsia" w:ascii="方正小标宋简体" w:hAnsi="方正小标宋简体" w:eastAsia="方正小标宋简体" w:cs="方正小标宋简体"/>
          <w:color w:val="000000" w:themeColor="text1"/>
          <w:spacing w:val="-17"/>
          <w:sz w:val="36"/>
          <w:szCs w:val="36"/>
          <w14:textFill>
            <w14:solidFill>
              <w14:schemeClr w14:val="tx1"/>
            </w14:solidFill>
          </w14:textFill>
        </w:rPr>
        <w:t>第十三章 促进经济社会发展全面绿色转型，建设美丽会同</w:t>
      </w:r>
      <w:bookmarkEnd w:id="110"/>
    </w:p>
    <w:p>
      <w:pPr>
        <w:adjustRightInd w:val="0"/>
        <w:snapToGrid w:val="0"/>
        <w:spacing w:line="580" w:lineRule="exact"/>
        <w:jc w:val="center"/>
        <w:rPr>
          <w:rFonts w:hint="eastAsia" w:ascii="仿宋_GB2312" w:hAnsi="仿宋_GB2312" w:eastAsia="仿宋_GB2312" w:cs="仿宋_GB2312"/>
          <w:color w:val="000000" w:themeColor="text1"/>
          <w:sz w:val="32"/>
          <w:szCs w:val="32"/>
          <w14:textFill>
            <w14:solidFill>
              <w14:schemeClr w14:val="tx1"/>
            </w14:solidFill>
          </w14:textFill>
        </w:rPr>
      </w:pPr>
    </w:p>
    <w:p>
      <w:pPr>
        <w:adjustRightInd w:val="0"/>
        <w:snapToGrid w:val="0"/>
        <w:spacing w:line="58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坚持生态优先，聚焦生态环境质量持续改善与绿色低碳转型协同增效，以精准治污、科学治污、依法治污为路径，系统推进生态产业化和产业生态化。创新生态产品价值实现机制拓宽“两山”转化通道，强化数字赋能、提升治理效能，构建降碳、减污、扩绿、增长协同共进的制度体系与长效机制，推动经济社会发展全面绿色转型，打造美丽中国建设的“会同样板”。</w:t>
      </w:r>
    </w:p>
    <w:p>
      <w:pPr>
        <w:pStyle w:val="24"/>
        <w:adjustRightInd w:val="0"/>
        <w:snapToGrid w:val="0"/>
        <w:spacing w:line="580" w:lineRule="exact"/>
        <w:rPr>
          <w:rFonts w:hint="eastAsia"/>
          <w:color w:val="000000" w:themeColor="text1"/>
          <w:sz w:val="32"/>
          <w:szCs w:val="22"/>
          <w14:textFill>
            <w14:solidFill>
              <w14:schemeClr w14:val="tx1"/>
            </w14:solidFill>
          </w14:textFill>
        </w:rPr>
      </w:pPr>
    </w:p>
    <w:p>
      <w:pPr>
        <w:adjustRightInd w:val="0"/>
        <w:snapToGrid w:val="0"/>
        <w:spacing w:line="580" w:lineRule="exact"/>
        <w:jc w:val="center"/>
        <w:outlineLvl w:val="1"/>
        <w:rPr>
          <w:rFonts w:hint="eastAsia" w:ascii="黑体" w:hAnsi="黑体" w:eastAsia="黑体" w:cs="黑体"/>
          <w:color w:val="000000" w:themeColor="text1"/>
          <w:sz w:val="32"/>
          <w:szCs w:val="32"/>
          <w14:textFill>
            <w14:solidFill>
              <w14:schemeClr w14:val="tx1"/>
            </w14:solidFill>
          </w14:textFill>
        </w:rPr>
      </w:pPr>
      <w:bookmarkStart w:id="111" w:name="_Toc214552685"/>
      <w:bookmarkStart w:id="112" w:name="_Toc235000797"/>
      <w:bookmarkStart w:id="113" w:name="_Toc4339"/>
      <w:bookmarkStart w:id="114" w:name="_Hlk215328939"/>
      <w:r>
        <w:rPr>
          <w:rFonts w:hint="eastAsia" w:ascii="黑体" w:hAnsi="黑体" w:eastAsia="黑体" w:cs="黑体"/>
          <w:color w:val="000000" w:themeColor="text1"/>
          <w:sz w:val="32"/>
          <w:szCs w:val="32"/>
          <w14:textFill>
            <w14:solidFill>
              <w14:schemeClr w14:val="tx1"/>
            </w14:solidFill>
          </w14:textFill>
        </w:rPr>
        <w:t>第一节 持续推进环境综合治理</w:t>
      </w:r>
      <w:bookmarkEnd w:id="111"/>
      <w:bookmarkEnd w:id="112"/>
      <w:bookmarkEnd w:id="113"/>
    </w:p>
    <w:p>
      <w:pPr>
        <w:adjustRightInd w:val="0"/>
        <w:snapToGrid w:val="0"/>
        <w:spacing w:line="580" w:lineRule="exact"/>
        <w:ind w:firstLine="643" w:firstLineChars="200"/>
        <w:rPr>
          <w:rFonts w:hint="eastAsia" w:ascii="楷体_GB2312" w:hAnsi="楷体_GB2312" w:eastAsia="楷体_GB2312" w:cs="楷体_GB2312"/>
          <w:b/>
          <w:bCs/>
          <w:color w:val="000000" w:themeColor="text1"/>
          <w:sz w:val="32"/>
          <w:szCs w:val="32"/>
          <w14:textFill>
            <w14:solidFill>
              <w14:schemeClr w14:val="tx1"/>
            </w14:solidFill>
          </w14:textFill>
        </w:rPr>
      </w:pP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深化污染防治攻坚行动</w:t>
      </w:r>
      <w:r>
        <w:rPr>
          <w:rFonts w:hint="eastAsia" w:ascii="楷体_GB2312" w:hAnsi="楷体_GB2312" w:eastAsia="楷体_GB2312" w:cs="楷体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加强工业废气治理，推进砖瓦窑、混凝土搅拌站等行业超低排放改造。开展竹木加工、箱包制造等行业VOCs深度治理，推广低VOCs含量原辅材料替代。强化移动源污染管控，加快淘汰国三及以下排放标准柴油货车。加强扬尘精细化管控，落实建筑工地“六个百分百”措施。推动餐饮油烟专项整治，县城餐饮单位油烟净化设施安装率达100%，并确保正常运行率达到80%。强化秸秆禁烧管控，建立“空天地”一体化监测体系，推广秸秆“五化”综合利用。实施工业废水深度处理工程，重点推进产业开发区污水处理厂提标改造。强化农业面源污染治理，推广测土配方施肥，维护农村黑臭水体基本消除的成果。建立土壤污染重点监管单位名录，受污染耕地安全利用率保持高水平。强化危险废物、医疗废物全过程规范化管理。</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提升环境治理能力现代化水平。</w:t>
      </w:r>
      <w:r>
        <w:rPr>
          <w:rFonts w:hint="eastAsia" w:ascii="仿宋_GB2312" w:hAnsi="仿宋_GB2312" w:eastAsia="仿宋_GB2312" w:cs="仿宋_GB2312"/>
          <w:color w:val="000000" w:themeColor="text1"/>
          <w:sz w:val="32"/>
          <w:szCs w:val="32"/>
          <w14:textFill>
            <w14:solidFill>
              <w14:schemeClr w14:val="tx1"/>
            </w14:solidFill>
          </w14:textFill>
        </w:rPr>
        <w:t>完善生态环境监测网络，在重点流域、工业园区等区域布设监测站点，实现数据实时共享。建立生态环境智慧监管平台，运用卫星遥感、无人机等技术提高执法精准度。加强环境应急能力建设，完善应急预案，建设县级环境应急</w:t>
      </w:r>
      <w:r>
        <w:rPr>
          <w:rFonts w:hint="eastAsia" w:ascii="仿宋_GB2312" w:hAnsi="仿宋_GB2312" w:eastAsia="仿宋_GB2312" w:cs="仿宋_GB2312"/>
          <w:color w:val="000000" w:themeColor="text1"/>
          <w:spacing w:val="-6"/>
          <w:sz w:val="32"/>
          <w:szCs w:val="32"/>
          <w14:textFill>
            <w14:solidFill>
              <w14:schemeClr w14:val="tx1"/>
            </w14:solidFill>
          </w14:textFill>
        </w:rPr>
        <w:t>物资储备库。加强涉危涉重企业、尾矿库等重点风险源监管，严格危险化学品和新污染物风险管控，提升生态环境监督管理和执法能力。</w:t>
      </w:r>
    </w:p>
    <w:p>
      <w:pPr>
        <w:adjustRightInd w:val="0"/>
        <w:snapToGrid w:val="0"/>
        <w:spacing w:line="580" w:lineRule="exact"/>
        <w:ind w:firstLine="643"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推动流域协同治理与生态廊道建设。</w:t>
      </w:r>
      <w:r>
        <w:rPr>
          <w:rFonts w:hint="eastAsia" w:ascii="仿宋_GB2312" w:hAnsi="仿宋_GB2312" w:eastAsia="仿宋_GB2312" w:cs="仿宋_GB2312"/>
          <w:color w:val="000000" w:themeColor="text1"/>
          <w:sz w:val="32"/>
          <w:szCs w:val="32"/>
          <w14:textFill>
            <w14:solidFill>
              <w14:schemeClr w14:val="tx1"/>
            </w14:solidFill>
          </w14:textFill>
        </w:rPr>
        <w:t>强化区域生态保护协作，推进流域水质改善和生物多样性保护，开展渠水、巫水流域和沅江一级支流联合执法行动。实施河湖生态缓冲带修复与水生植被恢复工程。推进饮用水水源地规范化建设与风险防控。推进武陵山片区生态廊道建设，共同打造生物多样性保护网络。</w:t>
      </w:r>
    </w:p>
    <w:p>
      <w:pPr>
        <w:pStyle w:val="2"/>
        <w:rPr>
          <w:rFonts w:hint="eastAsia"/>
          <w:color w:val="000000" w:themeColor="text1"/>
          <w14:textFill>
            <w14:solidFill>
              <w14:schemeClr w14:val="tx1"/>
            </w14:solidFill>
          </w14:textFill>
        </w:rPr>
      </w:pPr>
    </w:p>
    <w:tbl>
      <w:tblPr>
        <w:tblStyle w:val="33"/>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2" w:type="dxa"/>
            <w:vAlign w:val="center"/>
          </w:tcPr>
          <w:p>
            <w:pPr>
              <w:adjustRightInd w:val="0"/>
              <w:snapToGrid w:val="0"/>
              <w:spacing w:line="580" w:lineRule="exact"/>
              <w:jc w:val="center"/>
              <w:rPr>
                <w:rFonts w:hint="eastAsia" w:ascii="黑体" w:hAnsi="黑体" w:eastAsia="黑体" w:cs="黑体"/>
                <w:color w:val="000000" w:themeColor="text1"/>
                <w:kern w:val="0"/>
                <w:sz w:val="28"/>
                <w:szCs w:val="28"/>
                <w14:textFill>
                  <w14:solidFill>
                    <w14:schemeClr w14:val="tx1"/>
                  </w14:solidFill>
                </w14:textFill>
              </w:rPr>
            </w:pPr>
            <w:r>
              <w:rPr>
                <w:rFonts w:hint="eastAsia" w:ascii="黑体" w:hAnsi="黑体" w:eastAsia="黑体" w:cs="黑体"/>
                <w:color w:val="000000" w:themeColor="text1"/>
                <w:kern w:val="0"/>
                <w:sz w:val="32"/>
                <w:szCs w:val="32"/>
                <w14:textFill>
                  <w14:solidFill>
                    <w14:schemeClr w14:val="tx1"/>
                  </w14:solidFill>
                </w14:textFill>
              </w:rPr>
              <w:t>专栏</w:t>
            </w:r>
            <w:r>
              <w:rPr>
                <w:rFonts w:hint="eastAsia" w:ascii="Times New Roman" w:hAnsi="Times New Roman" w:eastAsia="黑体" w:cs="Times New Roman"/>
                <w:color w:val="000000" w:themeColor="text1"/>
                <w:kern w:val="0"/>
                <w:sz w:val="32"/>
                <w:szCs w:val="32"/>
                <w14:textFill>
                  <w14:solidFill>
                    <w14:schemeClr w14:val="tx1"/>
                  </w14:solidFill>
                </w14:textFill>
                <w14:ligatures w14:val="none"/>
              </w:rPr>
              <w:t>26</w:t>
            </w:r>
            <w:r>
              <w:rPr>
                <w:rFonts w:hint="eastAsia" w:ascii="黑体" w:hAnsi="黑体" w:eastAsia="黑体" w:cs="黑体"/>
                <w:color w:val="000000" w:themeColor="text1"/>
                <w:kern w:val="0"/>
                <w:sz w:val="32"/>
                <w:szCs w:val="32"/>
                <w14:textFill>
                  <w14:solidFill>
                    <w14:schemeClr w14:val="tx1"/>
                  </w14:solidFill>
                </w14:textFill>
              </w:rPr>
              <w:t xml:space="preserve"> 环境综合治理项目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2" w:type="dxa"/>
            <w:vAlign w:val="center"/>
          </w:tcPr>
          <w:p>
            <w:pPr>
              <w:adjustRightInd w:val="0"/>
              <w:snapToGrid w:val="0"/>
              <w:spacing w:line="580" w:lineRule="exact"/>
              <w:ind w:firstLine="643" w:firstLineChars="200"/>
              <w:jc w:val="left"/>
              <w:rPr>
                <w:rFonts w:hint="eastAsia" w:ascii="楷体_GB2312" w:hAnsi="楷体_GB2312" w:eastAsia="楷体_GB2312" w:cs="楷体_GB2312"/>
                <w:color w:val="000000" w:themeColor="text1"/>
                <w:kern w:val="0"/>
                <w:sz w:val="32"/>
                <w:szCs w:val="32"/>
                <w14:textFill>
                  <w14:solidFill>
                    <w14:schemeClr w14:val="tx1"/>
                  </w14:solidFill>
                </w14:textFill>
              </w:rPr>
            </w:pPr>
            <w:bookmarkStart w:id="115" w:name="_Hlk215329648"/>
            <w:r>
              <w:rPr>
                <w:rFonts w:hint="eastAsia" w:ascii="楷体_GB2312" w:hAnsi="楷体_GB2312" w:eastAsia="楷体_GB2312" w:cs="楷体_GB2312"/>
                <w:b/>
                <w:bCs/>
                <w:color w:val="000000" w:themeColor="text1"/>
                <w:kern w:val="0"/>
                <w:sz w:val="32"/>
                <w:szCs w:val="32"/>
                <w14:textFill>
                  <w14:solidFill>
                    <w14:schemeClr w14:val="tx1"/>
                  </w14:solidFill>
                </w14:textFill>
              </w:rPr>
              <w:t>1.会同县渠水流域水生态综合治理与修复工程。</w:t>
            </w:r>
            <w:r>
              <w:rPr>
                <w:rFonts w:hint="eastAsia" w:ascii="楷体_GB2312" w:hAnsi="楷体_GB2312" w:eastAsia="楷体_GB2312" w:cs="楷体_GB2312"/>
                <w:color w:val="000000" w:themeColor="text1"/>
                <w:kern w:val="0"/>
                <w:sz w:val="32"/>
                <w:szCs w:val="32"/>
                <w14:textFill>
                  <w14:solidFill>
                    <w14:schemeClr w14:val="tx1"/>
                  </w14:solidFill>
                </w14:textFill>
              </w:rPr>
              <w:t>在漠滨乡、地灵乡、林城镇、连山乡、坪村镇、堡子镇等6个乡镇共建设人工湿地2530</w:t>
            </w:r>
            <w:r>
              <w:rPr>
                <w:rFonts w:hint="eastAsia" w:ascii="楷体_GB2312" w:hAnsi="楷体_GB2312" w:eastAsia="楷体_GB2312" w:cs="楷体_GB2312"/>
                <w:color w:val="000000" w:themeColor="text1"/>
                <w:kern w:val="0"/>
                <w:sz w:val="32"/>
                <w:szCs w:val="32"/>
                <w:lang w:eastAsia="zh-CN"/>
                <w14:textFill>
                  <w14:solidFill>
                    <w14:schemeClr w14:val="tx1"/>
                  </w14:solidFill>
                </w14:textFill>
              </w:rPr>
              <w:t>㎡</w:t>
            </w:r>
            <w:r>
              <w:rPr>
                <w:rFonts w:hint="eastAsia" w:ascii="楷体_GB2312" w:hAnsi="楷体_GB2312" w:eastAsia="楷体_GB2312" w:cs="楷体_GB2312"/>
                <w:color w:val="000000" w:themeColor="text1"/>
                <w:kern w:val="0"/>
                <w:sz w:val="32"/>
                <w:szCs w:val="32"/>
                <w14:textFill>
                  <w14:solidFill>
                    <w14:schemeClr w14:val="tx1"/>
                  </w14:solidFill>
                </w14:textFill>
              </w:rPr>
              <w:t>、生态拦截沟7515米、污水处理厂3座及配套管网、污水泵站1座。</w:t>
            </w:r>
          </w:p>
          <w:p>
            <w:pPr>
              <w:adjustRightInd w:val="0"/>
              <w:snapToGrid w:val="0"/>
              <w:spacing w:line="580" w:lineRule="exact"/>
              <w:ind w:firstLine="643" w:firstLineChars="200"/>
              <w:jc w:val="left"/>
              <w:rPr>
                <w:rFonts w:hint="eastAsia" w:ascii="楷体_GB2312" w:hAnsi="楷体_GB2312" w:eastAsia="楷体_GB2312" w:cs="楷体_GB2312"/>
                <w:color w:val="000000" w:themeColor="text1"/>
                <w:kern w:val="0"/>
                <w:sz w:val="32"/>
                <w:szCs w:val="32"/>
                <w14:textFill>
                  <w14:solidFill>
                    <w14:schemeClr w14:val="tx1"/>
                  </w14:solidFill>
                </w14:textFill>
              </w:rPr>
            </w:pPr>
            <w:r>
              <w:rPr>
                <w:rFonts w:hint="eastAsia" w:ascii="楷体_GB2312" w:hAnsi="楷体_GB2312" w:eastAsia="楷体_GB2312" w:cs="楷体_GB2312"/>
                <w:b/>
                <w:bCs/>
                <w:color w:val="000000" w:themeColor="text1"/>
                <w:kern w:val="0"/>
                <w:sz w:val="32"/>
                <w:szCs w:val="32"/>
                <w14:textFill>
                  <w14:solidFill>
                    <w14:schemeClr w14:val="tx1"/>
                  </w14:solidFill>
                </w14:textFill>
              </w:rPr>
              <w:t>2.会同县巫水流域水生态保护修复工程。</w:t>
            </w:r>
            <w:r>
              <w:rPr>
                <w:rFonts w:hint="eastAsia" w:ascii="楷体_GB2312" w:hAnsi="楷体_GB2312" w:eastAsia="楷体_GB2312" w:cs="楷体_GB2312"/>
                <w:color w:val="000000" w:themeColor="text1"/>
                <w:kern w:val="0"/>
                <w:sz w:val="32"/>
                <w:szCs w:val="32"/>
                <w14:textFill>
                  <w14:solidFill>
                    <w14:schemeClr w14:val="tx1"/>
                  </w14:solidFill>
                </w14:textFill>
              </w:rPr>
              <w:t>在黄茅溪入巫水河口的河滩地建设生态湿地，面积7642</w:t>
            </w:r>
            <w:r>
              <w:rPr>
                <w:rFonts w:hint="eastAsia" w:ascii="楷体_GB2312" w:hAnsi="楷体_GB2312" w:eastAsia="楷体_GB2312" w:cs="楷体_GB2312"/>
                <w:color w:val="000000" w:themeColor="text1"/>
                <w:kern w:val="0"/>
                <w:sz w:val="32"/>
                <w:szCs w:val="32"/>
                <w:lang w:eastAsia="zh-CN"/>
                <w14:textFill>
                  <w14:solidFill>
                    <w14:schemeClr w14:val="tx1"/>
                  </w14:solidFill>
                </w14:textFill>
              </w:rPr>
              <w:t>㎡</w:t>
            </w:r>
            <w:r>
              <w:rPr>
                <w:rFonts w:hint="eastAsia" w:ascii="楷体_GB2312" w:hAnsi="楷体_GB2312" w:eastAsia="楷体_GB2312" w:cs="楷体_GB2312"/>
                <w:color w:val="000000" w:themeColor="text1"/>
                <w:kern w:val="0"/>
                <w:sz w:val="32"/>
                <w:szCs w:val="32"/>
                <w14:textFill>
                  <w14:solidFill>
                    <w14:schemeClr w14:val="tx1"/>
                  </w14:solidFill>
                </w14:textFill>
              </w:rPr>
              <w:t>；在若水河（团河镇集镇段）进行水生植被生态恢复，建设面积23550</w:t>
            </w:r>
            <w:r>
              <w:rPr>
                <w:rFonts w:hint="eastAsia" w:ascii="楷体_GB2312" w:hAnsi="楷体_GB2312" w:eastAsia="楷体_GB2312" w:cs="楷体_GB2312"/>
                <w:color w:val="000000" w:themeColor="text1"/>
                <w:kern w:val="0"/>
                <w:sz w:val="32"/>
                <w:szCs w:val="32"/>
                <w:lang w:eastAsia="zh-CN"/>
                <w14:textFill>
                  <w14:solidFill>
                    <w14:schemeClr w14:val="tx1"/>
                  </w14:solidFill>
                </w14:textFill>
              </w:rPr>
              <w:t>㎡</w:t>
            </w:r>
            <w:r>
              <w:rPr>
                <w:rFonts w:hint="eastAsia" w:ascii="楷体_GB2312" w:hAnsi="楷体_GB2312" w:eastAsia="楷体_GB2312" w:cs="楷体_GB2312"/>
                <w:color w:val="000000" w:themeColor="text1"/>
                <w:kern w:val="0"/>
                <w:sz w:val="32"/>
                <w:szCs w:val="32"/>
                <w14:textFill>
                  <w14:solidFill>
                    <w14:schemeClr w14:val="tx1"/>
                  </w14:solidFill>
                </w14:textFill>
              </w:rPr>
              <w:t>；污水收集处理设施工程，处理规模合计每天830</w:t>
            </w:r>
            <w:r>
              <w:rPr>
                <w:rFonts w:hint="eastAsia" w:ascii="楷体_GB2312" w:hAnsi="楷体_GB2312" w:eastAsia="楷体_GB2312" w:cs="楷体_GB2312"/>
                <w:color w:val="000000" w:themeColor="text1"/>
                <w:kern w:val="0"/>
                <w:sz w:val="32"/>
                <w:szCs w:val="32"/>
                <w:lang w:val="en-US" w:eastAsia="zh-CN"/>
                <w14:textFill>
                  <w14:solidFill>
                    <w14:schemeClr w14:val="tx1"/>
                  </w14:solidFill>
                </w14:textFill>
              </w:rPr>
              <w:t>m</w:t>
            </w:r>
            <w:r>
              <w:rPr>
                <w:rFonts w:hint="eastAsia" w:ascii="楷体_GB2312" w:hAnsi="楷体_GB2312" w:eastAsia="楷体_GB2312" w:cs="楷体_GB2312"/>
                <w:color w:val="000000" w:themeColor="text1"/>
                <w:kern w:val="0"/>
                <w:sz w:val="32"/>
                <w:szCs w:val="32"/>
                <w:vertAlign w:val="superscript"/>
                <w:lang w:val="en-US" w:eastAsia="zh-CN"/>
                <w14:textFill>
                  <w14:solidFill>
                    <w14:schemeClr w14:val="tx1"/>
                  </w14:solidFill>
                </w14:textFill>
              </w:rPr>
              <w:t>3</w:t>
            </w:r>
            <w:r>
              <w:rPr>
                <w:rFonts w:hint="eastAsia" w:ascii="楷体_GB2312" w:hAnsi="楷体_GB2312" w:eastAsia="楷体_GB2312" w:cs="楷体_GB2312"/>
                <w:color w:val="000000" w:themeColor="text1"/>
                <w:kern w:val="0"/>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left"/>
              <w:textAlignment w:val="auto"/>
              <w:rPr>
                <w:rFonts w:hint="eastAsia" w:ascii="楷体_GB2312" w:hAnsi="楷体_GB2312" w:eastAsia="楷体_GB2312" w:cs="楷体_GB2312"/>
                <w:color w:val="000000" w:themeColor="text1"/>
                <w:kern w:val="0"/>
                <w:sz w:val="32"/>
                <w:szCs w:val="32"/>
                <w14:textFill>
                  <w14:solidFill>
                    <w14:schemeClr w14:val="tx1"/>
                  </w14:solidFill>
                </w14:textFill>
              </w:rPr>
            </w:pPr>
            <w:r>
              <w:rPr>
                <w:rFonts w:hint="eastAsia" w:ascii="楷体_GB2312" w:hAnsi="楷体_GB2312" w:eastAsia="楷体_GB2312" w:cs="楷体_GB2312"/>
                <w:b/>
                <w:bCs/>
                <w:color w:val="000000" w:themeColor="text1"/>
                <w:kern w:val="0"/>
                <w:sz w:val="32"/>
                <w:szCs w:val="32"/>
                <w14:textFill>
                  <w14:solidFill>
                    <w14:schemeClr w14:val="tx1"/>
                  </w14:solidFill>
                </w14:textFill>
              </w:rPr>
              <w:t>3.原会同县东鑫锰业有限公司历史遗留废渣风险管控项目。</w:t>
            </w:r>
            <w:r>
              <w:rPr>
                <w:rFonts w:hint="eastAsia" w:ascii="楷体_GB2312" w:hAnsi="楷体_GB2312" w:eastAsia="楷体_GB2312" w:cs="楷体_GB2312"/>
                <w:color w:val="000000" w:themeColor="text1"/>
                <w:kern w:val="0"/>
                <w:sz w:val="32"/>
                <w:szCs w:val="32"/>
                <w14:textFill>
                  <w14:solidFill>
                    <w14:schemeClr w14:val="tx1"/>
                  </w14:solidFill>
                </w14:textFill>
              </w:rPr>
              <w:t>①在会同县金竹镇选址建设第二类一般工业固体废物填埋场，对原会同县东鑫锰业有限公司历史遗留废渣（约5万</w:t>
            </w:r>
            <w:r>
              <w:rPr>
                <w:rFonts w:hint="eastAsia" w:ascii="楷体_GB2312" w:hAnsi="楷体_GB2312" w:eastAsia="楷体_GB2312" w:cs="楷体_GB2312"/>
                <w:color w:val="000000" w:themeColor="text1"/>
                <w:kern w:val="0"/>
                <w:sz w:val="32"/>
                <w:szCs w:val="32"/>
                <w:lang w:val="en-US" w:eastAsia="zh-CN"/>
                <w14:textFill>
                  <w14:solidFill>
                    <w14:schemeClr w14:val="tx1"/>
                  </w14:solidFill>
                </w14:textFill>
              </w:rPr>
              <w:t>m</w:t>
            </w:r>
            <w:r>
              <w:rPr>
                <w:rFonts w:hint="eastAsia" w:ascii="楷体_GB2312" w:hAnsi="楷体_GB2312" w:eastAsia="楷体_GB2312" w:cs="楷体_GB2312"/>
                <w:color w:val="000000" w:themeColor="text1"/>
                <w:kern w:val="0"/>
                <w:sz w:val="32"/>
                <w:szCs w:val="32"/>
                <w:vertAlign w:val="superscript"/>
                <w:lang w:val="en-US" w:eastAsia="zh-CN"/>
                <w14:textFill>
                  <w14:solidFill>
                    <w14:schemeClr w14:val="tx1"/>
                  </w14:solidFill>
                </w14:textFill>
              </w:rPr>
              <w:t>3</w:t>
            </w:r>
            <w:r>
              <w:rPr>
                <w:rFonts w:hint="eastAsia" w:ascii="楷体_GB2312" w:hAnsi="楷体_GB2312" w:eastAsia="楷体_GB2312" w:cs="楷体_GB2312"/>
                <w:color w:val="000000" w:themeColor="text1"/>
                <w:kern w:val="0"/>
                <w:sz w:val="32"/>
                <w:szCs w:val="32"/>
                <w14:textFill>
                  <w14:solidFill>
                    <w14:schemeClr w14:val="tx1"/>
                  </w14:solidFill>
                </w14:textFill>
              </w:rPr>
              <w:t>）进行填埋处置；②对原会同县东鑫锰业有限公司历史遗留废渣堆存区域进行生态恢复。</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left"/>
              <w:textAlignment w:val="auto"/>
              <w:rPr>
                <w:rFonts w:hint="eastAsia" w:ascii="楷体_GB2312" w:hAnsi="楷体_GB2312" w:eastAsia="楷体_GB2312" w:cs="楷体_GB2312"/>
                <w:color w:val="000000" w:themeColor="text1"/>
                <w:kern w:val="0"/>
                <w:sz w:val="32"/>
                <w:szCs w:val="32"/>
                <w14:textFill>
                  <w14:solidFill>
                    <w14:schemeClr w14:val="tx1"/>
                  </w14:solidFill>
                </w14:textFill>
              </w:rPr>
            </w:pPr>
            <w:r>
              <w:rPr>
                <w:rFonts w:hint="eastAsia" w:ascii="楷体_GB2312" w:hAnsi="楷体_GB2312" w:eastAsia="楷体_GB2312" w:cs="楷体_GB2312"/>
                <w:b/>
                <w:bCs/>
                <w:color w:val="000000" w:themeColor="text1"/>
                <w:kern w:val="0"/>
                <w:sz w:val="32"/>
                <w:szCs w:val="32"/>
                <w14:textFill>
                  <w14:solidFill>
                    <w14:schemeClr w14:val="tx1"/>
                  </w14:solidFill>
                </w14:textFill>
              </w:rPr>
              <w:t>4.会同县蒲稳乡阳溪村金矿区历史遗留废渣整治项目。</w:t>
            </w:r>
            <w:r>
              <w:rPr>
                <w:rFonts w:hint="eastAsia" w:ascii="楷体_GB2312" w:hAnsi="楷体_GB2312" w:eastAsia="楷体_GB2312" w:cs="楷体_GB2312"/>
                <w:color w:val="000000" w:themeColor="text1"/>
                <w:kern w:val="0"/>
                <w:sz w:val="32"/>
                <w:szCs w:val="32"/>
                <w14:textFill>
                  <w14:solidFill>
                    <w14:schemeClr w14:val="tx1"/>
                  </w14:solidFill>
                </w14:textFill>
              </w:rPr>
              <w:t>①对项目场地内75167</w:t>
            </w:r>
            <w:r>
              <w:rPr>
                <w:rFonts w:hint="eastAsia" w:ascii="楷体_GB2312" w:hAnsi="楷体_GB2312" w:eastAsia="楷体_GB2312" w:cs="楷体_GB2312"/>
                <w:color w:val="000000" w:themeColor="text1"/>
                <w:kern w:val="0"/>
                <w:sz w:val="32"/>
                <w:szCs w:val="32"/>
                <w:lang w:val="en-US" w:eastAsia="zh-CN"/>
                <w14:textFill>
                  <w14:solidFill>
                    <w14:schemeClr w14:val="tx1"/>
                  </w14:solidFill>
                </w14:textFill>
              </w:rPr>
              <w:t>m</w:t>
            </w:r>
            <w:r>
              <w:rPr>
                <w:rFonts w:hint="eastAsia" w:ascii="楷体_GB2312" w:hAnsi="楷体_GB2312" w:eastAsia="楷体_GB2312" w:cs="楷体_GB2312"/>
                <w:color w:val="000000" w:themeColor="text1"/>
                <w:kern w:val="0"/>
                <w:sz w:val="32"/>
                <w:szCs w:val="32"/>
                <w:vertAlign w:val="superscript"/>
                <w:lang w:val="en-US" w:eastAsia="zh-CN"/>
                <w14:textFill>
                  <w14:solidFill>
                    <w14:schemeClr w14:val="tx1"/>
                  </w14:solidFill>
                </w14:textFill>
              </w:rPr>
              <w:t>3</w:t>
            </w:r>
            <w:r>
              <w:rPr>
                <w:rFonts w:hint="eastAsia" w:ascii="楷体_GB2312" w:hAnsi="楷体_GB2312" w:eastAsia="楷体_GB2312" w:cs="楷体_GB2312"/>
                <w:color w:val="000000" w:themeColor="text1"/>
                <w:kern w:val="0"/>
                <w:sz w:val="32"/>
                <w:szCs w:val="32"/>
                <w14:textFill>
                  <w14:solidFill>
                    <w14:schemeClr w14:val="tx1"/>
                  </w14:solidFill>
                </w14:textFill>
              </w:rPr>
              <w:t>的第I类一般工业固体废物进行原地管控；②在原址异地建设一座库容8.5万</w:t>
            </w:r>
            <w:r>
              <w:rPr>
                <w:rFonts w:hint="eastAsia" w:ascii="楷体_GB2312" w:hAnsi="楷体_GB2312" w:eastAsia="楷体_GB2312" w:cs="楷体_GB2312"/>
                <w:color w:val="000000" w:themeColor="text1"/>
                <w:kern w:val="0"/>
                <w:sz w:val="32"/>
                <w:szCs w:val="32"/>
                <w:lang w:val="en-US" w:eastAsia="zh-CN"/>
                <w14:textFill>
                  <w14:solidFill>
                    <w14:schemeClr w14:val="tx1"/>
                  </w14:solidFill>
                </w14:textFill>
              </w:rPr>
              <w:t>m</w:t>
            </w:r>
            <w:r>
              <w:rPr>
                <w:rFonts w:hint="eastAsia" w:ascii="楷体_GB2312" w:hAnsi="楷体_GB2312" w:eastAsia="楷体_GB2312" w:cs="楷体_GB2312"/>
                <w:color w:val="000000" w:themeColor="text1"/>
                <w:kern w:val="0"/>
                <w:sz w:val="32"/>
                <w:szCs w:val="32"/>
                <w:vertAlign w:val="superscript"/>
                <w:lang w:val="en-US" w:eastAsia="zh-CN"/>
                <w14:textFill>
                  <w14:solidFill>
                    <w14:schemeClr w14:val="tx1"/>
                  </w14:solidFill>
                </w14:textFill>
              </w:rPr>
              <w:t>3</w:t>
            </w:r>
            <w:r>
              <w:rPr>
                <w:rFonts w:hint="eastAsia" w:ascii="楷体_GB2312" w:hAnsi="楷体_GB2312" w:eastAsia="楷体_GB2312" w:cs="楷体_GB2312"/>
                <w:color w:val="000000" w:themeColor="text1"/>
                <w:kern w:val="0"/>
                <w:sz w:val="32"/>
                <w:szCs w:val="32"/>
                <w14:textFill>
                  <w14:solidFill>
                    <w14:schemeClr w14:val="tx1"/>
                  </w14:solidFill>
                </w14:textFill>
              </w:rPr>
              <w:t>的II类固废处置场，</w:t>
            </w:r>
            <w:r>
              <w:rPr>
                <w:rFonts w:hint="eastAsia" w:ascii="楷体_GB2312" w:hAnsi="楷体_GB2312" w:eastAsia="楷体_GB2312" w:cs="楷体_GB2312"/>
                <w:color w:val="000000" w:themeColor="text1"/>
                <w:spacing w:val="6"/>
                <w:kern w:val="0"/>
                <w:sz w:val="32"/>
                <w:szCs w:val="32"/>
                <w14:textFill>
                  <w14:solidFill>
                    <w14:schemeClr w14:val="tx1"/>
                  </w14:solidFill>
                </w14:textFill>
              </w:rPr>
              <w:t>对项目地内76073.6</w:t>
            </w:r>
            <w:r>
              <w:rPr>
                <w:rFonts w:hint="eastAsia" w:ascii="楷体_GB2312" w:hAnsi="楷体_GB2312" w:eastAsia="楷体_GB2312" w:cs="楷体_GB2312"/>
                <w:color w:val="000000" w:themeColor="text1"/>
                <w:spacing w:val="6"/>
                <w:kern w:val="0"/>
                <w:sz w:val="32"/>
                <w:szCs w:val="32"/>
                <w:lang w:val="en-US" w:eastAsia="zh-CN"/>
                <w14:textFill>
                  <w14:solidFill>
                    <w14:schemeClr w14:val="tx1"/>
                  </w14:solidFill>
                </w14:textFill>
              </w:rPr>
              <w:t>m</w:t>
            </w:r>
            <w:r>
              <w:rPr>
                <w:rFonts w:hint="eastAsia" w:ascii="楷体_GB2312" w:hAnsi="楷体_GB2312" w:eastAsia="楷体_GB2312" w:cs="楷体_GB2312"/>
                <w:color w:val="000000" w:themeColor="text1"/>
                <w:spacing w:val="6"/>
                <w:kern w:val="0"/>
                <w:sz w:val="32"/>
                <w:szCs w:val="32"/>
                <w:vertAlign w:val="superscript"/>
                <w:lang w:val="en-US" w:eastAsia="zh-CN"/>
                <w14:textFill>
                  <w14:solidFill>
                    <w14:schemeClr w14:val="tx1"/>
                  </w14:solidFill>
                </w14:textFill>
              </w:rPr>
              <w:t>3</w:t>
            </w:r>
            <w:r>
              <w:rPr>
                <w:rFonts w:hint="eastAsia" w:ascii="楷体_GB2312" w:hAnsi="楷体_GB2312" w:eastAsia="楷体_GB2312" w:cs="楷体_GB2312"/>
                <w:color w:val="000000" w:themeColor="text1"/>
                <w:spacing w:val="6"/>
                <w:kern w:val="0"/>
                <w:sz w:val="32"/>
                <w:szCs w:val="32"/>
                <w14:textFill>
                  <w14:solidFill>
                    <w14:schemeClr w14:val="tx1"/>
                  </w14:solidFill>
                </w14:textFill>
              </w:rPr>
              <w:t>II类固废和底部0.5米厚污染的渣土混合物7192.5</w:t>
            </w:r>
            <w:r>
              <w:rPr>
                <w:rFonts w:hint="eastAsia" w:ascii="楷体_GB2312" w:hAnsi="楷体_GB2312" w:eastAsia="楷体_GB2312" w:cs="楷体_GB2312"/>
                <w:color w:val="000000" w:themeColor="text1"/>
                <w:spacing w:val="6"/>
                <w:kern w:val="0"/>
                <w:sz w:val="32"/>
                <w:szCs w:val="32"/>
                <w:lang w:val="en-US" w:eastAsia="zh-CN"/>
                <w14:textFill>
                  <w14:solidFill>
                    <w14:schemeClr w14:val="tx1"/>
                  </w14:solidFill>
                </w14:textFill>
              </w:rPr>
              <w:t>m</w:t>
            </w:r>
            <w:r>
              <w:rPr>
                <w:rFonts w:hint="eastAsia" w:ascii="楷体_GB2312" w:hAnsi="楷体_GB2312" w:eastAsia="楷体_GB2312" w:cs="楷体_GB2312"/>
                <w:color w:val="000000" w:themeColor="text1"/>
                <w:spacing w:val="6"/>
                <w:kern w:val="0"/>
                <w:sz w:val="32"/>
                <w:szCs w:val="32"/>
                <w:vertAlign w:val="superscript"/>
                <w:lang w:val="en-US" w:eastAsia="zh-CN"/>
                <w14:textFill>
                  <w14:solidFill>
                    <w14:schemeClr w14:val="tx1"/>
                  </w14:solidFill>
                </w14:textFill>
              </w:rPr>
              <w:t>3</w:t>
            </w:r>
            <w:r>
              <w:rPr>
                <w:rFonts w:hint="eastAsia" w:ascii="楷体_GB2312" w:hAnsi="楷体_GB2312" w:eastAsia="楷体_GB2312" w:cs="楷体_GB2312"/>
                <w:color w:val="000000" w:themeColor="text1"/>
                <w:spacing w:val="6"/>
                <w:kern w:val="0"/>
                <w:sz w:val="32"/>
                <w:szCs w:val="32"/>
                <w14:textFill>
                  <w14:solidFill>
                    <w14:schemeClr w14:val="tx1"/>
                  </w14:solidFill>
                </w14:textFill>
              </w:rPr>
              <w:t>进行安全处置；③对废渣堆积区原址、废渣安全处置场和取土场进行生态恢复，生态恢复面积合计约为38745.4</w:t>
            </w:r>
            <w:r>
              <w:rPr>
                <w:rFonts w:hint="eastAsia" w:ascii="楷体_GB2312" w:hAnsi="楷体_GB2312" w:eastAsia="楷体_GB2312" w:cs="楷体_GB2312"/>
                <w:color w:val="000000" w:themeColor="text1"/>
                <w:spacing w:val="6"/>
                <w:kern w:val="0"/>
                <w:sz w:val="32"/>
                <w:szCs w:val="32"/>
                <w:lang w:eastAsia="zh-CN"/>
                <w14:textFill>
                  <w14:solidFill>
                    <w14:schemeClr w14:val="tx1"/>
                  </w14:solidFill>
                </w14:textFill>
              </w:rPr>
              <w:t>㎡</w:t>
            </w:r>
            <w:r>
              <w:rPr>
                <w:rFonts w:hint="eastAsia" w:ascii="楷体_GB2312" w:hAnsi="楷体_GB2312" w:eastAsia="楷体_GB2312" w:cs="楷体_GB2312"/>
                <w:color w:val="000000" w:themeColor="text1"/>
                <w:spacing w:val="6"/>
                <w:kern w:val="0"/>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left"/>
              <w:textAlignment w:val="auto"/>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kern w:val="0"/>
                <w:sz w:val="32"/>
                <w:szCs w:val="32"/>
                <w14:textFill>
                  <w14:solidFill>
                    <w14:schemeClr w14:val="tx1"/>
                  </w14:solidFill>
                </w14:textFill>
              </w:rPr>
              <w:t>5.</w:t>
            </w:r>
            <w:r>
              <w:rPr>
                <w:rFonts w:hint="eastAsia" w:ascii="楷体_GB2312" w:hAnsi="楷体_GB2312" w:eastAsia="楷体_GB2312" w:cs="楷体_GB2312"/>
                <w:b/>
                <w:bCs/>
                <w:color w:val="000000" w:themeColor="text1"/>
                <w:sz w:val="32"/>
                <w:szCs w:val="32"/>
                <w14:textFill>
                  <w14:solidFill>
                    <w14:schemeClr w14:val="tx1"/>
                  </w14:solidFill>
                </w14:textFill>
              </w:rPr>
              <w:t>重点流域农业面源污染治理项目。</w:t>
            </w:r>
            <w:r>
              <w:rPr>
                <w:rFonts w:hint="eastAsia" w:ascii="楷体_GB2312" w:hAnsi="楷体_GB2312" w:eastAsia="楷体_GB2312" w:cs="楷体_GB2312"/>
                <w:color w:val="000000" w:themeColor="text1"/>
                <w:sz w:val="32"/>
                <w:szCs w:val="32"/>
                <w14:textFill>
                  <w14:solidFill>
                    <w14:schemeClr w14:val="tx1"/>
                  </w14:solidFill>
                </w14:textFill>
              </w:rPr>
              <w:t>①农田面源污染防治工程②畜禽养殖污染治理工程③水产养殖污染治理工程④农膜秸秆污染治理工程⑤配套工程。</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left"/>
              <w:textAlignment w:val="auto"/>
              <w:rPr>
                <w:rFonts w:hint="eastAsia" w:ascii="楷体_GB2312" w:hAnsi="楷体_GB2312" w:eastAsia="楷体_GB2312" w:cs="楷体_GB2312"/>
                <w:color w:val="000000" w:themeColor="text1"/>
                <w:kern w:val="0"/>
                <w:sz w:val="32"/>
                <w:szCs w:val="32"/>
                <w14:textFill>
                  <w14:solidFill>
                    <w14:schemeClr w14:val="tx1"/>
                  </w14:solidFill>
                </w14:textFill>
              </w:rPr>
            </w:pPr>
            <w:r>
              <w:rPr>
                <w:rFonts w:hint="eastAsia" w:ascii="楷体_GB2312" w:hAnsi="楷体_GB2312" w:eastAsia="楷体_GB2312" w:cs="楷体_GB2312"/>
                <w:b/>
                <w:bCs/>
                <w:color w:val="000000" w:themeColor="text1"/>
                <w:kern w:val="0"/>
                <w:sz w:val="32"/>
                <w:szCs w:val="32"/>
                <w14:textFill>
                  <w14:solidFill>
                    <w14:schemeClr w14:val="tx1"/>
                  </w14:solidFill>
                </w14:textFill>
              </w:rPr>
              <w:t>6.餐厨垃圾无害化处理与资源化利用项目。</w:t>
            </w:r>
            <w:r>
              <w:rPr>
                <w:rFonts w:hint="eastAsia" w:ascii="楷体_GB2312" w:hAnsi="楷体_GB2312" w:eastAsia="楷体_GB2312" w:cs="楷体_GB2312"/>
                <w:color w:val="000000" w:themeColor="text1"/>
                <w:kern w:val="0"/>
                <w:sz w:val="32"/>
                <w:szCs w:val="32"/>
                <w14:textFill>
                  <w14:solidFill>
                    <w14:schemeClr w14:val="tx1"/>
                  </w14:solidFill>
                </w14:textFill>
              </w:rPr>
              <w:t>总用地面积15亩，总建筑面积3800</w:t>
            </w:r>
            <w:r>
              <w:rPr>
                <w:rFonts w:hint="eastAsia" w:ascii="楷体_GB2312" w:hAnsi="楷体_GB2312" w:eastAsia="楷体_GB2312" w:cs="楷体_GB2312"/>
                <w:color w:val="000000" w:themeColor="text1"/>
                <w:kern w:val="0"/>
                <w:sz w:val="32"/>
                <w:szCs w:val="32"/>
                <w:lang w:eastAsia="zh-CN"/>
                <w14:textFill>
                  <w14:solidFill>
                    <w14:schemeClr w14:val="tx1"/>
                  </w14:solidFill>
                </w14:textFill>
              </w:rPr>
              <w:t>㎡</w:t>
            </w:r>
            <w:r>
              <w:rPr>
                <w:rFonts w:hint="eastAsia" w:ascii="楷体_GB2312" w:hAnsi="楷体_GB2312" w:eastAsia="楷体_GB2312" w:cs="楷体_GB2312"/>
                <w:color w:val="000000" w:themeColor="text1"/>
                <w:kern w:val="0"/>
                <w:sz w:val="32"/>
                <w:szCs w:val="32"/>
                <w14:textFill>
                  <w14:solidFill>
                    <w14:schemeClr w14:val="tx1"/>
                  </w14:solidFill>
                </w14:textFill>
              </w:rPr>
              <w:t>，新建50吨/日餐厨垃圾处理厂一座，购置沼液处理系统1套，餐厨垃圾收集车8辆，泥饼外运车1辆，餐厨垃圾收集桶3000个，项目建成后，处理餐厨垃圾50吨/日。</w:t>
            </w:r>
          </w:p>
          <w:p>
            <w:pPr>
              <w:adjustRightInd w:val="0"/>
              <w:snapToGrid w:val="0"/>
              <w:spacing w:line="580" w:lineRule="exact"/>
              <w:ind w:firstLine="643" w:firstLineChars="200"/>
              <w:jc w:val="left"/>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楷体_GB2312" w:hAnsi="楷体_GB2312" w:eastAsia="楷体_GB2312" w:cs="楷体_GB2312"/>
                <w:b/>
                <w:bCs/>
                <w:color w:val="000000" w:themeColor="text1"/>
                <w:kern w:val="0"/>
                <w:sz w:val="32"/>
                <w:szCs w:val="32"/>
                <w14:textFill>
                  <w14:solidFill>
                    <w14:schemeClr w14:val="tx1"/>
                  </w14:solidFill>
                </w14:textFill>
              </w:rPr>
              <w:t>7.会同县生态环境智慧监管平台建设项目。</w:t>
            </w:r>
            <w:r>
              <w:rPr>
                <w:rFonts w:hint="eastAsia" w:ascii="楷体_GB2312" w:hAnsi="楷体_GB2312" w:eastAsia="楷体_GB2312" w:cs="楷体_GB2312"/>
                <w:color w:val="000000" w:themeColor="text1"/>
                <w:kern w:val="0"/>
                <w:sz w:val="32"/>
                <w:szCs w:val="32"/>
                <w14:textFill>
                  <w14:solidFill>
                    <w14:schemeClr w14:val="tx1"/>
                  </w14:solidFill>
                </w14:textFill>
              </w:rPr>
              <w:t>整合空气质量、水质、污染源等“天空地一体化”监测网络；集成污染预警及企业“一企一档”动态管理功能，关联排污许可、风险防控数据；建立网格化协同执法机制，联动乡镇“四支队伍”，实现污染线索实时推送、闭环整改；同步推进重点区域（如饮用水源地）生态修复工程，强化跨区域联防联控，提升环境治理精准性。</w:t>
            </w:r>
            <w:bookmarkEnd w:id="115"/>
          </w:p>
        </w:tc>
      </w:tr>
    </w:tbl>
    <w:p>
      <w:pPr>
        <w:adjustRightInd w:val="0"/>
        <w:snapToGrid w:val="0"/>
        <w:spacing w:line="580" w:lineRule="exact"/>
        <w:rPr>
          <w:rFonts w:hint="eastAsia" w:ascii="仿宋_GB2312" w:hAnsi="仿宋_GB2312" w:eastAsia="仿宋_GB2312" w:cs="仿宋_GB2312"/>
          <w:color w:val="000000" w:themeColor="text1"/>
          <w:sz w:val="32"/>
          <w:szCs w:val="32"/>
          <w14:textFill>
            <w14:solidFill>
              <w14:schemeClr w14:val="tx1"/>
            </w14:solidFill>
          </w14:textFill>
        </w:rPr>
      </w:pPr>
    </w:p>
    <w:p>
      <w:pPr>
        <w:keepNext w:val="0"/>
        <w:keepLines w:val="0"/>
        <w:pageBreakBefore w:val="0"/>
        <w:kinsoku/>
        <w:wordWrap/>
        <w:overflowPunct/>
        <w:topLinePunct w:val="0"/>
        <w:autoSpaceDE/>
        <w:autoSpaceDN/>
        <w:bidi w:val="0"/>
        <w:adjustRightInd w:val="0"/>
        <w:snapToGrid w:val="0"/>
        <w:spacing w:line="540" w:lineRule="exact"/>
        <w:jc w:val="center"/>
        <w:textAlignment w:val="auto"/>
        <w:outlineLvl w:val="1"/>
        <w:rPr>
          <w:rFonts w:hint="eastAsia" w:ascii="黑体" w:hAnsi="黑体" w:eastAsia="黑体" w:cs="黑体"/>
          <w:color w:val="000000" w:themeColor="text1"/>
          <w:sz w:val="32"/>
          <w:szCs w:val="32"/>
          <w14:textFill>
            <w14:solidFill>
              <w14:schemeClr w14:val="tx1"/>
            </w14:solidFill>
          </w14:textFill>
        </w:rPr>
      </w:pPr>
      <w:bookmarkStart w:id="116" w:name="_Toc31829"/>
      <w:bookmarkStart w:id="117" w:name="_Toc235000798"/>
      <w:bookmarkStart w:id="118" w:name="_Toc214552686"/>
      <w:r>
        <w:rPr>
          <w:rFonts w:hint="eastAsia" w:ascii="黑体" w:hAnsi="黑体" w:eastAsia="黑体" w:cs="黑体"/>
          <w:color w:val="000000" w:themeColor="text1"/>
          <w:sz w:val="32"/>
          <w:szCs w:val="32"/>
          <w14:textFill>
            <w14:solidFill>
              <w14:schemeClr w14:val="tx1"/>
            </w14:solidFill>
          </w14:textFill>
        </w:rPr>
        <w:t>第二节 稳妥推进和实现碳达峰</w:t>
      </w:r>
      <w:bookmarkEnd w:id="116"/>
      <w:bookmarkEnd w:id="117"/>
      <w:bookmarkEnd w:id="118"/>
    </w:p>
    <w:p>
      <w:pPr>
        <w:keepNext w:val="0"/>
        <w:keepLines w:val="0"/>
        <w:pageBreakBefore w:val="0"/>
        <w:widowControl/>
        <w:kinsoku/>
        <w:wordWrap/>
        <w:overflowPunct/>
        <w:topLinePunct w:val="0"/>
        <w:autoSpaceDE/>
        <w:autoSpaceDN/>
        <w:bidi w:val="0"/>
        <w:adjustRightInd w:val="0"/>
        <w:snapToGrid w:val="0"/>
        <w:spacing w:line="540" w:lineRule="exact"/>
        <w:ind w:firstLine="643" w:firstLineChars="200"/>
        <w:jc w:val="left"/>
        <w:textAlignment w:val="auto"/>
        <w:rPr>
          <w:rFonts w:hint="eastAsia" w:ascii="楷体_GB2312" w:hAnsi="楷体_GB2312" w:eastAsia="楷体_GB2312" w:cs="楷体_GB2312"/>
          <w:b/>
          <w:bCs/>
          <w:color w:val="000000" w:themeColor="text1"/>
          <w:sz w:val="32"/>
          <w:szCs w:val="32"/>
          <w14:textFill>
            <w14:solidFill>
              <w14:schemeClr w14:val="tx1"/>
            </w14:solidFill>
          </w14:textFill>
        </w:rPr>
      </w:pPr>
    </w:p>
    <w:p>
      <w:pPr>
        <w:keepNext w:val="0"/>
        <w:keepLines w:val="0"/>
        <w:pageBreakBefore w:val="0"/>
        <w:widowControl/>
        <w:kinsoku/>
        <w:wordWrap/>
        <w:overflowPunct/>
        <w:topLinePunct w:val="0"/>
        <w:autoSpaceDE/>
        <w:autoSpaceDN/>
        <w:bidi w:val="0"/>
        <w:adjustRightInd w:val="0"/>
        <w:snapToGrid w:val="0"/>
        <w:spacing w:line="540" w:lineRule="exact"/>
        <w:ind w:firstLine="643" w:firstLineChars="200"/>
        <w:jc w:val="both"/>
        <w:textAlignment w:val="auto"/>
        <w:rPr>
          <w:rFonts w:hint="eastAsia" w:ascii="楷体_GB2312" w:hAnsi="楷体_GB2312" w:eastAsia="楷体_GB2312" w:cs="楷体_GB2312"/>
          <w:b/>
          <w:bCs/>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健全碳排放双控制度体系。</w:t>
      </w:r>
      <w:r>
        <w:rPr>
          <w:rFonts w:hint="eastAsia" w:ascii="仿宋_GB2312" w:hAnsi="仿宋_GB2312" w:eastAsia="仿宋_GB2312" w:cs="仿宋_GB2312"/>
          <w:color w:val="000000" w:themeColor="text1"/>
          <w:sz w:val="32"/>
          <w:szCs w:val="32"/>
          <w:lang w:bidi="ar"/>
          <w14:textFill>
            <w14:solidFill>
              <w14:schemeClr w14:val="tx1"/>
            </w14:solidFill>
          </w14:textFill>
        </w:rPr>
        <w:t>聚焦2030年前实现碳达峰和碳排放强度下降目标，根据《会同县碳达峰实施方案》落实好“碳达峰十大行动”目标任务。加强项目节能审查和碳排放评价、环境影响和温室气体排放评价、节能环保领域信用评价，支持新质生产力项目依法合规落地实施。</w:t>
      </w:r>
    </w:p>
    <w:p>
      <w:pPr>
        <w:keepNext w:val="0"/>
        <w:keepLines w:val="0"/>
        <w:pageBreakBefore w:val="0"/>
        <w:kinsoku/>
        <w:wordWrap/>
        <w:overflowPunct/>
        <w:topLinePunct w:val="0"/>
        <w:autoSpaceDE/>
        <w:autoSpaceDN/>
        <w:bidi w:val="0"/>
        <w:adjustRightInd w:val="0"/>
        <w:snapToGrid w:val="0"/>
        <w:spacing w:line="540" w:lineRule="exact"/>
        <w:ind w:firstLine="643"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培育绿色发展新动能。</w:t>
      </w:r>
      <w:r>
        <w:rPr>
          <w:rFonts w:hint="eastAsia" w:ascii="仿宋_GB2312" w:hAnsi="仿宋_GB2312" w:eastAsia="仿宋_GB2312" w:cs="仿宋_GB2312"/>
          <w:color w:val="000000" w:themeColor="text1"/>
          <w:sz w:val="32"/>
          <w:szCs w:val="32"/>
          <w14:textFill>
            <w14:solidFill>
              <w14:schemeClr w14:val="tx1"/>
            </w14:solidFill>
          </w14:textFill>
        </w:rPr>
        <w:t>加快构建新型能源体系。按照全社会新增用电量全部通过可再生能源和清洁能源电量来实现的目标，科学规划新能源发展项目。加快推动环保、能源等领域绿色低碳技术成果转化为产业竞争优势。全面推进“芙蓉计划”“五溪人才计划”在会落地，深入实施“湘智兴湘”行动和科技“候鸟行”，积极开展县级各类人才项目，加大资源环境与绿色低碳领域科技人才（柔性）引进支持力度。</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打造绿色低碳发展新高地。</w:t>
      </w:r>
      <w:r>
        <w:rPr>
          <w:rFonts w:hint="eastAsia" w:ascii="仿宋_GB2312" w:hAnsi="仿宋_GB2312" w:eastAsia="仿宋_GB2312" w:cs="仿宋_GB2312"/>
          <w:color w:val="000000" w:themeColor="text1"/>
          <w:sz w:val="32"/>
          <w:szCs w:val="32"/>
          <w14:textFill>
            <w14:solidFill>
              <w14:schemeClr w14:val="tx1"/>
            </w14:solidFill>
          </w14:textFill>
        </w:rPr>
        <w:t>加快构建能源转型、产业升级新模式，推广应用绿色技术，探索具有我县特色的绿色低碳高质量发展新路径。一是用循环经济理念指导我县产业开发区的发展，探索将能耗、碳排放等相关指标纳入园区企业准入门槛。按照空间布局合理化、产业结构最优化、产业链接循环化、资源利用高效化、污染治理集中化、基础设施绿色化、运行管理规范化的要求，积极开展园区循环化改造。二是组织开展 湖南省级零碳园区建设申报工作，加快绿电直供、节能降碳、以绿制绿、数智赋能等项目建设和制度创新。三是打造中医药产业链、生猪全产业链、竹木精深加工产业链等7大重点产业链，加快推动重大产业项目落地见效，加快拉杆箱包专业化特色产业园、水坪溪电子信息产业园、会同农林产品科创产业园、再生资源循环利用产业园、会同县竹产品绿色低碳产业园建设。积极引导推动本土企业开展外贸业务，加大竹木、箱包、特色农产品等出口。</w:t>
      </w:r>
    </w:p>
    <w:p>
      <w:pPr>
        <w:widowControl/>
        <w:spacing w:line="580" w:lineRule="exact"/>
        <w:ind w:firstLine="643" w:firstLineChars="200"/>
        <w:jc w:val="left"/>
        <w:rPr>
          <w:rFonts w:ascii="仿宋_GB2312" w:hAnsi="仿宋_GB2312" w:eastAsia="仿宋_GB2312" w:cs="仿宋_GB2312"/>
          <w:color w:val="000000" w:themeColor="text1"/>
          <w:sz w:val="32"/>
          <w:szCs w:val="32"/>
          <w:lang w:bidi="ar"/>
          <w14:textFill>
            <w14:solidFill>
              <w14:schemeClr w14:val="tx1"/>
            </w14:solidFill>
          </w14:textFill>
        </w:rPr>
      </w:pPr>
      <w:r>
        <w:rPr>
          <w:rFonts w:hint="eastAsia" w:ascii="楷体_GB2312" w:hAnsi="楷体_GB2312" w:eastAsia="楷体_GB2312" w:cs="楷体_GB2312"/>
          <w:b/>
          <w:bCs/>
          <w:color w:val="000000" w:themeColor="text1"/>
          <w:sz w:val="32"/>
          <w:szCs w:val="32"/>
          <w:lang w:bidi="ar"/>
          <w14:textFill>
            <w14:solidFill>
              <w14:schemeClr w14:val="tx1"/>
            </w14:solidFill>
          </w14:textFill>
        </w:rPr>
        <w:t>构建绿色转型新模式。</w:t>
      </w:r>
      <w:r>
        <w:rPr>
          <w:rFonts w:hint="eastAsia" w:ascii="仿宋_GB2312" w:hAnsi="仿宋_GB2312" w:eastAsia="仿宋_GB2312" w:cs="仿宋_GB2312"/>
          <w:color w:val="000000" w:themeColor="text1"/>
          <w:sz w:val="32"/>
          <w:szCs w:val="32"/>
          <w:lang w:bidi="ar"/>
          <w14:textFill>
            <w14:solidFill>
              <w14:schemeClr w14:val="tx1"/>
            </w14:solidFill>
          </w14:textFill>
        </w:rPr>
        <w:t>持续推进碳汇试点和湘林碳票的应用推广工作，深化林权等生态资源权益市场化交易，完成地灵白土冲湘林碳票项目开发工作，开展生态司法+碳汇交易、会议碳中和、零碳赛事、零碳机关等应用场景。加大绿色金融支持。统筹财政、金融与产业政策，引导各类金融机构主动探索绿色信贷业务全产品、多渠道创新，拓展碳排放权、排污权、用水权等环境权益抵质押信贷业务。引导保险公司优化巨灾保险、环境责任保险等绿色保险服务，创新发展碳排放交易保险等产品，提升绿色转型的风险保障能力。</w:t>
      </w:r>
    </w:p>
    <w:p>
      <w:pPr>
        <w:pStyle w:val="2"/>
        <w:rPr>
          <w:rFonts w:hint="eastAsia"/>
          <w:color w:val="000000" w:themeColor="text1"/>
          <w:lang w:bidi="ar"/>
          <w14:textFill>
            <w14:solidFill>
              <w14:schemeClr w14:val="tx1"/>
            </w14:solidFill>
          </w14:textFill>
        </w:rPr>
      </w:pPr>
    </w:p>
    <w:tbl>
      <w:tblPr>
        <w:tblStyle w:val="33"/>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2" w:type="dxa"/>
          </w:tcPr>
          <w:p>
            <w:pPr>
              <w:adjustRightInd w:val="0"/>
              <w:snapToGrid w:val="0"/>
              <w:spacing w:line="580" w:lineRule="exact"/>
              <w:jc w:val="center"/>
              <w:rPr>
                <w:rFonts w:hint="eastAsia" w:ascii="黑体" w:hAnsi="黑体" w:eastAsia="黑体" w:cs="黑体"/>
                <w:color w:val="000000" w:themeColor="text1"/>
                <w:kern w:val="0"/>
                <w:sz w:val="28"/>
                <w:szCs w:val="28"/>
                <w14:textFill>
                  <w14:solidFill>
                    <w14:schemeClr w14:val="tx1"/>
                  </w14:solidFill>
                </w14:textFill>
              </w:rPr>
            </w:pPr>
            <w:r>
              <w:rPr>
                <w:rFonts w:hint="eastAsia" w:ascii="黑体" w:hAnsi="黑体" w:eastAsia="黑体" w:cs="黑体"/>
                <w:color w:val="000000" w:themeColor="text1"/>
                <w:kern w:val="0"/>
                <w:sz w:val="32"/>
                <w:szCs w:val="32"/>
                <w14:textFill>
                  <w14:solidFill>
                    <w14:schemeClr w14:val="tx1"/>
                  </w14:solidFill>
                </w14:textFill>
              </w:rPr>
              <w:t>专栏</w:t>
            </w:r>
            <w:r>
              <w:rPr>
                <w:rFonts w:hint="eastAsia" w:ascii="Times New Roman" w:hAnsi="Times New Roman" w:eastAsia="黑体" w:cs="Times New Roman"/>
                <w:color w:val="000000" w:themeColor="text1"/>
                <w:kern w:val="0"/>
                <w:sz w:val="32"/>
                <w:szCs w:val="32"/>
                <w14:textFill>
                  <w14:solidFill>
                    <w14:schemeClr w14:val="tx1"/>
                  </w14:solidFill>
                </w14:textFill>
                <w14:ligatures w14:val="none"/>
              </w:rPr>
              <w:t>27</w:t>
            </w:r>
            <w:r>
              <w:rPr>
                <w:rFonts w:hint="eastAsia" w:ascii="黑体" w:hAnsi="黑体" w:eastAsia="黑体" w:cs="黑体"/>
                <w:color w:val="000000" w:themeColor="text1"/>
                <w:kern w:val="0"/>
                <w:sz w:val="32"/>
                <w:szCs w:val="32"/>
                <w14:textFill>
                  <w14:solidFill>
                    <w14:schemeClr w14:val="tx1"/>
                  </w14:solidFill>
                </w14:textFill>
              </w:rPr>
              <w:t xml:space="preserve"> 稳妥推进和实现碳达峰项目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2" w:type="dxa"/>
          </w:tcPr>
          <w:p>
            <w:pPr>
              <w:adjustRightInd w:val="0"/>
              <w:snapToGrid w:val="0"/>
              <w:spacing w:line="580" w:lineRule="exact"/>
              <w:ind w:firstLine="643" w:firstLineChars="200"/>
              <w:jc w:val="left"/>
              <w:rPr>
                <w:rFonts w:hint="eastAsia" w:ascii="楷体_GB2312" w:hAnsi="楷体_GB2312" w:eastAsia="楷体_GB2312" w:cs="楷体_GB2312"/>
                <w:color w:val="000000" w:themeColor="text1"/>
                <w:kern w:val="0"/>
                <w:sz w:val="32"/>
                <w:szCs w:val="32"/>
                <w14:textFill>
                  <w14:solidFill>
                    <w14:schemeClr w14:val="tx1"/>
                  </w14:solidFill>
                </w14:textFill>
              </w:rPr>
            </w:pPr>
            <w:bookmarkStart w:id="119" w:name="_Hlk215329658"/>
            <w:r>
              <w:rPr>
                <w:rFonts w:hint="eastAsia" w:ascii="楷体_GB2312" w:hAnsi="楷体_GB2312" w:eastAsia="楷体_GB2312" w:cs="楷体_GB2312"/>
                <w:b/>
                <w:bCs/>
                <w:color w:val="000000" w:themeColor="text1"/>
                <w:kern w:val="0"/>
                <w:sz w:val="32"/>
                <w:szCs w:val="32"/>
                <w14:textFill>
                  <w14:solidFill>
                    <w14:schemeClr w14:val="tx1"/>
                  </w14:solidFill>
                </w14:textFill>
              </w:rPr>
              <w:t>1.雪峰山西南四百万亩连片竹林资源“以竹代塑”综合开发项目。</w:t>
            </w:r>
            <w:r>
              <w:rPr>
                <w:rFonts w:hint="eastAsia" w:ascii="楷体_GB2312" w:hAnsi="楷体_GB2312" w:eastAsia="楷体_GB2312" w:cs="楷体_GB2312"/>
                <w:color w:val="000000" w:themeColor="text1"/>
                <w:kern w:val="0"/>
                <w:sz w:val="32"/>
                <w:szCs w:val="32"/>
                <w14:textFill>
                  <w14:solidFill>
                    <w14:schemeClr w14:val="tx1"/>
                  </w14:solidFill>
                </w14:textFill>
              </w:rPr>
              <w:t>建设楠竹基地培育30万亩，新修竹林道1500千米，建设竹基全降解复合材料项目等“以竹代塑”精深加工项目3个，竹产品集散中心1个、占地面积214亩，竹产品科研中心1个、建筑面积4000</w:t>
            </w:r>
            <w:r>
              <w:rPr>
                <w:rFonts w:hint="eastAsia" w:ascii="楷体_GB2312" w:hAnsi="楷体_GB2312" w:eastAsia="楷体_GB2312" w:cs="楷体_GB2312"/>
                <w:color w:val="000000" w:themeColor="text1"/>
                <w:kern w:val="0"/>
                <w:sz w:val="32"/>
                <w:szCs w:val="32"/>
                <w:lang w:eastAsia="zh-CN"/>
                <w14:textFill>
                  <w14:solidFill>
                    <w14:schemeClr w14:val="tx1"/>
                  </w14:solidFill>
                </w14:textFill>
              </w:rPr>
              <w:t>㎡</w:t>
            </w:r>
            <w:r>
              <w:rPr>
                <w:rFonts w:hint="eastAsia" w:ascii="楷体_GB2312" w:hAnsi="楷体_GB2312" w:eastAsia="楷体_GB2312" w:cs="楷体_GB2312"/>
                <w:color w:val="000000" w:themeColor="text1"/>
                <w:kern w:val="0"/>
                <w:sz w:val="32"/>
                <w:szCs w:val="32"/>
                <w14:textFill>
                  <w14:solidFill>
                    <w14:schemeClr w14:val="tx1"/>
                  </w14:solidFill>
                </w14:textFill>
              </w:rPr>
              <w:t>。</w:t>
            </w:r>
          </w:p>
          <w:p>
            <w:pPr>
              <w:adjustRightInd w:val="0"/>
              <w:snapToGrid w:val="0"/>
              <w:spacing w:line="580" w:lineRule="exact"/>
              <w:ind w:firstLine="643" w:firstLineChars="200"/>
              <w:jc w:val="left"/>
              <w:rPr>
                <w:rFonts w:hint="eastAsia" w:ascii="楷体_GB2312" w:hAnsi="楷体_GB2312" w:eastAsia="楷体_GB2312" w:cs="楷体_GB2312"/>
                <w:color w:val="000000" w:themeColor="text1"/>
                <w:kern w:val="0"/>
                <w:sz w:val="32"/>
                <w:szCs w:val="32"/>
                <w14:textFill>
                  <w14:solidFill>
                    <w14:schemeClr w14:val="tx1"/>
                  </w14:solidFill>
                </w14:textFill>
              </w:rPr>
            </w:pPr>
            <w:r>
              <w:rPr>
                <w:rFonts w:hint="eastAsia" w:ascii="楷体_GB2312" w:hAnsi="楷体_GB2312" w:eastAsia="楷体_GB2312" w:cs="楷体_GB2312"/>
                <w:b/>
                <w:bCs/>
                <w:color w:val="000000" w:themeColor="text1"/>
                <w:kern w:val="0"/>
                <w:sz w:val="32"/>
                <w:szCs w:val="32"/>
                <w14:textFill>
                  <w14:solidFill>
                    <w14:schemeClr w14:val="tx1"/>
                  </w14:solidFill>
                </w14:textFill>
              </w:rPr>
              <w:t>2.国家储备林建设项目。</w:t>
            </w:r>
            <w:r>
              <w:rPr>
                <w:rFonts w:hint="eastAsia" w:ascii="楷体_GB2312" w:hAnsi="楷体_GB2312" w:eastAsia="楷体_GB2312" w:cs="楷体_GB2312"/>
                <w:color w:val="000000" w:themeColor="text1"/>
                <w:kern w:val="0"/>
                <w:sz w:val="32"/>
                <w:szCs w:val="32"/>
                <w14:textFill>
                  <w14:solidFill>
                    <w14:schemeClr w14:val="tx1"/>
                  </w14:solidFill>
                </w14:textFill>
              </w:rPr>
              <w:t>集约人工林栽培10万亩，现有林改培70万亩，中幼林抚育20万亩；防火林道等配套设施建设。集约人工林栽培、现有林改培、中幼林抚育，防火林道建设等配套设施建设。</w:t>
            </w:r>
          </w:p>
          <w:p>
            <w:pPr>
              <w:adjustRightInd w:val="0"/>
              <w:snapToGrid w:val="0"/>
              <w:spacing w:line="580" w:lineRule="exact"/>
              <w:ind w:firstLine="643" w:firstLineChars="200"/>
              <w:jc w:val="left"/>
              <w:rPr>
                <w:rFonts w:hint="eastAsia" w:ascii="楷体_GB2312" w:hAnsi="楷体_GB2312" w:eastAsia="楷体_GB2312" w:cs="楷体_GB2312"/>
                <w:color w:val="000000" w:themeColor="text1"/>
                <w:kern w:val="0"/>
                <w:sz w:val="32"/>
                <w:szCs w:val="32"/>
                <w14:textFill>
                  <w14:solidFill>
                    <w14:schemeClr w14:val="tx1"/>
                  </w14:solidFill>
                </w14:textFill>
              </w:rPr>
            </w:pPr>
            <w:r>
              <w:rPr>
                <w:rFonts w:hint="eastAsia" w:ascii="楷体_GB2312" w:hAnsi="楷体_GB2312" w:eastAsia="楷体_GB2312" w:cs="楷体_GB2312"/>
                <w:b/>
                <w:bCs/>
                <w:color w:val="000000" w:themeColor="text1"/>
                <w:kern w:val="0"/>
                <w:sz w:val="32"/>
                <w:szCs w:val="32"/>
                <w14:textFill>
                  <w14:solidFill>
                    <w14:schemeClr w14:val="tx1"/>
                  </w14:solidFill>
                </w14:textFill>
              </w:rPr>
              <w:t>3.再生资源绿色分拣中心建设项目。</w:t>
            </w:r>
            <w:r>
              <w:rPr>
                <w:rFonts w:hint="eastAsia" w:ascii="楷体_GB2312" w:hAnsi="楷体_GB2312" w:eastAsia="楷体_GB2312" w:cs="楷体_GB2312"/>
                <w:color w:val="000000" w:themeColor="text1"/>
                <w:kern w:val="0"/>
                <w:sz w:val="32"/>
                <w:szCs w:val="32"/>
                <w14:textFill>
                  <w14:solidFill>
                    <w14:schemeClr w14:val="tx1"/>
                  </w14:solidFill>
                </w14:textFill>
              </w:rPr>
              <w:t>厂房总用地面积10000</w:t>
            </w:r>
            <w:r>
              <w:rPr>
                <w:rFonts w:hint="eastAsia" w:ascii="楷体_GB2312" w:hAnsi="楷体_GB2312" w:eastAsia="楷体_GB2312" w:cs="楷体_GB2312"/>
                <w:color w:val="000000" w:themeColor="text1"/>
                <w:kern w:val="0"/>
                <w:sz w:val="32"/>
                <w:szCs w:val="32"/>
                <w:lang w:eastAsia="zh-CN"/>
                <w14:textFill>
                  <w14:solidFill>
                    <w14:schemeClr w14:val="tx1"/>
                  </w14:solidFill>
                </w14:textFill>
              </w:rPr>
              <w:t>㎡</w:t>
            </w:r>
            <w:r>
              <w:rPr>
                <w:rFonts w:hint="eastAsia" w:ascii="楷体_GB2312" w:hAnsi="楷体_GB2312" w:eastAsia="楷体_GB2312" w:cs="楷体_GB2312"/>
                <w:color w:val="000000" w:themeColor="text1"/>
                <w:kern w:val="0"/>
                <w:sz w:val="32"/>
                <w:szCs w:val="32"/>
                <w14:textFill>
                  <w14:solidFill>
                    <w14:schemeClr w14:val="tx1"/>
                  </w14:solidFill>
                </w14:textFill>
              </w:rPr>
              <w:t>，建设综合性再生资源绿色分拣中心1个，实现年回收分拣各类废旧产品设备及废塑废纸等再生资源10万吨。</w:t>
            </w:r>
          </w:p>
          <w:p>
            <w:pPr>
              <w:adjustRightInd w:val="0"/>
              <w:snapToGrid w:val="0"/>
              <w:spacing w:line="580" w:lineRule="exact"/>
              <w:ind w:firstLine="643" w:firstLineChars="200"/>
              <w:jc w:val="left"/>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楷体_GB2312" w:hAnsi="楷体_GB2312" w:eastAsia="楷体_GB2312" w:cs="楷体_GB2312"/>
                <w:b/>
                <w:bCs/>
                <w:color w:val="000000" w:themeColor="text1"/>
                <w:kern w:val="0"/>
                <w:sz w:val="32"/>
                <w:szCs w:val="32"/>
                <w14:textFill>
                  <w14:solidFill>
                    <w14:schemeClr w14:val="tx1"/>
                  </w14:solidFill>
                </w14:textFill>
              </w:rPr>
              <w:t>4.建筑垃圾资源化综合利用项目。</w:t>
            </w:r>
            <w:r>
              <w:rPr>
                <w:rFonts w:hint="eastAsia" w:ascii="楷体_GB2312" w:hAnsi="楷体_GB2312" w:eastAsia="楷体_GB2312" w:cs="楷体_GB2312"/>
                <w:color w:val="000000" w:themeColor="text1"/>
                <w:kern w:val="0"/>
                <w:sz w:val="32"/>
                <w:szCs w:val="32"/>
                <w14:textFill>
                  <w14:solidFill>
                    <w14:schemeClr w14:val="tx1"/>
                  </w14:solidFill>
                </w14:textFill>
              </w:rPr>
              <w:t>项目用地49.65亩，总建筑面积约22000㎡，建设1座年处理30万吨建筑垃圾的资源化利用基地。</w:t>
            </w:r>
            <w:bookmarkEnd w:id="119"/>
          </w:p>
        </w:tc>
      </w:tr>
    </w:tbl>
    <w:p>
      <w:pPr>
        <w:adjustRightInd w:val="0"/>
        <w:snapToGrid w:val="0"/>
        <w:spacing w:line="580" w:lineRule="exact"/>
        <w:jc w:val="center"/>
        <w:rPr>
          <w:rFonts w:ascii="黑体" w:hAnsi="黑体" w:eastAsia="黑体" w:cs="黑体"/>
          <w:color w:val="000000" w:themeColor="text1"/>
          <w:sz w:val="32"/>
          <w:szCs w:val="32"/>
          <w14:textFill>
            <w14:solidFill>
              <w14:schemeClr w14:val="tx1"/>
            </w14:solidFill>
          </w14:textFill>
        </w:rPr>
      </w:pPr>
      <w:bookmarkStart w:id="120" w:name="_Toc18050"/>
      <w:bookmarkStart w:id="121" w:name="_Toc214552687"/>
    </w:p>
    <w:p>
      <w:pPr>
        <w:pStyle w:val="2"/>
        <w:rPr>
          <w:rFonts w:hint="eastAsia"/>
          <w:color w:val="000000" w:themeColor="text1"/>
          <w14:textFill>
            <w14:solidFill>
              <w14:schemeClr w14:val="tx1"/>
            </w14:solidFill>
          </w14:textFill>
        </w:rPr>
      </w:pPr>
    </w:p>
    <w:p>
      <w:pPr>
        <w:adjustRightInd w:val="0"/>
        <w:snapToGrid w:val="0"/>
        <w:spacing w:line="580" w:lineRule="exact"/>
        <w:jc w:val="center"/>
        <w:outlineLvl w:val="1"/>
        <w:rPr>
          <w:rFonts w:hint="eastAsia" w:ascii="黑体" w:hAnsi="黑体" w:eastAsia="黑体" w:cs="黑体"/>
          <w:color w:val="000000" w:themeColor="text1"/>
          <w:sz w:val="32"/>
          <w:szCs w:val="32"/>
          <w14:textFill>
            <w14:solidFill>
              <w14:schemeClr w14:val="tx1"/>
            </w14:solidFill>
          </w14:textFill>
        </w:rPr>
      </w:pPr>
      <w:bookmarkStart w:id="122" w:name="_Toc235000799"/>
    </w:p>
    <w:p>
      <w:pPr>
        <w:adjustRightInd w:val="0"/>
        <w:snapToGrid w:val="0"/>
        <w:spacing w:line="580" w:lineRule="exact"/>
        <w:jc w:val="center"/>
        <w:outlineLvl w:val="1"/>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第三节 加快形成绿色生产生活方式</w:t>
      </w:r>
      <w:bookmarkEnd w:id="122"/>
    </w:p>
    <w:bookmarkEnd w:id="120"/>
    <w:bookmarkEnd w:id="121"/>
    <w:p>
      <w:pPr>
        <w:adjustRightInd w:val="0"/>
        <w:snapToGrid w:val="0"/>
        <w:spacing w:line="580" w:lineRule="exact"/>
        <w:ind w:firstLine="643" w:firstLineChars="200"/>
        <w:rPr>
          <w:rFonts w:hint="eastAsia" w:ascii="楷体_GB2312" w:hAnsi="楷体_GB2312" w:eastAsia="楷体_GB2312" w:cs="楷体_GB2312"/>
          <w:b/>
          <w:bCs/>
          <w:color w:val="000000" w:themeColor="text1"/>
          <w:sz w:val="32"/>
          <w:szCs w:val="32"/>
          <w14:textFill>
            <w14:solidFill>
              <w14:schemeClr w14:val="tx1"/>
            </w14:solidFill>
          </w14:textFill>
        </w:rPr>
      </w:pPr>
    </w:p>
    <w:p>
      <w:pPr>
        <w:adjustRightInd w:val="0"/>
        <w:snapToGrid w:val="0"/>
        <w:spacing w:line="580" w:lineRule="exact"/>
        <w:ind w:firstLine="643" w:firstLineChars="200"/>
        <w:rPr>
          <w:rFonts w:hint="eastAsia" w:ascii="楷体_GB2312" w:hAnsi="楷体_GB2312" w:eastAsia="楷体_GB2312" w:cs="楷体_GB2312"/>
          <w:b/>
          <w:bCs/>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构建绿色低碳产业体系。</w:t>
      </w:r>
      <w:r>
        <w:rPr>
          <w:rFonts w:hint="eastAsia" w:ascii="仿宋_GB2312" w:hAnsi="仿宋_GB2312" w:eastAsia="仿宋_GB2312" w:cs="仿宋_GB2312"/>
          <w:color w:val="000000" w:themeColor="text1"/>
          <w:sz w:val="32"/>
          <w:szCs w:val="32"/>
          <w14:textFill>
            <w14:solidFill>
              <w14:schemeClr w14:val="tx1"/>
            </w14:solidFill>
          </w14:textFill>
        </w:rPr>
        <w:t>发展生态农业，推广“中药材+林下经济+科研科普+休闲康养”的综合生态模式。夯实生态工业基底，加快重点产业绿色转型升级。发挥“天然氧吧”优势，建设森林步道，打造“渠水生态走廊”“鹰嘴界森林康养”等精品路线，加快区域生态文旅一体化发展。严格控制碳排放总量和强度，严管高耗能项目上马，持续推动传统产业节能降碳改造，积极稳妥实现碳达峰目标。</w:t>
      </w:r>
    </w:p>
    <w:p>
      <w:pPr>
        <w:adjustRightInd w:val="0"/>
        <w:snapToGrid w:val="0"/>
        <w:spacing w:line="580" w:lineRule="exact"/>
        <w:ind w:firstLine="643" w:firstLineChars="200"/>
        <w:rPr>
          <w:rFonts w:hint="eastAsia" w:ascii="楷体_GB2312" w:hAnsi="楷体_GB2312" w:eastAsia="楷体_GB2312" w:cs="楷体_GB2312"/>
          <w:b/>
          <w:bCs/>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优化能源结构与资源配置。</w:t>
      </w:r>
      <w:r>
        <w:rPr>
          <w:rFonts w:hint="eastAsia" w:ascii="仿宋_GB2312" w:hAnsi="仿宋_GB2312" w:eastAsia="仿宋_GB2312" w:cs="仿宋_GB2312"/>
          <w:color w:val="000000" w:themeColor="text1"/>
          <w:sz w:val="32"/>
          <w:szCs w:val="32"/>
          <w14:textFill>
            <w14:solidFill>
              <w14:schemeClr w14:val="tx1"/>
            </w14:solidFill>
          </w14:textFill>
        </w:rPr>
        <w:t>推进工业、建筑、交通等重点领域绿色节能改造。支持新能源产业发展，推进风电、光伏、储能等项目建设，到2030年新能源发电总装机容量达60万千瓦。优化能源消费结构，合理控制煤炭消费，扩大天然气、可再生能源利用规模。加快构建新型电力系统。推进城乡居民生活能源清洁化。加强重点用能单位监管，建立能耗在线监测系统。依托森林资源优势，积极探索碳汇改革试点，加强林业碳汇项目开发管理，巩固国家重要生态功能区建设，为区域碳中和奠定坚实基础。</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完善资源循环利用体系。</w:t>
      </w:r>
      <w:r>
        <w:rPr>
          <w:rFonts w:hint="eastAsia" w:ascii="仿宋_GB2312" w:hAnsi="仿宋_GB2312" w:eastAsia="仿宋_GB2312" w:cs="仿宋_GB2312"/>
          <w:color w:val="000000" w:themeColor="text1"/>
          <w:sz w:val="32"/>
          <w:szCs w:val="32"/>
          <w14:textFill>
            <w14:solidFill>
              <w14:schemeClr w14:val="tx1"/>
            </w14:solidFill>
          </w14:textFill>
        </w:rPr>
        <w:t>推动建设县级再生资源回收利用中心，完善县、乡、村三级回收网络，重点推进废旧金属、塑料、玻璃等资源回收利用。推动工业固废资源化利用，支持竹木加工企业利用边角料生产生物质颗粒燃料。提高垃圾分类和资源化利用水平，促进循环经济发展。健全资源总量管理和全面节约制度，推动经济社会发展全面绿色转型。</w:t>
      </w:r>
    </w:p>
    <w:p>
      <w:pPr>
        <w:adjustRightInd w:val="0"/>
        <w:snapToGrid w:val="0"/>
        <w:spacing w:line="580" w:lineRule="exact"/>
        <w:rPr>
          <w:rFonts w:hint="eastAsia"/>
          <w:color w:val="000000" w:themeColor="text1"/>
          <w:sz w:val="32"/>
          <w:szCs w:val="36"/>
          <w14:textFill>
            <w14:solidFill>
              <w14:schemeClr w14:val="tx1"/>
            </w14:solidFill>
          </w14:textFill>
        </w:rPr>
      </w:pPr>
    </w:p>
    <w:p>
      <w:pPr>
        <w:adjustRightInd w:val="0"/>
        <w:snapToGrid w:val="0"/>
        <w:spacing w:line="580" w:lineRule="exact"/>
        <w:jc w:val="center"/>
        <w:outlineLvl w:val="1"/>
        <w:rPr>
          <w:rFonts w:hint="eastAsia" w:ascii="黑体" w:hAnsi="黑体" w:eastAsia="黑体" w:cs="黑体"/>
          <w:color w:val="000000" w:themeColor="text1"/>
          <w:sz w:val="32"/>
          <w:szCs w:val="32"/>
          <w14:textFill>
            <w14:solidFill>
              <w14:schemeClr w14:val="tx1"/>
            </w14:solidFill>
          </w14:textFill>
        </w:rPr>
      </w:pPr>
      <w:bookmarkStart w:id="123" w:name="_Toc214552688"/>
      <w:bookmarkStart w:id="124" w:name="_Toc17518"/>
      <w:bookmarkStart w:id="125" w:name="_Toc235000800"/>
      <w:r>
        <w:rPr>
          <w:rFonts w:hint="eastAsia" w:ascii="黑体" w:hAnsi="黑体" w:eastAsia="黑体" w:cs="黑体"/>
          <w:color w:val="000000" w:themeColor="text1"/>
          <w:sz w:val="32"/>
          <w:szCs w:val="32"/>
          <w14:textFill>
            <w14:solidFill>
              <w14:schemeClr w14:val="tx1"/>
            </w14:solidFill>
          </w14:textFill>
        </w:rPr>
        <w:t>第四节 探索生态产品价值实现会同路径</w:t>
      </w:r>
      <w:bookmarkEnd w:id="123"/>
      <w:bookmarkEnd w:id="124"/>
      <w:bookmarkEnd w:id="125"/>
    </w:p>
    <w:p>
      <w:pPr>
        <w:adjustRightInd w:val="0"/>
        <w:snapToGrid w:val="0"/>
        <w:spacing w:line="580" w:lineRule="exact"/>
        <w:ind w:firstLine="643" w:firstLineChars="200"/>
        <w:rPr>
          <w:rFonts w:hint="eastAsia" w:ascii="楷体_GB2312" w:hAnsi="楷体_GB2312" w:eastAsia="楷体_GB2312" w:cs="楷体_GB2312"/>
          <w:b/>
          <w:bCs/>
          <w:color w:val="000000" w:themeColor="text1"/>
          <w:sz w:val="32"/>
          <w:szCs w:val="32"/>
          <w14:textFill>
            <w14:solidFill>
              <w14:schemeClr w14:val="tx1"/>
            </w14:solidFill>
          </w14:textFill>
        </w:rPr>
      </w:pP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健全生态产品价值核算与应用机制</w:t>
      </w:r>
      <w:r>
        <w:rPr>
          <w:rFonts w:hint="eastAsia" w:ascii="楷体_GB2312" w:hAnsi="楷体_GB2312" w:eastAsia="楷体_GB2312" w:cs="楷体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建成自然资源资产统计台账，形成生态产品监测和价值核算体系，常态化开展GEP核算。完成自然资源统一确权登记，推进自然资源资产摸底调查和全民所有自然资源资产清查。完善生态产品价值评价机制，推动核算结果在融资、市场交易、生态补偿中应用，使生态优势转化为经济优势。</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创新生态产品经营开发模式。</w:t>
      </w:r>
      <w:r>
        <w:rPr>
          <w:rFonts w:hint="eastAsia" w:ascii="仿宋_GB2312" w:hAnsi="仿宋_GB2312" w:eastAsia="仿宋_GB2312" w:cs="仿宋_GB2312"/>
          <w:color w:val="000000" w:themeColor="text1"/>
          <w:sz w:val="32"/>
          <w:szCs w:val="32"/>
          <w14:textFill>
            <w14:solidFill>
              <w14:schemeClr w14:val="tx1"/>
            </w14:solidFill>
          </w14:textFill>
        </w:rPr>
        <w:t>拓展农林等生态产品经营开发路径，深化集体林权制度改革，持续探索基于生态产品价值的绿色金融服务模式，重点落地林业碳票开发交易，扩大林权抵押贷款、林地林权流转交易和林业碳汇开发交易规模，推进国有林场发展，提升森林生态质量，形成特色生态产业“会同模式”。探索“生态+文旅”融合路径，整合鹰嘴界国家自然保护区、传统村落等资源开发“红色文化+生态康养”主题线路，打造湘黔边区生态文旅目的地，推动“绿水青山”向“金山银山”转化。</w:t>
      </w:r>
    </w:p>
    <w:p>
      <w:pPr>
        <w:adjustRightInd w:val="0"/>
        <w:snapToGrid w:val="0"/>
        <w:spacing w:line="580" w:lineRule="exact"/>
        <w:ind w:firstLine="643"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完善多元化生态保护补偿机制。</w:t>
      </w:r>
      <w:r>
        <w:rPr>
          <w:rFonts w:hint="eastAsia" w:ascii="仿宋_GB2312" w:hAnsi="仿宋_GB2312" w:eastAsia="仿宋_GB2312" w:cs="仿宋_GB2312"/>
          <w:color w:val="000000" w:themeColor="text1"/>
          <w:sz w:val="32"/>
          <w:szCs w:val="32"/>
          <w14:textFill>
            <w14:solidFill>
              <w14:schemeClr w14:val="tx1"/>
            </w14:solidFill>
          </w14:textFill>
        </w:rPr>
        <w:t>持续推进流域横向生态补偿机制，完善森林生态效益补偿动态调整机制，逐步提高公益林补偿标准，进一步推进生态环境损害赔偿。巩固和扩大集体林权制度改革成果，建立完善的森林资源保护发展机制。设立绿色产业发展基金，配套财税激励政策，撬动社会资本与金融机构并行参与。</w:t>
      </w:r>
    </w:p>
    <w:p>
      <w:pPr>
        <w:pStyle w:val="2"/>
        <w:rPr>
          <w:rFonts w:hint="eastAsia"/>
          <w:color w:val="000000" w:themeColor="text1"/>
          <w14:textFill>
            <w14:solidFill>
              <w14:schemeClr w14:val="tx1"/>
            </w14:solidFill>
          </w14:textFill>
        </w:rPr>
      </w:pPr>
    </w:p>
    <w:tbl>
      <w:tblPr>
        <w:tblStyle w:val="33"/>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9039" w:type="dxa"/>
          </w:tcPr>
          <w:p>
            <w:pPr>
              <w:adjustRightInd w:val="0"/>
              <w:snapToGrid w:val="0"/>
              <w:spacing w:line="580" w:lineRule="exact"/>
              <w:jc w:val="center"/>
              <w:rPr>
                <w:rFonts w:hint="eastAsia" w:ascii="黑体" w:hAnsi="黑体" w:eastAsia="黑体" w:cs="黑体"/>
                <w:color w:val="000000" w:themeColor="text1"/>
                <w:kern w:val="0"/>
                <w:sz w:val="28"/>
                <w:szCs w:val="28"/>
                <w14:textFill>
                  <w14:solidFill>
                    <w14:schemeClr w14:val="tx1"/>
                  </w14:solidFill>
                </w14:textFill>
              </w:rPr>
            </w:pPr>
            <w:r>
              <w:rPr>
                <w:rFonts w:hint="eastAsia" w:ascii="黑体" w:hAnsi="黑体" w:eastAsia="黑体" w:cs="黑体"/>
                <w:color w:val="000000" w:themeColor="text1"/>
                <w:kern w:val="0"/>
                <w:sz w:val="32"/>
                <w:szCs w:val="32"/>
                <w14:textFill>
                  <w14:solidFill>
                    <w14:schemeClr w14:val="tx1"/>
                  </w14:solidFill>
                </w14:textFill>
              </w:rPr>
              <w:t>专栏</w:t>
            </w:r>
            <w:r>
              <w:rPr>
                <w:rFonts w:hint="eastAsia" w:ascii="Times New Roman" w:hAnsi="Times New Roman" w:eastAsia="黑体" w:cs="Times New Roman"/>
                <w:color w:val="000000" w:themeColor="text1"/>
                <w:kern w:val="0"/>
                <w:sz w:val="32"/>
                <w:szCs w:val="32"/>
                <w14:textFill>
                  <w14:solidFill>
                    <w14:schemeClr w14:val="tx1"/>
                  </w14:solidFill>
                </w14:textFill>
                <w14:ligatures w14:val="none"/>
              </w:rPr>
              <w:t>28</w:t>
            </w:r>
            <w:r>
              <w:rPr>
                <w:rFonts w:hint="eastAsia" w:ascii="黑体" w:hAnsi="黑体" w:eastAsia="黑体" w:cs="黑体"/>
                <w:color w:val="000000" w:themeColor="text1"/>
                <w:kern w:val="0"/>
                <w:sz w:val="32"/>
                <w:szCs w:val="32"/>
                <w14:textFill>
                  <w14:solidFill>
                    <w14:schemeClr w14:val="tx1"/>
                  </w14:solidFill>
                </w14:textFill>
              </w:rPr>
              <w:t xml:space="preserve"> 探索生态产品价值实现项目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39" w:type="dxa"/>
          </w:tcPr>
          <w:p>
            <w:pPr>
              <w:keepNext w:val="0"/>
              <w:keepLines w:val="0"/>
              <w:pageBreakBefore w:val="0"/>
              <w:widowControl w:val="0"/>
              <w:numPr>
                <w:ilvl w:val="255"/>
                <w:numId w:val="0"/>
              </w:numPr>
              <w:kinsoku/>
              <w:wordWrap/>
              <w:overflowPunct/>
              <w:topLinePunct w:val="0"/>
              <w:autoSpaceDE/>
              <w:autoSpaceDN/>
              <w:bidi w:val="0"/>
              <w:adjustRightInd w:val="0"/>
              <w:snapToGrid w:val="0"/>
              <w:spacing w:line="600" w:lineRule="exact"/>
              <w:ind w:firstLine="643" w:firstLineChars="200"/>
              <w:jc w:val="left"/>
              <w:textAlignment w:val="auto"/>
              <w:rPr>
                <w:rFonts w:hint="eastAsia" w:ascii="楷体_GB2312" w:hAnsi="楷体_GB2312" w:eastAsia="楷体_GB2312" w:cs="楷体_GB2312"/>
                <w:color w:val="000000" w:themeColor="text1"/>
                <w:kern w:val="0"/>
                <w:sz w:val="32"/>
                <w:szCs w:val="32"/>
                <w14:textFill>
                  <w14:solidFill>
                    <w14:schemeClr w14:val="tx1"/>
                  </w14:solidFill>
                </w14:textFill>
              </w:rPr>
            </w:pPr>
            <w:bookmarkStart w:id="126" w:name="_Hlk215329700"/>
            <w:r>
              <w:rPr>
                <w:rFonts w:hint="eastAsia" w:ascii="楷体_GB2312" w:hAnsi="楷体_GB2312" w:eastAsia="楷体_GB2312" w:cs="楷体_GB2312"/>
                <w:b/>
                <w:bCs/>
                <w:color w:val="000000" w:themeColor="text1"/>
                <w:kern w:val="0"/>
                <w:sz w:val="32"/>
                <w:szCs w:val="32"/>
                <w14:textFill>
                  <w14:solidFill>
                    <w14:schemeClr w14:val="tx1"/>
                  </w14:solidFill>
                </w14:textFill>
              </w:rPr>
              <w:t>1.沅江流域连山片区神农大健康产业园生态产品价值实现项目。</w:t>
            </w:r>
            <w:r>
              <w:rPr>
                <w:rFonts w:hint="eastAsia" w:ascii="楷体_GB2312" w:hAnsi="楷体_GB2312" w:eastAsia="楷体_GB2312" w:cs="楷体_GB2312"/>
                <w:color w:val="000000" w:themeColor="text1"/>
                <w:kern w:val="0"/>
                <w:sz w:val="32"/>
                <w:szCs w:val="32"/>
                <w14:textFill>
                  <w14:solidFill>
                    <w14:schemeClr w14:val="tx1"/>
                  </w14:solidFill>
                </w14:textFill>
              </w:rPr>
              <w:t>具体建设内容：①生态环境保护与修复。水库山塘水质净化14.83万</w:t>
            </w:r>
            <w:r>
              <w:rPr>
                <w:rFonts w:hint="eastAsia" w:ascii="楷体_GB2312" w:hAnsi="楷体_GB2312" w:eastAsia="楷体_GB2312" w:cs="楷体_GB2312"/>
                <w:color w:val="000000" w:themeColor="text1"/>
                <w:kern w:val="0"/>
                <w:sz w:val="32"/>
                <w:szCs w:val="32"/>
                <w:lang w:eastAsia="zh-CN"/>
                <w14:textFill>
                  <w14:solidFill>
                    <w14:schemeClr w14:val="tx1"/>
                  </w14:solidFill>
                </w14:textFill>
              </w:rPr>
              <w:t>㎡</w:t>
            </w:r>
            <w:r>
              <w:rPr>
                <w:rFonts w:hint="eastAsia" w:ascii="楷体_GB2312" w:hAnsi="楷体_GB2312" w:eastAsia="楷体_GB2312" w:cs="楷体_GB2312"/>
                <w:color w:val="000000" w:themeColor="text1"/>
                <w:kern w:val="0"/>
                <w:sz w:val="32"/>
                <w:szCs w:val="32"/>
                <w14:textFill>
                  <w14:solidFill>
                    <w14:schemeClr w14:val="tx1"/>
                  </w14:solidFill>
                </w14:textFill>
              </w:rPr>
              <w:t>，建设生态塘、生态护坡、垃圾中转站等。②建设中药材种植示范基地7530亩。③建设中药材初加工厂、健康食品生产线与商贸物流集群。④系统构建“连山生态养生”区域公共品牌。⑤配套基础设施建设</w:t>
            </w:r>
          </w:p>
          <w:p>
            <w:pPr>
              <w:keepNext w:val="0"/>
              <w:keepLines w:val="0"/>
              <w:pageBreakBefore w:val="0"/>
              <w:widowControl w:val="0"/>
              <w:numPr>
                <w:ilvl w:val="255"/>
                <w:numId w:val="0"/>
              </w:numPr>
              <w:kinsoku/>
              <w:wordWrap/>
              <w:overflowPunct/>
              <w:topLinePunct w:val="0"/>
              <w:autoSpaceDE/>
              <w:autoSpaceDN/>
              <w:bidi w:val="0"/>
              <w:adjustRightInd w:val="0"/>
              <w:snapToGrid w:val="0"/>
              <w:spacing w:line="600" w:lineRule="exact"/>
              <w:ind w:firstLine="643" w:firstLineChars="200"/>
              <w:jc w:val="left"/>
              <w:textAlignment w:val="auto"/>
              <w:rPr>
                <w:rFonts w:hint="eastAsia" w:ascii="楷体_GB2312" w:hAnsi="楷体_GB2312" w:eastAsia="楷体_GB2312" w:cs="楷体_GB2312"/>
                <w:color w:val="000000" w:themeColor="text1"/>
                <w:kern w:val="0"/>
                <w:sz w:val="32"/>
                <w:szCs w:val="32"/>
                <w14:textFill>
                  <w14:solidFill>
                    <w14:schemeClr w14:val="tx1"/>
                  </w14:solidFill>
                </w14:textFill>
              </w:rPr>
            </w:pPr>
            <w:r>
              <w:rPr>
                <w:rFonts w:hint="eastAsia" w:ascii="楷体_GB2312" w:hAnsi="楷体_GB2312" w:eastAsia="楷体_GB2312" w:cs="楷体_GB2312"/>
                <w:b/>
                <w:bCs/>
                <w:color w:val="000000" w:themeColor="text1"/>
                <w:kern w:val="0"/>
                <w:sz w:val="32"/>
                <w:szCs w:val="32"/>
                <w14:textFill>
                  <w14:solidFill>
                    <w14:schemeClr w14:val="tx1"/>
                  </w14:solidFill>
                </w14:textFill>
              </w:rPr>
              <w:t>2.堡子文旅融合生态产品价值实现项目。</w:t>
            </w:r>
            <w:r>
              <w:rPr>
                <w:rFonts w:hint="eastAsia" w:ascii="楷体_GB2312" w:hAnsi="楷体_GB2312" w:eastAsia="楷体_GB2312" w:cs="楷体_GB2312"/>
                <w:color w:val="000000" w:themeColor="text1"/>
                <w:kern w:val="0"/>
                <w:sz w:val="32"/>
                <w:szCs w:val="32"/>
                <w14:textFill>
                  <w14:solidFill>
                    <w14:schemeClr w14:val="tx1"/>
                  </w14:solidFill>
                </w14:textFill>
              </w:rPr>
              <w:t>①油茶种植基地4300亩，杂交水稻制种基地3200亩，果蔬采摘体验基地300亩；②打造“堡子月饼”等“会同滋味”农产品精深加工集聚区，并建立覆盖油菜花蜜、月饼、茶油等产品的二维码溯源体系；③农文旅深度融合，发展花海T台等项目；④打造“会同五村”区域公共品牌，通过直播带货、电商平台等渠道拓展特色产品销售；⑤建设串联五村的生态景观廊道等基础设施。⑥环境综合治理项目。</w:t>
            </w:r>
          </w:p>
          <w:p>
            <w:pPr>
              <w:keepNext w:val="0"/>
              <w:keepLines w:val="0"/>
              <w:pageBreakBefore w:val="0"/>
              <w:widowControl w:val="0"/>
              <w:numPr>
                <w:ilvl w:val="255"/>
                <w:numId w:val="0"/>
              </w:numPr>
              <w:kinsoku/>
              <w:wordWrap/>
              <w:overflowPunct/>
              <w:topLinePunct w:val="0"/>
              <w:autoSpaceDE/>
              <w:autoSpaceDN/>
              <w:bidi w:val="0"/>
              <w:adjustRightInd w:val="0"/>
              <w:snapToGrid w:val="0"/>
              <w:spacing w:line="600" w:lineRule="exact"/>
              <w:ind w:firstLine="643" w:firstLineChars="200"/>
              <w:jc w:val="left"/>
              <w:textAlignment w:val="auto"/>
              <w:rPr>
                <w:rFonts w:hint="eastAsia" w:ascii="楷体_GB2312" w:hAnsi="楷体_GB2312" w:eastAsia="楷体_GB2312" w:cs="楷体_GB2312"/>
                <w:color w:val="000000" w:themeColor="text1"/>
                <w:kern w:val="0"/>
                <w:sz w:val="32"/>
                <w:szCs w:val="32"/>
                <w14:textFill>
                  <w14:solidFill>
                    <w14:schemeClr w14:val="tx1"/>
                  </w14:solidFill>
                </w14:textFill>
              </w:rPr>
            </w:pPr>
            <w:r>
              <w:rPr>
                <w:rFonts w:hint="eastAsia" w:ascii="楷体_GB2312" w:hAnsi="楷体_GB2312" w:eastAsia="楷体_GB2312" w:cs="楷体_GB2312"/>
                <w:b/>
                <w:bCs/>
                <w:color w:val="000000" w:themeColor="text1"/>
                <w:kern w:val="0"/>
                <w:sz w:val="32"/>
                <w:szCs w:val="32"/>
                <w14:textFill>
                  <w14:solidFill>
                    <w14:schemeClr w14:val="tx1"/>
                  </w14:solidFill>
                </w14:textFill>
              </w:rPr>
              <w:t>3.高椅古村文旅融合提升项目。</w:t>
            </w:r>
            <w:r>
              <w:rPr>
                <w:rFonts w:hint="eastAsia" w:ascii="楷体_GB2312" w:hAnsi="楷体_GB2312" w:eastAsia="楷体_GB2312" w:cs="楷体_GB2312"/>
                <w:color w:val="000000" w:themeColor="text1"/>
                <w:kern w:val="0"/>
                <w:sz w:val="32"/>
                <w:szCs w:val="32"/>
                <w14:textFill>
                  <w14:solidFill>
                    <w14:schemeClr w14:val="tx1"/>
                  </w14:solidFill>
                </w14:textFill>
              </w:rPr>
              <w:t>①生态基础设施提升工程；②古建筑保护与数字化传承；③生态文旅体验产品开发；④文化民俗；⑤智慧生态管理系统。</w:t>
            </w:r>
          </w:p>
          <w:p>
            <w:pPr>
              <w:keepNext w:val="0"/>
              <w:keepLines w:val="0"/>
              <w:pageBreakBefore w:val="0"/>
              <w:widowControl w:val="0"/>
              <w:numPr>
                <w:ilvl w:val="255"/>
                <w:numId w:val="0"/>
              </w:numPr>
              <w:kinsoku/>
              <w:wordWrap/>
              <w:overflowPunct/>
              <w:topLinePunct w:val="0"/>
              <w:autoSpaceDE/>
              <w:autoSpaceDN/>
              <w:bidi w:val="0"/>
              <w:adjustRightInd w:val="0"/>
              <w:snapToGrid w:val="0"/>
              <w:spacing w:line="600" w:lineRule="exact"/>
              <w:ind w:firstLine="643" w:firstLineChars="200"/>
              <w:jc w:val="left"/>
              <w:textAlignment w:val="auto"/>
              <w:rPr>
                <w:rFonts w:hint="eastAsia" w:ascii="楷体_GB2312" w:hAnsi="楷体_GB2312" w:eastAsia="楷体_GB2312" w:cs="楷体_GB2312"/>
                <w:color w:val="000000" w:themeColor="text1"/>
                <w:kern w:val="0"/>
                <w:sz w:val="32"/>
                <w:szCs w:val="32"/>
                <w14:textFill>
                  <w14:solidFill>
                    <w14:schemeClr w14:val="tx1"/>
                  </w14:solidFill>
                </w14:textFill>
              </w:rPr>
            </w:pPr>
            <w:r>
              <w:rPr>
                <w:rFonts w:hint="eastAsia" w:ascii="楷体_GB2312" w:hAnsi="楷体_GB2312" w:eastAsia="楷体_GB2312" w:cs="楷体_GB2312"/>
                <w:b/>
                <w:bCs/>
                <w:color w:val="000000" w:themeColor="text1"/>
                <w:kern w:val="0"/>
                <w:sz w:val="32"/>
                <w:szCs w:val="32"/>
                <w14:textFill>
                  <w14:solidFill>
                    <w14:schemeClr w14:val="tx1"/>
                  </w14:solidFill>
                </w14:textFill>
              </w:rPr>
              <w:t>4.粟裕故里红色生态融合示范区与绿色教育实践基地项目。</w:t>
            </w:r>
            <w:r>
              <w:rPr>
                <w:rFonts w:hint="eastAsia" w:ascii="楷体_GB2312" w:hAnsi="楷体_GB2312" w:eastAsia="楷体_GB2312" w:cs="楷体_GB2312"/>
                <w:color w:val="000000" w:themeColor="text1"/>
                <w:kern w:val="0"/>
                <w:sz w:val="32"/>
                <w:szCs w:val="32"/>
                <w14:textFill>
                  <w14:solidFill>
                    <w14:schemeClr w14:val="tx1"/>
                  </w14:solidFill>
                </w14:textFill>
              </w:rPr>
              <w:t>①红色生态步道系统整合与提升；②青岗冲生态体验与户外教育基地；③生态型红色文化展示与体验；④社区参与型生态产品开发红色生态农产品品牌。</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left"/>
              <w:textAlignment w:val="auto"/>
              <w:rPr>
                <w:rFonts w:hint="eastAsia" w:ascii="楷体_GB2312" w:hAnsi="楷体_GB2312" w:eastAsia="楷体_GB2312" w:cs="楷体_GB2312"/>
                <w:color w:val="000000" w:themeColor="text1"/>
                <w:kern w:val="0"/>
                <w:sz w:val="32"/>
                <w:szCs w:val="32"/>
                <w14:textFill>
                  <w14:solidFill>
                    <w14:schemeClr w14:val="tx1"/>
                  </w14:solidFill>
                </w14:textFill>
              </w:rPr>
            </w:pPr>
            <w:r>
              <w:rPr>
                <w:rFonts w:hint="eastAsia" w:ascii="楷体_GB2312" w:hAnsi="楷体_GB2312" w:eastAsia="楷体_GB2312" w:cs="楷体_GB2312"/>
                <w:b/>
                <w:bCs/>
                <w:color w:val="000000" w:themeColor="text1"/>
                <w:kern w:val="0"/>
                <w:sz w:val="32"/>
                <w:szCs w:val="32"/>
                <w14:textFill>
                  <w14:solidFill>
                    <w14:schemeClr w14:val="tx1"/>
                  </w14:solidFill>
                </w14:textFill>
              </w:rPr>
              <w:t>5.林业碳汇与VEP金融融合开发示范项目。</w:t>
            </w:r>
            <w:r>
              <w:rPr>
                <w:rFonts w:hint="eastAsia" w:ascii="楷体_GB2312" w:hAnsi="楷体_GB2312" w:eastAsia="楷体_GB2312" w:cs="楷体_GB2312"/>
                <w:color w:val="000000" w:themeColor="text1"/>
                <w:kern w:val="0"/>
                <w:sz w:val="32"/>
                <w:szCs w:val="32"/>
                <w14:textFill>
                  <w14:solidFill>
                    <w14:schemeClr w14:val="tx1"/>
                  </w14:solidFill>
                </w14:textFill>
              </w:rPr>
              <w:t>①CCER/VCS项目开发；②区域性林业碳票项目开发；③天空地立体监测网络；④VEP评估与金融贷款示范工程；⑤开发“碳汇+VEP”组合金融产品。</w:t>
            </w:r>
          </w:p>
          <w:p>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left"/>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楷体_GB2312" w:hAnsi="楷体_GB2312" w:eastAsia="楷体_GB2312" w:cs="楷体_GB2312"/>
                <w:b/>
                <w:bCs/>
                <w:color w:val="000000" w:themeColor="text1"/>
                <w:kern w:val="0"/>
                <w:sz w:val="32"/>
                <w:szCs w:val="32"/>
                <w14:textFill>
                  <w14:solidFill>
                    <w14:schemeClr w14:val="tx1"/>
                  </w14:solidFill>
                </w14:textFill>
              </w:rPr>
              <w:t>6.生物多样性保护网络建设。</w:t>
            </w:r>
            <w:r>
              <w:rPr>
                <w:rFonts w:hint="eastAsia" w:ascii="楷体_GB2312" w:hAnsi="楷体_GB2312" w:eastAsia="楷体_GB2312" w:cs="楷体_GB2312"/>
                <w:color w:val="000000" w:themeColor="text1"/>
                <w:kern w:val="0"/>
                <w:sz w:val="32"/>
                <w:szCs w:val="32"/>
                <w14:textFill>
                  <w14:solidFill>
                    <w14:schemeClr w14:val="tx1"/>
                  </w14:solidFill>
                </w14:textFill>
              </w:rPr>
              <w:t>依托鹰嘴界国家级自然保护区和渠水国家级湿地公园，①构建“一心·两带·多节点”的五彩生态网络；②生态功能叠加；③打造“森林+”体验经济；④技术融合，智慧化管理与监测。</w:t>
            </w:r>
            <w:bookmarkEnd w:id="126"/>
          </w:p>
        </w:tc>
      </w:tr>
      <w:bookmarkEnd w:id="114"/>
    </w:tbl>
    <w:p>
      <w:pPr>
        <w:adjustRightInd w:val="0"/>
        <w:snapToGrid w:val="0"/>
        <w:spacing w:line="580" w:lineRule="exact"/>
        <w:jc w:val="left"/>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br w:type="page"/>
      </w:r>
    </w:p>
    <w:p>
      <w:pPr>
        <w:adjustRightInd w:val="0"/>
        <w:snapToGrid w:val="0"/>
        <w:spacing w:line="580" w:lineRule="exact"/>
        <w:jc w:val="center"/>
        <w:outlineLvl w:val="0"/>
        <w:rPr>
          <w:rFonts w:hint="eastAsia" w:ascii="方正小标宋简体" w:hAnsi="方正小标宋简体" w:eastAsia="方正小标宋简体" w:cs="方正小标宋简体"/>
          <w:color w:val="000000" w:themeColor="text1"/>
          <w:sz w:val="36"/>
          <w:szCs w:val="36"/>
          <w14:textFill>
            <w14:solidFill>
              <w14:schemeClr w14:val="tx1"/>
            </w14:solidFill>
          </w14:textFill>
        </w:rPr>
      </w:pPr>
      <w:bookmarkStart w:id="127" w:name="_Toc235000801"/>
      <w:bookmarkStart w:id="128" w:name="_Hlk216637364"/>
      <w:r>
        <w:rPr>
          <w:rFonts w:hint="eastAsia" w:ascii="方正小标宋简体" w:hAnsi="方正小标宋简体" w:eastAsia="方正小标宋简体" w:cs="方正小标宋简体"/>
          <w:color w:val="000000" w:themeColor="text1"/>
          <w:sz w:val="36"/>
          <w:szCs w:val="36"/>
          <w14:textFill>
            <w14:solidFill>
              <w14:schemeClr w14:val="tx1"/>
            </w14:solidFill>
          </w14:textFill>
        </w:rPr>
        <w:t>第十四章 统筹发展与安全，建设更高水平平安会同</w:t>
      </w:r>
      <w:bookmarkEnd w:id="127"/>
    </w:p>
    <w:p>
      <w:pPr>
        <w:adjustRightInd w:val="0"/>
        <w:snapToGrid w:val="0"/>
        <w:spacing w:line="58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p>
    <w:p>
      <w:pPr>
        <w:adjustRightInd w:val="0"/>
        <w:snapToGrid w:val="0"/>
        <w:spacing w:line="58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深入践行总体国家安全观，提升治理体系和治理能力现代化水平，以高效能治理促进高质量发展和高水平安全良性互动，以新安全格局保障新发展格局。</w:t>
      </w:r>
    </w:p>
    <w:p>
      <w:pPr>
        <w:adjustRightInd w:val="0"/>
        <w:snapToGrid w:val="0"/>
        <w:spacing w:line="580" w:lineRule="exact"/>
        <w:rPr>
          <w:rFonts w:hint="eastAsia" w:ascii="仿宋_GB2312" w:hAnsi="仿宋_GB2312" w:eastAsia="仿宋_GB2312" w:cs="仿宋_GB2312"/>
          <w:color w:val="000000" w:themeColor="text1"/>
          <w:sz w:val="32"/>
          <w:szCs w:val="32"/>
          <w14:textFill>
            <w14:solidFill>
              <w14:schemeClr w14:val="tx1"/>
            </w14:solidFill>
          </w14:textFill>
        </w:rPr>
      </w:pPr>
    </w:p>
    <w:p>
      <w:pPr>
        <w:adjustRightInd w:val="0"/>
        <w:snapToGrid w:val="0"/>
        <w:spacing w:line="580" w:lineRule="exact"/>
        <w:jc w:val="center"/>
        <w:outlineLvl w:val="1"/>
        <w:rPr>
          <w:rFonts w:hint="eastAsia" w:ascii="黑体" w:hAnsi="黑体" w:eastAsia="黑体" w:cs="黑体"/>
          <w:color w:val="000000" w:themeColor="text1"/>
          <w:sz w:val="32"/>
          <w:szCs w:val="32"/>
          <w14:textFill>
            <w14:solidFill>
              <w14:schemeClr w14:val="tx1"/>
            </w14:solidFill>
          </w14:textFill>
        </w:rPr>
      </w:pPr>
      <w:bookmarkStart w:id="129" w:name="_Toc235000802"/>
      <w:r>
        <w:rPr>
          <w:rFonts w:hint="eastAsia" w:ascii="黑体" w:hAnsi="黑体" w:eastAsia="黑体" w:cs="黑体"/>
          <w:color w:val="000000" w:themeColor="text1"/>
          <w:sz w:val="32"/>
          <w:szCs w:val="32"/>
          <w14:textFill>
            <w14:solidFill>
              <w14:schemeClr w14:val="tx1"/>
            </w14:solidFill>
          </w14:textFill>
        </w:rPr>
        <w:t>第一节 完善基层治理体系</w:t>
      </w:r>
      <w:bookmarkEnd w:id="129"/>
    </w:p>
    <w:p>
      <w:pPr>
        <w:adjustRightInd w:val="0"/>
        <w:snapToGrid w:val="0"/>
        <w:spacing w:line="580" w:lineRule="exact"/>
        <w:ind w:firstLine="643" w:firstLineChars="200"/>
        <w:rPr>
          <w:rFonts w:hint="eastAsia" w:ascii="楷体_GB2312" w:hAnsi="楷体_GB2312" w:eastAsia="楷体_GB2312" w:cs="楷体_GB2312"/>
          <w:b/>
          <w:bCs/>
          <w:color w:val="000000" w:themeColor="text1"/>
          <w:sz w:val="32"/>
          <w:szCs w:val="32"/>
          <w14:textFill>
            <w14:solidFill>
              <w14:schemeClr w14:val="tx1"/>
            </w14:solidFill>
          </w14:textFill>
        </w:rPr>
      </w:pP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完善基层治理模式</w:t>
      </w:r>
      <w:r>
        <w:rPr>
          <w:rFonts w:hint="eastAsia" w:ascii="楷体_GB2312" w:hAnsi="楷体_GB2312" w:eastAsia="楷体_GB2312" w:cs="楷体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坚持党建引领，落实乡镇依法履职事项清单，加快出台村社区准入事项清单，持续推动基层增能减负，推进乡村有效治理。推广堡子镇“五村联创”联合治理模式，力争在全县打造多个村庄联合治理标杆。深化“一网三联”“片组邻”工作机制，全面构建“片-组-邻”服务网，不断激发村（居）民自治活力，提升基层治理水平。统筹推进智慧城市、智慧社区基础设施、系统平台和应用终端建设，提升基层治理智慧化。培育扶持基层公益性、服务性、互助性社会组织，支持党组织健全、管理规范的社会组织优先承接政府转移职能和服务项目。推动志愿服务融入基层治理，建强社工队伍提升服务水平。推进网上网下协同治理。加强基层服务管理力量配置，完善服务设施和经费保障机制。突出抓好新兴领域党组织建设，建强党群共享阵地，分类推进新经济组织、新社会组织党建，实现党建与发展互促。抓实新就业群体党建引领与服务管理，推动其融入基层治理。健全权益保障机制，推进社区、商圈等友好场景建设。</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健全群众诉求表达、利益协调机制。</w:t>
      </w:r>
      <w:r>
        <w:rPr>
          <w:rFonts w:hint="eastAsia" w:ascii="仿宋_GB2312" w:hAnsi="仿宋_GB2312" w:eastAsia="仿宋_GB2312" w:cs="仿宋_GB2312"/>
          <w:color w:val="000000" w:themeColor="text1"/>
          <w:sz w:val="32"/>
          <w:szCs w:val="32"/>
          <w14:textFill>
            <w14:solidFill>
              <w14:schemeClr w14:val="tx1"/>
            </w14:solidFill>
          </w14:textFill>
        </w:rPr>
        <w:t>推进信访工作法治化建设，走好群众信访路线，深入推行“三三四”信访工作法，全力构建</w:t>
      </w:r>
      <w:r>
        <w:rPr>
          <w:rFonts w:hint="eastAsia" w:ascii="仿宋_GB2312" w:hAnsi="仿宋_GB2312" w:eastAsia="仿宋_GB2312" w:cs="仿宋_GB2312"/>
          <w:color w:val="000000" w:themeColor="text1"/>
          <w:spacing w:val="-11"/>
          <w:sz w:val="32"/>
          <w:szCs w:val="32"/>
          <w14:textFill>
            <w14:solidFill>
              <w14:schemeClr w14:val="tx1"/>
            </w14:solidFill>
          </w14:textFill>
        </w:rPr>
        <w:t>“源头预防、多元共治、群众满意”的信访工作新格局，持续推进矛盾纠纷及时妥善就地化解。依法严厉打击农村土地征用、城镇房屋拆迁、企业改制等过程中损害群众利益的违法犯罪行为。引导居民依法理性维权，注重人文关怀和心理辅导、援助，防范极端事件</w:t>
      </w:r>
      <w:r>
        <w:rPr>
          <w:rFonts w:hint="eastAsia" w:ascii="仿宋_GB2312" w:hAnsi="仿宋_GB2312" w:eastAsia="仿宋_GB2312" w:cs="仿宋_GB2312"/>
          <w:color w:val="000000" w:themeColor="text1"/>
          <w:sz w:val="32"/>
          <w:szCs w:val="32"/>
          <w14:textFill>
            <w14:solidFill>
              <w14:schemeClr w14:val="tx1"/>
            </w14:solidFill>
          </w14:textFill>
        </w:rPr>
        <w:t>发生。强化“12345”热线平台建设与互联互通，健全“接诉即办”机制。</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实施文明乡风建设工程。</w:t>
      </w:r>
      <w:r>
        <w:rPr>
          <w:rFonts w:hint="eastAsia" w:ascii="仿宋_GB2312" w:hAnsi="仿宋_GB2312" w:eastAsia="仿宋_GB2312" w:cs="仿宋_GB2312"/>
          <w:color w:val="000000" w:themeColor="text1"/>
          <w:sz w:val="32"/>
          <w:szCs w:val="32"/>
          <w14:textFill>
            <w14:solidFill>
              <w14:schemeClr w14:val="tx1"/>
            </w14:solidFill>
          </w14:textFill>
        </w:rPr>
        <w:t>培育和践行社会主义核心价值观，弘扬中华优秀传统文化、传统美德、优秀乡土文化，全面提升农村社会文明程度。发挥群众自治组织作用，广泛开展文明村镇、星级文明户等创建活动，选树宣传先进典型。发挥市民公约、村规民约等作用，加强家庭家教家风建设。重点治理高价彩礼、大操大办、厚葬薄养、铺张浪费、封建迷信等陈规陋习，倡导文明健康、勤俭节约新风尚。</w:t>
      </w:r>
    </w:p>
    <w:p>
      <w:pPr>
        <w:pStyle w:val="2"/>
        <w:spacing w:after="0" w:line="580" w:lineRule="exact"/>
        <w:rPr>
          <w:color w:val="000000" w:themeColor="text1"/>
          <w14:textFill>
            <w14:solidFill>
              <w14:schemeClr w14:val="tx1"/>
            </w14:solidFill>
          </w14:textFill>
        </w:rPr>
      </w:pPr>
    </w:p>
    <w:p>
      <w:pPr>
        <w:adjustRightInd w:val="0"/>
        <w:snapToGrid w:val="0"/>
        <w:spacing w:line="580" w:lineRule="exact"/>
        <w:ind w:firstLine="640" w:firstLineChars="200"/>
        <w:jc w:val="center"/>
        <w:outlineLvl w:val="1"/>
        <w:rPr>
          <w:rFonts w:hint="eastAsia" w:ascii="黑体" w:hAnsi="黑体" w:eastAsia="黑体" w:cs="黑体"/>
          <w:color w:val="000000" w:themeColor="text1"/>
          <w:sz w:val="32"/>
          <w:szCs w:val="32"/>
          <w14:textFill>
            <w14:solidFill>
              <w14:schemeClr w14:val="tx1"/>
            </w14:solidFill>
          </w14:textFill>
        </w:rPr>
      </w:pPr>
      <w:bookmarkStart w:id="130" w:name="_Toc235000803"/>
      <w:r>
        <w:rPr>
          <w:rFonts w:hint="eastAsia" w:ascii="黑体" w:hAnsi="黑体" w:eastAsia="黑体" w:cs="黑体"/>
          <w:color w:val="000000" w:themeColor="text1"/>
          <w:sz w:val="32"/>
          <w:szCs w:val="32"/>
          <w14:textFill>
            <w14:solidFill>
              <w14:schemeClr w14:val="tx1"/>
            </w14:solidFill>
          </w14:textFill>
        </w:rPr>
        <w:t>第二节 提升公共安全治理和应急管理能力</w:t>
      </w:r>
      <w:bookmarkEnd w:id="130"/>
    </w:p>
    <w:p>
      <w:pPr>
        <w:adjustRightInd w:val="0"/>
        <w:snapToGrid w:val="0"/>
        <w:spacing w:line="580" w:lineRule="exact"/>
        <w:ind w:firstLine="643" w:firstLineChars="200"/>
        <w:rPr>
          <w:rFonts w:hint="eastAsia" w:ascii="楷体_GB2312" w:hAnsi="楷体_GB2312" w:eastAsia="楷体_GB2312" w:cs="楷体_GB2312"/>
          <w:b/>
          <w:bCs/>
          <w:color w:val="000000" w:themeColor="text1"/>
          <w:sz w:val="32"/>
          <w:szCs w:val="32"/>
          <w14:textFill>
            <w14:solidFill>
              <w14:schemeClr w14:val="tx1"/>
            </w14:solidFill>
          </w14:textFill>
        </w:rPr>
      </w:pP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加强公共安全预警和处理能力。</w:t>
      </w:r>
      <w:r>
        <w:rPr>
          <w:rFonts w:hint="eastAsia" w:ascii="仿宋_GB2312" w:hAnsi="仿宋_GB2312" w:eastAsia="仿宋_GB2312" w:cs="仿宋_GB2312"/>
          <w:color w:val="000000" w:themeColor="text1"/>
          <w:sz w:val="32"/>
          <w:szCs w:val="32"/>
          <w14:textFill>
            <w14:solidFill>
              <w14:schemeClr w14:val="tx1"/>
            </w14:solidFill>
          </w14:textFill>
        </w:rPr>
        <w:t>抓好意识形态各项工作，严格落实意识形态工作责任制，建立健全舆情“早发现、早报告、早处置”工作机制。坚持和发展新时代“枫桥经验”，持续深化“三源共治”“调解110”，完善县、乡、村三级矛盾纠纷调解中心（站、点）建设，深入排查化解各类矛盾风险隐患，通过压实责任链条、强化督导整改，全面守牢安全底线。</w:t>
      </w:r>
    </w:p>
    <w:p>
      <w:pPr>
        <w:adjustRightInd w:val="0"/>
        <w:snapToGrid w:val="0"/>
        <w:spacing w:line="580" w:lineRule="exact"/>
        <w:ind w:firstLine="643"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加强安全生产管理。</w:t>
      </w:r>
      <w:r>
        <w:rPr>
          <w:rFonts w:hint="eastAsia" w:ascii="仿宋_GB2312" w:hAnsi="仿宋_GB2312" w:eastAsia="仿宋_GB2312" w:cs="仿宋_GB2312"/>
          <w:color w:val="000000" w:themeColor="text1"/>
          <w:sz w:val="32"/>
          <w:szCs w:val="32"/>
          <w14:textFill>
            <w14:solidFill>
              <w14:schemeClr w14:val="tx1"/>
            </w14:solidFill>
          </w14:textFill>
        </w:rPr>
        <w:t>加强源头管控和事前防范，常态化开展事故隐患排查整治，聚焦重点时段和关键环节，</w:t>
      </w:r>
      <w:r>
        <w:rPr>
          <w:rFonts w:hint="eastAsia" w:ascii="仿宋_GB2312" w:hAnsi="仿宋_GB2312" w:eastAsia="仿宋_GB2312" w:cs="仿宋_GB2312"/>
          <w:color w:val="000000" w:themeColor="text1"/>
          <w:sz w:val="32"/>
          <w:szCs w:val="32"/>
          <w14:textFill>
            <w14:solidFill>
              <w14:schemeClr w14:val="tx1"/>
            </w14:solidFill>
          </w14:textFill>
          <w14:ligatures w14:val="none"/>
        </w:rPr>
        <w:t>强化安全监管体系建设，健全风险预警与责任追究机制，推动企业主体责任有效落实，统筹运用法律、经济、行政等多种手段推动形成多元共治的安全治理格局。扎实推进安全生产强基固本，</w:t>
      </w:r>
      <w:r>
        <w:rPr>
          <w:rFonts w:hint="eastAsia" w:ascii="仿宋_GB2312" w:hAnsi="仿宋_GB2312" w:eastAsia="仿宋_GB2312" w:cs="仿宋_GB2312"/>
          <w:color w:val="000000" w:themeColor="text1"/>
          <w:sz w:val="32"/>
          <w:szCs w:val="32"/>
          <w14:textFill>
            <w14:solidFill>
              <w14:schemeClr w14:val="tx1"/>
            </w14:solidFill>
          </w14:textFill>
        </w:rPr>
        <w:t>强化交通、团寨消防、燃气、矿山、建筑施工、危化品、竹木深加工等重点领域专项整治，持续加强食品、药品、特种设备和重点工业产品质量安全监管，坚决防范公共安全事故发生。构建严格安全生产责任体系，压实各方责任，推动责任全链条落实，提升企业安全意识与管理水平。严格安全准入，落实好安全生产“三同时”制度。</w:t>
      </w:r>
    </w:p>
    <w:p>
      <w:pPr>
        <w:adjustRightInd w:val="0"/>
        <w:snapToGrid w:val="0"/>
        <w:spacing w:line="580" w:lineRule="exact"/>
        <w:ind w:firstLine="643"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提升应急管理能力。</w:t>
      </w:r>
      <w:r>
        <w:rPr>
          <w:rFonts w:hint="eastAsia" w:ascii="仿宋_GB2312" w:hAnsi="仿宋_GB2312" w:eastAsia="仿宋_GB2312" w:cs="仿宋_GB2312"/>
          <w:color w:val="000000" w:themeColor="text1"/>
          <w:sz w:val="32"/>
          <w:szCs w:val="32"/>
          <w14:textFill>
            <w14:solidFill>
              <w14:schemeClr w14:val="tx1"/>
            </w14:solidFill>
          </w14:textFill>
        </w:rPr>
        <w:t>健全应急指挥体系，建好县乡二级应急指挥中心（平台），充分整合应急、消防、气象、交管等各类资源，形成多部门联动机制，建立高效的应急指挥系统，提升应急处置能力。完善县、乡镇、村（社区）应急预案编制工作，进一步提高基层应急预案的针对性、实操性。加</w:t>
      </w:r>
      <w:r>
        <w:rPr>
          <w:rFonts w:hint="eastAsia" w:ascii="仿宋_GB2312" w:hAnsi="仿宋_GB2312" w:eastAsia="仿宋_GB2312" w:cs="仿宋_GB2312"/>
          <w:bCs/>
          <w:color w:val="000000" w:themeColor="text1"/>
          <w:sz w:val="32"/>
          <w:szCs w:val="32"/>
          <w14:textFill>
            <w14:solidFill>
              <w14:schemeClr w14:val="tx1"/>
            </w14:solidFill>
          </w14:textFill>
        </w:rPr>
        <w:t>强应急救援体系建设</w:t>
      </w:r>
      <w:r>
        <w:rPr>
          <w:rFonts w:hint="eastAsia" w:ascii="仿宋_GB2312" w:hAnsi="仿宋_GB2312" w:eastAsia="仿宋_GB2312" w:cs="仿宋_GB2312"/>
          <w:color w:val="000000" w:themeColor="text1"/>
          <w:sz w:val="32"/>
          <w:szCs w:val="32"/>
          <w14:textFill>
            <w14:solidFill>
              <w14:schemeClr w14:val="tx1"/>
            </w14:solidFill>
          </w14:textFill>
        </w:rPr>
        <w:t>，提高防灾减灾救灾和重大突发公共事件处置保障能力，积极应对极端天气，强化基层应急力量。加强消防设施和应急避难场所标准化改造，提升乡镇应急避难所覆盖率，统筹全县救灾物资储备资源，构建“县级储备库+乡镇前置点”储备体系。拓展应急救援模式，探索区域合作。广泛组织开展地质灾害、防灭火、防汛、地震等方面应急演练，建立自然灾害、重大疫情等防范预警机制，提高基层防灾减灾意识，针对体育赛事、文艺演出、消费节等大型活动，完善应急保障预案，增强突发事件应对能力，确保活动安全有序。</w:t>
      </w:r>
    </w:p>
    <w:p>
      <w:pPr>
        <w:pStyle w:val="24"/>
        <w:adjustRightInd w:val="0"/>
        <w:snapToGrid w:val="0"/>
        <w:spacing w:line="580" w:lineRule="exact"/>
        <w:ind w:firstLine="0"/>
        <w:rPr>
          <w:rFonts w:hint="eastAsia"/>
          <w:color w:val="000000" w:themeColor="text1"/>
          <w:sz w:val="32"/>
          <w:szCs w:val="22"/>
          <w14:textFill>
            <w14:solidFill>
              <w14:schemeClr w14:val="tx1"/>
            </w14:solidFill>
          </w14:textFill>
        </w:rPr>
      </w:pPr>
    </w:p>
    <w:p>
      <w:pPr>
        <w:adjustRightInd w:val="0"/>
        <w:snapToGrid w:val="0"/>
        <w:spacing w:line="580" w:lineRule="exact"/>
        <w:ind w:firstLine="640" w:firstLineChars="200"/>
        <w:jc w:val="center"/>
        <w:outlineLvl w:val="1"/>
        <w:rPr>
          <w:rFonts w:ascii="黑体" w:hAnsi="黑体" w:eastAsia="黑体" w:cs="黑体"/>
          <w:color w:val="000000" w:themeColor="text1"/>
          <w:sz w:val="32"/>
          <w:szCs w:val="32"/>
          <w14:textFill>
            <w14:solidFill>
              <w14:schemeClr w14:val="tx1"/>
            </w14:solidFill>
          </w14:textFill>
        </w:rPr>
      </w:pPr>
      <w:bookmarkStart w:id="131" w:name="_Toc235000804"/>
      <w:r>
        <w:rPr>
          <w:rFonts w:hint="eastAsia" w:ascii="黑体" w:hAnsi="黑体" w:eastAsia="黑体" w:cs="黑体"/>
          <w:color w:val="000000" w:themeColor="text1"/>
          <w:sz w:val="32"/>
          <w:szCs w:val="32"/>
          <w14:textFill>
            <w14:solidFill>
              <w14:schemeClr w14:val="tx1"/>
            </w14:solidFill>
          </w14:textFill>
        </w:rPr>
        <w:t>第三节 夯实社会治安防控基础</w:t>
      </w:r>
      <w:bookmarkEnd w:id="131"/>
    </w:p>
    <w:p>
      <w:pPr>
        <w:pStyle w:val="2"/>
        <w:spacing w:after="0" w:line="580" w:lineRule="exact"/>
        <w:rPr>
          <w:rFonts w:hint="eastAsia"/>
          <w:color w:val="000000" w:themeColor="text1"/>
          <w14:textFill>
            <w14:solidFill>
              <w14:schemeClr w14:val="tx1"/>
            </w14:solidFill>
          </w14:textFill>
        </w:rPr>
      </w:pPr>
    </w:p>
    <w:p>
      <w:pPr>
        <w:adjustRightInd w:val="0"/>
        <w:snapToGrid w:val="0"/>
        <w:spacing w:line="58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加快构建新型警务运行模式，提升安全守护能力建设，着力提升精准打防管控水平。坚持专群结合、群防群治，多渠道、多形式开展安全宣传教育，推进综治中心规范化建设，推动社会面治安防控最小应急处置单元建设，提高社会治安立体化、法治化、专业化、智能化水平。加强严重精神障碍患者、刑满释放人员、社区矫正人员等重点群体服务管理，加强未成年人违法犯罪综合治理。常态化推进扫黑除恶斗争，严厉打击涉黑涉恶、侵害未成年人、电信网络诈骗、盗抢骗、黄赌毒和食药环等各类违法犯罪，持续深化平安会同建设。</w:t>
      </w:r>
    </w:p>
    <w:p>
      <w:pPr>
        <w:pStyle w:val="2"/>
        <w:rPr>
          <w:color w:val="000000" w:themeColor="text1"/>
          <w14:textFill>
            <w14:solidFill>
              <w14:schemeClr w14:val="tx1"/>
            </w14:solidFill>
          </w14:textFill>
        </w:rPr>
      </w:pPr>
    </w:p>
    <w:p>
      <w:pPr>
        <w:rPr>
          <w:color w:val="000000" w:themeColor="text1"/>
          <w14:textFill>
            <w14:solidFill>
              <w14:schemeClr w14:val="tx1"/>
            </w14:solidFill>
          </w14:textFill>
        </w:rPr>
      </w:pPr>
    </w:p>
    <w:p>
      <w:pPr>
        <w:pStyle w:val="2"/>
        <w:rPr>
          <w:rFonts w:hint="eastAsia"/>
          <w:color w:val="000000" w:themeColor="text1"/>
          <w14:textFill>
            <w14:solidFill>
              <w14:schemeClr w14:val="tx1"/>
            </w14:solidFill>
          </w14:textFill>
        </w:rPr>
      </w:pPr>
    </w:p>
    <w:p>
      <w:pPr>
        <w:adjustRightInd w:val="0"/>
        <w:snapToGrid w:val="0"/>
        <w:spacing w:line="580" w:lineRule="exact"/>
        <w:ind w:firstLine="640" w:firstLineChars="200"/>
        <w:jc w:val="center"/>
        <w:outlineLvl w:val="1"/>
        <w:rPr>
          <w:rFonts w:hint="eastAsia" w:ascii="黑体" w:hAnsi="黑体" w:eastAsia="黑体" w:cs="黑体"/>
          <w:color w:val="000000" w:themeColor="text1"/>
          <w:sz w:val="32"/>
          <w:szCs w:val="32"/>
          <w14:textFill>
            <w14:solidFill>
              <w14:schemeClr w14:val="tx1"/>
            </w14:solidFill>
          </w14:textFill>
        </w:rPr>
      </w:pPr>
      <w:bookmarkStart w:id="132" w:name="_Toc235000805"/>
      <w:r>
        <w:rPr>
          <w:rFonts w:hint="eastAsia" w:ascii="黑体" w:hAnsi="黑体" w:eastAsia="黑体" w:cs="黑体"/>
          <w:color w:val="000000" w:themeColor="text1"/>
          <w:sz w:val="32"/>
          <w:szCs w:val="32"/>
          <w14:textFill>
            <w14:solidFill>
              <w14:schemeClr w14:val="tx1"/>
            </w14:solidFill>
          </w14:textFill>
        </w:rPr>
        <w:t>第四节 突出重点领域安全能力建设</w:t>
      </w:r>
      <w:bookmarkEnd w:id="132"/>
    </w:p>
    <w:p>
      <w:pPr>
        <w:adjustRightInd w:val="0"/>
        <w:snapToGrid w:val="0"/>
        <w:spacing w:line="580" w:lineRule="exact"/>
        <w:ind w:firstLine="602"/>
        <w:rPr>
          <w:rFonts w:hint="eastAsia" w:ascii="楷体_GB2312" w:hAnsi="楷体_GB2312" w:eastAsia="楷体_GB2312" w:cs="楷体_GB2312"/>
          <w:b/>
          <w:bCs/>
          <w:color w:val="000000" w:themeColor="text1"/>
          <w:sz w:val="32"/>
          <w:szCs w:val="32"/>
          <w14:textFill>
            <w14:solidFill>
              <w14:schemeClr w14:val="tx1"/>
            </w14:solidFill>
          </w14:textFill>
        </w:rPr>
      </w:pPr>
    </w:p>
    <w:p>
      <w:pPr>
        <w:adjustRightInd w:val="0"/>
        <w:snapToGrid w:val="0"/>
        <w:spacing w:line="580" w:lineRule="exact"/>
        <w:ind w:firstLine="602"/>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全方位筑牢安全屏障。</w:t>
      </w:r>
      <w:r>
        <w:rPr>
          <w:rFonts w:hint="eastAsia" w:ascii="仿宋_GB2312" w:hAnsi="仿宋_GB2312" w:eastAsia="仿宋_GB2312" w:cs="仿宋_GB2312"/>
          <w:color w:val="000000" w:themeColor="text1"/>
          <w:sz w:val="32"/>
          <w:szCs w:val="32"/>
          <w14:textFill>
            <w14:solidFill>
              <w14:schemeClr w14:val="tx1"/>
            </w14:solidFill>
          </w14:textFill>
        </w:rPr>
        <w:t>健全能源、信息、生物等重点领域风险监测预警和应急处置机制，完善安全风险研判、防控协同、防范化解工作体系，依法加强宗教事务管理，坚决制止非法宗教活动。健全重大舆情和突发事件应对机制，</w:t>
      </w:r>
      <w:r>
        <w:rPr>
          <w:rFonts w:hint="eastAsia" w:ascii="Calibri" w:hAnsi="Calibri" w:eastAsia="仿宋_GB2312" w:cs="Calibri"/>
          <w:color w:val="000000" w:themeColor="text1"/>
          <w:sz w:val="32"/>
          <w:szCs w:val="32"/>
          <w14:textFill>
            <w14:solidFill>
              <w14:schemeClr w14:val="tx1"/>
            </w14:solidFill>
          </w14:textFill>
        </w:rPr>
        <w:t>筑牢网络意识形态安全防线</w:t>
      </w:r>
      <w:r>
        <w:rPr>
          <w:rFonts w:hint="eastAsia" w:ascii="仿宋_GB2312" w:hAnsi="仿宋_GB2312" w:eastAsia="仿宋_GB2312" w:cs="仿宋_GB2312"/>
          <w:color w:val="000000" w:themeColor="text1"/>
          <w:sz w:val="32"/>
          <w:szCs w:val="32"/>
          <w14:textFill>
            <w14:solidFill>
              <w14:schemeClr w14:val="tx1"/>
            </w14:solidFill>
          </w14:textFill>
        </w:rPr>
        <w:t>。深入推进全民国防教育，增强国家安全意识，完善国防动员和双拥工作机制，推动军政军民团结，凝聚起维护国家安全的强大合力。</w:t>
      </w:r>
    </w:p>
    <w:p>
      <w:pPr>
        <w:adjustRightInd w:val="0"/>
        <w:snapToGrid w:val="0"/>
        <w:spacing w:line="580" w:lineRule="exact"/>
        <w:ind w:firstLine="602"/>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严约束强化经济安全保障。</w:t>
      </w:r>
      <w:r>
        <w:rPr>
          <w:rFonts w:hint="eastAsia" w:ascii="仿宋_GB2312" w:hAnsi="仿宋_GB2312" w:eastAsia="仿宋_GB2312" w:cs="仿宋_GB2312"/>
          <w:color w:val="000000" w:themeColor="text1"/>
          <w:sz w:val="32"/>
          <w:szCs w:val="32"/>
          <w14:textFill>
            <w14:solidFill>
              <w14:schemeClr w14:val="tx1"/>
            </w14:solidFill>
          </w14:textFill>
        </w:rPr>
        <w:t>坚持底线思维和系统观念，统筹推进债务治理、金融监管和房地产风险防控，不断增强防范化解各类风险的主动性和有效性。全面提升防范化解风险能力，用足用好化债政策工具，进一步加强地方债务治理，加大资产资源盘活力度，健全“提级管理”“三债统管”机制与防控责任体系，建立长效机制，按照“三借一降”要求清零隐性债务，优化债务结构、压减规模。防范化解中小金融机构风险，守牢不发生系统性金融风险的底线，加强非法集资风险监测预警，严厉打击非法集资等违法活动，及时排查涉地方金融领域利益群体不稳定苗头和人员，确保风险、人员、信访等稳控在当地。坚决防范房地产领域风险，加强房地产预售资金监管，扎实做好保交楼工作，稳妥处置化解房地产领域风险隐患。强化网络、数据、生态环境等新兴领域安全能力建设。</w:t>
      </w:r>
    </w:p>
    <w:p>
      <w:pPr>
        <w:adjustRightInd w:val="0"/>
        <w:snapToGrid w:val="0"/>
        <w:spacing w:line="580" w:lineRule="exact"/>
        <w:jc w:val="center"/>
        <w:outlineLvl w:val="1"/>
        <w:rPr>
          <w:rFonts w:hint="eastAsia" w:ascii="黑体" w:hAnsi="黑体" w:eastAsia="黑体" w:cs="黑体"/>
          <w:color w:val="000000" w:themeColor="text1"/>
          <w:sz w:val="32"/>
          <w:szCs w:val="32"/>
          <w14:textFill>
            <w14:solidFill>
              <w14:schemeClr w14:val="tx1"/>
            </w14:solidFill>
          </w14:textFill>
        </w:rPr>
      </w:pPr>
      <w:bookmarkStart w:id="133" w:name="_Toc235000806"/>
      <w:r>
        <w:rPr>
          <w:rFonts w:hint="eastAsia" w:ascii="黑体" w:hAnsi="黑体" w:eastAsia="黑体" w:cs="黑体"/>
          <w:color w:val="000000" w:themeColor="text1"/>
          <w:sz w:val="32"/>
          <w:szCs w:val="32"/>
          <w14:textFill>
            <w14:solidFill>
              <w14:schemeClr w14:val="tx1"/>
            </w14:solidFill>
          </w14:textFill>
        </w:rPr>
        <w:t>第五节 强化国防动员能力建设</w:t>
      </w:r>
      <w:bookmarkEnd w:id="133"/>
    </w:p>
    <w:p>
      <w:pPr>
        <w:adjustRightInd w:val="0"/>
        <w:snapToGrid w:val="0"/>
        <w:spacing w:line="58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p>
    <w:p>
      <w:pPr>
        <w:adjustRightInd w:val="0"/>
        <w:snapToGrid w:val="0"/>
        <w:spacing w:line="58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健全完善国防动员体系和运行机制，优化动员指挥能力，强化潜力资源建设，高质量做好兵员征集工作，持续打造“做战神传人·当胜战精兵”品牌。加强粟裕故里爱国主义教育基地建设，深化全民国防教育。推进军民融合基础设施项目建设，营造关心国防、支持国防的浓厚社会氛围。切实做好退役军人服务保障，落实优抚安置政策，切实维护军人军属合法权益，大力弘扬双拥优良传统，巩固发展军政军民团结，争创下一届全国双拥模范县。</w:t>
      </w:r>
      <w:bookmarkEnd w:id="128"/>
    </w:p>
    <w:p>
      <w:pPr>
        <w:adjustRightInd w:val="0"/>
        <w:snapToGrid w:val="0"/>
        <w:spacing w:line="580" w:lineRule="exact"/>
        <w:jc w:val="left"/>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br w:type="page"/>
      </w:r>
    </w:p>
    <w:p>
      <w:pPr>
        <w:adjustRightInd w:val="0"/>
        <w:snapToGrid w:val="0"/>
        <w:spacing w:line="580" w:lineRule="exact"/>
        <w:jc w:val="center"/>
        <w:outlineLvl w:val="0"/>
        <w:rPr>
          <w:rFonts w:hint="eastAsia" w:ascii="方正小标宋简体" w:hAnsi="方正小标宋简体" w:eastAsia="方正小标宋简体" w:cs="方正小标宋简体"/>
          <w:color w:val="000000" w:themeColor="text1"/>
          <w:sz w:val="36"/>
          <w:szCs w:val="36"/>
          <w14:textFill>
            <w14:solidFill>
              <w14:schemeClr w14:val="tx1"/>
            </w14:solidFill>
          </w14:textFill>
        </w:rPr>
      </w:pPr>
      <w:bookmarkStart w:id="134" w:name="_Toc235000807"/>
      <w:bookmarkStart w:id="135" w:name="_Toc10651"/>
      <w:bookmarkStart w:id="136" w:name="_Toc215048370"/>
      <w:bookmarkStart w:id="137" w:name="_Toc212042428"/>
      <w:r>
        <w:rPr>
          <w:rFonts w:hint="eastAsia" w:ascii="方正小标宋简体" w:hAnsi="方正小标宋简体" w:eastAsia="方正小标宋简体" w:cs="方正小标宋简体"/>
          <w:color w:val="000000" w:themeColor="text1"/>
          <w:sz w:val="36"/>
          <w:szCs w:val="36"/>
          <w14:textFill>
            <w14:solidFill>
              <w14:schemeClr w14:val="tx1"/>
            </w14:solidFill>
          </w14:textFill>
        </w:rPr>
        <w:t>第十五章 全县各族人民团结起来为实现</w:t>
      </w:r>
    </w:p>
    <w:p>
      <w:pPr>
        <w:adjustRightInd w:val="0"/>
        <w:snapToGrid w:val="0"/>
        <w:spacing w:line="580" w:lineRule="exact"/>
        <w:jc w:val="center"/>
        <w:outlineLvl w:val="0"/>
        <w:rPr>
          <w:rFonts w:hint="eastAsia" w:ascii="方正小标宋简体" w:hAnsi="方正小标宋简体" w:eastAsia="方正小标宋简体" w:cs="方正小标宋简体"/>
          <w:color w:val="000000" w:themeColor="text1"/>
          <w:sz w:val="36"/>
          <w:szCs w:val="36"/>
          <w14:textFill>
            <w14:solidFill>
              <w14:schemeClr w14:val="tx1"/>
            </w14:solidFill>
          </w14:textFill>
        </w:rPr>
      </w:pPr>
      <w:r>
        <w:rPr>
          <w:rFonts w:hint="eastAsia" w:ascii="方正小标宋简体" w:hAnsi="方正小标宋简体" w:eastAsia="方正小标宋简体" w:cs="方正小标宋简体"/>
          <w:color w:val="000000" w:themeColor="text1"/>
          <w:sz w:val="36"/>
          <w:szCs w:val="36"/>
          <w14:textFill>
            <w14:solidFill>
              <w14:schemeClr w14:val="tx1"/>
            </w14:solidFill>
          </w14:textFill>
        </w:rPr>
        <w:t>“十五五”规划而奋斗</w:t>
      </w:r>
      <w:bookmarkEnd w:id="134"/>
    </w:p>
    <w:bookmarkEnd w:id="135"/>
    <w:bookmarkEnd w:id="136"/>
    <w:bookmarkEnd w:id="137"/>
    <w:p>
      <w:pPr>
        <w:adjustRightInd w:val="0"/>
        <w:snapToGrid w:val="0"/>
        <w:spacing w:line="580" w:lineRule="exact"/>
        <w:rPr>
          <w:rFonts w:hint="eastAsia" w:ascii="仿宋_GB2312" w:hAnsi="仿宋_GB2312" w:eastAsia="仿宋_GB2312" w:cs="仿宋_GB2312"/>
          <w:color w:val="000000" w:themeColor="text1"/>
          <w:sz w:val="32"/>
          <w:szCs w:val="32"/>
          <w14:textFill>
            <w14:solidFill>
              <w14:schemeClr w14:val="tx1"/>
            </w14:solidFill>
          </w14:textFill>
        </w:rPr>
      </w:pPr>
    </w:p>
    <w:p>
      <w:pPr>
        <w:adjustRightInd w:val="0"/>
        <w:snapToGrid w:val="0"/>
        <w:spacing w:line="580" w:lineRule="exact"/>
        <w:ind w:firstLine="640"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聚焦规划实施的组织保障与制度协同，系统构建支撑中国式现代化会同实践的高效执行体系。围绕政治保证、法治保障、要素配置、项目支撑、监测评估五大维度，通过党的全面领导统揽全局、民主法治夯实根基、政策资源精准适配、重大项目持续撬动、全周期管理闭环运行，着力提升规划执行的系统性、协同性和可持续性，构建目标明确、责任清晰、衔接有序、保障有力的规划实施新格局。</w:t>
      </w:r>
    </w:p>
    <w:p>
      <w:pPr>
        <w:pStyle w:val="24"/>
        <w:adjustRightInd w:val="0"/>
        <w:snapToGrid w:val="0"/>
        <w:spacing w:line="580" w:lineRule="exact"/>
        <w:ind w:firstLine="0"/>
        <w:rPr>
          <w:rFonts w:hint="eastAsia"/>
          <w:color w:val="000000" w:themeColor="text1"/>
          <w:sz w:val="32"/>
          <w:szCs w:val="22"/>
          <w14:textFill>
            <w14:solidFill>
              <w14:schemeClr w14:val="tx1"/>
            </w14:solidFill>
          </w14:textFill>
        </w:rPr>
      </w:pPr>
    </w:p>
    <w:p>
      <w:pPr>
        <w:adjustRightInd w:val="0"/>
        <w:snapToGrid w:val="0"/>
        <w:spacing w:line="580" w:lineRule="exact"/>
        <w:jc w:val="center"/>
        <w:outlineLvl w:val="1"/>
        <w:rPr>
          <w:rFonts w:hint="eastAsia" w:ascii="黑体" w:hAnsi="黑体" w:eastAsia="黑体" w:cs="黑体"/>
          <w:color w:val="000000" w:themeColor="text1"/>
          <w:sz w:val="32"/>
          <w:szCs w:val="32"/>
          <w14:textFill>
            <w14:solidFill>
              <w14:schemeClr w14:val="tx1"/>
            </w14:solidFill>
          </w14:textFill>
        </w:rPr>
      </w:pPr>
      <w:bookmarkStart w:id="138" w:name="_Toc215048371"/>
      <w:bookmarkStart w:id="139" w:name="_Toc14598"/>
      <w:bookmarkStart w:id="140" w:name="_Toc235000808"/>
      <w:r>
        <w:rPr>
          <w:rFonts w:hint="eastAsia" w:ascii="黑体" w:hAnsi="黑体" w:eastAsia="黑体" w:cs="黑体"/>
          <w:color w:val="000000" w:themeColor="text1"/>
          <w:sz w:val="32"/>
          <w:szCs w:val="32"/>
          <w14:textFill>
            <w14:solidFill>
              <w14:schemeClr w14:val="tx1"/>
            </w14:solidFill>
          </w14:textFill>
        </w:rPr>
        <w:t>第一节 坚持党的全面领导</w:t>
      </w:r>
      <w:bookmarkEnd w:id="138"/>
      <w:bookmarkEnd w:id="139"/>
      <w:bookmarkEnd w:id="140"/>
    </w:p>
    <w:p>
      <w:pPr>
        <w:adjustRightInd w:val="0"/>
        <w:snapToGrid w:val="0"/>
        <w:spacing w:line="58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p>
    <w:p>
      <w:pPr>
        <w:adjustRightInd w:val="0"/>
        <w:snapToGrid w:val="0"/>
        <w:spacing w:line="58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持续深入学习贯彻习近平新时代中国特色社会主义思想，增强“四个意识”、坚定“四个自信”、做到“两个维护”。不断提高领导干部政治判断力、政治领悟力、政治执行力，确保全县上下思想统一、意志统一、行动统一。健全和落实民主集中制，坚持科学决策、民主决策、依法决策，将党的领导贯穿规划实施各领域、全过程。坚持正确用人导向，把政治标准放在首位，树立和践行正确政绩观，健全激励导向的干部绩效评价考核机制和尽职免责机制，推动能上能下常态化，激发基层干部积极性、主动性、创造性。统筹推进各领域基层党组织建设，增强党组织政治功能和组织功能。锲而不舍落实中央八项规定精神，推进作风建设常态化长效化，切实为基层减负。强化对权力运行的制约和监督，一体推进不敢腐、不能腐、不想腐，营造风清气正的政治生态。</w:t>
      </w:r>
    </w:p>
    <w:p>
      <w:pPr>
        <w:adjustRightInd w:val="0"/>
        <w:snapToGrid w:val="0"/>
        <w:spacing w:line="58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p>
    <w:p>
      <w:pPr>
        <w:adjustRightInd w:val="0"/>
        <w:snapToGrid w:val="0"/>
        <w:spacing w:line="580" w:lineRule="exact"/>
        <w:jc w:val="center"/>
        <w:outlineLvl w:val="1"/>
        <w:rPr>
          <w:rFonts w:hint="eastAsia" w:ascii="黑体" w:hAnsi="黑体" w:eastAsia="黑体" w:cs="黑体"/>
          <w:color w:val="000000" w:themeColor="text1"/>
          <w:sz w:val="32"/>
          <w:szCs w:val="32"/>
          <w14:textFill>
            <w14:solidFill>
              <w14:schemeClr w14:val="tx1"/>
            </w14:solidFill>
          </w14:textFill>
        </w:rPr>
      </w:pPr>
      <w:bookmarkStart w:id="141" w:name="_Toc215048372"/>
      <w:bookmarkStart w:id="142" w:name="_Toc22805"/>
      <w:bookmarkStart w:id="143" w:name="_Toc235000809"/>
      <w:r>
        <w:rPr>
          <w:rFonts w:hint="eastAsia" w:ascii="黑体" w:hAnsi="黑体" w:eastAsia="黑体" w:cs="黑体"/>
          <w:color w:val="000000" w:themeColor="text1"/>
          <w:sz w:val="32"/>
          <w:szCs w:val="32"/>
          <w14:textFill>
            <w14:solidFill>
              <w14:schemeClr w14:val="tx1"/>
            </w14:solidFill>
          </w14:textFill>
        </w:rPr>
        <w:t xml:space="preserve">第二节 </w:t>
      </w:r>
      <w:bookmarkEnd w:id="141"/>
      <w:bookmarkEnd w:id="142"/>
      <w:r>
        <w:rPr>
          <w:rFonts w:hint="eastAsia" w:ascii="黑体" w:hAnsi="黑体" w:eastAsia="黑体" w:cs="黑体"/>
          <w:color w:val="000000" w:themeColor="text1"/>
          <w:sz w:val="32"/>
          <w:szCs w:val="32"/>
          <w14:textFill>
            <w14:solidFill>
              <w14:schemeClr w14:val="tx1"/>
            </w14:solidFill>
          </w14:textFill>
        </w:rPr>
        <w:t>推进社会主义民主法治建设与规划协同</w:t>
      </w:r>
      <w:bookmarkEnd w:id="143"/>
    </w:p>
    <w:p>
      <w:pPr>
        <w:adjustRightInd w:val="0"/>
        <w:snapToGrid w:val="0"/>
        <w:spacing w:line="58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p>
    <w:p>
      <w:pPr>
        <w:adjustRightInd w:val="0"/>
        <w:snapToGrid w:val="0"/>
        <w:spacing w:line="58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坚定不移走中国特色社会主义政治发展道路，坚持党的领导、人民当家作主、依法治国有机统一，发展全过程人民民主，落实中国特色社会主义法治体系。坚持好、完善好、运行好人民代表大会制度，落实好国家机关依法行使权力、履行职责，确保人民群众民主权利、合法权益得到维护和实现。坚持和完善中国共产党领导的多党合作和政治协商制度，发挥人民政协作为专门协商机构作用，加强各种协商渠道协同配合，推进协商民主广泛多层制度化发展。落实基层民主制度，保障人民依法管理基层公共事务和公益事业。健全吸纳民意、汇集民智工作机制。更好发挥工会、共青团、妇联等群团组织作用，加强产业工人队伍建设、青少年发展、妇女儿童事业发展政策保障。完善大统战工作格局，巩固和发展最广泛的爱国统一战线。铸牢中华民族共同体意识，推进中华民族共同体建设。坚持我国宗教中国化方向，加强宗教事务治理法治化。全面贯彻党的侨务政策，更好凝聚侨心侨力。</w:t>
      </w:r>
    </w:p>
    <w:p>
      <w:pPr>
        <w:adjustRightInd w:val="0"/>
        <w:snapToGrid w:val="0"/>
        <w:spacing w:line="580" w:lineRule="exact"/>
        <w:ind w:firstLine="640" w:firstLineChars="200"/>
        <w:rPr>
          <w:color w:val="000000" w:themeColor="text1"/>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坚持全面推进法治会同建设，协调推进严格执法、公正司法、全民守法。强化法治政府建设，坚持依法行政，深入推进政务公开，规范司法权力运行，依法保障各类主体合法权益，营造法治化营商环境。完善实质性化解行政争议机制。规范司法权力运行，完善司法公正实现和评价机制，提高司法裁判公正性、稳定性、权威性。强化检察监督，加强公益诉讼。依法保障人身权、财产权、人格权，健全规范涉企执法长效机制，防止和纠正违规异地执法、趋利性执法。完善执行体制，有效解决“执行难”问题。加强领导干部依法办事监督检查，完善综合性法治评价工作机制。推进法治会同建设，营造全社会崇尚法治、恪守规则、尊重契约、维护公正的良好环境。在规划编制与实施中，强化顶层设计和统筹衔接，明确县级规划定位，对标对表国家、省、市重大部署，建立“县级规划服从上级规划、同位规划相互协调”的审查机制，形成定位准确、边界清晰、功能互补、统一衔接的规划体系。</w:t>
      </w:r>
    </w:p>
    <w:p>
      <w:pPr>
        <w:pStyle w:val="24"/>
        <w:adjustRightInd w:val="0"/>
        <w:snapToGrid w:val="0"/>
        <w:spacing w:line="580" w:lineRule="exact"/>
        <w:rPr>
          <w:rFonts w:hint="eastAsia"/>
          <w:color w:val="000000" w:themeColor="text1"/>
          <w:sz w:val="32"/>
          <w:szCs w:val="22"/>
          <w14:textFill>
            <w14:solidFill>
              <w14:schemeClr w14:val="tx1"/>
            </w14:solidFill>
          </w14:textFill>
        </w:rPr>
      </w:pPr>
    </w:p>
    <w:p>
      <w:pPr>
        <w:adjustRightInd w:val="0"/>
        <w:snapToGrid w:val="0"/>
        <w:spacing w:line="580" w:lineRule="exact"/>
        <w:jc w:val="center"/>
        <w:outlineLvl w:val="1"/>
        <w:rPr>
          <w:rFonts w:hint="eastAsia" w:ascii="黑体" w:hAnsi="黑体" w:eastAsia="黑体" w:cs="黑体"/>
          <w:color w:val="000000" w:themeColor="text1"/>
          <w:sz w:val="32"/>
          <w:szCs w:val="32"/>
          <w14:textFill>
            <w14:solidFill>
              <w14:schemeClr w14:val="tx1"/>
            </w14:solidFill>
          </w14:textFill>
        </w:rPr>
      </w:pPr>
      <w:bookmarkStart w:id="144" w:name="_Toc29344"/>
      <w:bookmarkStart w:id="145" w:name="_Toc215048373"/>
      <w:bookmarkStart w:id="146" w:name="_Toc235000810"/>
      <w:r>
        <w:rPr>
          <w:rFonts w:hint="eastAsia" w:ascii="黑体" w:hAnsi="黑体" w:eastAsia="黑体" w:cs="黑体"/>
          <w:color w:val="000000" w:themeColor="text1"/>
          <w:sz w:val="32"/>
          <w:szCs w:val="32"/>
          <w14:textFill>
            <w14:solidFill>
              <w14:schemeClr w14:val="tx1"/>
            </w14:solidFill>
          </w14:textFill>
        </w:rPr>
        <w:t xml:space="preserve">第三节 </w:t>
      </w:r>
      <w:bookmarkEnd w:id="144"/>
      <w:bookmarkEnd w:id="145"/>
      <w:r>
        <w:rPr>
          <w:rFonts w:hint="eastAsia" w:ascii="黑体" w:hAnsi="黑体" w:eastAsia="黑体" w:cs="黑体"/>
          <w:color w:val="000000" w:themeColor="text1"/>
          <w:sz w:val="32"/>
          <w:szCs w:val="32"/>
          <w14:textFill>
            <w14:solidFill>
              <w14:schemeClr w14:val="tx1"/>
            </w14:solidFill>
          </w14:textFill>
        </w:rPr>
        <w:t>加强政策与要素保障</w:t>
      </w:r>
      <w:bookmarkEnd w:id="146"/>
    </w:p>
    <w:bookmarkEnd w:id="1"/>
    <w:p>
      <w:pPr>
        <w:adjustRightInd w:val="0"/>
        <w:snapToGrid w:val="0"/>
        <w:spacing w:line="58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p>
    <w:p>
      <w:pPr>
        <w:adjustRightInd w:val="0"/>
        <w:snapToGrid w:val="0"/>
        <w:spacing w:line="58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强化政策协同配合，构建“规划定方向、财政作支撑、要素跟项目、政策相配套”的工作体系。建立健全“项目依规划、要素跟项目”的保障机制，县级财政性资金优先投向规划确定的重大任务和工程项目。相关部门制定与规划相匹配的资金、用地、用能、环境等要素保障方案。产业政策围绕规划确定的重点方向，加强创新平台搭建、技术研发和成果转化等关键环节支持。贯彻尊重劳动、尊重知识、尊重人才、尊重创造的方针，完善人才、技术、数据等创新要素供给与配置机制，激发全社会干事创业活力。</w:t>
      </w:r>
    </w:p>
    <w:p>
      <w:pPr>
        <w:pStyle w:val="24"/>
        <w:adjustRightInd w:val="0"/>
        <w:snapToGrid w:val="0"/>
        <w:spacing w:line="580" w:lineRule="exact"/>
        <w:rPr>
          <w:rFonts w:hint="eastAsia"/>
          <w:color w:val="000000" w:themeColor="text1"/>
          <w:sz w:val="32"/>
          <w:szCs w:val="22"/>
          <w14:textFill>
            <w14:solidFill>
              <w14:schemeClr w14:val="tx1"/>
            </w14:solidFill>
          </w14:textFill>
        </w:rPr>
      </w:pPr>
    </w:p>
    <w:p>
      <w:pPr>
        <w:adjustRightInd w:val="0"/>
        <w:snapToGrid w:val="0"/>
        <w:spacing w:line="580" w:lineRule="exact"/>
        <w:jc w:val="center"/>
        <w:outlineLvl w:val="1"/>
        <w:rPr>
          <w:rFonts w:hint="eastAsia" w:ascii="黑体" w:hAnsi="黑体" w:eastAsia="黑体" w:cs="黑体"/>
          <w:color w:val="000000" w:themeColor="text1"/>
          <w:sz w:val="32"/>
          <w:szCs w:val="32"/>
          <w14:textFill>
            <w14:solidFill>
              <w14:schemeClr w14:val="tx1"/>
            </w14:solidFill>
          </w14:textFill>
        </w:rPr>
      </w:pPr>
      <w:bookmarkStart w:id="147" w:name="_Toc215048374"/>
      <w:bookmarkStart w:id="148" w:name="_Toc235000811"/>
      <w:r>
        <w:rPr>
          <w:rFonts w:hint="eastAsia" w:ascii="黑体" w:hAnsi="黑体" w:eastAsia="黑体" w:cs="黑体"/>
          <w:color w:val="000000" w:themeColor="text1"/>
          <w:sz w:val="32"/>
          <w:szCs w:val="32"/>
          <w14:textFill>
            <w14:solidFill>
              <w14:schemeClr w14:val="tx1"/>
            </w14:solidFill>
          </w14:textFill>
        </w:rPr>
        <w:t xml:space="preserve">第四节 </w:t>
      </w:r>
      <w:bookmarkEnd w:id="147"/>
      <w:r>
        <w:rPr>
          <w:rFonts w:hint="eastAsia" w:ascii="黑体" w:hAnsi="黑体" w:eastAsia="黑体" w:cs="黑体"/>
          <w:color w:val="000000" w:themeColor="text1"/>
          <w:sz w:val="32"/>
          <w:szCs w:val="32"/>
          <w14:textFill>
            <w14:solidFill>
              <w14:schemeClr w14:val="tx1"/>
            </w14:solidFill>
          </w14:textFill>
        </w:rPr>
        <w:t>强化重大项目支撑</w:t>
      </w:r>
      <w:bookmarkEnd w:id="148"/>
    </w:p>
    <w:p>
      <w:pPr>
        <w:adjustRightInd w:val="0"/>
        <w:snapToGrid w:val="0"/>
        <w:spacing w:line="58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p>
    <w:p>
      <w:pPr>
        <w:adjustRightInd w:val="0"/>
        <w:snapToGrid w:val="0"/>
        <w:spacing w:line="58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坚持战略导向、规划引领、精准施策，紧密对接国家、省、市政策导向和投入重点，结合会同发展阶段与资源禀赋，聚焦高质量发展、生态环保、民生改善等重点领域，建立健全“谋划储备、前期推进、开工建设、投产达效”的全周期管理机制。强化项目库动态管理和分级分类调度，推动重大项目与上级规划纲要、专项规划深度衔接，力争更多项目纳入上级盘子，确保项目有序接续、有效支撑规划目标实现。</w:t>
      </w:r>
    </w:p>
    <w:p>
      <w:pPr>
        <w:pStyle w:val="2"/>
        <w:spacing w:after="0" w:line="580" w:lineRule="exact"/>
        <w:rPr>
          <w:rFonts w:hint="eastAsia"/>
          <w:color w:val="000000" w:themeColor="text1"/>
          <w14:textFill>
            <w14:solidFill>
              <w14:schemeClr w14:val="tx1"/>
            </w14:solidFill>
          </w14:textFill>
        </w:rPr>
      </w:pPr>
    </w:p>
    <w:p>
      <w:pPr>
        <w:adjustRightInd w:val="0"/>
        <w:snapToGrid w:val="0"/>
        <w:spacing w:line="580" w:lineRule="exact"/>
        <w:jc w:val="center"/>
        <w:outlineLvl w:val="1"/>
        <w:rPr>
          <w:rFonts w:hint="eastAsia" w:ascii="黑体" w:hAnsi="黑体" w:eastAsia="黑体" w:cs="黑体"/>
          <w:color w:val="000000" w:themeColor="text1"/>
          <w:sz w:val="32"/>
          <w:szCs w:val="32"/>
          <w14:textFill>
            <w14:solidFill>
              <w14:schemeClr w14:val="tx1"/>
            </w14:solidFill>
          </w14:textFill>
        </w:rPr>
      </w:pPr>
      <w:bookmarkStart w:id="149" w:name="_Toc215048375"/>
      <w:bookmarkStart w:id="150" w:name="_Toc235000812"/>
      <w:r>
        <w:rPr>
          <w:rFonts w:hint="eastAsia" w:ascii="黑体" w:hAnsi="黑体" w:eastAsia="黑体" w:cs="黑体"/>
          <w:color w:val="000000" w:themeColor="text1"/>
          <w:sz w:val="32"/>
          <w:szCs w:val="32"/>
          <w14:textFill>
            <w14:solidFill>
              <w14:schemeClr w14:val="tx1"/>
            </w14:solidFill>
          </w14:textFill>
        </w:rPr>
        <w:t xml:space="preserve">第五节 </w:t>
      </w:r>
      <w:bookmarkEnd w:id="149"/>
      <w:r>
        <w:rPr>
          <w:rFonts w:hint="eastAsia" w:ascii="黑体" w:hAnsi="黑体" w:eastAsia="黑体" w:cs="黑体"/>
          <w:color w:val="000000" w:themeColor="text1"/>
          <w:sz w:val="32"/>
          <w:szCs w:val="32"/>
          <w14:textFill>
            <w14:solidFill>
              <w14:schemeClr w14:val="tx1"/>
            </w14:solidFill>
          </w14:textFill>
        </w:rPr>
        <w:t>健全实施监测与反馈机制</w:t>
      </w:r>
      <w:bookmarkEnd w:id="150"/>
    </w:p>
    <w:p>
      <w:pPr>
        <w:adjustRightInd w:val="0"/>
        <w:snapToGrid w:val="0"/>
        <w:spacing w:line="580" w:lineRule="exact"/>
        <w:ind w:firstLine="640"/>
        <w:rPr>
          <w:rFonts w:hint="eastAsia" w:ascii="仿宋_GB2312" w:hAnsi="仿宋_GB2312" w:eastAsia="仿宋_GB2312" w:cs="仿宋_GB2312"/>
          <w:color w:val="000000" w:themeColor="text1"/>
          <w:sz w:val="32"/>
          <w:szCs w:val="32"/>
          <w14:textFill>
            <w14:solidFill>
              <w14:schemeClr w14:val="tx1"/>
            </w14:solidFill>
          </w14:textFill>
        </w:rPr>
      </w:pPr>
    </w:p>
    <w:p>
      <w:pPr>
        <w:adjustRightInd w:val="0"/>
        <w:snapToGrid w:val="0"/>
        <w:spacing w:line="580" w:lineRule="exact"/>
        <w:ind w:firstLine="64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加强规划指标、任务举措和重大项目进展的跟踪监测与动态评估，健全落实机制和年度考核评价机制，将规划实施情况纳入相关部门和领导干部考核体系。认真开展规划评估，及时将评估成果转化为改进工作和优化政策的具体举措。推进规划实施信息公开，发挥新闻媒体、社会组织和公众的监督作用，完善政府与企业、群众的沟通反馈机制，提高规划实施透明度和公众参与度，形成全社会共同参与、监督落实的氛围。</w:t>
      </w:r>
    </w:p>
    <w:p>
      <w:pPr>
        <w:pStyle w:val="24"/>
        <w:adjustRightInd w:val="0"/>
        <w:snapToGrid w:val="0"/>
        <w:spacing w:line="580" w:lineRule="exact"/>
        <w:rPr>
          <w:rFonts w:hint="eastAsia" w:ascii="仿宋_GB2312" w:hAnsi="仿宋_GB2312" w:eastAsia="仿宋_GB2312" w:cs="仿宋_GB2312"/>
          <w:color w:val="000000" w:themeColor="text1"/>
          <w:sz w:val="32"/>
          <w:szCs w:val="32"/>
          <w14:textFill>
            <w14:solidFill>
              <w14:schemeClr w14:val="tx1"/>
            </w14:solidFill>
          </w14:textFill>
        </w:rPr>
      </w:pPr>
    </w:p>
    <w:p>
      <w:pPr>
        <w:pStyle w:val="25"/>
        <w:adjustRightInd w:val="0"/>
        <w:snapToGrid w:val="0"/>
        <w:spacing w:line="580" w:lineRule="exact"/>
        <w:jc w:val="center"/>
        <w:outlineLvl w:val="1"/>
        <w:rPr>
          <w:rFonts w:hint="eastAsia" w:ascii="黑体" w:hAnsi="黑体" w:eastAsia="黑体" w:cs="黑体"/>
          <w:color w:val="000000" w:themeColor="text1"/>
          <w:spacing w:val="-6"/>
          <w:sz w:val="32"/>
          <w:szCs w:val="32"/>
          <w14:textFill>
            <w14:solidFill>
              <w14:schemeClr w14:val="tx1"/>
            </w14:solidFill>
          </w14:textFill>
        </w:rPr>
      </w:pPr>
      <w:bookmarkStart w:id="151" w:name="_Toc235000813"/>
      <w:r>
        <w:rPr>
          <w:rFonts w:hint="eastAsia" w:ascii="黑体" w:hAnsi="黑体" w:eastAsia="黑体" w:cs="黑体"/>
          <w:color w:val="000000" w:themeColor="text1"/>
          <w:spacing w:val="-6"/>
          <w:sz w:val="32"/>
          <w:szCs w:val="32"/>
          <w14:textFill>
            <w14:solidFill>
              <w14:schemeClr w14:val="tx1"/>
            </w14:solidFill>
          </w14:textFill>
        </w:rPr>
        <w:t>第六节 充分调动建设中国式现代化新会同的积极性主动性创造性</w:t>
      </w:r>
      <w:bookmarkEnd w:id="151"/>
    </w:p>
    <w:p>
      <w:pPr>
        <w:adjustRightInd w:val="0"/>
        <w:snapToGrid w:val="0"/>
        <w:spacing w:line="58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p>
    <w:p>
      <w:pPr>
        <w:adjustRightInd w:val="0"/>
        <w:snapToGrid w:val="0"/>
        <w:spacing w:line="580" w:lineRule="exact"/>
        <w:ind w:firstLine="640" w:firstLineChars="200"/>
        <w:rPr>
          <w:rFonts w:hint="eastAsia" w:ascii="仿宋" w:hAnsi="仿宋"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坚决落实党中央的决策部署和省委、市委及县委工作要求。贯彻尊重劳动、尊重知识、尊重人才、尊重创造的方针，激发全县干事创业、创新创造活力，形成人尽其才、才尽其用、万众一心、</w:t>
      </w:r>
      <w:r>
        <w:rPr>
          <w:rFonts w:hint="eastAsia" w:ascii="仿宋" w:hAnsi="仿宋" w:eastAsia="仿宋" w:cs="仿宋_GB2312"/>
          <w:color w:val="000000" w:themeColor="text1"/>
          <w:sz w:val="32"/>
          <w:szCs w:val="32"/>
          <w14:textFill>
            <w14:solidFill>
              <w14:schemeClr w14:val="tx1"/>
            </w14:solidFill>
          </w14:textFill>
        </w:rPr>
        <w:t>勠</w:t>
      </w:r>
      <w:r>
        <w:rPr>
          <w:rFonts w:hint="eastAsia" w:ascii="仿宋_GB2312" w:hAnsi="仿宋_GB2312" w:eastAsia="仿宋_GB2312" w:cs="仿宋_GB2312"/>
          <w:color w:val="000000" w:themeColor="text1"/>
          <w:sz w:val="32"/>
          <w:szCs w:val="32"/>
          <w14:textFill>
            <w14:solidFill>
              <w14:schemeClr w14:val="tx1"/>
            </w14:solidFill>
          </w14:textFill>
        </w:rPr>
        <w:t>力进取的生动局面。</w:t>
      </w:r>
    </w:p>
    <w:p>
      <w:pPr>
        <w:adjustRightInd w:val="0"/>
        <w:snapToGrid w:val="0"/>
        <w:spacing w:line="58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全县上下要更加紧密地团结在以习近平同志为核心的党中央周围，奋力进取、真抓实干，深入实施“1354”工程，不断开创会同高质量发展高水平开放新局面。</w:t>
      </w:r>
    </w:p>
    <w:p>
      <w:pPr>
        <w:pStyle w:val="2"/>
        <w:rPr>
          <w:color w:val="000000" w:themeColor="text1"/>
          <w14:textFill>
            <w14:solidFill>
              <w14:schemeClr w14:val="tx1"/>
            </w14:solidFill>
          </w14:textFill>
        </w:rPr>
      </w:pPr>
    </w:p>
    <w:p>
      <w:pPr>
        <w:rPr>
          <w:color w:val="000000" w:themeColor="text1"/>
          <w14:textFill>
            <w14:solidFill>
              <w14:schemeClr w14:val="tx1"/>
            </w14:solidFill>
          </w14:textFill>
        </w:rPr>
      </w:pPr>
    </w:p>
    <w:p>
      <w:pPr>
        <w:pStyle w:val="2"/>
        <w:rPr>
          <w:color w:val="000000" w:themeColor="text1"/>
          <w14:textFill>
            <w14:solidFill>
              <w14:schemeClr w14:val="tx1"/>
            </w14:solidFill>
          </w14:textFill>
        </w:rPr>
      </w:pPr>
    </w:p>
    <w:p>
      <w:pPr>
        <w:rPr>
          <w:color w:val="000000" w:themeColor="text1"/>
          <w14:textFill>
            <w14:solidFill>
              <w14:schemeClr w14:val="tx1"/>
            </w14:solidFill>
          </w14:textFill>
        </w:rPr>
      </w:pPr>
    </w:p>
    <w:p>
      <w:pPr>
        <w:pStyle w:val="2"/>
        <w:rPr>
          <w:color w:val="000000" w:themeColor="text1"/>
          <w14:textFill>
            <w14:solidFill>
              <w14:schemeClr w14:val="tx1"/>
            </w14:solidFill>
          </w14:textFill>
        </w:rPr>
      </w:pPr>
    </w:p>
    <w:p>
      <w:pPr>
        <w:rPr>
          <w:color w:val="000000" w:themeColor="text1"/>
          <w14:textFill>
            <w14:solidFill>
              <w14:schemeClr w14:val="tx1"/>
            </w14:solidFill>
          </w14:textFill>
        </w:rPr>
      </w:pPr>
    </w:p>
    <w:p>
      <w:pPr>
        <w:pStyle w:val="2"/>
        <w:rPr>
          <w:color w:val="000000" w:themeColor="text1"/>
          <w14:textFill>
            <w14:solidFill>
              <w14:schemeClr w14:val="tx1"/>
            </w14:solidFill>
          </w14:textFill>
        </w:rPr>
      </w:pPr>
    </w:p>
    <w:p>
      <w:pPr>
        <w:rPr>
          <w:color w:val="000000" w:themeColor="text1"/>
          <w14:textFill>
            <w14:solidFill>
              <w14:schemeClr w14:val="tx1"/>
            </w14:solidFill>
          </w14:textFill>
        </w:rPr>
      </w:pPr>
    </w:p>
    <w:p>
      <w:pPr>
        <w:pStyle w:val="2"/>
        <w:rPr>
          <w:color w:val="000000" w:themeColor="text1"/>
          <w14:textFill>
            <w14:solidFill>
              <w14:schemeClr w14:val="tx1"/>
            </w14:solidFill>
          </w14:textFill>
        </w:rPr>
      </w:pPr>
    </w:p>
    <w:p>
      <w:pPr>
        <w:rPr>
          <w:color w:val="000000" w:themeColor="text1"/>
          <w14:textFill>
            <w14:solidFill>
              <w14:schemeClr w14:val="tx1"/>
            </w14:solidFill>
          </w14:textFill>
        </w:rPr>
      </w:pPr>
    </w:p>
    <w:p>
      <w:pPr>
        <w:adjustRightInd w:val="0"/>
        <w:snapToGrid w:val="0"/>
        <w:spacing w:line="580" w:lineRule="exact"/>
        <w:jc w:val="center"/>
        <w:outlineLvl w:val="0"/>
        <w:rPr>
          <w:rFonts w:hint="eastAsia" w:ascii="方正小标宋简体" w:hAnsi="方正小标宋简体" w:eastAsia="方正小标宋简体" w:cs="方正小标宋简体"/>
          <w:color w:val="000000" w:themeColor="text1"/>
          <w:sz w:val="44"/>
          <w:szCs w:val="44"/>
          <w14:textFill>
            <w14:solidFill>
              <w14:schemeClr w14:val="tx1"/>
            </w14:solidFill>
          </w14:textFill>
        </w:rPr>
      </w:pPr>
      <w:bookmarkStart w:id="152" w:name="_Toc235000814"/>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名词解释</w:t>
      </w:r>
      <w:bookmarkEnd w:id="152"/>
    </w:p>
    <w:p>
      <w:pPr>
        <w:adjustRightInd w:val="0"/>
        <w:snapToGrid w:val="0"/>
        <w:spacing w:line="58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p>
    <w:p>
      <w:pPr>
        <w:pStyle w:val="27"/>
        <w:overflowPunct w:val="0"/>
        <w:autoSpaceDE w:val="0"/>
        <w:spacing w:line="580" w:lineRule="exact"/>
        <w:ind w:firstLine="640"/>
        <w:rPr>
          <w:rFonts w:hint="default" w:ascii="Times New Roman" w:hAnsi="Times New Roman" w:eastAsia="仿宋_GB2312"/>
          <w:color w:val="000000" w:themeColor="text1"/>
          <w:sz w:val="32"/>
          <w:szCs w:val="32"/>
          <w14:textFill>
            <w14:solidFill>
              <w14:schemeClr w14:val="tx1"/>
            </w14:solidFill>
          </w14:textFill>
        </w:rPr>
      </w:pPr>
      <w:r>
        <w:rPr>
          <w:rFonts w:ascii="Times New Roman" w:hAnsi="Times New Roman" w:eastAsia="黑体" w:cs="Times New Roman"/>
          <w:color w:val="000000" w:themeColor="text1"/>
          <w:kern w:val="0"/>
          <w:sz w:val="32"/>
          <w:szCs w:val="32"/>
          <w14:textFill>
            <w14:solidFill>
              <w14:schemeClr w14:val="tx1"/>
            </w14:solidFill>
          </w14:textFill>
          <w14:ligatures w14:val="none"/>
        </w:rPr>
        <w:t>1.</w:t>
      </w:r>
      <w:r>
        <w:rPr>
          <w:rFonts w:ascii="仿宋_GB2312" w:hAnsi="Times New Roman" w:eastAsia="仿宋_GB2312"/>
          <w:color w:val="000000" w:themeColor="text1"/>
          <w:sz w:val="32"/>
          <w:szCs w:val="32"/>
          <w14:textFill>
            <w14:solidFill>
              <w14:schemeClr w14:val="tx1"/>
            </w14:solidFill>
          </w14:textFill>
        </w:rPr>
        <w:t>“</w:t>
      </w:r>
      <w:r>
        <w:rPr>
          <w:rFonts w:hint="default" w:ascii="Times New Roman" w:hAnsi="Times New Roman" w:eastAsia="黑体"/>
          <w:color w:val="000000" w:themeColor="text1"/>
          <w:sz w:val="32"/>
          <w:szCs w:val="32"/>
          <w14:textFill>
            <w14:solidFill>
              <w14:schemeClr w14:val="tx1"/>
            </w14:solidFill>
          </w14:textFill>
        </w:rPr>
        <w:t>三高四新</w:t>
      </w:r>
      <w:r>
        <w:rPr>
          <w:rFonts w:ascii="仿宋_GB2312" w:hAnsi="Times New Roman" w:eastAsia="仿宋_GB2312"/>
          <w:color w:val="000000" w:themeColor="text1"/>
          <w:sz w:val="32"/>
          <w:szCs w:val="32"/>
          <w14:textFill>
            <w14:solidFill>
              <w14:schemeClr w14:val="tx1"/>
            </w14:solidFill>
          </w14:textFill>
        </w:rPr>
        <w:t>”</w:t>
      </w:r>
      <w:r>
        <w:rPr>
          <w:rFonts w:hint="default" w:ascii="Times New Roman" w:hAnsi="Times New Roman" w:eastAsia="黑体"/>
          <w:color w:val="000000" w:themeColor="text1"/>
          <w:sz w:val="32"/>
          <w:szCs w:val="32"/>
          <w14:textFill>
            <w14:solidFill>
              <w14:schemeClr w14:val="tx1"/>
            </w14:solidFill>
          </w14:textFill>
        </w:rPr>
        <w:t>美好蓝图：</w:t>
      </w:r>
      <w:r>
        <w:rPr>
          <w:rFonts w:hint="default" w:ascii="Times New Roman" w:hAnsi="Times New Roman" w:eastAsia="仿宋_GB2312"/>
          <w:color w:val="000000" w:themeColor="text1"/>
          <w:sz w:val="32"/>
          <w:szCs w:val="32"/>
          <w14:textFill>
            <w14:solidFill>
              <w14:schemeClr w14:val="tx1"/>
            </w14:solidFill>
          </w14:textFill>
        </w:rPr>
        <w:t>2020年9月，习近平总书记亲临湖南考察，为湖南擘画</w:t>
      </w:r>
      <w:r>
        <w:rPr>
          <w:rFonts w:ascii="仿宋_GB2312" w:hAnsi="Times New Roman" w:eastAsia="仿宋_GB2312"/>
          <w:color w:val="000000" w:themeColor="text1"/>
          <w:sz w:val="32"/>
          <w:szCs w:val="32"/>
          <w14:textFill>
            <w14:solidFill>
              <w14:schemeClr w14:val="tx1"/>
            </w14:solidFill>
          </w14:textFill>
        </w:rPr>
        <w:t>“</w:t>
      </w:r>
      <w:r>
        <w:rPr>
          <w:rFonts w:hint="default" w:ascii="Times New Roman" w:hAnsi="Times New Roman" w:eastAsia="仿宋_GB2312"/>
          <w:color w:val="000000" w:themeColor="text1"/>
          <w:sz w:val="32"/>
          <w:szCs w:val="32"/>
          <w14:textFill>
            <w14:solidFill>
              <w14:schemeClr w14:val="tx1"/>
            </w14:solidFill>
          </w14:textFill>
        </w:rPr>
        <w:t>三高四新</w:t>
      </w:r>
      <w:r>
        <w:rPr>
          <w:rFonts w:ascii="仿宋_GB2312" w:hAnsi="Times New Roman" w:eastAsia="仿宋_GB2312"/>
          <w:color w:val="000000" w:themeColor="text1"/>
          <w:sz w:val="32"/>
          <w:szCs w:val="32"/>
          <w14:textFill>
            <w14:solidFill>
              <w14:schemeClr w14:val="tx1"/>
            </w14:solidFill>
          </w14:textFill>
        </w:rPr>
        <w:t>”</w:t>
      </w:r>
      <w:r>
        <w:rPr>
          <w:rFonts w:hint="default" w:ascii="Times New Roman" w:hAnsi="Times New Roman" w:eastAsia="仿宋_GB2312"/>
          <w:color w:val="000000" w:themeColor="text1"/>
          <w:sz w:val="32"/>
          <w:szCs w:val="32"/>
          <w14:textFill>
            <w14:solidFill>
              <w14:schemeClr w14:val="tx1"/>
            </w14:solidFill>
          </w14:textFill>
        </w:rPr>
        <w:t>美好蓝图，勉励湖南着力打造国家重要先进制造业、具有核心竞争力的科技创新、内陆地区改革开放的高地，在推动高质量发展上闯出新路子，在构建新发展格局中展现新作为，在推动中部地区崛起和长江经济带发展中彰显新担当，奋力谱写新时代坚持和发展中国特色社会主义的湖南新篇章。</w:t>
      </w:r>
    </w:p>
    <w:p>
      <w:pPr>
        <w:spacing w:line="580" w:lineRule="exact"/>
        <w:ind w:firstLine="640"/>
        <w:rPr>
          <w:rFonts w:hint="eastAsia" w:eastAsia="黑体"/>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2.</w:t>
      </w:r>
      <w:r>
        <w:rPr>
          <w:rFonts w:ascii="Times New Roman" w:hAnsi="Times New Roman" w:eastAsia="黑体"/>
          <w:color w:val="000000" w:themeColor="text1"/>
          <w:sz w:val="32"/>
          <w:szCs w:val="32"/>
          <w14:textFill>
            <w14:solidFill>
              <w14:schemeClr w14:val="tx1"/>
            </w14:solidFill>
          </w14:textFill>
        </w:rPr>
        <w:t>“五新四城”战略：</w:t>
      </w:r>
      <w:r>
        <w:rPr>
          <w:rFonts w:ascii="Times New Roman" w:hAnsi="Times New Roman" w:eastAsia="仿宋_GB2312" w:cs="Times New Roman"/>
          <w:color w:val="000000" w:themeColor="text1"/>
          <w:spacing w:val="10"/>
          <w:sz w:val="32"/>
          <w:szCs w:val="32"/>
          <w14:textFill>
            <w14:solidFill>
              <w14:schemeClr w14:val="tx1"/>
            </w14:solidFill>
          </w14:textFill>
        </w:rPr>
        <w:t>“五新”即举全市之力建设国际陆港，着力打造内陆地区改革开放新高地；突出发展特色优势产业，着力建设现代化产业新体系；坚持生态绿色和数智赋能发展，着力推动发展方式新转型；加快以鹤中一体化为核心的新型城镇化进程，着力构建经济增长新引擎；全面推进乡村振兴，着力绘就山乡巨变新画卷。“四城”即开放活力之城、创新创业之城、生态文旅之城、宜居智慧之城。</w:t>
      </w:r>
    </w:p>
    <w:p>
      <w:pPr>
        <w:pStyle w:val="27"/>
        <w:overflowPunct w:val="0"/>
        <w:autoSpaceDE w:val="0"/>
        <w:spacing w:line="580" w:lineRule="exact"/>
        <w:ind w:firstLine="640"/>
        <w:rPr>
          <w:rFonts w:hint="default"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14:textFill>
            <w14:solidFill>
              <w14:schemeClr w14:val="tx1"/>
            </w14:solidFill>
          </w14:textFill>
        </w:rPr>
        <w:t>3.</w:t>
      </w:r>
      <w:r>
        <w:rPr>
          <w:rFonts w:hint="default" w:ascii="Times New Roman" w:hAnsi="Times New Roman" w:eastAsia="黑体"/>
          <w:color w:val="000000" w:themeColor="text1"/>
          <w:sz w:val="32"/>
          <w:szCs w:val="32"/>
          <w14:textFill>
            <w14:solidFill>
              <w14:schemeClr w14:val="tx1"/>
            </w14:solidFill>
          </w14:textFill>
        </w:rPr>
        <w:t>“1354”工程：</w:t>
      </w:r>
      <w:r>
        <w:rPr>
          <w:rFonts w:hint="default" w:ascii="Times New Roman" w:hAnsi="Times New Roman" w:eastAsia="仿宋_GB2312" w:cs="Times New Roman"/>
          <w:color w:val="000000" w:themeColor="text1"/>
          <w:spacing w:val="10"/>
          <w:sz w:val="32"/>
          <w:szCs w:val="32"/>
          <w14:textFill>
            <w14:solidFill>
              <w14:schemeClr w14:val="tx1"/>
            </w14:solidFill>
          </w14:textFill>
        </w:rPr>
        <w:t>“1”：即以做强县城为总揽。“3”：即坚持生态立县、产业强县、科教兴县。“5”：即大力发展先进制造、绿色农林产品及其加工、医药大健康、新能源和生态文化旅游等五大产业。“4”：即建设特色产业发展样板区、城乡融合发展先行区、湘黔边区红色文化引领区、绿色低碳循环发展示范区。在“十五五”承前启后的关键时期，我县持续实施“1354”工程，将原“生态立县、产业兴县、教育强县”三大支柱迭代升级为“生态立县、产业强县、科教兴县”。</w:t>
      </w:r>
    </w:p>
    <w:p>
      <w:pPr>
        <w:pStyle w:val="27"/>
        <w:overflowPunct w:val="0"/>
        <w:autoSpaceDE w:val="0"/>
        <w:adjustRightInd w:val="0"/>
        <w:snapToGrid w:val="0"/>
        <w:spacing w:line="580" w:lineRule="exact"/>
        <w:ind w:firstLine="640"/>
        <w:rPr>
          <w:rFonts w:hint="default"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14:textFill>
            <w14:solidFill>
              <w14:schemeClr w14:val="tx1"/>
            </w14:solidFill>
          </w14:textFill>
        </w:rPr>
        <w:t>4.</w:t>
      </w:r>
      <w:r>
        <w:rPr>
          <w:rFonts w:hint="default" w:ascii="Times New Roman" w:hAnsi="Times New Roman" w:eastAsia="黑体"/>
          <w:color w:val="000000" w:themeColor="text1"/>
          <w:sz w:val="32"/>
          <w:szCs w:val="32"/>
          <w14:textFill>
            <w14:solidFill>
              <w14:schemeClr w14:val="tx1"/>
            </w14:solidFill>
          </w14:textFill>
        </w:rPr>
        <w:t>竹林FSC认证：</w:t>
      </w:r>
      <w:r>
        <w:rPr>
          <w:rFonts w:ascii="Times New Roman" w:hAnsi="Times New Roman" w:eastAsia="仿宋_GB2312"/>
          <w:color w:val="000000" w:themeColor="text1"/>
          <w:sz w:val="32"/>
          <w:szCs w:val="32"/>
          <w14:textFill>
            <w14:solidFill>
              <w14:schemeClr w14:val="tx1"/>
            </w14:solidFill>
          </w14:textFill>
        </w:rPr>
        <w:t>FSC森林认证是由森林管理委员会（FSC）于1993年建立的木材认证体系，该组织为非政府、非营利机构，由国际环保组织及个人发起。认证包含森林经营认证（FM）和产销监管链认证（COC）两类，通过第三方机构评估森林经营是否符合可持续标准，并对木材加工、运输等环节进行全程监管，认证合格企业可使用专属标签。其旨在通过市场机制促进森林可持续经营，为消费者提供产品来源的独立担保。</w:t>
      </w:r>
    </w:p>
    <w:p>
      <w:pPr>
        <w:pStyle w:val="27"/>
        <w:overflowPunct w:val="0"/>
        <w:autoSpaceDE w:val="0"/>
        <w:adjustRightInd w:val="0"/>
        <w:snapToGrid w:val="0"/>
        <w:spacing w:line="580" w:lineRule="exact"/>
        <w:ind w:firstLine="640"/>
        <w:rPr>
          <w:rFonts w:hint="default"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14:textFill>
            <w14:solidFill>
              <w14:schemeClr w14:val="tx1"/>
            </w14:solidFill>
          </w14:textFill>
        </w:rPr>
        <w:t>5.</w:t>
      </w:r>
      <w:r>
        <w:rPr>
          <w:rFonts w:hint="default" w:ascii="Times New Roman" w:hAnsi="Times New Roman" w:eastAsia="黑体"/>
          <w:color w:val="000000" w:themeColor="text1"/>
          <w:sz w:val="32"/>
          <w:szCs w:val="32"/>
          <w14:textFill>
            <w14:solidFill>
              <w14:schemeClr w14:val="tx1"/>
            </w14:solidFill>
          </w14:textFill>
        </w:rPr>
        <w:t>CFCC认证：</w:t>
      </w:r>
      <w:r>
        <w:rPr>
          <w:rFonts w:ascii="Times New Roman" w:hAnsi="Times New Roman" w:eastAsia="仿宋_GB2312"/>
          <w:color w:val="000000" w:themeColor="text1"/>
          <w:sz w:val="32"/>
          <w:szCs w:val="32"/>
          <w14:textFill>
            <w14:solidFill>
              <w14:schemeClr w14:val="tx1"/>
            </w14:solidFill>
          </w14:textFill>
        </w:rPr>
        <w:t>CFCC认证是经国家认证认可监督管理委员会（CNCA）批准，由中国森林认证委员会（CFCC）实施的自愿性认证，其依据的核心国家标准包括《中国森林认证 森林经营》（GB/T 28951-2021）及《中国森林认证 产销监管链》（GB/T 28952）等。CFCC认证范围广泛，包括森林经营认证（FM）、产销监管链认证（CoC）、竹林认证、人工林认证、非木质林产品认证、森林生态环境服务认证、森林碳汇认证、生产经营性珍贵稀有濒危物种认证等。</w:t>
      </w:r>
    </w:p>
    <w:p>
      <w:pPr>
        <w:pStyle w:val="27"/>
        <w:overflowPunct w:val="0"/>
        <w:autoSpaceDE w:val="0"/>
        <w:adjustRightInd w:val="0"/>
        <w:snapToGrid w:val="0"/>
        <w:spacing w:line="580" w:lineRule="exact"/>
        <w:ind w:firstLine="640"/>
        <w:rPr>
          <w:rFonts w:hint="default"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14:textFill>
            <w14:solidFill>
              <w14:schemeClr w14:val="tx1"/>
            </w14:solidFill>
          </w14:textFill>
        </w:rPr>
        <w:t>6.</w:t>
      </w:r>
      <w:r>
        <w:rPr>
          <w:rFonts w:hint="default" w:ascii="Times New Roman" w:hAnsi="Times New Roman" w:eastAsia="黑体"/>
          <w:color w:val="000000" w:themeColor="text1"/>
          <w:sz w:val="32"/>
          <w:szCs w:val="32"/>
          <w14:textFill>
            <w14:solidFill>
              <w14:schemeClr w14:val="tx1"/>
            </w14:solidFill>
          </w14:textFill>
        </w:rPr>
        <w:t>后发地区：</w:t>
      </w:r>
      <w:r>
        <w:rPr>
          <w:rFonts w:hint="default" w:ascii="Times New Roman" w:hAnsi="Times New Roman" w:eastAsia="仿宋_GB2312"/>
          <w:color w:val="000000" w:themeColor="text1"/>
          <w:sz w:val="32"/>
          <w:szCs w:val="32"/>
          <w14:textFill>
            <w14:solidFill>
              <w14:schemeClr w14:val="tx1"/>
            </w14:solidFill>
          </w14:textFill>
        </w:rPr>
        <w:t>后发地区通常指那些经济起步较晚、发展水平相对落后但拥有增长潜力的区域</w:t>
      </w:r>
      <w:r>
        <w:rPr>
          <w:rFonts w:ascii="Times New Roman" w:hAnsi="Times New Roman" w:eastAsia="仿宋_GB2312"/>
          <w:color w:val="000000" w:themeColor="text1"/>
          <w:sz w:val="32"/>
          <w:szCs w:val="32"/>
          <w14:textFill>
            <w14:solidFill>
              <w14:schemeClr w14:val="tx1"/>
            </w14:solidFill>
          </w14:textFill>
        </w:rPr>
        <w:t>。</w:t>
      </w:r>
    </w:p>
    <w:p>
      <w:pPr>
        <w:pStyle w:val="27"/>
        <w:overflowPunct w:val="0"/>
        <w:autoSpaceDE w:val="0"/>
        <w:adjustRightInd w:val="0"/>
        <w:snapToGrid w:val="0"/>
        <w:spacing w:line="580" w:lineRule="exact"/>
        <w:ind w:firstLine="640"/>
        <w:rPr>
          <w:rFonts w:hint="default"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14:textFill>
            <w14:solidFill>
              <w14:schemeClr w14:val="tx1"/>
            </w14:solidFill>
          </w14:textFill>
        </w:rPr>
        <w:t>7.</w:t>
      </w:r>
      <w:r>
        <w:rPr>
          <w:rFonts w:hint="default" w:ascii="Times New Roman" w:hAnsi="Times New Roman" w:eastAsia="黑体"/>
          <w:color w:val="000000" w:themeColor="text1"/>
          <w:sz w:val="32"/>
          <w:szCs w:val="32"/>
          <w14:textFill>
            <w14:solidFill>
              <w14:schemeClr w14:val="tx1"/>
            </w14:solidFill>
          </w14:textFill>
        </w:rPr>
        <w:t>一高地、三走廊、多节点：</w:t>
      </w:r>
      <w:r>
        <w:rPr>
          <w:rFonts w:hint="default" w:ascii="Times New Roman" w:hAnsi="Times New Roman" w:eastAsia="仿宋_GB2312"/>
          <w:color w:val="000000" w:themeColor="text1"/>
          <w:sz w:val="32"/>
          <w:szCs w:val="32"/>
          <w14:textFill>
            <w14:solidFill>
              <w14:schemeClr w14:val="tx1"/>
            </w14:solidFill>
          </w14:textFill>
        </w:rPr>
        <w:t>推动中心城区联动连山打造县域高质量发展高地，依托包茂高速、焦柳铁路、国道G209和怀桂高铁形成县域活力走廊，依托省道S249形成纵贯南北的生态文旅走廊，依托东西向G60沪昆高速形成串联东中西的城乡融合走廊，以乡镇为节点，发挥区位、交通、资源优势，支持城郊服务型、生态保护型、商贸物流型、现代农业型、文旅融合型、产业发展型等特色乡镇差异化发展，因地制宜提升各乡镇基础设施、公共服务、产业发展和生态保护水平。</w:t>
      </w:r>
    </w:p>
    <w:p>
      <w:pPr>
        <w:pStyle w:val="27"/>
        <w:overflowPunct w:val="0"/>
        <w:autoSpaceDE w:val="0"/>
        <w:adjustRightInd w:val="0"/>
        <w:snapToGrid w:val="0"/>
        <w:spacing w:line="580" w:lineRule="exact"/>
        <w:ind w:firstLine="640"/>
        <w:rPr>
          <w:rFonts w:hint="default" w:ascii="Times New Roman" w:hAnsi="Times New Roman" w:eastAsia="仿宋_GB2312"/>
          <w:color w:val="000000" w:themeColor="text1"/>
          <w:sz w:val="32"/>
          <w:szCs w:val="32"/>
          <w14:textFill>
            <w14:solidFill>
              <w14:schemeClr w14:val="tx1"/>
            </w14:solidFill>
          </w14:textFill>
        </w:rPr>
      </w:pPr>
      <w:r>
        <w:rPr>
          <w:rFonts w:ascii="Times New Roman" w:hAnsi="Times New Roman" w:eastAsia="黑体"/>
          <w:color w:val="000000" w:themeColor="text1"/>
          <w:sz w:val="32"/>
          <w:szCs w:val="32"/>
          <w14:textFill>
            <w14:solidFill>
              <w14:schemeClr w14:val="tx1"/>
            </w14:solidFill>
          </w14:textFill>
        </w:rPr>
        <w:t>8.“六类人员”职业技能培训：</w:t>
      </w:r>
      <w:r>
        <w:rPr>
          <w:rFonts w:hint="default" w:ascii="Times New Roman" w:hAnsi="Times New Roman" w:eastAsia="仿宋_GB2312"/>
          <w:color w:val="000000" w:themeColor="text1"/>
          <w:sz w:val="32"/>
          <w:szCs w:val="32"/>
          <w14:textFill>
            <w14:solidFill>
              <w14:schemeClr w14:val="tx1"/>
            </w14:solidFill>
          </w14:textFill>
        </w:rPr>
        <w:t>职业培训“六类人员”指国家就业补贴政策重点支持的‌防止返贫监测对象、毕业年度高校毕业生、城乡未继续升学的应届初高中毕业生、农村转移就业劳动者、城镇登记失业人员、就业困难人员‌。</w:t>
      </w:r>
    </w:p>
    <w:p>
      <w:pPr>
        <w:pStyle w:val="27"/>
        <w:overflowPunct w:val="0"/>
        <w:autoSpaceDE w:val="0"/>
        <w:adjustRightInd w:val="0"/>
        <w:snapToGrid w:val="0"/>
        <w:spacing w:line="580" w:lineRule="exact"/>
        <w:ind w:firstLine="640"/>
        <w:rPr>
          <w:rFonts w:hint="default"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14:textFill>
            <w14:solidFill>
              <w14:schemeClr w14:val="tx1"/>
            </w14:solidFill>
          </w14:textFill>
        </w:rPr>
        <w:t>9.</w:t>
      </w:r>
      <w:r>
        <w:rPr>
          <w:rFonts w:ascii="Times New Roman" w:hAnsi="Times New Roman" w:eastAsia="黑体"/>
          <w:color w:val="000000" w:themeColor="text1"/>
          <w:sz w:val="32"/>
          <w:szCs w:val="32"/>
          <w14:textFill>
            <w14:solidFill>
              <w14:schemeClr w14:val="tx1"/>
            </w14:solidFill>
          </w14:textFill>
        </w:rPr>
        <w:t>“三通两平台”：</w:t>
      </w:r>
      <w:r>
        <w:rPr>
          <w:rFonts w:hint="default" w:ascii="Times New Roman" w:hAnsi="Times New Roman" w:eastAsia="仿宋_GB2312"/>
          <w:color w:val="000000" w:themeColor="text1"/>
          <w:sz w:val="32"/>
          <w:szCs w:val="32"/>
          <w14:textFill>
            <w14:solidFill>
              <w14:schemeClr w14:val="tx1"/>
            </w14:solidFill>
          </w14:textFill>
        </w:rPr>
        <w:t>核心内容包括“宽带网络校校通、优质资源班班通、网络学习空间人人通”三大任务，以及教育资源公共服务平台、教育管理公共服务平台两大支撑体系。</w:t>
      </w:r>
    </w:p>
    <w:p>
      <w:pPr>
        <w:spacing w:line="580" w:lineRule="exact"/>
        <w:ind w:firstLine="640"/>
        <w:rPr>
          <w:rFonts w:hint="eastAsia" w:eastAsia="仿宋_GB2312"/>
          <w:color w:val="000000" w:themeColor="text1"/>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10.</w:t>
      </w:r>
      <w:r>
        <w:rPr>
          <w:rFonts w:hint="eastAsia" w:ascii="Times New Roman" w:hAnsi="Times New Roman" w:eastAsia="黑体"/>
          <w:color w:val="000000" w:themeColor="text1"/>
          <w:sz w:val="32"/>
          <w:szCs w:val="32"/>
          <w14:textFill>
            <w14:solidFill>
              <w14:schemeClr w14:val="tx1"/>
            </w14:solidFill>
          </w14:textFill>
        </w:rPr>
        <w:t>RCEP：</w:t>
      </w:r>
      <w:r>
        <w:rPr>
          <w:rFonts w:ascii="Times New Roman" w:hAnsi="Times New Roman" w:eastAsia="仿宋_GB2312"/>
          <w:color w:val="000000" w:themeColor="text1"/>
          <w:sz w:val="32"/>
          <w:szCs w:val="32"/>
          <w14:textFill>
            <w14:solidFill>
              <w14:schemeClr w14:val="tx1"/>
            </w14:solidFill>
          </w14:textFill>
        </w:rPr>
        <w:t>区域全面经济伙伴关系协定。是目前全球规模最大、最具影响力的自由贸易协定，旨在推动区域内贸易投资自由化便利化。</w:t>
      </w:r>
    </w:p>
    <w:p>
      <w:pPr>
        <w:pStyle w:val="2"/>
        <w:rPr>
          <w:rFonts w:ascii="仿宋_GB2312" w:hAnsi="仿宋_GB2312" w:eastAsia="仿宋_GB2312" w:cs="仿宋_GB2312"/>
          <w:b/>
          <w:bCs/>
          <w:sz w:val="32"/>
          <w:szCs w:val="32"/>
        </w:rPr>
      </w:pP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b/>
          <w:bCs/>
          <w:sz w:val="32"/>
          <w:szCs w:val="32"/>
        </w:rPr>
      </w:pPr>
    </w:p>
    <w:p>
      <w:pPr>
        <w:pStyle w:val="2"/>
      </w:pPr>
    </w:p>
    <w:p>
      <w:pPr>
        <w:keepNext w:val="0"/>
        <w:keepLines w:val="0"/>
        <w:widowControl w:val="0"/>
        <w:suppressLineNumbers w:val="0"/>
        <w:tabs>
          <w:tab w:val="left" w:pos="1078"/>
        </w:tabs>
        <w:spacing w:before="0" w:beforeAutospacing="0" w:after="0" w:afterAutospacing="0" w:line="440" w:lineRule="exact"/>
        <w:ind w:left="0" w:right="0" w:firstLine="210" w:firstLineChars="100"/>
        <w:jc w:val="both"/>
        <w:rPr>
          <w:rFonts w:hint="default" w:ascii="Times New Roman" w:hAnsi="Times New Roman" w:eastAsia="仿宋_GB2312" w:cs="Times New Roman"/>
          <w:sz w:val="28"/>
          <w:szCs w:val="28"/>
          <w:lang w:val="en-US"/>
        </w:rPr>
      </w:pPr>
      <w:r>
        <w:rPr>
          <w:rFonts w:hint="default" w:ascii="Calibri" w:hAnsi="Calibri" w:eastAsia="宋体" w:cs="Times New Roman"/>
          <w:kern w:val="2"/>
          <w:sz w:val="21"/>
          <w:szCs w:val="21"/>
          <w:lang w:val="en-US" w:eastAsia="zh-CN" w:bidi="ar"/>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27940</wp:posOffset>
                </wp:positionV>
                <wp:extent cx="5753100" cy="0"/>
                <wp:effectExtent l="0" t="0" r="0" b="0"/>
                <wp:wrapNone/>
                <wp:docPr id="4" name="直接连接符 4"/>
                <wp:cNvGraphicFramePr/>
                <a:graphic xmlns:a="http://schemas.openxmlformats.org/drawingml/2006/main">
                  <a:graphicData uri="http://schemas.microsoft.com/office/word/2010/wordprocessingShape">
                    <wps:wsp>
                      <wps:cNvCnPr/>
                      <wps:spPr>
                        <a:xfrm>
                          <a:off x="0" y="0"/>
                          <a:ext cx="575310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pt;margin-top:2.2pt;height:0pt;width:453pt;z-index:251658240;mso-width-relative:page;mso-height-relative:page;" filled="f" stroked="t" coordsize="21600,21600" o:gfxdata="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ZmydrdIAAAAEAQAADwAAAAAA&#10;AAABACAAAAAiAAAAZHJzL2Rvd25yZXYueG1sUEsBAhQAFAAAAAgAh07iQMDKcbHgAQAApAMAAA4A&#10;AAAAAAAAAQAgAAAAIQEAAGRycy9lMm9Eb2MueG1sUEsFBgAAAAAGAAYAWQEAAHMFAAAAAA==&#10;">
                <v:fill on="f" focussize="0,0"/>
                <v:stroke color="#000000" joinstyle="round"/>
                <v:imagedata o:title=""/>
                <o:lock v:ext="edit" aspectratio="f"/>
              </v:line>
            </w:pict>
          </mc:Fallback>
        </mc:AlternateContent>
      </w:r>
      <w:r>
        <w:rPr>
          <w:rFonts w:hint="eastAsia" w:ascii="Times New Roman" w:hAnsi="Times New Roman" w:eastAsia="仿宋_GB2312" w:cs="仿宋_GB2312"/>
          <w:kern w:val="2"/>
          <w:sz w:val="28"/>
          <w:szCs w:val="28"/>
          <w:lang w:val="en-US" w:eastAsia="zh-CN" w:bidi="ar"/>
        </w:rPr>
        <w:t>送：县委各部门，县人武部。</w:t>
      </w:r>
    </w:p>
    <w:p>
      <w:pPr>
        <w:keepNext w:val="0"/>
        <w:keepLines w:val="0"/>
        <w:widowControl w:val="0"/>
        <w:suppressLineNumbers w:val="0"/>
        <w:tabs>
          <w:tab w:val="left" w:pos="798"/>
        </w:tabs>
        <w:spacing w:before="0" w:beforeAutospacing="0" w:after="0" w:afterAutospacing="0" w:line="440" w:lineRule="exact"/>
        <w:ind w:left="0" w:right="0" w:firstLine="798" w:firstLineChars="285"/>
        <w:jc w:val="both"/>
        <w:rPr>
          <w:rFonts w:hint="default" w:ascii="Times New Roman" w:hAnsi="Times New Roman" w:eastAsia="仿宋_GB2312" w:cs="Times New Roman"/>
          <w:sz w:val="28"/>
          <w:szCs w:val="28"/>
          <w:lang w:val="en-US"/>
        </w:rPr>
      </w:pPr>
      <w:r>
        <w:rPr>
          <w:rFonts w:hint="eastAsia" w:ascii="Times New Roman" w:hAnsi="Times New Roman" w:eastAsia="仿宋_GB2312" w:cs="仿宋_GB2312"/>
          <w:kern w:val="2"/>
          <w:sz w:val="28"/>
          <w:szCs w:val="28"/>
          <w:lang w:val="en-US" w:eastAsia="zh-CN" w:bidi="ar"/>
        </w:rPr>
        <w:t>县人大常委会办公室，县政协办公室，县监委，县人民法院，</w:t>
      </w:r>
    </w:p>
    <w:p>
      <w:pPr>
        <w:keepNext w:val="0"/>
        <w:keepLines w:val="0"/>
        <w:widowControl w:val="0"/>
        <w:suppressLineNumbers w:val="0"/>
        <w:spacing w:before="0" w:beforeAutospacing="0" w:after="0" w:afterAutospacing="0" w:line="440" w:lineRule="exact"/>
        <w:ind w:left="0" w:right="0" w:firstLine="798" w:firstLineChars="285"/>
        <w:jc w:val="both"/>
        <w:rPr>
          <w:rFonts w:hint="default" w:ascii="Times New Roman" w:hAnsi="Times New Roman" w:eastAsia="仿宋_GB2312" w:cs="Times New Roman"/>
          <w:sz w:val="28"/>
          <w:szCs w:val="28"/>
          <w:lang w:val="en-US"/>
        </w:rPr>
      </w:pPr>
      <w:r>
        <w:rPr>
          <w:rFonts w:hint="eastAsia" w:ascii="Times New Roman" w:hAnsi="Times New Roman" w:eastAsia="仿宋_GB2312" w:cs="仿宋_GB2312"/>
          <w:kern w:val="2"/>
          <w:sz w:val="28"/>
          <w:szCs w:val="28"/>
          <w:lang w:val="en-US" w:eastAsia="zh-CN" w:bidi="ar"/>
        </w:rPr>
        <w:t>县人民检察院。</w:t>
      </w:r>
    </w:p>
    <w:p>
      <w:pPr>
        <w:keepNext w:val="0"/>
        <w:keepLines w:val="0"/>
        <w:widowControl w:val="0"/>
        <w:suppressLineNumbers w:val="0"/>
        <w:tabs>
          <w:tab w:val="left" w:pos="8749"/>
          <w:tab w:val="right" w:pos="9078"/>
        </w:tabs>
        <w:spacing w:before="0" w:beforeAutospacing="0" w:after="0" w:afterAutospacing="0" w:line="500" w:lineRule="exact"/>
        <w:ind w:left="0" w:right="0" w:firstLine="210" w:firstLineChars="100"/>
        <w:jc w:val="both"/>
        <w:rPr>
          <w:rFonts w:hint="default" w:ascii="仿宋_GB2312" w:hAnsi="仿宋_GB2312" w:eastAsia="仿宋_GB2312" w:cs="仿宋_GB2312"/>
          <w:b/>
          <w:bCs/>
          <w:sz w:val="32"/>
          <w:szCs w:val="32"/>
        </w:rPr>
      </w:pPr>
      <w:r>
        <w:rPr>
          <w:rFonts w:hint="default" w:ascii="Calibri" w:hAnsi="Calibri" w:eastAsia="宋体" w:cs="Times New Roman"/>
          <w:kern w:val="2"/>
          <w:sz w:val="21"/>
          <w:szCs w:val="21"/>
          <w:lang w:val="en-US" w:eastAsia="zh-CN" w:bidi="ar"/>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360680</wp:posOffset>
                </wp:positionV>
                <wp:extent cx="5753100" cy="0"/>
                <wp:effectExtent l="0" t="0" r="0" b="0"/>
                <wp:wrapNone/>
                <wp:docPr id="5" name="直接连接符 5"/>
                <wp:cNvGraphicFramePr/>
                <a:graphic xmlns:a="http://schemas.openxmlformats.org/drawingml/2006/main">
                  <a:graphicData uri="http://schemas.microsoft.com/office/word/2010/wordprocessingShape">
                    <wps:wsp>
                      <wps:cNvCnPr/>
                      <wps:spPr>
                        <a:xfrm>
                          <a:off x="0" y="0"/>
                          <a:ext cx="575310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pt;margin-top:28.4pt;height:0pt;width:453pt;z-index:251659264;mso-width-relative:page;mso-height-relative:page;" filled="f" stroked="t" coordsize="21600,21600" o:gfxdata="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GQdcj3TAAAABgEAAA8AAAAAAAAA&#10;AQAgAAAAIgAAAGRycy9kb3ducmV2LnhtbFBLAQIUABQAAAAIAIdO4kBv/uIT3QEAAKQDAAAOAAAA&#10;AAAAAAEAIAAAACIBAABkcnMvZTJvRG9jLnhtbFBLBQYAAAAABgAGAFkBAABxBQAAAAA=&#10;">
                <v:fill on="f" focussize="0,0"/>
                <v:stroke color="#000000" joinstyle="round"/>
                <v:imagedata o:title=""/>
                <o:lock v:ext="edit" aspectratio="f"/>
              </v:line>
            </w:pict>
          </mc:Fallback>
        </mc:AlternateContent>
      </w:r>
      <w:r>
        <w:rPr>
          <w:rFonts w:hint="default" w:ascii="Calibri" w:hAnsi="Calibri" w:eastAsia="宋体" w:cs="Times New Roman"/>
          <w:kern w:val="2"/>
          <w:sz w:val="21"/>
          <w:szCs w:val="21"/>
          <w:lang w:val="en-US" w:eastAsia="zh-CN" w:bidi="ar"/>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29210</wp:posOffset>
                </wp:positionV>
                <wp:extent cx="5753100" cy="0"/>
                <wp:effectExtent l="0" t="0" r="0" b="0"/>
                <wp:wrapNone/>
                <wp:docPr id="6" name="直接连接符 6"/>
                <wp:cNvGraphicFramePr/>
                <a:graphic xmlns:a="http://schemas.openxmlformats.org/drawingml/2006/main">
                  <a:graphicData uri="http://schemas.microsoft.com/office/word/2010/wordprocessingShape">
                    <wps:wsp>
                      <wps:cNvCnPr/>
                      <wps:spPr>
                        <a:xfrm>
                          <a:off x="0" y="0"/>
                          <a:ext cx="575310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pt;margin-top:2.3pt;height:0pt;width:453pt;z-index:251660288;mso-width-relative:page;mso-height-relative:page;" filled="f" stroked="t" coordsize="21600,21600" o:gfxdata="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BGQ2Sd0gAAAAQBAAAPAAAAAAAA&#10;AAEAIAAAACIAAABkcnMvZG93bnJldi54bWxQSwECFAAUAAAACACHTuJA36UmL98BAACkAwAADgAA&#10;AAAAAAABACAAAAAhAQAAZHJzL2Uyb0RvYy54bWxQSwUGAAAAAAYABgBZAQAAcgUAAAAA&#10;">
                <v:fill on="f" focussize="0,0"/>
                <v:stroke color="#000000" joinstyle="round"/>
                <v:imagedata o:title=""/>
                <o:lock v:ext="edit" aspectratio="f"/>
              </v:line>
            </w:pict>
          </mc:Fallback>
        </mc:AlternateContent>
      </w:r>
      <w:r>
        <w:rPr>
          <w:rFonts w:hint="eastAsia" w:ascii="Times New Roman" w:hAnsi="Times New Roman" w:eastAsia="仿宋_GB2312" w:cs="仿宋_GB2312"/>
          <w:kern w:val="2"/>
          <w:sz w:val="28"/>
          <w:szCs w:val="28"/>
          <w:lang w:val="en-US" w:eastAsia="zh-CN" w:bidi="ar"/>
        </w:rPr>
        <w:t>会同县人民政府办公室</w:t>
      </w:r>
      <w:r>
        <w:rPr>
          <w:rFonts w:hint="default" w:ascii="Times New Roman" w:hAnsi="Times New Roman" w:eastAsia="仿宋_GB2312" w:cs="Times New Roman"/>
          <w:kern w:val="2"/>
          <w:sz w:val="28"/>
          <w:szCs w:val="28"/>
          <w:lang w:val="en-US" w:eastAsia="zh-CN" w:bidi="ar"/>
        </w:rPr>
        <w:t xml:space="preserve">               </w:t>
      </w:r>
      <w:r>
        <w:rPr>
          <w:rFonts w:hint="eastAsia" w:ascii="Times New Roman" w:hAnsi="Times New Roman" w:eastAsia="仿宋_GB2312" w:cs="Times New Roman"/>
          <w:kern w:val="2"/>
          <w:sz w:val="28"/>
          <w:szCs w:val="28"/>
          <w:lang w:val="en-US" w:eastAsia="zh-CN" w:bidi="ar"/>
        </w:rPr>
        <w:t xml:space="preserve">  </w:t>
      </w:r>
      <w:r>
        <w:rPr>
          <w:rFonts w:hint="default" w:ascii="Times New Roman" w:hAnsi="Times New Roman" w:eastAsia="仿宋_GB2312" w:cs="Times New Roman"/>
          <w:kern w:val="2"/>
          <w:sz w:val="28"/>
          <w:szCs w:val="28"/>
          <w:lang w:val="en-US" w:eastAsia="zh-CN" w:bidi="ar"/>
        </w:rPr>
        <w:t xml:space="preserve">     </w:t>
      </w:r>
      <w:r>
        <w:rPr>
          <w:rFonts w:hint="eastAsia" w:ascii="仿宋_GB2312" w:hAnsi="Times New Roman" w:eastAsia="仿宋_GB2312" w:cs="仿宋_GB2312"/>
          <w:kern w:val="2"/>
          <w:sz w:val="28"/>
          <w:szCs w:val="28"/>
          <w:lang w:val="en-US" w:eastAsia="zh-CN" w:bidi="ar"/>
        </w:rPr>
        <w:t>2026年7月30日印发</w:t>
      </w:r>
    </w:p>
    <w:sectPr>
      <w:pgSz w:w="11906" w:h="16838"/>
      <w:pgMar w:top="2041" w:right="1531" w:bottom="1757" w:left="1531" w:header="851" w:footer="1134" w:gutter="0"/>
      <w:pgNumType w:fmt="numberInDash"/>
      <w:cols w:space="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0D"/>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31D62A5-B4FB-4C9D-A753-810B87C6510F}"/>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E9EE84AF-9B6D-40AE-8541-2D1C405F1ACD}"/>
  </w:font>
  <w:font w:name="等线">
    <w:altName w:val="华文仿宋"/>
    <w:panose1 w:val="02010600030101010101"/>
    <w:charset w:val="86"/>
    <w:family w:val="auto"/>
    <w:pitch w:val="default"/>
    <w:sig w:usb0="00000000" w:usb1="00000000" w:usb2="00000016" w:usb3="00000000" w:csb0="0004000F" w:csb1="00000000"/>
    <w:embedRegular r:id="rId3" w:fontKey="{A12841BE-681F-4600-8760-C5A7BDCFFBC5}"/>
  </w:font>
  <w:font w:name="等线 Light">
    <w:altName w:val="华文仿宋"/>
    <w:panose1 w:val="02010600030101010101"/>
    <w:charset w:val="86"/>
    <w:family w:val="auto"/>
    <w:pitch w:val="default"/>
    <w:sig w:usb0="00000000" w:usb1="00000000" w:usb2="00000016" w:usb3="00000000" w:csb0="0004000F" w:csb1="00000000"/>
  </w:font>
  <w:font w:name="方正楷体_GBK">
    <w:panose1 w:val="03000509000000000000"/>
    <w:charset w:val="86"/>
    <w:family w:val="script"/>
    <w:pitch w:val="default"/>
    <w:sig w:usb0="00000001" w:usb1="080E0000" w:usb2="00000000" w:usb3="00000000" w:csb0="00040000" w:csb1="00000000"/>
    <w:embedRegular r:id="rId4" w:fontKey="{D0404CC9-114A-4484-BF08-3329CE227B80}"/>
  </w:font>
  <w:font w:name="仿宋_GB2312">
    <w:panose1 w:val="02010609030101010101"/>
    <w:charset w:val="86"/>
    <w:family w:val="modern"/>
    <w:pitch w:val="default"/>
    <w:sig w:usb0="00000001" w:usb1="080E0000" w:usb2="00000000" w:usb3="00000000" w:csb0="00040000" w:csb1="00000000"/>
    <w:embedRegular r:id="rId5" w:fontKey="{DE197BE8-3332-4B34-BD95-148BEA0EB9F4}"/>
  </w:font>
  <w:font w:name="华文中宋">
    <w:panose1 w:val="02010600040101010101"/>
    <w:charset w:val="86"/>
    <w:family w:val="auto"/>
    <w:pitch w:val="default"/>
    <w:sig w:usb0="00000287" w:usb1="080F0000" w:usb2="00000000" w:usb3="00000000" w:csb0="0004009F" w:csb1="DFD70000"/>
    <w:embedRegular r:id="rId6" w:fontKey="{F4648490-68B8-4CAE-9148-F5CF5D2BF306}"/>
  </w:font>
  <w:font w:name="仿宋">
    <w:panose1 w:val="02010609060101010101"/>
    <w:charset w:val="86"/>
    <w:family w:val="modern"/>
    <w:pitch w:val="default"/>
    <w:sig w:usb0="800002BF" w:usb1="38CF7CFA" w:usb2="00000016" w:usb3="00000000" w:csb0="00040001" w:csb1="00000000"/>
    <w:embedRegular r:id="rId7" w:fontKey="{B7D8E628-58E0-417C-AA55-A278965D7681}"/>
  </w:font>
  <w:font w:name="方正小标宋简体">
    <w:panose1 w:val="02010601030101010101"/>
    <w:charset w:val="86"/>
    <w:family w:val="auto"/>
    <w:pitch w:val="default"/>
    <w:sig w:usb0="00000001" w:usb1="080E0000" w:usb2="00000000" w:usb3="00000000" w:csb0="00040000" w:csb1="00000000"/>
    <w:embedRegular r:id="rId8" w:fontKey="{1315F854-69C0-4F95-9329-D15136E6DE7D}"/>
  </w:font>
  <w:font w:name="方正仿宋简体">
    <w:panose1 w:val="02010601030101010101"/>
    <w:charset w:val="86"/>
    <w:family w:val="auto"/>
    <w:pitch w:val="default"/>
    <w:sig w:usb0="00000001" w:usb1="080E0000" w:usb2="00000000" w:usb3="00000000" w:csb0="00040000" w:csb1="00000000"/>
    <w:embedRegular r:id="rId9" w:fontKey="{FEB98EB2-E244-439B-AE3B-DB1D47B38812}"/>
  </w:font>
  <w:font w:name="方正小标宋_GBK">
    <w:panose1 w:val="03000509000000000000"/>
    <w:charset w:val="86"/>
    <w:family w:val="script"/>
    <w:pitch w:val="default"/>
    <w:sig w:usb0="00000001" w:usb1="080E0000" w:usb2="00000000" w:usb3="00000000" w:csb0="00040000" w:csb1="00000000"/>
    <w:embedRegular r:id="rId10" w:fontKey="{1941307D-A866-4304-95F0-9D436AD7AD2E}"/>
  </w:font>
  <w:font w:name="楷体_GB2312">
    <w:panose1 w:val="02010609030101010101"/>
    <w:charset w:val="86"/>
    <w:family w:val="modern"/>
    <w:pitch w:val="default"/>
    <w:sig w:usb0="00000001" w:usb1="080E0000" w:usb2="00000000" w:usb3="00000000" w:csb0="00040000" w:csb1="00000000"/>
    <w:embedRegular r:id="rId11" w:fontKey="{4EBC0C4C-D893-4B3E-A8C2-6B0B9AED94D6}"/>
  </w:font>
  <w:font w:name="楷体">
    <w:panose1 w:val="02010609060101010101"/>
    <w:charset w:val="86"/>
    <w:family w:val="modern"/>
    <w:pitch w:val="default"/>
    <w:sig w:usb0="800002BF" w:usb1="38CF7CFA" w:usb2="00000016" w:usb3="00000000" w:csb0="00040001" w:csb1="00000000"/>
    <w:embedRegular r:id="rId12" w:fontKey="{57949B10-D645-4DF2-B735-DA958C31CF0A}"/>
  </w:font>
  <w:font w:name="国标黑体">
    <w:altName w:val="黑体"/>
    <w:panose1 w:val="02000500000000000000"/>
    <w:charset w:val="86"/>
    <w:family w:val="auto"/>
    <w:pitch w:val="default"/>
    <w:sig w:usb0="00000000" w:usb1="00000000" w:usb2="00000000" w:usb3="00000000" w:csb0="00040000" w:csb1="00000000"/>
    <w:embedRegular r:id="rId13" w:fontKey="{A2295B0A-D50F-460E-B06A-F7419CAA54EC}"/>
  </w:font>
  <w:font w:name="东文宋体">
    <w:altName w:val="方正书宋_GBK"/>
    <w:panose1 w:val="00000000000000000000"/>
    <w:charset w:val="00"/>
    <w:family w:val="auto"/>
    <w:pitch w:val="default"/>
    <w:sig w:usb0="00000000" w:usb1="00000000" w:usb2="00000000" w:usb3="00000000" w:csb0="00040001" w:csb1="00000000"/>
  </w:font>
  <w:font w:name="等线">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书宋_GBK">
    <w:panose1 w:val="03000509000000000000"/>
    <w:charset w:val="86"/>
    <w:family w:val="auto"/>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center"/>
      <w:rPr>
        <w:rFonts w:hint="eastAsia" w:ascii="仿宋" w:hAnsi="仿宋" w:eastAsia="仿宋_GB2312"/>
        <w:sz w:val="28"/>
        <w:szCs w:val="28"/>
      </w:rPr>
    </w:pPr>
    <w:r>
      <w:rPr>
        <w:sz w:val="2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0"/>
                            <w:rPr>
                              <w:rFonts w:hint="eastAsia" w:ascii="宋体" w:hAnsi="宋体" w:eastAsia="宋体" w:cs="宋体"/>
                              <w:b/>
                              <w:bCs/>
                              <w:sz w:val="28"/>
                              <w:szCs w:val="28"/>
                              <w:lang w:eastAsia="zh-CN"/>
                            </w:rPr>
                          </w:pPr>
                          <w:r>
                            <w:rPr>
                              <w:rFonts w:hint="eastAsia" w:ascii="宋体" w:hAnsi="宋体" w:eastAsia="宋体" w:cs="宋体"/>
                              <w:b/>
                              <w:bCs/>
                              <w:sz w:val="28"/>
                              <w:szCs w:val="28"/>
                              <w:lang w:eastAsia="zh-CN"/>
                            </w:rPr>
                            <w:fldChar w:fldCharType="begin"/>
                          </w:r>
                          <w:r>
                            <w:rPr>
                              <w:rFonts w:hint="eastAsia" w:ascii="宋体" w:hAnsi="宋体" w:eastAsia="宋体" w:cs="宋体"/>
                              <w:b/>
                              <w:bCs/>
                              <w:sz w:val="28"/>
                              <w:szCs w:val="28"/>
                              <w:lang w:eastAsia="zh-CN"/>
                            </w:rPr>
                            <w:instrText xml:space="preserve"> PAGE  \* MERGEFORMAT </w:instrText>
                          </w:r>
                          <w:r>
                            <w:rPr>
                              <w:rFonts w:hint="eastAsia" w:ascii="宋体" w:hAnsi="宋体" w:eastAsia="宋体" w:cs="宋体"/>
                              <w:b/>
                              <w:bCs/>
                              <w:sz w:val="28"/>
                              <w:szCs w:val="28"/>
                              <w:lang w:eastAsia="zh-CN"/>
                            </w:rPr>
                            <w:fldChar w:fldCharType="separate"/>
                          </w:r>
                          <w:r>
                            <w:rPr>
                              <w:rFonts w:hint="eastAsia" w:ascii="宋体" w:hAnsi="宋体" w:eastAsia="宋体" w:cs="宋体"/>
                              <w:b/>
                              <w:bCs/>
                              <w:sz w:val="28"/>
                              <w:szCs w:val="28"/>
                              <w:lang w:eastAsia="zh-CN"/>
                            </w:rPr>
                            <w:t>- 1 -</w:t>
                          </w:r>
                          <w:r>
                            <w:rPr>
                              <w:rFonts w:hint="eastAsia" w:ascii="宋体" w:hAnsi="宋体" w:eastAsia="宋体" w:cs="宋体"/>
                              <w:b/>
                              <w:bCs/>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0"/>
                      <w:rPr>
                        <w:rFonts w:hint="eastAsia" w:ascii="宋体" w:hAnsi="宋体" w:eastAsia="宋体" w:cs="宋体"/>
                        <w:b/>
                        <w:bCs/>
                        <w:sz w:val="28"/>
                        <w:szCs w:val="28"/>
                        <w:lang w:eastAsia="zh-CN"/>
                      </w:rPr>
                    </w:pPr>
                    <w:r>
                      <w:rPr>
                        <w:rFonts w:hint="eastAsia" w:ascii="宋体" w:hAnsi="宋体" w:eastAsia="宋体" w:cs="宋体"/>
                        <w:b/>
                        <w:bCs/>
                        <w:sz w:val="28"/>
                        <w:szCs w:val="28"/>
                        <w:lang w:eastAsia="zh-CN"/>
                      </w:rPr>
                      <w:fldChar w:fldCharType="begin"/>
                    </w:r>
                    <w:r>
                      <w:rPr>
                        <w:rFonts w:hint="eastAsia" w:ascii="宋体" w:hAnsi="宋体" w:eastAsia="宋体" w:cs="宋体"/>
                        <w:b/>
                        <w:bCs/>
                        <w:sz w:val="28"/>
                        <w:szCs w:val="28"/>
                        <w:lang w:eastAsia="zh-CN"/>
                      </w:rPr>
                      <w:instrText xml:space="preserve"> PAGE  \* MERGEFORMAT </w:instrText>
                    </w:r>
                    <w:r>
                      <w:rPr>
                        <w:rFonts w:hint="eastAsia" w:ascii="宋体" w:hAnsi="宋体" w:eastAsia="宋体" w:cs="宋体"/>
                        <w:b/>
                        <w:bCs/>
                        <w:sz w:val="28"/>
                        <w:szCs w:val="28"/>
                        <w:lang w:eastAsia="zh-CN"/>
                      </w:rPr>
                      <w:fldChar w:fldCharType="separate"/>
                    </w:r>
                    <w:r>
                      <w:rPr>
                        <w:rFonts w:hint="eastAsia" w:ascii="宋体" w:hAnsi="宋体" w:eastAsia="宋体" w:cs="宋体"/>
                        <w:b/>
                        <w:bCs/>
                        <w:sz w:val="28"/>
                        <w:szCs w:val="28"/>
                        <w:lang w:eastAsia="zh-CN"/>
                      </w:rPr>
                      <w:t>- 1 -</w:t>
                    </w:r>
                    <w:r>
                      <w:rPr>
                        <w:rFonts w:hint="eastAsia" w:ascii="宋体" w:hAnsi="宋体" w:eastAsia="宋体" w:cs="宋体"/>
                        <w:b/>
                        <w:bCs/>
                        <w:sz w:val="28"/>
                        <w:szCs w:val="28"/>
                        <w:lang w:eastAsia="zh-CN"/>
                      </w:rPr>
                      <w:fldChar w:fldCharType="end"/>
                    </w:r>
                  </w:p>
                </w:txbxContent>
              </v:textbox>
            </v:shape>
          </w:pict>
        </mc:Fallback>
      </mc:AlternateContent>
    </w:r>
  </w:p>
  <w:p>
    <w:pPr>
      <w:pStyle w:val="2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35328799"/>
    </w:sdtPr>
    <w:sdtEndPr>
      <w:rPr>
        <w:rFonts w:ascii="仿宋" w:hAnsi="仿宋" w:eastAsia="仿宋_GB2312"/>
        <w:sz w:val="28"/>
        <w:szCs w:val="28"/>
        <w:lang w:val="zh-CN"/>
      </w:rPr>
    </w:sdtEndPr>
    <w:sdtContent>
      <w:p>
        <w:pPr>
          <w:pStyle w:val="20"/>
          <w:jc w:val="center"/>
          <w:rPr>
            <w:rFonts w:hint="eastAsia" w:ascii="仿宋" w:hAnsi="仿宋" w:eastAsia="仿宋_GB2312"/>
            <w:sz w:val="28"/>
            <w:szCs w:val="28"/>
            <w:lang w:val="zh-CN"/>
          </w:rPr>
        </w:pPr>
        <w:r>
          <w:rPr>
            <w:rFonts w:ascii="仿宋" w:hAnsi="仿宋" w:eastAsia="仿宋_GB2312"/>
            <w:sz w:val="28"/>
            <w:szCs w:val="28"/>
            <w:lang w:val="zh-CN"/>
          </w:rPr>
          <w:fldChar w:fldCharType="begin"/>
        </w:r>
        <w:r>
          <w:rPr>
            <w:rFonts w:ascii="仿宋" w:hAnsi="仿宋" w:eastAsia="仿宋_GB2312"/>
            <w:sz w:val="28"/>
            <w:szCs w:val="28"/>
            <w:lang w:val="zh-CN"/>
          </w:rPr>
          <w:instrText xml:space="preserve">PAGE   \* MERGEFORMAT</w:instrText>
        </w:r>
        <w:r>
          <w:rPr>
            <w:rFonts w:ascii="仿宋" w:hAnsi="仿宋" w:eastAsia="仿宋_GB2312"/>
            <w:sz w:val="28"/>
            <w:szCs w:val="28"/>
            <w:lang w:val="zh-CN"/>
          </w:rPr>
          <w:fldChar w:fldCharType="separate"/>
        </w:r>
        <w:r>
          <w:rPr>
            <w:rFonts w:ascii="仿宋" w:hAnsi="仿宋" w:eastAsia="仿宋_GB2312"/>
            <w:sz w:val="28"/>
            <w:szCs w:val="28"/>
            <w:lang w:val="zh-CN"/>
          </w:rPr>
          <w:t>2</w:t>
        </w:r>
        <w:r>
          <w:rPr>
            <w:rFonts w:ascii="仿宋" w:hAnsi="仿宋" w:eastAsia="仿宋_GB2312"/>
            <w:sz w:val="28"/>
            <w:szCs w:val="28"/>
            <w:lang w:val="zh-CN"/>
          </w:rPr>
          <w:fldChar w:fldCharType="end"/>
        </w:r>
      </w:p>
    </w:sdtContent>
  </w:sdt>
  <w:p>
    <w:pPr>
      <w:pStyle w:val="2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center"/>
      <w:rPr>
        <w:rFonts w:hint="eastAsia" w:ascii="仿宋" w:hAnsi="仿宋" w:eastAsia="仿宋_GB2312"/>
        <w:sz w:val="28"/>
        <w:szCs w:val="2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0"/>
                            <w:rPr>
                              <w:rFonts w:hint="eastAsia" w:ascii="宋体" w:hAnsi="宋体" w:eastAsia="宋体" w:cs="宋体"/>
                              <w:b/>
                              <w:bCs/>
                              <w:sz w:val="28"/>
                              <w:szCs w:val="28"/>
                              <w:lang w:eastAsia="zh-CN"/>
                            </w:rPr>
                          </w:pPr>
                          <w:r>
                            <w:rPr>
                              <w:rFonts w:hint="eastAsia" w:ascii="宋体" w:hAnsi="宋体" w:eastAsia="宋体" w:cs="宋体"/>
                              <w:b/>
                              <w:bCs/>
                              <w:sz w:val="28"/>
                              <w:szCs w:val="28"/>
                              <w:lang w:eastAsia="zh-CN"/>
                            </w:rPr>
                            <w:fldChar w:fldCharType="begin"/>
                          </w:r>
                          <w:r>
                            <w:rPr>
                              <w:rFonts w:hint="eastAsia" w:ascii="宋体" w:hAnsi="宋体" w:eastAsia="宋体" w:cs="宋体"/>
                              <w:b/>
                              <w:bCs/>
                              <w:sz w:val="28"/>
                              <w:szCs w:val="28"/>
                              <w:lang w:eastAsia="zh-CN"/>
                            </w:rPr>
                            <w:instrText xml:space="preserve"> PAGE  \* MERGEFORMAT </w:instrText>
                          </w:r>
                          <w:r>
                            <w:rPr>
                              <w:rFonts w:hint="eastAsia" w:ascii="宋体" w:hAnsi="宋体" w:eastAsia="宋体" w:cs="宋体"/>
                              <w:b/>
                              <w:bCs/>
                              <w:sz w:val="28"/>
                              <w:szCs w:val="28"/>
                              <w:lang w:eastAsia="zh-CN"/>
                            </w:rPr>
                            <w:fldChar w:fldCharType="separate"/>
                          </w:r>
                          <w:r>
                            <w:rPr>
                              <w:rFonts w:hint="eastAsia" w:ascii="宋体" w:hAnsi="宋体" w:eastAsia="宋体" w:cs="宋体"/>
                              <w:b/>
                              <w:bCs/>
                              <w:sz w:val="28"/>
                              <w:szCs w:val="28"/>
                              <w:lang w:eastAsia="zh-CN"/>
                            </w:rPr>
                            <w:t>- 1 -</w:t>
                          </w:r>
                          <w:r>
                            <w:rPr>
                              <w:rFonts w:hint="eastAsia" w:ascii="宋体" w:hAnsi="宋体" w:eastAsia="宋体" w:cs="宋体"/>
                              <w:b/>
                              <w:bCs/>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20"/>
                      <w:rPr>
                        <w:rFonts w:hint="eastAsia" w:ascii="宋体" w:hAnsi="宋体" w:eastAsia="宋体" w:cs="宋体"/>
                        <w:b/>
                        <w:bCs/>
                        <w:sz w:val="28"/>
                        <w:szCs w:val="28"/>
                        <w:lang w:eastAsia="zh-CN"/>
                      </w:rPr>
                    </w:pPr>
                    <w:r>
                      <w:rPr>
                        <w:rFonts w:hint="eastAsia" w:ascii="宋体" w:hAnsi="宋体" w:eastAsia="宋体" w:cs="宋体"/>
                        <w:b/>
                        <w:bCs/>
                        <w:sz w:val="28"/>
                        <w:szCs w:val="28"/>
                        <w:lang w:eastAsia="zh-CN"/>
                      </w:rPr>
                      <w:fldChar w:fldCharType="begin"/>
                    </w:r>
                    <w:r>
                      <w:rPr>
                        <w:rFonts w:hint="eastAsia" w:ascii="宋体" w:hAnsi="宋体" w:eastAsia="宋体" w:cs="宋体"/>
                        <w:b/>
                        <w:bCs/>
                        <w:sz w:val="28"/>
                        <w:szCs w:val="28"/>
                        <w:lang w:eastAsia="zh-CN"/>
                      </w:rPr>
                      <w:instrText xml:space="preserve"> PAGE  \* MERGEFORMAT </w:instrText>
                    </w:r>
                    <w:r>
                      <w:rPr>
                        <w:rFonts w:hint="eastAsia" w:ascii="宋体" w:hAnsi="宋体" w:eastAsia="宋体" w:cs="宋体"/>
                        <w:b/>
                        <w:bCs/>
                        <w:sz w:val="28"/>
                        <w:szCs w:val="28"/>
                        <w:lang w:eastAsia="zh-CN"/>
                      </w:rPr>
                      <w:fldChar w:fldCharType="separate"/>
                    </w:r>
                    <w:r>
                      <w:rPr>
                        <w:rFonts w:hint="eastAsia" w:ascii="宋体" w:hAnsi="宋体" w:eastAsia="宋体" w:cs="宋体"/>
                        <w:b/>
                        <w:bCs/>
                        <w:sz w:val="28"/>
                        <w:szCs w:val="28"/>
                        <w:lang w:eastAsia="zh-CN"/>
                      </w:rPr>
                      <w:t>- 1 -</w:t>
                    </w:r>
                    <w:r>
                      <w:rPr>
                        <w:rFonts w:hint="eastAsia" w:ascii="宋体" w:hAnsi="宋体" w:eastAsia="宋体" w:cs="宋体"/>
                        <w:b/>
                        <w:bCs/>
                        <w:sz w:val="28"/>
                        <w:szCs w:val="28"/>
                        <w:lang w:eastAsia="zh-CN"/>
                      </w:rPr>
                      <w:fldChar w:fldCharType="end"/>
                    </w:r>
                  </w:p>
                </w:txbxContent>
              </v:textbox>
            </v:shape>
          </w:pict>
        </mc:Fallback>
      </mc:AlternateContent>
    </w:r>
    <w:sdt>
      <w:sdtPr>
        <w:id w:val="1087047191"/>
        <w:showingPlcHdr/>
      </w:sdtPr>
      <w:sdtEndPr>
        <w:rPr>
          <w:rFonts w:ascii="仿宋" w:hAnsi="仿宋" w:eastAsia="仿宋_GB2312"/>
          <w:sz w:val="28"/>
          <w:szCs w:val="28"/>
        </w:rPr>
      </w:sdtEndPr>
      <w:sdtContent>
        <w:r>
          <w:rPr>
            <w:rFonts w:hint="eastAsia"/>
          </w:rPr>
          <w:t xml:space="preserve">     </w:t>
        </w:r>
      </w:sdtContent>
    </w:sdt>
  </w:p>
  <w:p>
    <w:pPr>
      <w:pStyle w:val="20"/>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center"/>
      <w:rPr>
        <w:rFonts w:hint="eastAsia" w:ascii="仿宋" w:hAnsi="仿宋" w:eastAsia="仿宋_GB2312"/>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
                          </w:sdtPr>
                          <w:sdtEndPr>
                            <w:rPr>
                              <w:rFonts w:hint="eastAsia" w:ascii="宋体" w:hAnsi="宋体" w:eastAsia="宋体" w:cs="宋体"/>
                              <w:b/>
                              <w:bCs/>
                              <w:sz w:val="28"/>
                              <w:szCs w:val="28"/>
                            </w:rPr>
                          </w:sdtEndPr>
                          <w:sdtContent>
                            <w:p>
                              <w:pPr>
                                <w:pStyle w:val="20"/>
                                <w:jc w:val="center"/>
                                <w:rPr>
                                  <w:rFonts w:hint="eastAsia" w:ascii="宋体" w:hAnsi="宋体" w:eastAsia="宋体" w:cs="宋体"/>
                                  <w:b/>
                                  <w:bCs/>
                                  <w:sz w:val="28"/>
                                  <w:szCs w:val="28"/>
                                </w:rPr>
                              </w:pPr>
                              <w:r>
                                <w:rPr>
                                  <w:rFonts w:hint="eastAsia" w:ascii="宋体" w:hAnsi="宋体" w:eastAsia="宋体" w:cs="宋体"/>
                                  <w:b/>
                                  <w:bCs/>
                                  <w:sz w:val="28"/>
                                  <w:szCs w:val="28"/>
                                </w:rPr>
                                <w:fldChar w:fldCharType="begin"/>
                              </w:r>
                              <w:r>
                                <w:rPr>
                                  <w:rFonts w:hint="eastAsia" w:ascii="宋体" w:hAnsi="宋体" w:eastAsia="宋体" w:cs="宋体"/>
                                  <w:b/>
                                  <w:bCs/>
                                  <w:sz w:val="28"/>
                                  <w:szCs w:val="28"/>
                                </w:rPr>
                                <w:instrText xml:space="preserve">PAGE   \* MERGEFORMAT</w:instrText>
                              </w:r>
                              <w:r>
                                <w:rPr>
                                  <w:rFonts w:hint="eastAsia" w:ascii="宋体" w:hAnsi="宋体" w:eastAsia="宋体" w:cs="宋体"/>
                                  <w:b/>
                                  <w:bCs/>
                                  <w:sz w:val="28"/>
                                  <w:szCs w:val="28"/>
                                </w:rPr>
                                <w:fldChar w:fldCharType="separate"/>
                              </w:r>
                              <w:r>
                                <w:rPr>
                                  <w:rFonts w:hint="eastAsia" w:ascii="宋体" w:hAnsi="宋体" w:eastAsia="宋体" w:cs="宋体"/>
                                  <w:b/>
                                  <w:bCs/>
                                  <w:sz w:val="28"/>
                                  <w:szCs w:val="28"/>
                                  <w:lang w:val="zh-CN"/>
                                </w:rPr>
                                <w:t>2</w:t>
                              </w:r>
                              <w:r>
                                <w:rPr>
                                  <w:rFonts w:hint="eastAsia" w:ascii="宋体" w:hAnsi="宋体" w:eastAsia="宋体" w:cs="宋体"/>
                                  <w:b/>
                                  <w:bCs/>
                                  <w:sz w:val="28"/>
                                  <w:szCs w:val="28"/>
                                </w:rPr>
                                <w:fldChar w:fldCharType="end"/>
                              </w:r>
                            </w:p>
                          </w:sdtContent>
                        </w:sdt>
                        <w:p>
                          <w:pPr>
                            <w:pStyle w:val="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v:fill on="f" focussize="0,0"/>
              <v:stroke on="f" weight="0.5pt"/>
              <v:imagedata o:title=""/>
              <o:lock v:ext="edit" aspectratio="f"/>
              <v:textbox inset="0mm,0mm,0mm,0mm" style="mso-fit-shape-to-text:t;">
                <w:txbxContent>
                  <w:sdt>
                    <w:sdtPr>
                      <w:id w:val="-1"/>
                    </w:sdtPr>
                    <w:sdtEndPr>
                      <w:rPr>
                        <w:rFonts w:hint="eastAsia" w:ascii="宋体" w:hAnsi="宋体" w:eastAsia="宋体" w:cs="宋体"/>
                        <w:b/>
                        <w:bCs/>
                        <w:sz w:val="28"/>
                        <w:szCs w:val="28"/>
                      </w:rPr>
                    </w:sdtEndPr>
                    <w:sdtContent>
                      <w:p>
                        <w:pPr>
                          <w:pStyle w:val="20"/>
                          <w:jc w:val="center"/>
                          <w:rPr>
                            <w:rFonts w:hint="eastAsia" w:ascii="宋体" w:hAnsi="宋体" w:eastAsia="宋体" w:cs="宋体"/>
                            <w:b/>
                            <w:bCs/>
                            <w:sz w:val="28"/>
                            <w:szCs w:val="28"/>
                          </w:rPr>
                        </w:pPr>
                        <w:r>
                          <w:rPr>
                            <w:rFonts w:hint="eastAsia" w:ascii="宋体" w:hAnsi="宋体" w:eastAsia="宋体" w:cs="宋体"/>
                            <w:b/>
                            <w:bCs/>
                            <w:sz w:val="28"/>
                            <w:szCs w:val="28"/>
                          </w:rPr>
                          <w:fldChar w:fldCharType="begin"/>
                        </w:r>
                        <w:r>
                          <w:rPr>
                            <w:rFonts w:hint="eastAsia" w:ascii="宋体" w:hAnsi="宋体" w:eastAsia="宋体" w:cs="宋体"/>
                            <w:b/>
                            <w:bCs/>
                            <w:sz w:val="28"/>
                            <w:szCs w:val="28"/>
                          </w:rPr>
                          <w:instrText xml:space="preserve">PAGE   \* MERGEFORMAT</w:instrText>
                        </w:r>
                        <w:r>
                          <w:rPr>
                            <w:rFonts w:hint="eastAsia" w:ascii="宋体" w:hAnsi="宋体" w:eastAsia="宋体" w:cs="宋体"/>
                            <w:b/>
                            <w:bCs/>
                            <w:sz w:val="28"/>
                            <w:szCs w:val="28"/>
                          </w:rPr>
                          <w:fldChar w:fldCharType="separate"/>
                        </w:r>
                        <w:r>
                          <w:rPr>
                            <w:rFonts w:hint="eastAsia" w:ascii="宋体" w:hAnsi="宋体" w:eastAsia="宋体" w:cs="宋体"/>
                            <w:b/>
                            <w:bCs/>
                            <w:sz w:val="28"/>
                            <w:szCs w:val="28"/>
                            <w:lang w:val="zh-CN"/>
                          </w:rPr>
                          <w:t>2</w:t>
                        </w:r>
                        <w:r>
                          <w:rPr>
                            <w:rFonts w:hint="eastAsia" w:ascii="宋体" w:hAnsi="宋体" w:eastAsia="宋体" w:cs="宋体"/>
                            <w:b/>
                            <w:bCs/>
                            <w:sz w:val="28"/>
                            <w:szCs w:val="28"/>
                          </w:rPr>
                          <w:fldChar w:fldCharType="end"/>
                        </w:r>
                      </w:p>
                    </w:sdtContent>
                  </w:sdt>
                  <w:p>
                    <w:pPr>
                      <w:pStyle w:val="2"/>
                    </w:pPr>
                  </w:p>
                </w:txbxContent>
              </v:textbox>
            </v:shape>
          </w:pict>
        </mc:Fallback>
      </mc:AlternateContent>
    </w:r>
  </w:p>
  <w:p>
    <w:pPr>
      <w:pStyle w:val="20"/>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embedTrueTypeFonts/>
  <w:saveSubsetFonts/>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doNotCompress"/>
  <w:hdrShapeDefaults>
    <o:shapelayout v:ext="edit">
      <o:idmap v:ext="edit" data="3"/>
    </o:shapelayout>
  </w:hdrShapeDefaults>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I1NGQ4MDY4NjMxYWVlMzc3ODM2NDE0MmU1ODUxYzYifQ=="/>
  </w:docVars>
  <w:rsids>
    <w:rsidRoot w:val="00191564"/>
    <w:rsid w:val="000004D8"/>
    <w:rsid w:val="000010DE"/>
    <w:rsid w:val="000043CA"/>
    <w:rsid w:val="00004D68"/>
    <w:rsid w:val="00007003"/>
    <w:rsid w:val="00010A9E"/>
    <w:rsid w:val="00011B12"/>
    <w:rsid w:val="00011FC8"/>
    <w:rsid w:val="0001506F"/>
    <w:rsid w:val="00015A0D"/>
    <w:rsid w:val="00016FE7"/>
    <w:rsid w:val="00020520"/>
    <w:rsid w:val="00021554"/>
    <w:rsid w:val="00022748"/>
    <w:rsid w:val="000229F4"/>
    <w:rsid w:val="00022DF5"/>
    <w:rsid w:val="00024FA7"/>
    <w:rsid w:val="0002511B"/>
    <w:rsid w:val="0002565C"/>
    <w:rsid w:val="00026D8E"/>
    <w:rsid w:val="00030120"/>
    <w:rsid w:val="000301DE"/>
    <w:rsid w:val="00031357"/>
    <w:rsid w:val="00031FCB"/>
    <w:rsid w:val="000329E1"/>
    <w:rsid w:val="0003327D"/>
    <w:rsid w:val="00033D1A"/>
    <w:rsid w:val="000341E0"/>
    <w:rsid w:val="000349EE"/>
    <w:rsid w:val="00035FBE"/>
    <w:rsid w:val="00036828"/>
    <w:rsid w:val="000436B5"/>
    <w:rsid w:val="000439DF"/>
    <w:rsid w:val="00044D9D"/>
    <w:rsid w:val="00046E1D"/>
    <w:rsid w:val="000474DD"/>
    <w:rsid w:val="00050B3E"/>
    <w:rsid w:val="00054136"/>
    <w:rsid w:val="00054D9D"/>
    <w:rsid w:val="00056578"/>
    <w:rsid w:val="000565C2"/>
    <w:rsid w:val="00056EDF"/>
    <w:rsid w:val="000573BC"/>
    <w:rsid w:val="00060F98"/>
    <w:rsid w:val="00062009"/>
    <w:rsid w:val="00063F6C"/>
    <w:rsid w:val="000640E5"/>
    <w:rsid w:val="000661E3"/>
    <w:rsid w:val="00066BE4"/>
    <w:rsid w:val="000741ED"/>
    <w:rsid w:val="00075D2A"/>
    <w:rsid w:val="00075FCD"/>
    <w:rsid w:val="00082222"/>
    <w:rsid w:val="000824D4"/>
    <w:rsid w:val="00083BCA"/>
    <w:rsid w:val="00084696"/>
    <w:rsid w:val="000849DD"/>
    <w:rsid w:val="0009391D"/>
    <w:rsid w:val="000949A2"/>
    <w:rsid w:val="00094BCA"/>
    <w:rsid w:val="000962E0"/>
    <w:rsid w:val="00096A96"/>
    <w:rsid w:val="00096B72"/>
    <w:rsid w:val="0009794F"/>
    <w:rsid w:val="000A0A3C"/>
    <w:rsid w:val="000A3A78"/>
    <w:rsid w:val="000A4B54"/>
    <w:rsid w:val="000A4DE4"/>
    <w:rsid w:val="000A59D4"/>
    <w:rsid w:val="000A5A25"/>
    <w:rsid w:val="000A7BEC"/>
    <w:rsid w:val="000B3975"/>
    <w:rsid w:val="000B3E8A"/>
    <w:rsid w:val="000B4752"/>
    <w:rsid w:val="000B5020"/>
    <w:rsid w:val="000C073D"/>
    <w:rsid w:val="000C4375"/>
    <w:rsid w:val="000C4B63"/>
    <w:rsid w:val="000C7B60"/>
    <w:rsid w:val="000D3C01"/>
    <w:rsid w:val="000D3EF6"/>
    <w:rsid w:val="000D3FC9"/>
    <w:rsid w:val="000E495F"/>
    <w:rsid w:val="000E4D57"/>
    <w:rsid w:val="000E5746"/>
    <w:rsid w:val="000F3927"/>
    <w:rsid w:val="000F58B7"/>
    <w:rsid w:val="000F5D6F"/>
    <w:rsid w:val="000F7C10"/>
    <w:rsid w:val="0010038C"/>
    <w:rsid w:val="00105A1C"/>
    <w:rsid w:val="00107090"/>
    <w:rsid w:val="001100B3"/>
    <w:rsid w:val="0011520C"/>
    <w:rsid w:val="001172AC"/>
    <w:rsid w:val="00117F29"/>
    <w:rsid w:val="001210AA"/>
    <w:rsid w:val="0012345F"/>
    <w:rsid w:val="00126E26"/>
    <w:rsid w:val="0013076B"/>
    <w:rsid w:val="001330DA"/>
    <w:rsid w:val="00134C39"/>
    <w:rsid w:val="00135C61"/>
    <w:rsid w:val="001362F9"/>
    <w:rsid w:val="00144AEB"/>
    <w:rsid w:val="00144B86"/>
    <w:rsid w:val="00146F19"/>
    <w:rsid w:val="00150B10"/>
    <w:rsid w:val="001550B4"/>
    <w:rsid w:val="00157C12"/>
    <w:rsid w:val="00165D65"/>
    <w:rsid w:val="00170536"/>
    <w:rsid w:val="0017097C"/>
    <w:rsid w:val="00172DBB"/>
    <w:rsid w:val="00174357"/>
    <w:rsid w:val="00176BF2"/>
    <w:rsid w:val="00183C69"/>
    <w:rsid w:val="00184340"/>
    <w:rsid w:val="00186FE1"/>
    <w:rsid w:val="00191564"/>
    <w:rsid w:val="001927D6"/>
    <w:rsid w:val="00193B9A"/>
    <w:rsid w:val="001942E5"/>
    <w:rsid w:val="00194B98"/>
    <w:rsid w:val="00194F92"/>
    <w:rsid w:val="001972B2"/>
    <w:rsid w:val="001A02CA"/>
    <w:rsid w:val="001A0862"/>
    <w:rsid w:val="001A1416"/>
    <w:rsid w:val="001A5CF0"/>
    <w:rsid w:val="001A5F7E"/>
    <w:rsid w:val="001A623C"/>
    <w:rsid w:val="001B529F"/>
    <w:rsid w:val="001B7046"/>
    <w:rsid w:val="001C3354"/>
    <w:rsid w:val="001C5A15"/>
    <w:rsid w:val="001C6D70"/>
    <w:rsid w:val="001D40D7"/>
    <w:rsid w:val="001D4B35"/>
    <w:rsid w:val="001D5E3D"/>
    <w:rsid w:val="001D77F8"/>
    <w:rsid w:val="001D7D76"/>
    <w:rsid w:val="001E2B5F"/>
    <w:rsid w:val="001E2F38"/>
    <w:rsid w:val="001E48CD"/>
    <w:rsid w:val="001E6959"/>
    <w:rsid w:val="001E699F"/>
    <w:rsid w:val="001E75EF"/>
    <w:rsid w:val="001F353D"/>
    <w:rsid w:val="002031E4"/>
    <w:rsid w:val="00204C3A"/>
    <w:rsid w:val="002139C9"/>
    <w:rsid w:val="00214AEE"/>
    <w:rsid w:val="00216A8F"/>
    <w:rsid w:val="00221029"/>
    <w:rsid w:val="002224E1"/>
    <w:rsid w:val="00222CF1"/>
    <w:rsid w:val="00224119"/>
    <w:rsid w:val="002241A9"/>
    <w:rsid w:val="00225012"/>
    <w:rsid w:val="00227E29"/>
    <w:rsid w:val="00227ED0"/>
    <w:rsid w:val="00230087"/>
    <w:rsid w:val="002328B9"/>
    <w:rsid w:val="00232D17"/>
    <w:rsid w:val="00232E32"/>
    <w:rsid w:val="002332F6"/>
    <w:rsid w:val="00240604"/>
    <w:rsid w:val="00242074"/>
    <w:rsid w:val="002479DC"/>
    <w:rsid w:val="00253C59"/>
    <w:rsid w:val="00253C89"/>
    <w:rsid w:val="002561BD"/>
    <w:rsid w:val="002579EF"/>
    <w:rsid w:val="0026012D"/>
    <w:rsid w:val="0026053D"/>
    <w:rsid w:val="002647FF"/>
    <w:rsid w:val="00267B93"/>
    <w:rsid w:val="00271802"/>
    <w:rsid w:val="002721E9"/>
    <w:rsid w:val="00272311"/>
    <w:rsid w:val="0027233C"/>
    <w:rsid w:val="0027415D"/>
    <w:rsid w:val="002754E1"/>
    <w:rsid w:val="002757DA"/>
    <w:rsid w:val="00275F3B"/>
    <w:rsid w:val="00281A84"/>
    <w:rsid w:val="00283F37"/>
    <w:rsid w:val="00285C79"/>
    <w:rsid w:val="00286EDB"/>
    <w:rsid w:val="002914BF"/>
    <w:rsid w:val="0029500A"/>
    <w:rsid w:val="0029568E"/>
    <w:rsid w:val="00295950"/>
    <w:rsid w:val="002959D0"/>
    <w:rsid w:val="00296CEE"/>
    <w:rsid w:val="0029751A"/>
    <w:rsid w:val="002A2217"/>
    <w:rsid w:val="002A3929"/>
    <w:rsid w:val="002A4C0A"/>
    <w:rsid w:val="002A4DC7"/>
    <w:rsid w:val="002B0ECC"/>
    <w:rsid w:val="002B0EE4"/>
    <w:rsid w:val="002B5C26"/>
    <w:rsid w:val="002C329F"/>
    <w:rsid w:val="002C64D0"/>
    <w:rsid w:val="002C7697"/>
    <w:rsid w:val="002C76F5"/>
    <w:rsid w:val="002C7E6A"/>
    <w:rsid w:val="002D413C"/>
    <w:rsid w:val="002D5B5A"/>
    <w:rsid w:val="002D62F3"/>
    <w:rsid w:val="002D6374"/>
    <w:rsid w:val="002D6D69"/>
    <w:rsid w:val="002E1DE7"/>
    <w:rsid w:val="002E7B27"/>
    <w:rsid w:val="002F108B"/>
    <w:rsid w:val="002F1A1F"/>
    <w:rsid w:val="002F2321"/>
    <w:rsid w:val="002F3638"/>
    <w:rsid w:val="002F6FFF"/>
    <w:rsid w:val="002F7A44"/>
    <w:rsid w:val="002F7D8C"/>
    <w:rsid w:val="002F7EED"/>
    <w:rsid w:val="0030033A"/>
    <w:rsid w:val="0030619E"/>
    <w:rsid w:val="003073C5"/>
    <w:rsid w:val="0031338A"/>
    <w:rsid w:val="00317155"/>
    <w:rsid w:val="003206A1"/>
    <w:rsid w:val="00322246"/>
    <w:rsid w:val="00323B2B"/>
    <w:rsid w:val="00324340"/>
    <w:rsid w:val="00325CDF"/>
    <w:rsid w:val="00326872"/>
    <w:rsid w:val="0033262F"/>
    <w:rsid w:val="003336EF"/>
    <w:rsid w:val="003342C2"/>
    <w:rsid w:val="00335AD2"/>
    <w:rsid w:val="003404FA"/>
    <w:rsid w:val="00341963"/>
    <w:rsid w:val="00342F7A"/>
    <w:rsid w:val="00345A78"/>
    <w:rsid w:val="0034684C"/>
    <w:rsid w:val="003504AC"/>
    <w:rsid w:val="003507C5"/>
    <w:rsid w:val="00350CED"/>
    <w:rsid w:val="003524F8"/>
    <w:rsid w:val="0035429E"/>
    <w:rsid w:val="003544D4"/>
    <w:rsid w:val="00356DDE"/>
    <w:rsid w:val="00361BB2"/>
    <w:rsid w:val="003629B4"/>
    <w:rsid w:val="00363541"/>
    <w:rsid w:val="00372377"/>
    <w:rsid w:val="003733F1"/>
    <w:rsid w:val="003747BD"/>
    <w:rsid w:val="00374E12"/>
    <w:rsid w:val="00381868"/>
    <w:rsid w:val="003829FE"/>
    <w:rsid w:val="00387510"/>
    <w:rsid w:val="00390EEF"/>
    <w:rsid w:val="00390FDB"/>
    <w:rsid w:val="00391DBF"/>
    <w:rsid w:val="00391EF8"/>
    <w:rsid w:val="003922B2"/>
    <w:rsid w:val="00393345"/>
    <w:rsid w:val="0039542D"/>
    <w:rsid w:val="00395CE8"/>
    <w:rsid w:val="00395CFF"/>
    <w:rsid w:val="003979E4"/>
    <w:rsid w:val="003A049E"/>
    <w:rsid w:val="003A276D"/>
    <w:rsid w:val="003A475A"/>
    <w:rsid w:val="003A54BF"/>
    <w:rsid w:val="003A5EC6"/>
    <w:rsid w:val="003B1E30"/>
    <w:rsid w:val="003B2523"/>
    <w:rsid w:val="003B3C2B"/>
    <w:rsid w:val="003B6543"/>
    <w:rsid w:val="003B7764"/>
    <w:rsid w:val="003C0E4B"/>
    <w:rsid w:val="003C2CC3"/>
    <w:rsid w:val="003C3852"/>
    <w:rsid w:val="003C4E33"/>
    <w:rsid w:val="003C6EA7"/>
    <w:rsid w:val="003D05AB"/>
    <w:rsid w:val="003D102B"/>
    <w:rsid w:val="003D3192"/>
    <w:rsid w:val="003D4D32"/>
    <w:rsid w:val="003D55F4"/>
    <w:rsid w:val="003D7A18"/>
    <w:rsid w:val="003E051A"/>
    <w:rsid w:val="003E0755"/>
    <w:rsid w:val="003E1C8E"/>
    <w:rsid w:val="003E22F3"/>
    <w:rsid w:val="003E28BD"/>
    <w:rsid w:val="003F107E"/>
    <w:rsid w:val="003F1BF8"/>
    <w:rsid w:val="003F36CC"/>
    <w:rsid w:val="003F5196"/>
    <w:rsid w:val="003F78F4"/>
    <w:rsid w:val="00400431"/>
    <w:rsid w:val="00400D2C"/>
    <w:rsid w:val="00401128"/>
    <w:rsid w:val="00402393"/>
    <w:rsid w:val="0040528C"/>
    <w:rsid w:val="0040758E"/>
    <w:rsid w:val="004125F1"/>
    <w:rsid w:val="004127D0"/>
    <w:rsid w:val="004140F5"/>
    <w:rsid w:val="00414F20"/>
    <w:rsid w:val="0041506D"/>
    <w:rsid w:val="00420ECA"/>
    <w:rsid w:val="00423039"/>
    <w:rsid w:val="00426356"/>
    <w:rsid w:val="00430CE6"/>
    <w:rsid w:val="004341A5"/>
    <w:rsid w:val="00434552"/>
    <w:rsid w:val="00434D24"/>
    <w:rsid w:val="004356A2"/>
    <w:rsid w:val="00436265"/>
    <w:rsid w:val="00437958"/>
    <w:rsid w:val="00437EB6"/>
    <w:rsid w:val="00441BB5"/>
    <w:rsid w:val="00442115"/>
    <w:rsid w:val="0044348C"/>
    <w:rsid w:val="00446114"/>
    <w:rsid w:val="00447E11"/>
    <w:rsid w:val="00450B91"/>
    <w:rsid w:val="0045235F"/>
    <w:rsid w:val="00453F8B"/>
    <w:rsid w:val="004563E1"/>
    <w:rsid w:val="00460DE9"/>
    <w:rsid w:val="004639D7"/>
    <w:rsid w:val="00464119"/>
    <w:rsid w:val="00466D86"/>
    <w:rsid w:val="004706DC"/>
    <w:rsid w:val="00470F09"/>
    <w:rsid w:val="00471B0E"/>
    <w:rsid w:val="004741D2"/>
    <w:rsid w:val="00474280"/>
    <w:rsid w:val="00481A79"/>
    <w:rsid w:val="00482362"/>
    <w:rsid w:val="00482E05"/>
    <w:rsid w:val="00483FF6"/>
    <w:rsid w:val="0048765C"/>
    <w:rsid w:val="00487ADC"/>
    <w:rsid w:val="004943A8"/>
    <w:rsid w:val="004A3380"/>
    <w:rsid w:val="004A4689"/>
    <w:rsid w:val="004A4D7E"/>
    <w:rsid w:val="004B3E0E"/>
    <w:rsid w:val="004B6CED"/>
    <w:rsid w:val="004B7039"/>
    <w:rsid w:val="004B763B"/>
    <w:rsid w:val="004C147A"/>
    <w:rsid w:val="004C1879"/>
    <w:rsid w:val="004C3422"/>
    <w:rsid w:val="004C7B04"/>
    <w:rsid w:val="004D2A94"/>
    <w:rsid w:val="004D3153"/>
    <w:rsid w:val="004D39EA"/>
    <w:rsid w:val="004D5E57"/>
    <w:rsid w:val="004E4283"/>
    <w:rsid w:val="004E6CE7"/>
    <w:rsid w:val="004F053F"/>
    <w:rsid w:val="004F18B4"/>
    <w:rsid w:val="004F18D9"/>
    <w:rsid w:val="004F385C"/>
    <w:rsid w:val="004F396D"/>
    <w:rsid w:val="004F54B1"/>
    <w:rsid w:val="004F5542"/>
    <w:rsid w:val="0050103F"/>
    <w:rsid w:val="00513676"/>
    <w:rsid w:val="00515A2E"/>
    <w:rsid w:val="0052044C"/>
    <w:rsid w:val="00520ECA"/>
    <w:rsid w:val="005271D0"/>
    <w:rsid w:val="00527C23"/>
    <w:rsid w:val="00530162"/>
    <w:rsid w:val="00534ABF"/>
    <w:rsid w:val="00536F1E"/>
    <w:rsid w:val="00543C12"/>
    <w:rsid w:val="00544F1D"/>
    <w:rsid w:val="00545BBB"/>
    <w:rsid w:val="00545DC5"/>
    <w:rsid w:val="005466BE"/>
    <w:rsid w:val="00551F43"/>
    <w:rsid w:val="00552177"/>
    <w:rsid w:val="00553F94"/>
    <w:rsid w:val="00554FB0"/>
    <w:rsid w:val="00555249"/>
    <w:rsid w:val="00557AD2"/>
    <w:rsid w:val="00563255"/>
    <w:rsid w:val="00564D73"/>
    <w:rsid w:val="00565F72"/>
    <w:rsid w:val="005717E6"/>
    <w:rsid w:val="00573370"/>
    <w:rsid w:val="00573983"/>
    <w:rsid w:val="00575196"/>
    <w:rsid w:val="0057533C"/>
    <w:rsid w:val="00576215"/>
    <w:rsid w:val="005762A5"/>
    <w:rsid w:val="005800C9"/>
    <w:rsid w:val="00580E2D"/>
    <w:rsid w:val="00583B86"/>
    <w:rsid w:val="0058465B"/>
    <w:rsid w:val="0058702D"/>
    <w:rsid w:val="00587356"/>
    <w:rsid w:val="0059189E"/>
    <w:rsid w:val="005947C2"/>
    <w:rsid w:val="00595194"/>
    <w:rsid w:val="00597334"/>
    <w:rsid w:val="005A280C"/>
    <w:rsid w:val="005A4DB3"/>
    <w:rsid w:val="005A5C72"/>
    <w:rsid w:val="005B1248"/>
    <w:rsid w:val="005B3130"/>
    <w:rsid w:val="005B48A7"/>
    <w:rsid w:val="005B5115"/>
    <w:rsid w:val="005C1C9A"/>
    <w:rsid w:val="005C440D"/>
    <w:rsid w:val="005C69E2"/>
    <w:rsid w:val="005C6A32"/>
    <w:rsid w:val="005D3BB0"/>
    <w:rsid w:val="005D3DE0"/>
    <w:rsid w:val="005D51DC"/>
    <w:rsid w:val="005D5EE1"/>
    <w:rsid w:val="005D63E5"/>
    <w:rsid w:val="005E0934"/>
    <w:rsid w:val="005E4A91"/>
    <w:rsid w:val="005E4FF3"/>
    <w:rsid w:val="005E74AB"/>
    <w:rsid w:val="005F3516"/>
    <w:rsid w:val="005F3728"/>
    <w:rsid w:val="005F58BB"/>
    <w:rsid w:val="00601FB0"/>
    <w:rsid w:val="006020D3"/>
    <w:rsid w:val="00604196"/>
    <w:rsid w:val="0060580D"/>
    <w:rsid w:val="006068D4"/>
    <w:rsid w:val="00607666"/>
    <w:rsid w:val="006077DB"/>
    <w:rsid w:val="00610FB4"/>
    <w:rsid w:val="00611BB6"/>
    <w:rsid w:val="006123A6"/>
    <w:rsid w:val="006147A7"/>
    <w:rsid w:val="00614AF0"/>
    <w:rsid w:val="006172E2"/>
    <w:rsid w:val="00620E21"/>
    <w:rsid w:val="00622EAF"/>
    <w:rsid w:val="0062324B"/>
    <w:rsid w:val="00623915"/>
    <w:rsid w:val="00632A6F"/>
    <w:rsid w:val="00641BF8"/>
    <w:rsid w:val="006430E2"/>
    <w:rsid w:val="00646EB3"/>
    <w:rsid w:val="00647929"/>
    <w:rsid w:val="00652095"/>
    <w:rsid w:val="0065325B"/>
    <w:rsid w:val="0065539C"/>
    <w:rsid w:val="00665047"/>
    <w:rsid w:val="00667B5C"/>
    <w:rsid w:val="00670C77"/>
    <w:rsid w:val="00670D5B"/>
    <w:rsid w:val="00672F14"/>
    <w:rsid w:val="006731AC"/>
    <w:rsid w:val="006736EC"/>
    <w:rsid w:val="006762E5"/>
    <w:rsid w:val="00683DA3"/>
    <w:rsid w:val="00685489"/>
    <w:rsid w:val="00685D55"/>
    <w:rsid w:val="006870E3"/>
    <w:rsid w:val="0068740A"/>
    <w:rsid w:val="006914F7"/>
    <w:rsid w:val="006944F6"/>
    <w:rsid w:val="00695227"/>
    <w:rsid w:val="00695456"/>
    <w:rsid w:val="00697BF1"/>
    <w:rsid w:val="006A0963"/>
    <w:rsid w:val="006A4488"/>
    <w:rsid w:val="006A4DB6"/>
    <w:rsid w:val="006A6F4B"/>
    <w:rsid w:val="006A6F69"/>
    <w:rsid w:val="006B49CF"/>
    <w:rsid w:val="006B4A9C"/>
    <w:rsid w:val="006B61D3"/>
    <w:rsid w:val="006B749A"/>
    <w:rsid w:val="006C3898"/>
    <w:rsid w:val="006C412D"/>
    <w:rsid w:val="006C67BA"/>
    <w:rsid w:val="006C6E86"/>
    <w:rsid w:val="006C740B"/>
    <w:rsid w:val="006C7553"/>
    <w:rsid w:val="006C7698"/>
    <w:rsid w:val="006D08F3"/>
    <w:rsid w:val="006E1BD1"/>
    <w:rsid w:val="006E3CD6"/>
    <w:rsid w:val="006E6277"/>
    <w:rsid w:val="006F203A"/>
    <w:rsid w:val="006F3347"/>
    <w:rsid w:val="00700081"/>
    <w:rsid w:val="00703F17"/>
    <w:rsid w:val="00704537"/>
    <w:rsid w:val="00707B9C"/>
    <w:rsid w:val="007102D3"/>
    <w:rsid w:val="0071459B"/>
    <w:rsid w:val="00714C50"/>
    <w:rsid w:val="00715114"/>
    <w:rsid w:val="007201B4"/>
    <w:rsid w:val="00722019"/>
    <w:rsid w:val="00723323"/>
    <w:rsid w:val="00726CD9"/>
    <w:rsid w:val="00727C23"/>
    <w:rsid w:val="007302CB"/>
    <w:rsid w:val="0073174E"/>
    <w:rsid w:val="00733017"/>
    <w:rsid w:val="007414F5"/>
    <w:rsid w:val="00742015"/>
    <w:rsid w:val="0074306A"/>
    <w:rsid w:val="00743A14"/>
    <w:rsid w:val="007440A3"/>
    <w:rsid w:val="007474F4"/>
    <w:rsid w:val="00753032"/>
    <w:rsid w:val="0075355C"/>
    <w:rsid w:val="0075633B"/>
    <w:rsid w:val="00757911"/>
    <w:rsid w:val="0076008F"/>
    <w:rsid w:val="007607E5"/>
    <w:rsid w:val="00765E9B"/>
    <w:rsid w:val="00766088"/>
    <w:rsid w:val="00766CD9"/>
    <w:rsid w:val="007720EB"/>
    <w:rsid w:val="00772534"/>
    <w:rsid w:val="00773151"/>
    <w:rsid w:val="00773C06"/>
    <w:rsid w:val="00773C0E"/>
    <w:rsid w:val="0077484F"/>
    <w:rsid w:val="00775242"/>
    <w:rsid w:val="00776761"/>
    <w:rsid w:val="00780C01"/>
    <w:rsid w:val="00780F45"/>
    <w:rsid w:val="00785084"/>
    <w:rsid w:val="00786FC7"/>
    <w:rsid w:val="007907FF"/>
    <w:rsid w:val="007911EB"/>
    <w:rsid w:val="00792960"/>
    <w:rsid w:val="007969DB"/>
    <w:rsid w:val="007973A2"/>
    <w:rsid w:val="007A1270"/>
    <w:rsid w:val="007A341C"/>
    <w:rsid w:val="007A3697"/>
    <w:rsid w:val="007A4B9B"/>
    <w:rsid w:val="007A6935"/>
    <w:rsid w:val="007A6B26"/>
    <w:rsid w:val="007A6D91"/>
    <w:rsid w:val="007A7986"/>
    <w:rsid w:val="007B2A61"/>
    <w:rsid w:val="007B4338"/>
    <w:rsid w:val="007B64FE"/>
    <w:rsid w:val="007C0669"/>
    <w:rsid w:val="007C1E55"/>
    <w:rsid w:val="007D1400"/>
    <w:rsid w:val="007D5B52"/>
    <w:rsid w:val="007D657F"/>
    <w:rsid w:val="007D69F8"/>
    <w:rsid w:val="007D6FB7"/>
    <w:rsid w:val="007E1225"/>
    <w:rsid w:val="007E14ED"/>
    <w:rsid w:val="007E189B"/>
    <w:rsid w:val="007E2297"/>
    <w:rsid w:val="007E2596"/>
    <w:rsid w:val="007E36EF"/>
    <w:rsid w:val="007E677D"/>
    <w:rsid w:val="007E73B2"/>
    <w:rsid w:val="007F1FC7"/>
    <w:rsid w:val="007F2C72"/>
    <w:rsid w:val="007F71D8"/>
    <w:rsid w:val="008009AE"/>
    <w:rsid w:val="008016E1"/>
    <w:rsid w:val="00801AAD"/>
    <w:rsid w:val="00802B31"/>
    <w:rsid w:val="00806441"/>
    <w:rsid w:val="00806B5D"/>
    <w:rsid w:val="0080727A"/>
    <w:rsid w:val="00807B70"/>
    <w:rsid w:val="008116E1"/>
    <w:rsid w:val="0081384E"/>
    <w:rsid w:val="0081468B"/>
    <w:rsid w:val="008152BC"/>
    <w:rsid w:val="00820538"/>
    <w:rsid w:val="00820762"/>
    <w:rsid w:val="008234CD"/>
    <w:rsid w:val="00823BF0"/>
    <w:rsid w:val="008253D9"/>
    <w:rsid w:val="00827124"/>
    <w:rsid w:val="008278A3"/>
    <w:rsid w:val="0083367D"/>
    <w:rsid w:val="008345A2"/>
    <w:rsid w:val="00835687"/>
    <w:rsid w:val="00836D99"/>
    <w:rsid w:val="0083709B"/>
    <w:rsid w:val="008379B9"/>
    <w:rsid w:val="0084261E"/>
    <w:rsid w:val="00844469"/>
    <w:rsid w:val="00847C76"/>
    <w:rsid w:val="008517E0"/>
    <w:rsid w:val="00851AC6"/>
    <w:rsid w:val="008521F4"/>
    <w:rsid w:val="00852BF2"/>
    <w:rsid w:val="00854E94"/>
    <w:rsid w:val="008602A3"/>
    <w:rsid w:val="00861CCE"/>
    <w:rsid w:val="00862BA7"/>
    <w:rsid w:val="00862C90"/>
    <w:rsid w:val="00864C36"/>
    <w:rsid w:val="00871CE9"/>
    <w:rsid w:val="00890280"/>
    <w:rsid w:val="00893235"/>
    <w:rsid w:val="008946E1"/>
    <w:rsid w:val="00894BBC"/>
    <w:rsid w:val="00895F8E"/>
    <w:rsid w:val="008A3DE1"/>
    <w:rsid w:val="008A3F5C"/>
    <w:rsid w:val="008A4113"/>
    <w:rsid w:val="008A462C"/>
    <w:rsid w:val="008A6042"/>
    <w:rsid w:val="008B151E"/>
    <w:rsid w:val="008B6A83"/>
    <w:rsid w:val="008C28E0"/>
    <w:rsid w:val="008C673E"/>
    <w:rsid w:val="008C6962"/>
    <w:rsid w:val="008D13A5"/>
    <w:rsid w:val="008D14C6"/>
    <w:rsid w:val="008D2719"/>
    <w:rsid w:val="008D458B"/>
    <w:rsid w:val="008D5580"/>
    <w:rsid w:val="008D619F"/>
    <w:rsid w:val="008D6A4D"/>
    <w:rsid w:val="008E1DF2"/>
    <w:rsid w:val="008E325E"/>
    <w:rsid w:val="008E3EAF"/>
    <w:rsid w:val="008E4270"/>
    <w:rsid w:val="008E5331"/>
    <w:rsid w:val="008F4C03"/>
    <w:rsid w:val="008F7FF6"/>
    <w:rsid w:val="00902092"/>
    <w:rsid w:val="0090380A"/>
    <w:rsid w:val="00905BC0"/>
    <w:rsid w:val="00905E3A"/>
    <w:rsid w:val="0090681B"/>
    <w:rsid w:val="0090720D"/>
    <w:rsid w:val="009075B8"/>
    <w:rsid w:val="00907BA5"/>
    <w:rsid w:val="00911E4A"/>
    <w:rsid w:val="00915023"/>
    <w:rsid w:val="00921BCD"/>
    <w:rsid w:val="00926A5D"/>
    <w:rsid w:val="0092743E"/>
    <w:rsid w:val="00931DB0"/>
    <w:rsid w:val="00932B34"/>
    <w:rsid w:val="00934F9F"/>
    <w:rsid w:val="00936006"/>
    <w:rsid w:val="009402F0"/>
    <w:rsid w:val="00942D91"/>
    <w:rsid w:val="00956959"/>
    <w:rsid w:val="00962088"/>
    <w:rsid w:val="00963EC1"/>
    <w:rsid w:val="00963F2E"/>
    <w:rsid w:val="00964EC0"/>
    <w:rsid w:val="00965E1F"/>
    <w:rsid w:val="00967CDD"/>
    <w:rsid w:val="00970F0B"/>
    <w:rsid w:val="009711B2"/>
    <w:rsid w:val="009718CE"/>
    <w:rsid w:val="009732B1"/>
    <w:rsid w:val="00976459"/>
    <w:rsid w:val="00977889"/>
    <w:rsid w:val="0098404C"/>
    <w:rsid w:val="009857EF"/>
    <w:rsid w:val="00986FCB"/>
    <w:rsid w:val="0099178C"/>
    <w:rsid w:val="00993755"/>
    <w:rsid w:val="00993FE9"/>
    <w:rsid w:val="009964CF"/>
    <w:rsid w:val="009965C8"/>
    <w:rsid w:val="00997965"/>
    <w:rsid w:val="00997C19"/>
    <w:rsid w:val="009A0D70"/>
    <w:rsid w:val="009A2522"/>
    <w:rsid w:val="009A2C66"/>
    <w:rsid w:val="009B0720"/>
    <w:rsid w:val="009B0B08"/>
    <w:rsid w:val="009B1053"/>
    <w:rsid w:val="009B1547"/>
    <w:rsid w:val="009B1889"/>
    <w:rsid w:val="009B4112"/>
    <w:rsid w:val="009B45D2"/>
    <w:rsid w:val="009B4846"/>
    <w:rsid w:val="009C120F"/>
    <w:rsid w:val="009C2F69"/>
    <w:rsid w:val="009C38BC"/>
    <w:rsid w:val="009C38C4"/>
    <w:rsid w:val="009C3C31"/>
    <w:rsid w:val="009C4273"/>
    <w:rsid w:val="009D1376"/>
    <w:rsid w:val="009D16E7"/>
    <w:rsid w:val="009D241F"/>
    <w:rsid w:val="009D5FB4"/>
    <w:rsid w:val="009D77DC"/>
    <w:rsid w:val="009D7CA1"/>
    <w:rsid w:val="009E0F01"/>
    <w:rsid w:val="009E14E3"/>
    <w:rsid w:val="009E267E"/>
    <w:rsid w:val="009E2809"/>
    <w:rsid w:val="009E4E59"/>
    <w:rsid w:val="009E7148"/>
    <w:rsid w:val="009E7831"/>
    <w:rsid w:val="009F0645"/>
    <w:rsid w:val="009F0C8E"/>
    <w:rsid w:val="009F315F"/>
    <w:rsid w:val="009F33AF"/>
    <w:rsid w:val="009F49E2"/>
    <w:rsid w:val="009F5F30"/>
    <w:rsid w:val="009F6597"/>
    <w:rsid w:val="00A004C8"/>
    <w:rsid w:val="00A032FA"/>
    <w:rsid w:val="00A034EC"/>
    <w:rsid w:val="00A03634"/>
    <w:rsid w:val="00A0387F"/>
    <w:rsid w:val="00A06544"/>
    <w:rsid w:val="00A06942"/>
    <w:rsid w:val="00A074D9"/>
    <w:rsid w:val="00A109BA"/>
    <w:rsid w:val="00A1549D"/>
    <w:rsid w:val="00A15A7B"/>
    <w:rsid w:val="00A16AEF"/>
    <w:rsid w:val="00A16BE0"/>
    <w:rsid w:val="00A20E44"/>
    <w:rsid w:val="00A21949"/>
    <w:rsid w:val="00A278D3"/>
    <w:rsid w:val="00A32176"/>
    <w:rsid w:val="00A32B2D"/>
    <w:rsid w:val="00A33242"/>
    <w:rsid w:val="00A33D1B"/>
    <w:rsid w:val="00A34476"/>
    <w:rsid w:val="00A35B20"/>
    <w:rsid w:val="00A363F6"/>
    <w:rsid w:val="00A36494"/>
    <w:rsid w:val="00A3736B"/>
    <w:rsid w:val="00A42613"/>
    <w:rsid w:val="00A43A49"/>
    <w:rsid w:val="00A45FDF"/>
    <w:rsid w:val="00A46555"/>
    <w:rsid w:val="00A4776D"/>
    <w:rsid w:val="00A51E25"/>
    <w:rsid w:val="00A52051"/>
    <w:rsid w:val="00A5375A"/>
    <w:rsid w:val="00A57128"/>
    <w:rsid w:val="00A607CA"/>
    <w:rsid w:val="00A64F43"/>
    <w:rsid w:val="00A712DE"/>
    <w:rsid w:val="00A71EA9"/>
    <w:rsid w:val="00A7362A"/>
    <w:rsid w:val="00A73B3A"/>
    <w:rsid w:val="00A75066"/>
    <w:rsid w:val="00A805AE"/>
    <w:rsid w:val="00A810CE"/>
    <w:rsid w:val="00A8437C"/>
    <w:rsid w:val="00A860AE"/>
    <w:rsid w:val="00A90152"/>
    <w:rsid w:val="00A94A0B"/>
    <w:rsid w:val="00A96739"/>
    <w:rsid w:val="00A96E3E"/>
    <w:rsid w:val="00A97D55"/>
    <w:rsid w:val="00AA3411"/>
    <w:rsid w:val="00AA5BF1"/>
    <w:rsid w:val="00AA645A"/>
    <w:rsid w:val="00AB0FC2"/>
    <w:rsid w:val="00AB2F2B"/>
    <w:rsid w:val="00AB5935"/>
    <w:rsid w:val="00AB6D48"/>
    <w:rsid w:val="00AB7785"/>
    <w:rsid w:val="00AC1FA1"/>
    <w:rsid w:val="00AC21AC"/>
    <w:rsid w:val="00AC3489"/>
    <w:rsid w:val="00AC35CC"/>
    <w:rsid w:val="00AC46E9"/>
    <w:rsid w:val="00AD03DA"/>
    <w:rsid w:val="00AD6F6B"/>
    <w:rsid w:val="00AD7C7D"/>
    <w:rsid w:val="00AD7D55"/>
    <w:rsid w:val="00AE46FB"/>
    <w:rsid w:val="00AE4C8A"/>
    <w:rsid w:val="00AE70B8"/>
    <w:rsid w:val="00AE70F7"/>
    <w:rsid w:val="00AE79C4"/>
    <w:rsid w:val="00AF0638"/>
    <w:rsid w:val="00AF5038"/>
    <w:rsid w:val="00B00408"/>
    <w:rsid w:val="00B02348"/>
    <w:rsid w:val="00B053CA"/>
    <w:rsid w:val="00B066DF"/>
    <w:rsid w:val="00B11406"/>
    <w:rsid w:val="00B13C90"/>
    <w:rsid w:val="00B15099"/>
    <w:rsid w:val="00B17011"/>
    <w:rsid w:val="00B17703"/>
    <w:rsid w:val="00B21FD1"/>
    <w:rsid w:val="00B22297"/>
    <w:rsid w:val="00B226BD"/>
    <w:rsid w:val="00B2381C"/>
    <w:rsid w:val="00B24F16"/>
    <w:rsid w:val="00B25EC7"/>
    <w:rsid w:val="00B3091B"/>
    <w:rsid w:val="00B31DD3"/>
    <w:rsid w:val="00B3270F"/>
    <w:rsid w:val="00B33084"/>
    <w:rsid w:val="00B35D45"/>
    <w:rsid w:val="00B40677"/>
    <w:rsid w:val="00B40A73"/>
    <w:rsid w:val="00B40B63"/>
    <w:rsid w:val="00B423EB"/>
    <w:rsid w:val="00B424C7"/>
    <w:rsid w:val="00B50E60"/>
    <w:rsid w:val="00B5135F"/>
    <w:rsid w:val="00B54686"/>
    <w:rsid w:val="00B55C90"/>
    <w:rsid w:val="00B5795A"/>
    <w:rsid w:val="00B60176"/>
    <w:rsid w:val="00B654B5"/>
    <w:rsid w:val="00B71D4F"/>
    <w:rsid w:val="00B721F3"/>
    <w:rsid w:val="00B739B9"/>
    <w:rsid w:val="00B779C5"/>
    <w:rsid w:val="00B8154A"/>
    <w:rsid w:val="00B815F8"/>
    <w:rsid w:val="00B85AC1"/>
    <w:rsid w:val="00B86D52"/>
    <w:rsid w:val="00B90683"/>
    <w:rsid w:val="00B92168"/>
    <w:rsid w:val="00B94AC6"/>
    <w:rsid w:val="00B956C2"/>
    <w:rsid w:val="00B958EA"/>
    <w:rsid w:val="00B96B78"/>
    <w:rsid w:val="00BA105B"/>
    <w:rsid w:val="00BA1912"/>
    <w:rsid w:val="00BA4676"/>
    <w:rsid w:val="00BA572B"/>
    <w:rsid w:val="00BA5BEB"/>
    <w:rsid w:val="00BA6C97"/>
    <w:rsid w:val="00BC0DC7"/>
    <w:rsid w:val="00BC0FAA"/>
    <w:rsid w:val="00BC5B3D"/>
    <w:rsid w:val="00BC74EA"/>
    <w:rsid w:val="00BC7578"/>
    <w:rsid w:val="00BC7D17"/>
    <w:rsid w:val="00BD00C9"/>
    <w:rsid w:val="00BD1716"/>
    <w:rsid w:val="00BD3E83"/>
    <w:rsid w:val="00BD63C0"/>
    <w:rsid w:val="00BD7009"/>
    <w:rsid w:val="00BE2CDA"/>
    <w:rsid w:val="00BE4927"/>
    <w:rsid w:val="00BF1C90"/>
    <w:rsid w:val="00BF1E39"/>
    <w:rsid w:val="00BF3B64"/>
    <w:rsid w:val="00BF573B"/>
    <w:rsid w:val="00C0130C"/>
    <w:rsid w:val="00C01979"/>
    <w:rsid w:val="00C039DB"/>
    <w:rsid w:val="00C05A3B"/>
    <w:rsid w:val="00C13E0E"/>
    <w:rsid w:val="00C15624"/>
    <w:rsid w:val="00C15E6C"/>
    <w:rsid w:val="00C22235"/>
    <w:rsid w:val="00C2355F"/>
    <w:rsid w:val="00C2377F"/>
    <w:rsid w:val="00C2696D"/>
    <w:rsid w:val="00C32265"/>
    <w:rsid w:val="00C33568"/>
    <w:rsid w:val="00C3495B"/>
    <w:rsid w:val="00C34E7F"/>
    <w:rsid w:val="00C43819"/>
    <w:rsid w:val="00C43A10"/>
    <w:rsid w:val="00C44196"/>
    <w:rsid w:val="00C4573E"/>
    <w:rsid w:val="00C463C7"/>
    <w:rsid w:val="00C47037"/>
    <w:rsid w:val="00C50925"/>
    <w:rsid w:val="00C509F8"/>
    <w:rsid w:val="00C5191A"/>
    <w:rsid w:val="00C52357"/>
    <w:rsid w:val="00C54317"/>
    <w:rsid w:val="00C54F9E"/>
    <w:rsid w:val="00C55429"/>
    <w:rsid w:val="00C55765"/>
    <w:rsid w:val="00C5660B"/>
    <w:rsid w:val="00C56988"/>
    <w:rsid w:val="00C57D9D"/>
    <w:rsid w:val="00C613DD"/>
    <w:rsid w:val="00C62FCF"/>
    <w:rsid w:val="00C644FA"/>
    <w:rsid w:val="00C667D7"/>
    <w:rsid w:val="00C7360D"/>
    <w:rsid w:val="00C7510F"/>
    <w:rsid w:val="00C7555D"/>
    <w:rsid w:val="00C7635F"/>
    <w:rsid w:val="00C76F58"/>
    <w:rsid w:val="00C81B28"/>
    <w:rsid w:val="00C836CF"/>
    <w:rsid w:val="00C86C5A"/>
    <w:rsid w:val="00C8761C"/>
    <w:rsid w:val="00C87D85"/>
    <w:rsid w:val="00C915AC"/>
    <w:rsid w:val="00C91A76"/>
    <w:rsid w:val="00C93C8C"/>
    <w:rsid w:val="00C95381"/>
    <w:rsid w:val="00CA2402"/>
    <w:rsid w:val="00CA4481"/>
    <w:rsid w:val="00CA4B4B"/>
    <w:rsid w:val="00CA539F"/>
    <w:rsid w:val="00CA588B"/>
    <w:rsid w:val="00CB3FEE"/>
    <w:rsid w:val="00CB42B4"/>
    <w:rsid w:val="00CB5D33"/>
    <w:rsid w:val="00CB670C"/>
    <w:rsid w:val="00CB6F5C"/>
    <w:rsid w:val="00CC18D7"/>
    <w:rsid w:val="00CC2D7A"/>
    <w:rsid w:val="00CD2CDE"/>
    <w:rsid w:val="00CD436B"/>
    <w:rsid w:val="00CE11E7"/>
    <w:rsid w:val="00CE3A82"/>
    <w:rsid w:val="00CE5CFD"/>
    <w:rsid w:val="00CF1235"/>
    <w:rsid w:val="00CF45DE"/>
    <w:rsid w:val="00CF4B5E"/>
    <w:rsid w:val="00D0046D"/>
    <w:rsid w:val="00D01A9F"/>
    <w:rsid w:val="00D06170"/>
    <w:rsid w:val="00D10581"/>
    <w:rsid w:val="00D116C2"/>
    <w:rsid w:val="00D156C9"/>
    <w:rsid w:val="00D177D7"/>
    <w:rsid w:val="00D2016F"/>
    <w:rsid w:val="00D21186"/>
    <w:rsid w:val="00D22DAA"/>
    <w:rsid w:val="00D245B3"/>
    <w:rsid w:val="00D24C98"/>
    <w:rsid w:val="00D25094"/>
    <w:rsid w:val="00D253F8"/>
    <w:rsid w:val="00D25A50"/>
    <w:rsid w:val="00D2690B"/>
    <w:rsid w:val="00D2746F"/>
    <w:rsid w:val="00D27FC8"/>
    <w:rsid w:val="00D30201"/>
    <w:rsid w:val="00D32294"/>
    <w:rsid w:val="00D33841"/>
    <w:rsid w:val="00D34C83"/>
    <w:rsid w:val="00D350E5"/>
    <w:rsid w:val="00D36A75"/>
    <w:rsid w:val="00D36F31"/>
    <w:rsid w:val="00D41FDD"/>
    <w:rsid w:val="00D4323E"/>
    <w:rsid w:val="00D43B6C"/>
    <w:rsid w:val="00D5024A"/>
    <w:rsid w:val="00D502F6"/>
    <w:rsid w:val="00D53085"/>
    <w:rsid w:val="00D53307"/>
    <w:rsid w:val="00D62AA2"/>
    <w:rsid w:val="00D72976"/>
    <w:rsid w:val="00D77088"/>
    <w:rsid w:val="00D7773F"/>
    <w:rsid w:val="00D82B60"/>
    <w:rsid w:val="00D84A48"/>
    <w:rsid w:val="00D84BF0"/>
    <w:rsid w:val="00D93E51"/>
    <w:rsid w:val="00D97155"/>
    <w:rsid w:val="00D971E7"/>
    <w:rsid w:val="00DA3A6F"/>
    <w:rsid w:val="00DA4E2F"/>
    <w:rsid w:val="00DA50A6"/>
    <w:rsid w:val="00DA6765"/>
    <w:rsid w:val="00DA6B38"/>
    <w:rsid w:val="00DA785F"/>
    <w:rsid w:val="00DB4B15"/>
    <w:rsid w:val="00DB6932"/>
    <w:rsid w:val="00DB6FE5"/>
    <w:rsid w:val="00DB7BF8"/>
    <w:rsid w:val="00DC2BF0"/>
    <w:rsid w:val="00DC3ADE"/>
    <w:rsid w:val="00DC5205"/>
    <w:rsid w:val="00DC7069"/>
    <w:rsid w:val="00DD1A70"/>
    <w:rsid w:val="00DD32CF"/>
    <w:rsid w:val="00DD3865"/>
    <w:rsid w:val="00DD5404"/>
    <w:rsid w:val="00DD7055"/>
    <w:rsid w:val="00DD75AA"/>
    <w:rsid w:val="00DE5759"/>
    <w:rsid w:val="00DF0167"/>
    <w:rsid w:val="00DF2BC9"/>
    <w:rsid w:val="00DF4494"/>
    <w:rsid w:val="00DF4825"/>
    <w:rsid w:val="00DF7429"/>
    <w:rsid w:val="00DF756C"/>
    <w:rsid w:val="00E02BBE"/>
    <w:rsid w:val="00E02D0E"/>
    <w:rsid w:val="00E05CF3"/>
    <w:rsid w:val="00E05E1A"/>
    <w:rsid w:val="00E12DC9"/>
    <w:rsid w:val="00E13A24"/>
    <w:rsid w:val="00E169B7"/>
    <w:rsid w:val="00E26841"/>
    <w:rsid w:val="00E27698"/>
    <w:rsid w:val="00E3399D"/>
    <w:rsid w:val="00E3477E"/>
    <w:rsid w:val="00E35327"/>
    <w:rsid w:val="00E36077"/>
    <w:rsid w:val="00E40FB3"/>
    <w:rsid w:val="00E41639"/>
    <w:rsid w:val="00E4207B"/>
    <w:rsid w:val="00E45528"/>
    <w:rsid w:val="00E45896"/>
    <w:rsid w:val="00E45E2E"/>
    <w:rsid w:val="00E54C71"/>
    <w:rsid w:val="00E572D2"/>
    <w:rsid w:val="00E610ED"/>
    <w:rsid w:val="00E63297"/>
    <w:rsid w:val="00E634C9"/>
    <w:rsid w:val="00E66179"/>
    <w:rsid w:val="00E66900"/>
    <w:rsid w:val="00E67D4A"/>
    <w:rsid w:val="00E7245D"/>
    <w:rsid w:val="00E72FEC"/>
    <w:rsid w:val="00E761AA"/>
    <w:rsid w:val="00E80B0E"/>
    <w:rsid w:val="00E82E49"/>
    <w:rsid w:val="00E83B9F"/>
    <w:rsid w:val="00E84AA6"/>
    <w:rsid w:val="00E8521D"/>
    <w:rsid w:val="00E908C1"/>
    <w:rsid w:val="00E9244D"/>
    <w:rsid w:val="00E93E5E"/>
    <w:rsid w:val="00E962EC"/>
    <w:rsid w:val="00E9742B"/>
    <w:rsid w:val="00EA0239"/>
    <w:rsid w:val="00EA223F"/>
    <w:rsid w:val="00EA2B81"/>
    <w:rsid w:val="00EA3934"/>
    <w:rsid w:val="00EA4C6F"/>
    <w:rsid w:val="00EB1487"/>
    <w:rsid w:val="00EB2A0B"/>
    <w:rsid w:val="00EB3A98"/>
    <w:rsid w:val="00EB4924"/>
    <w:rsid w:val="00EB49E7"/>
    <w:rsid w:val="00EB6718"/>
    <w:rsid w:val="00EC22A0"/>
    <w:rsid w:val="00EC2955"/>
    <w:rsid w:val="00ED03E6"/>
    <w:rsid w:val="00ED1966"/>
    <w:rsid w:val="00ED393E"/>
    <w:rsid w:val="00ED4D48"/>
    <w:rsid w:val="00ED6C2F"/>
    <w:rsid w:val="00EE01DD"/>
    <w:rsid w:val="00EE6C77"/>
    <w:rsid w:val="00EE7FE6"/>
    <w:rsid w:val="00EF17E4"/>
    <w:rsid w:val="00EF7AE2"/>
    <w:rsid w:val="00F0090D"/>
    <w:rsid w:val="00F029BE"/>
    <w:rsid w:val="00F053D7"/>
    <w:rsid w:val="00F076F0"/>
    <w:rsid w:val="00F1200F"/>
    <w:rsid w:val="00F13B47"/>
    <w:rsid w:val="00F21667"/>
    <w:rsid w:val="00F225FE"/>
    <w:rsid w:val="00F23A83"/>
    <w:rsid w:val="00F23E55"/>
    <w:rsid w:val="00F26BDE"/>
    <w:rsid w:val="00F30D97"/>
    <w:rsid w:val="00F34947"/>
    <w:rsid w:val="00F363E6"/>
    <w:rsid w:val="00F42B4E"/>
    <w:rsid w:val="00F42ED6"/>
    <w:rsid w:val="00F432F8"/>
    <w:rsid w:val="00F439DA"/>
    <w:rsid w:val="00F450ED"/>
    <w:rsid w:val="00F50828"/>
    <w:rsid w:val="00F509F0"/>
    <w:rsid w:val="00F51ADB"/>
    <w:rsid w:val="00F51C8C"/>
    <w:rsid w:val="00F52F95"/>
    <w:rsid w:val="00F54590"/>
    <w:rsid w:val="00F5533E"/>
    <w:rsid w:val="00F55902"/>
    <w:rsid w:val="00F56378"/>
    <w:rsid w:val="00F57B43"/>
    <w:rsid w:val="00F57FBF"/>
    <w:rsid w:val="00F63CE2"/>
    <w:rsid w:val="00F6408D"/>
    <w:rsid w:val="00F649D6"/>
    <w:rsid w:val="00F65414"/>
    <w:rsid w:val="00F7022F"/>
    <w:rsid w:val="00F704CD"/>
    <w:rsid w:val="00F707A5"/>
    <w:rsid w:val="00F711A0"/>
    <w:rsid w:val="00F718BF"/>
    <w:rsid w:val="00F74370"/>
    <w:rsid w:val="00F75C18"/>
    <w:rsid w:val="00F77018"/>
    <w:rsid w:val="00F7794A"/>
    <w:rsid w:val="00F810A0"/>
    <w:rsid w:val="00F8324F"/>
    <w:rsid w:val="00F840DC"/>
    <w:rsid w:val="00F84764"/>
    <w:rsid w:val="00F90348"/>
    <w:rsid w:val="00F908B8"/>
    <w:rsid w:val="00F9090A"/>
    <w:rsid w:val="00F912F7"/>
    <w:rsid w:val="00F92D50"/>
    <w:rsid w:val="00F9310B"/>
    <w:rsid w:val="00F935D2"/>
    <w:rsid w:val="00FA0120"/>
    <w:rsid w:val="00FA0D5F"/>
    <w:rsid w:val="00FA1CCB"/>
    <w:rsid w:val="00FB1F94"/>
    <w:rsid w:val="00FB7FE1"/>
    <w:rsid w:val="00FC0576"/>
    <w:rsid w:val="00FC0B1E"/>
    <w:rsid w:val="00FC386E"/>
    <w:rsid w:val="00FC7B25"/>
    <w:rsid w:val="00FD4009"/>
    <w:rsid w:val="00FE0866"/>
    <w:rsid w:val="00FE2FA8"/>
    <w:rsid w:val="00FE680F"/>
    <w:rsid w:val="00FE74B5"/>
    <w:rsid w:val="00FF0992"/>
    <w:rsid w:val="00FF2056"/>
    <w:rsid w:val="00FF2DC1"/>
    <w:rsid w:val="00FF3C1E"/>
    <w:rsid w:val="013543EC"/>
    <w:rsid w:val="01E832F8"/>
    <w:rsid w:val="044E2D1B"/>
    <w:rsid w:val="04987726"/>
    <w:rsid w:val="054D46F8"/>
    <w:rsid w:val="06623D9C"/>
    <w:rsid w:val="078B3DFF"/>
    <w:rsid w:val="07911E14"/>
    <w:rsid w:val="07B3434F"/>
    <w:rsid w:val="08B511B2"/>
    <w:rsid w:val="091D223F"/>
    <w:rsid w:val="0BD3F091"/>
    <w:rsid w:val="0BDE6F3F"/>
    <w:rsid w:val="0CD90540"/>
    <w:rsid w:val="0D657CAC"/>
    <w:rsid w:val="0E662550"/>
    <w:rsid w:val="0FAE0910"/>
    <w:rsid w:val="0FFAC754"/>
    <w:rsid w:val="0FFE5A9E"/>
    <w:rsid w:val="10EB057A"/>
    <w:rsid w:val="10F45219"/>
    <w:rsid w:val="11B371CF"/>
    <w:rsid w:val="12732F8A"/>
    <w:rsid w:val="12AB1C90"/>
    <w:rsid w:val="13FF7D6E"/>
    <w:rsid w:val="152F206F"/>
    <w:rsid w:val="156E57B6"/>
    <w:rsid w:val="157601E9"/>
    <w:rsid w:val="16AD6CAB"/>
    <w:rsid w:val="17441B00"/>
    <w:rsid w:val="17BD4FE4"/>
    <w:rsid w:val="18527921"/>
    <w:rsid w:val="18FF79A4"/>
    <w:rsid w:val="19D34E5D"/>
    <w:rsid w:val="19F177BF"/>
    <w:rsid w:val="1A9D6B15"/>
    <w:rsid w:val="1ABC3A9C"/>
    <w:rsid w:val="1AF52F4B"/>
    <w:rsid w:val="1B3EC2E6"/>
    <w:rsid w:val="1B5B5A5C"/>
    <w:rsid w:val="1BDF9C77"/>
    <w:rsid w:val="1C864BDA"/>
    <w:rsid w:val="1E240476"/>
    <w:rsid w:val="1E7FBC29"/>
    <w:rsid w:val="1FD33337"/>
    <w:rsid w:val="1FEE9E96"/>
    <w:rsid w:val="1FEF6311"/>
    <w:rsid w:val="20B971DB"/>
    <w:rsid w:val="21A04A7C"/>
    <w:rsid w:val="22A42E22"/>
    <w:rsid w:val="231D1BC4"/>
    <w:rsid w:val="23415CE1"/>
    <w:rsid w:val="236730BF"/>
    <w:rsid w:val="23EE5095"/>
    <w:rsid w:val="243230F5"/>
    <w:rsid w:val="2497BF61"/>
    <w:rsid w:val="24B8469D"/>
    <w:rsid w:val="24EC7625"/>
    <w:rsid w:val="25EBD3C7"/>
    <w:rsid w:val="27016EB4"/>
    <w:rsid w:val="277FD165"/>
    <w:rsid w:val="28EE0CD2"/>
    <w:rsid w:val="29E337B9"/>
    <w:rsid w:val="2A317C69"/>
    <w:rsid w:val="2A712ED3"/>
    <w:rsid w:val="2B39303D"/>
    <w:rsid w:val="2B3A596C"/>
    <w:rsid w:val="2B6F964C"/>
    <w:rsid w:val="2B9C3B35"/>
    <w:rsid w:val="2BBB9DED"/>
    <w:rsid w:val="2BEF626D"/>
    <w:rsid w:val="2BFFB739"/>
    <w:rsid w:val="2C6A573A"/>
    <w:rsid w:val="2D67D49F"/>
    <w:rsid w:val="2EB17C28"/>
    <w:rsid w:val="2EF932BF"/>
    <w:rsid w:val="2F973557"/>
    <w:rsid w:val="2F9E9E78"/>
    <w:rsid w:val="2FBFA9D3"/>
    <w:rsid w:val="2FCC6F2B"/>
    <w:rsid w:val="2FEB24FA"/>
    <w:rsid w:val="304739FA"/>
    <w:rsid w:val="31AB064A"/>
    <w:rsid w:val="329D4BAF"/>
    <w:rsid w:val="33466FF4"/>
    <w:rsid w:val="35051529"/>
    <w:rsid w:val="353E1929"/>
    <w:rsid w:val="35760DE3"/>
    <w:rsid w:val="35B664F3"/>
    <w:rsid w:val="35CD1466"/>
    <w:rsid w:val="36182D9A"/>
    <w:rsid w:val="36DC4A46"/>
    <w:rsid w:val="37A7B0F1"/>
    <w:rsid w:val="37DDE1D4"/>
    <w:rsid w:val="37FB8E3F"/>
    <w:rsid w:val="37FFB645"/>
    <w:rsid w:val="38247AD3"/>
    <w:rsid w:val="3A7970E6"/>
    <w:rsid w:val="3BD0DCCE"/>
    <w:rsid w:val="3BFF728D"/>
    <w:rsid w:val="3DD6A5BC"/>
    <w:rsid w:val="3DE3CDE4"/>
    <w:rsid w:val="3DE7240A"/>
    <w:rsid w:val="3E375CD4"/>
    <w:rsid w:val="3E7E3AEC"/>
    <w:rsid w:val="3F7A352A"/>
    <w:rsid w:val="3FBF0E0A"/>
    <w:rsid w:val="3FD75313"/>
    <w:rsid w:val="3FD75A67"/>
    <w:rsid w:val="3FEF5042"/>
    <w:rsid w:val="3FFE2E5C"/>
    <w:rsid w:val="3FFFAAD3"/>
    <w:rsid w:val="406212F8"/>
    <w:rsid w:val="40BA6F02"/>
    <w:rsid w:val="41AA258E"/>
    <w:rsid w:val="42A807DB"/>
    <w:rsid w:val="42BD3A31"/>
    <w:rsid w:val="42F61D3C"/>
    <w:rsid w:val="430D368B"/>
    <w:rsid w:val="43376017"/>
    <w:rsid w:val="43387C8F"/>
    <w:rsid w:val="439234C2"/>
    <w:rsid w:val="46D61FD8"/>
    <w:rsid w:val="476627DC"/>
    <w:rsid w:val="479F6673"/>
    <w:rsid w:val="47B71C23"/>
    <w:rsid w:val="47FD6304"/>
    <w:rsid w:val="48067119"/>
    <w:rsid w:val="489DCB22"/>
    <w:rsid w:val="4B5F5453"/>
    <w:rsid w:val="4BC4011D"/>
    <w:rsid w:val="4C9E5FC9"/>
    <w:rsid w:val="4D52686A"/>
    <w:rsid w:val="4DEF5216"/>
    <w:rsid w:val="4E9B27C2"/>
    <w:rsid w:val="4EB511BC"/>
    <w:rsid w:val="4EB869E0"/>
    <w:rsid w:val="4EC60014"/>
    <w:rsid w:val="4F79E4D0"/>
    <w:rsid w:val="4FAF0AAC"/>
    <w:rsid w:val="4FBDEA9B"/>
    <w:rsid w:val="51D00586"/>
    <w:rsid w:val="52854FDA"/>
    <w:rsid w:val="53920881"/>
    <w:rsid w:val="53EFE4F7"/>
    <w:rsid w:val="54BBF5F4"/>
    <w:rsid w:val="54CEB9A9"/>
    <w:rsid w:val="55ED0BF1"/>
    <w:rsid w:val="56705FB3"/>
    <w:rsid w:val="56A916CD"/>
    <w:rsid w:val="56EE9E28"/>
    <w:rsid w:val="56FF2C9B"/>
    <w:rsid w:val="57BF1942"/>
    <w:rsid w:val="57C6EA12"/>
    <w:rsid w:val="57DF77F7"/>
    <w:rsid w:val="57F33F7A"/>
    <w:rsid w:val="57FEEFEC"/>
    <w:rsid w:val="58785672"/>
    <w:rsid w:val="58AC6442"/>
    <w:rsid w:val="58DE7C59"/>
    <w:rsid w:val="594407CC"/>
    <w:rsid w:val="597B8DF0"/>
    <w:rsid w:val="5ACC12DE"/>
    <w:rsid w:val="5AD4057A"/>
    <w:rsid w:val="5B1122A2"/>
    <w:rsid w:val="5B310FF4"/>
    <w:rsid w:val="5B67027F"/>
    <w:rsid w:val="5B6FEC9E"/>
    <w:rsid w:val="5B77E49C"/>
    <w:rsid w:val="5BCA016E"/>
    <w:rsid w:val="5C8BF091"/>
    <w:rsid w:val="5CFD2BEC"/>
    <w:rsid w:val="5D3EEE94"/>
    <w:rsid w:val="5D736741"/>
    <w:rsid w:val="5D78F0D4"/>
    <w:rsid w:val="5DE7F05F"/>
    <w:rsid w:val="5DEC2EAA"/>
    <w:rsid w:val="5DEF1C22"/>
    <w:rsid w:val="5DFF6E85"/>
    <w:rsid w:val="5EADDFFC"/>
    <w:rsid w:val="5EDFC7FD"/>
    <w:rsid w:val="5EFF67FF"/>
    <w:rsid w:val="5EFFDE69"/>
    <w:rsid w:val="5F66581C"/>
    <w:rsid w:val="5F6B21C3"/>
    <w:rsid w:val="5F6F6161"/>
    <w:rsid w:val="5F77F4FE"/>
    <w:rsid w:val="5F7D0822"/>
    <w:rsid w:val="5F7F8E2C"/>
    <w:rsid w:val="5F7F8F5B"/>
    <w:rsid w:val="5F7FA9D0"/>
    <w:rsid w:val="5FAA7D9D"/>
    <w:rsid w:val="5FBACD0D"/>
    <w:rsid w:val="5FCFB968"/>
    <w:rsid w:val="5FDBAF04"/>
    <w:rsid w:val="5FF75812"/>
    <w:rsid w:val="5FFBF472"/>
    <w:rsid w:val="5FFF3BEE"/>
    <w:rsid w:val="5FFF96F1"/>
    <w:rsid w:val="5FFFDAC1"/>
    <w:rsid w:val="60495F93"/>
    <w:rsid w:val="60765CE2"/>
    <w:rsid w:val="60EC6892"/>
    <w:rsid w:val="613227E3"/>
    <w:rsid w:val="61EB05B9"/>
    <w:rsid w:val="623D4037"/>
    <w:rsid w:val="62562501"/>
    <w:rsid w:val="627806C9"/>
    <w:rsid w:val="63B051BC"/>
    <w:rsid w:val="64442D48"/>
    <w:rsid w:val="64D836A1"/>
    <w:rsid w:val="656A1870"/>
    <w:rsid w:val="65BF73AA"/>
    <w:rsid w:val="663729FC"/>
    <w:rsid w:val="664423B6"/>
    <w:rsid w:val="668C6350"/>
    <w:rsid w:val="66FDF4FA"/>
    <w:rsid w:val="66FFE383"/>
    <w:rsid w:val="67175941"/>
    <w:rsid w:val="67695A94"/>
    <w:rsid w:val="677C0888"/>
    <w:rsid w:val="67FE1908"/>
    <w:rsid w:val="67FF3E06"/>
    <w:rsid w:val="68E052B8"/>
    <w:rsid w:val="6909620B"/>
    <w:rsid w:val="696D4E9C"/>
    <w:rsid w:val="69F411E8"/>
    <w:rsid w:val="6AED4874"/>
    <w:rsid w:val="6B5B1C77"/>
    <w:rsid w:val="6B6D0832"/>
    <w:rsid w:val="6B7BF4F4"/>
    <w:rsid w:val="6C573F18"/>
    <w:rsid w:val="6C7DE009"/>
    <w:rsid w:val="6CCC1BEF"/>
    <w:rsid w:val="6CF51828"/>
    <w:rsid w:val="6D6E8FA2"/>
    <w:rsid w:val="6DB23918"/>
    <w:rsid w:val="6DEB14B5"/>
    <w:rsid w:val="6DFF4C66"/>
    <w:rsid w:val="6E753D0F"/>
    <w:rsid w:val="6EB72125"/>
    <w:rsid w:val="6EBCDD6A"/>
    <w:rsid w:val="6F7E19C8"/>
    <w:rsid w:val="6FDC41E8"/>
    <w:rsid w:val="6FEEAEDD"/>
    <w:rsid w:val="6FF90446"/>
    <w:rsid w:val="6FFB4F61"/>
    <w:rsid w:val="6FFE4479"/>
    <w:rsid w:val="6FFFC647"/>
    <w:rsid w:val="71266CE5"/>
    <w:rsid w:val="721B2A90"/>
    <w:rsid w:val="735E83E2"/>
    <w:rsid w:val="737F0C06"/>
    <w:rsid w:val="739F884B"/>
    <w:rsid w:val="73A9239D"/>
    <w:rsid w:val="73FFF296"/>
    <w:rsid w:val="74855003"/>
    <w:rsid w:val="74BF0D91"/>
    <w:rsid w:val="74BF30C7"/>
    <w:rsid w:val="752E2E69"/>
    <w:rsid w:val="7535110D"/>
    <w:rsid w:val="7565BEF0"/>
    <w:rsid w:val="757FB9C9"/>
    <w:rsid w:val="75A7A7E9"/>
    <w:rsid w:val="75CCDF46"/>
    <w:rsid w:val="75EE9CD8"/>
    <w:rsid w:val="764F44C1"/>
    <w:rsid w:val="76B61A8E"/>
    <w:rsid w:val="76FD25D2"/>
    <w:rsid w:val="770FF47D"/>
    <w:rsid w:val="77167D7B"/>
    <w:rsid w:val="775E1A71"/>
    <w:rsid w:val="778D2D26"/>
    <w:rsid w:val="77B5C94E"/>
    <w:rsid w:val="77BF375B"/>
    <w:rsid w:val="77D3A4E6"/>
    <w:rsid w:val="77D6BA39"/>
    <w:rsid w:val="77DADECD"/>
    <w:rsid w:val="77E5A1CB"/>
    <w:rsid w:val="77EB080E"/>
    <w:rsid w:val="77F99F8E"/>
    <w:rsid w:val="77FEADF9"/>
    <w:rsid w:val="79C784B6"/>
    <w:rsid w:val="7A7F254A"/>
    <w:rsid w:val="7ABF2B81"/>
    <w:rsid w:val="7AC6C2E1"/>
    <w:rsid w:val="7AD9D429"/>
    <w:rsid w:val="7AE78F47"/>
    <w:rsid w:val="7B7FFD1C"/>
    <w:rsid w:val="7B8B80B6"/>
    <w:rsid w:val="7BD70528"/>
    <w:rsid w:val="7BDFF1C5"/>
    <w:rsid w:val="7BE58ED9"/>
    <w:rsid w:val="7BED3533"/>
    <w:rsid w:val="7BFE49E2"/>
    <w:rsid w:val="7BFE69F8"/>
    <w:rsid w:val="7C41333B"/>
    <w:rsid w:val="7C7561BA"/>
    <w:rsid w:val="7C77B43C"/>
    <w:rsid w:val="7CFF8C1F"/>
    <w:rsid w:val="7D4A0A5C"/>
    <w:rsid w:val="7D53D1AC"/>
    <w:rsid w:val="7D5A48B4"/>
    <w:rsid w:val="7D71774D"/>
    <w:rsid w:val="7DEDCD24"/>
    <w:rsid w:val="7DFB3AC1"/>
    <w:rsid w:val="7DFDCA00"/>
    <w:rsid w:val="7DFF8AFF"/>
    <w:rsid w:val="7E7B5B3E"/>
    <w:rsid w:val="7EA7BB6E"/>
    <w:rsid w:val="7EDB19AA"/>
    <w:rsid w:val="7EF5260A"/>
    <w:rsid w:val="7EFB5D17"/>
    <w:rsid w:val="7EFF6686"/>
    <w:rsid w:val="7F08A9F8"/>
    <w:rsid w:val="7F24B60E"/>
    <w:rsid w:val="7F2D1DB9"/>
    <w:rsid w:val="7F513BFA"/>
    <w:rsid w:val="7F5DC1F3"/>
    <w:rsid w:val="7F63E3B0"/>
    <w:rsid w:val="7F66E6AD"/>
    <w:rsid w:val="7F6D964E"/>
    <w:rsid w:val="7F7F3EC4"/>
    <w:rsid w:val="7F7F7A51"/>
    <w:rsid w:val="7F8E209D"/>
    <w:rsid w:val="7F9EDE5F"/>
    <w:rsid w:val="7FAF8E32"/>
    <w:rsid w:val="7FBCAE4F"/>
    <w:rsid w:val="7FD6EA8A"/>
    <w:rsid w:val="7FDD933B"/>
    <w:rsid w:val="7FE73BB8"/>
    <w:rsid w:val="7FEB6507"/>
    <w:rsid w:val="7FF058CE"/>
    <w:rsid w:val="7FF73694"/>
    <w:rsid w:val="7FF741BE"/>
    <w:rsid w:val="7FF77BA3"/>
    <w:rsid w:val="7FF8914A"/>
    <w:rsid w:val="7FFB0DB3"/>
    <w:rsid w:val="7FFC1CBB"/>
    <w:rsid w:val="7FFDCDA0"/>
    <w:rsid w:val="7FFF216A"/>
    <w:rsid w:val="7FFF6D26"/>
    <w:rsid w:val="8E093992"/>
    <w:rsid w:val="8EEBB1BA"/>
    <w:rsid w:val="936B54B1"/>
    <w:rsid w:val="946F8FF6"/>
    <w:rsid w:val="969B4540"/>
    <w:rsid w:val="975FB62F"/>
    <w:rsid w:val="9D9F5207"/>
    <w:rsid w:val="9E5FF999"/>
    <w:rsid w:val="9FDEA644"/>
    <w:rsid w:val="A7D76503"/>
    <w:rsid w:val="AB37B603"/>
    <w:rsid w:val="ABEE02DD"/>
    <w:rsid w:val="ABFDD4DF"/>
    <w:rsid w:val="ACEB92A5"/>
    <w:rsid w:val="ADF63FAA"/>
    <w:rsid w:val="ADF79A69"/>
    <w:rsid w:val="AEE54C2A"/>
    <w:rsid w:val="AF7B06A2"/>
    <w:rsid w:val="AFBB722A"/>
    <w:rsid w:val="AFEB10E4"/>
    <w:rsid w:val="AFFBFF32"/>
    <w:rsid w:val="B23B38FF"/>
    <w:rsid w:val="B2F76E24"/>
    <w:rsid w:val="B3DFE3E6"/>
    <w:rsid w:val="B3FF954F"/>
    <w:rsid w:val="B46D455D"/>
    <w:rsid w:val="B5FFF75B"/>
    <w:rsid w:val="B6FB7EF2"/>
    <w:rsid w:val="B7FF25C9"/>
    <w:rsid w:val="BAFE1473"/>
    <w:rsid w:val="BBFD813B"/>
    <w:rsid w:val="BC1E07E4"/>
    <w:rsid w:val="BC3858DF"/>
    <w:rsid w:val="BD7C8E0E"/>
    <w:rsid w:val="BDDB9940"/>
    <w:rsid w:val="BEAE6B56"/>
    <w:rsid w:val="BEAF40B3"/>
    <w:rsid w:val="BEEFEFC7"/>
    <w:rsid w:val="BEFC113B"/>
    <w:rsid w:val="BF5F9874"/>
    <w:rsid w:val="BF7D17BF"/>
    <w:rsid w:val="BF94ED4E"/>
    <w:rsid w:val="BFE7B6A6"/>
    <w:rsid w:val="BFED3BE7"/>
    <w:rsid w:val="BFF66A7C"/>
    <w:rsid w:val="BFF7AC63"/>
    <w:rsid w:val="BFFB7B6B"/>
    <w:rsid w:val="BFFCFDB1"/>
    <w:rsid w:val="BFFE50CE"/>
    <w:rsid w:val="BFFF4F41"/>
    <w:rsid w:val="C179A558"/>
    <w:rsid w:val="C6FE3C49"/>
    <w:rsid w:val="CCFC239E"/>
    <w:rsid w:val="CEBFD0CB"/>
    <w:rsid w:val="CEC26C68"/>
    <w:rsid w:val="CF7DA803"/>
    <w:rsid w:val="CFFF682E"/>
    <w:rsid w:val="CFFF6C4D"/>
    <w:rsid w:val="D07E7647"/>
    <w:rsid w:val="D0BCF560"/>
    <w:rsid w:val="D3DF2E75"/>
    <w:rsid w:val="D3FF1FFF"/>
    <w:rsid w:val="D59FBBC4"/>
    <w:rsid w:val="D6D9F72B"/>
    <w:rsid w:val="D7BB325C"/>
    <w:rsid w:val="D7DDA2C9"/>
    <w:rsid w:val="D7F7C968"/>
    <w:rsid w:val="DB64B675"/>
    <w:rsid w:val="DBC53EE7"/>
    <w:rsid w:val="DBCDC406"/>
    <w:rsid w:val="DBFD980B"/>
    <w:rsid w:val="DCBFB447"/>
    <w:rsid w:val="DDE54B8B"/>
    <w:rsid w:val="DDF926E6"/>
    <w:rsid w:val="DDFE7FE4"/>
    <w:rsid w:val="DE7FDF7F"/>
    <w:rsid w:val="DEFF2343"/>
    <w:rsid w:val="DF2B8712"/>
    <w:rsid w:val="DF7FFB87"/>
    <w:rsid w:val="DFFD2A55"/>
    <w:rsid w:val="DFFFAF3A"/>
    <w:rsid w:val="E8DDA5CC"/>
    <w:rsid w:val="EACF3610"/>
    <w:rsid w:val="EB1F294A"/>
    <w:rsid w:val="EB9D9E16"/>
    <w:rsid w:val="EBFFA4C8"/>
    <w:rsid w:val="EBFFEBE3"/>
    <w:rsid w:val="ED6F320E"/>
    <w:rsid w:val="EE5950D8"/>
    <w:rsid w:val="EEB361CD"/>
    <w:rsid w:val="EF779E7D"/>
    <w:rsid w:val="EF77ABFE"/>
    <w:rsid w:val="EFDA7318"/>
    <w:rsid w:val="EFEFA2A8"/>
    <w:rsid w:val="EFF76536"/>
    <w:rsid w:val="EFFFA802"/>
    <w:rsid w:val="F07BBBE6"/>
    <w:rsid w:val="F1586883"/>
    <w:rsid w:val="F2FDEDFD"/>
    <w:rsid w:val="F33EFCEA"/>
    <w:rsid w:val="F37A0F18"/>
    <w:rsid w:val="F38D4BCC"/>
    <w:rsid w:val="F3D5DFA7"/>
    <w:rsid w:val="F3FFC884"/>
    <w:rsid w:val="F46FB5B0"/>
    <w:rsid w:val="F5FB0356"/>
    <w:rsid w:val="F6F18799"/>
    <w:rsid w:val="F6FFD796"/>
    <w:rsid w:val="F757177E"/>
    <w:rsid w:val="F75F83FC"/>
    <w:rsid w:val="F76BD515"/>
    <w:rsid w:val="F7BBDDDB"/>
    <w:rsid w:val="F7E53BF3"/>
    <w:rsid w:val="F7EF3877"/>
    <w:rsid w:val="F7F79E05"/>
    <w:rsid w:val="F7FF5A7F"/>
    <w:rsid w:val="F7FF666A"/>
    <w:rsid w:val="F7FF945F"/>
    <w:rsid w:val="F9EB33FE"/>
    <w:rsid w:val="F9FB2F9F"/>
    <w:rsid w:val="FB8F9C81"/>
    <w:rsid w:val="FBA7B2D3"/>
    <w:rsid w:val="FBBF660A"/>
    <w:rsid w:val="FBBFC0DD"/>
    <w:rsid w:val="FBCB5C09"/>
    <w:rsid w:val="FBDE7C0A"/>
    <w:rsid w:val="FBE34BAD"/>
    <w:rsid w:val="FBE7140B"/>
    <w:rsid w:val="FBEEFF22"/>
    <w:rsid w:val="FBFDCA04"/>
    <w:rsid w:val="FBFFD276"/>
    <w:rsid w:val="FCBFB3DB"/>
    <w:rsid w:val="FCEFF221"/>
    <w:rsid w:val="FD4F36A6"/>
    <w:rsid w:val="FDCF9192"/>
    <w:rsid w:val="FDD6DE7F"/>
    <w:rsid w:val="FDFE1F12"/>
    <w:rsid w:val="FE6F17EF"/>
    <w:rsid w:val="FE7F6A21"/>
    <w:rsid w:val="FE7FBE19"/>
    <w:rsid w:val="FEBD5F4A"/>
    <w:rsid w:val="FEC265F6"/>
    <w:rsid w:val="FEDBA9B9"/>
    <w:rsid w:val="FEFC55AB"/>
    <w:rsid w:val="FF3BE208"/>
    <w:rsid w:val="FF3D357B"/>
    <w:rsid w:val="FF473810"/>
    <w:rsid w:val="FF5D0D62"/>
    <w:rsid w:val="FF5FC284"/>
    <w:rsid w:val="FF7C825E"/>
    <w:rsid w:val="FF7E2C8A"/>
    <w:rsid w:val="FF7F2C01"/>
    <w:rsid w:val="FF7F99C8"/>
    <w:rsid w:val="FF9F1855"/>
    <w:rsid w:val="FF9F5EE3"/>
    <w:rsid w:val="FFB50DC6"/>
    <w:rsid w:val="FFB98AFD"/>
    <w:rsid w:val="FFBE28D6"/>
    <w:rsid w:val="FFBE488F"/>
    <w:rsid w:val="FFBE7A05"/>
    <w:rsid w:val="FFCEFF3F"/>
    <w:rsid w:val="FFDC5AAF"/>
    <w:rsid w:val="FFDD1ECE"/>
    <w:rsid w:val="FFDF6CDA"/>
    <w:rsid w:val="FFE92483"/>
    <w:rsid w:val="FFEB3F13"/>
    <w:rsid w:val="FFEF7583"/>
    <w:rsid w:val="FFF33051"/>
    <w:rsid w:val="FFF3D8C0"/>
    <w:rsid w:val="FFF516C5"/>
    <w:rsid w:val="FFF51868"/>
    <w:rsid w:val="FFF7E795"/>
    <w:rsid w:val="FFF9C64B"/>
    <w:rsid w:val="FFFB378A"/>
    <w:rsid w:val="FFFC0000"/>
    <w:rsid w:val="FFFFFD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0"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qFormat="1" w:unhideWhenUsed="0" w:uiPriority="0" w:semiHidden="0"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styleId="5">
    <w:name w:val="heading 1"/>
    <w:basedOn w:val="1"/>
    <w:next w:val="1"/>
    <w:link w:val="38"/>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6">
    <w:name w:val="heading 2"/>
    <w:basedOn w:val="1"/>
    <w:next w:val="1"/>
    <w:link w:val="39"/>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7">
    <w:name w:val="heading 3"/>
    <w:basedOn w:val="1"/>
    <w:next w:val="1"/>
    <w:link w:val="40"/>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8">
    <w:name w:val="heading 4"/>
    <w:basedOn w:val="1"/>
    <w:next w:val="1"/>
    <w:link w:val="41"/>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9">
    <w:name w:val="heading 5"/>
    <w:basedOn w:val="1"/>
    <w:next w:val="1"/>
    <w:link w:val="42"/>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10">
    <w:name w:val="heading 6"/>
    <w:basedOn w:val="1"/>
    <w:next w:val="1"/>
    <w:link w:val="43"/>
    <w:semiHidden/>
    <w:unhideWhenUsed/>
    <w:qFormat/>
    <w:uiPriority w:val="9"/>
    <w:pPr>
      <w:keepNext/>
      <w:keepLines/>
      <w:spacing w:before="40"/>
      <w:outlineLvl w:val="5"/>
    </w:pPr>
    <w:rPr>
      <w:rFonts w:cstheme="majorBidi"/>
      <w:b/>
      <w:bCs/>
      <w:color w:val="104862" w:themeColor="accent1" w:themeShade="BF"/>
    </w:rPr>
  </w:style>
  <w:style w:type="paragraph" w:styleId="11">
    <w:name w:val="heading 7"/>
    <w:basedOn w:val="1"/>
    <w:next w:val="1"/>
    <w:link w:val="44"/>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12">
    <w:name w:val="heading 8"/>
    <w:basedOn w:val="1"/>
    <w:next w:val="1"/>
    <w:link w:val="45"/>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3">
    <w:name w:val="heading 9"/>
    <w:basedOn w:val="1"/>
    <w:next w:val="1"/>
    <w:link w:val="46"/>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34">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link w:val="62"/>
    <w:unhideWhenUsed/>
    <w:qFormat/>
    <w:uiPriority w:val="0"/>
    <w:pPr>
      <w:ind w:firstLine="420" w:firstLineChars="200"/>
    </w:pPr>
    <w:rPr>
      <w:rFonts w:ascii="Calibri" w:hAnsi="Calibri" w:eastAsia="宋体" w:cs="Times New Roman"/>
      <w:szCs w:val="24"/>
    </w:rPr>
  </w:style>
  <w:style w:type="paragraph" w:styleId="3">
    <w:name w:val="Body Text Indent"/>
    <w:basedOn w:val="1"/>
    <w:next w:val="4"/>
    <w:link w:val="59"/>
    <w:semiHidden/>
    <w:unhideWhenUsed/>
    <w:qFormat/>
    <w:uiPriority w:val="99"/>
    <w:pPr>
      <w:spacing w:after="120"/>
      <w:ind w:left="420" w:leftChars="200"/>
    </w:pPr>
  </w:style>
  <w:style w:type="paragraph" w:styleId="4">
    <w:name w:val="envelope return"/>
    <w:basedOn w:val="1"/>
    <w:qFormat/>
    <w:uiPriority w:val="0"/>
    <w:pPr>
      <w:snapToGrid w:val="0"/>
    </w:pPr>
    <w:rPr>
      <w:rFonts w:ascii="Arial" w:hAnsi="Arial"/>
    </w:rPr>
  </w:style>
  <w:style w:type="paragraph" w:styleId="14">
    <w:name w:val="index 5"/>
    <w:basedOn w:val="1"/>
    <w:next w:val="1"/>
    <w:qFormat/>
    <w:uiPriority w:val="0"/>
    <w:pPr>
      <w:ind w:left="1680"/>
    </w:pPr>
    <w:rPr>
      <w:rFonts w:ascii="Calibri" w:hAnsi="Calibri"/>
    </w:rPr>
  </w:style>
  <w:style w:type="paragraph" w:styleId="15">
    <w:name w:val="annotation text"/>
    <w:basedOn w:val="1"/>
    <w:link w:val="58"/>
    <w:unhideWhenUsed/>
    <w:qFormat/>
    <w:uiPriority w:val="99"/>
    <w:pPr>
      <w:jc w:val="left"/>
    </w:pPr>
  </w:style>
  <w:style w:type="paragraph" w:styleId="16">
    <w:name w:val="Body Text"/>
    <w:basedOn w:val="1"/>
    <w:link w:val="79"/>
    <w:semiHidden/>
    <w:unhideWhenUsed/>
    <w:qFormat/>
    <w:uiPriority w:val="99"/>
    <w:pPr>
      <w:spacing w:after="120"/>
    </w:pPr>
  </w:style>
  <w:style w:type="paragraph" w:styleId="17">
    <w:name w:val="toc 3"/>
    <w:basedOn w:val="1"/>
    <w:next w:val="1"/>
    <w:unhideWhenUsed/>
    <w:qFormat/>
    <w:uiPriority w:val="39"/>
    <w:pPr>
      <w:ind w:left="840" w:leftChars="400"/>
    </w:pPr>
  </w:style>
  <w:style w:type="paragraph" w:styleId="18">
    <w:name w:val="Body Text Indent 2"/>
    <w:basedOn w:val="1"/>
    <w:qFormat/>
    <w:uiPriority w:val="99"/>
    <w:pPr>
      <w:tabs>
        <w:tab w:val="left" w:pos="360"/>
        <w:tab w:val="left" w:pos="540"/>
      </w:tabs>
      <w:spacing w:line="550" w:lineRule="exact"/>
      <w:ind w:firstLine="480"/>
    </w:pPr>
    <w:rPr>
      <w:rFonts w:ascii="Times New Roman" w:hAnsi="Times New Roman"/>
      <w:kern w:val="0"/>
    </w:rPr>
  </w:style>
  <w:style w:type="paragraph" w:styleId="19">
    <w:name w:val="Balloon Text"/>
    <w:basedOn w:val="1"/>
    <w:link w:val="61"/>
    <w:semiHidden/>
    <w:unhideWhenUsed/>
    <w:qFormat/>
    <w:uiPriority w:val="99"/>
    <w:rPr>
      <w:sz w:val="18"/>
      <w:szCs w:val="18"/>
    </w:rPr>
  </w:style>
  <w:style w:type="paragraph" w:styleId="20">
    <w:name w:val="footer"/>
    <w:basedOn w:val="1"/>
    <w:next w:val="1"/>
    <w:link w:val="57"/>
    <w:unhideWhenUsed/>
    <w:qFormat/>
    <w:uiPriority w:val="99"/>
    <w:pPr>
      <w:tabs>
        <w:tab w:val="center" w:pos="4153"/>
        <w:tab w:val="right" w:pos="8306"/>
      </w:tabs>
      <w:snapToGrid w:val="0"/>
      <w:jc w:val="left"/>
    </w:pPr>
    <w:rPr>
      <w:sz w:val="18"/>
      <w:szCs w:val="18"/>
    </w:rPr>
  </w:style>
  <w:style w:type="paragraph" w:styleId="21">
    <w:name w:val="header"/>
    <w:basedOn w:val="1"/>
    <w:link w:val="56"/>
    <w:unhideWhenUsed/>
    <w:qFormat/>
    <w:uiPriority w:val="99"/>
    <w:pPr>
      <w:tabs>
        <w:tab w:val="center" w:pos="4153"/>
        <w:tab w:val="right" w:pos="8306"/>
      </w:tabs>
      <w:snapToGrid w:val="0"/>
      <w:jc w:val="center"/>
    </w:pPr>
    <w:rPr>
      <w:sz w:val="18"/>
      <w:szCs w:val="18"/>
    </w:rPr>
  </w:style>
  <w:style w:type="paragraph" w:styleId="22">
    <w:name w:val="toc 1"/>
    <w:basedOn w:val="1"/>
    <w:next w:val="1"/>
    <w:unhideWhenUsed/>
    <w:qFormat/>
    <w:uiPriority w:val="39"/>
  </w:style>
  <w:style w:type="paragraph" w:styleId="23">
    <w:name w:val="Subtitle"/>
    <w:basedOn w:val="1"/>
    <w:next w:val="1"/>
    <w:link w:val="48"/>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4">
    <w:name w:val="Body Text Indent 3"/>
    <w:basedOn w:val="1"/>
    <w:next w:val="25"/>
    <w:link w:val="60"/>
    <w:qFormat/>
    <w:uiPriority w:val="0"/>
    <w:pPr>
      <w:widowControl/>
      <w:autoSpaceDE w:val="0"/>
      <w:autoSpaceDN w:val="0"/>
      <w:spacing w:line="360" w:lineRule="auto"/>
      <w:ind w:firstLine="540"/>
    </w:pPr>
    <w:rPr>
      <w:rFonts w:ascii="宋体" w:hAnsi="宋体"/>
      <w:color w:val="000000"/>
      <w:kern w:val="0"/>
      <w:sz w:val="24"/>
      <w:szCs w:val="20"/>
    </w:rPr>
  </w:style>
  <w:style w:type="paragraph" w:customStyle="1" w:styleId="25">
    <w:name w:val="Style23"/>
    <w:basedOn w:val="1"/>
    <w:next w:val="1"/>
    <w:qFormat/>
    <w:uiPriority w:val="0"/>
    <w:rPr>
      <w:rFonts w:hAnsi="宋体" w:cs="宋体"/>
      <w:kern w:val="0"/>
      <w:szCs w:val="20"/>
    </w:rPr>
  </w:style>
  <w:style w:type="paragraph" w:styleId="26">
    <w:name w:val="toc 2"/>
    <w:basedOn w:val="1"/>
    <w:next w:val="1"/>
    <w:unhideWhenUsed/>
    <w:qFormat/>
    <w:uiPriority w:val="39"/>
    <w:pPr>
      <w:ind w:left="420" w:leftChars="200"/>
    </w:pPr>
  </w:style>
  <w:style w:type="paragraph" w:styleId="27">
    <w:name w:val="HTML Preformatted"/>
    <w:basedOn w:val="1"/>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96" w:lineRule="exact"/>
      <w:ind w:firstLine="200" w:firstLineChars="200"/>
    </w:pPr>
    <w:rPr>
      <w:rFonts w:hint="eastAsia" w:ascii="宋体" w:hAnsi="宋体" w:eastAsia="宋体"/>
      <w:color w:val="385623"/>
      <w:sz w:val="24"/>
      <w:szCs w:val="24"/>
    </w:rPr>
  </w:style>
  <w:style w:type="paragraph" w:styleId="28">
    <w:name w:val="Normal (Web)"/>
    <w:basedOn w:val="1"/>
    <w:qFormat/>
    <w:uiPriority w:val="0"/>
    <w:pPr>
      <w:widowControl/>
      <w:spacing w:before="100" w:beforeAutospacing="1" w:after="100" w:afterAutospacing="1"/>
      <w:jc w:val="left"/>
    </w:pPr>
    <w:rPr>
      <w:rFonts w:ascii="宋体" w:hAnsi="宋体" w:cs="宋体"/>
      <w:color w:val="000000"/>
      <w:kern w:val="0"/>
      <w:sz w:val="24"/>
    </w:rPr>
  </w:style>
  <w:style w:type="paragraph" w:styleId="29">
    <w:name w:val="Title"/>
    <w:basedOn w:val="1"/>
    <w:next w:val="1"/>
    <w:link w:val="47"/>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30">
    <w:name w:val="annotation subject"/>
    <w:basedOn w:val="15"/>
    <w:next w:val="15"/>
    <w:link w:val="75"/>
    <w:semiHidden/>
    <w:unhideWhenUsed/>
    <w:qFormat/>
    <w:uiPriority w:val="99"/>
    <w:rPr>
      <w:b/>
      <w:bCs/>
    </w:rPr>
  </w:style>
  <w:style w:type="paragraph" w:styleId="31">
    <w:name w:val="Body Text First Indent"/>
    <w:basedOn w:val="16"/>
    <w:next w:val="16"/>
    <w:qFormat/>
    <w:uiPriority w:val="0"/>
    <w:pPr>
      <w:ind w:firstLine="420" w:firstLineChars="100"/>
    </w:pPr>
    <w:rPr>
      <w:sz w:val="20"/>
    </w:rPr>
  </w:style>
  <w:style w:type="table" w:styleId="33">
    <w:name w:val="Table Grid"/>
    <w:basedOn w:val="3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5">
    <w:name w:val="Strong"/>
    <w:basedOn w:val="34"/>
    <w:qFormat/>
    <w:uiPriority w:val="22"/>
    <w:rPr>
      <w:b/>
    </w:rPr>
  </w:style>
  <w:style w:type="character" w:styleId="36">
    <w:name w:val="Hyperlink"/>
    <w:basedOn w:val="34"/>
    <w:unhideWhenUsed/>
    <w:qFormat/>
    <w:uiPriority w:val="99"/>
    <w:rPr>
      <w:color w:val="467886" w:themeColor="hyperlink"/>
      <w:u w:val="single"/>
      <w14:textFill>
        <w14:solidFill>
          <w14:schemeClr w14:val="hlink"/>
        </w14:solidFill>
      </w14:textFill>
    </w:rPr>
  </w:style>
  <w:style w:type="character" w:styleId="37">
    <w:name w:val="annotation reference"/>
    <w:basedOn w:val="34"/>
    <w:semiHidden/>
    <w:unhideWhenUsed/>
    <w:qFormat/>
    <w:uiPriority w:val="99"/>
    <w:rPr>
      <w:sz w:val="21"/>
      <w:szCs w:val="21"/>
    </w:rPr>
  </w:style>
  <w:style w:type="character" w:customStyle="1" w:styleId="38">
    <w:name w:val="标题 1 字符"/>
    <w:basedOn w:val="34"/>
    <w:link w:val="5"/>
    <w:qFormat/>
    <w:uiPriority w:val="9"/>
    <w:rPr>
      <w:rFonts w:asciiTheme="majorHAnsi" w:hAnsiTheme="majorHAnsi" w:eastAsiaTheme="majorEastAsia" w:cstheme="majorBidi"/>
      <w:color w:val="104862" w:themeColor="accent1" w:themeShade="BF"/>
      <w:sz w:val="48"/>
      <w:szCs w:val="48"/>
    </w:rPr>
  </w:style>
  <w:style w:type="character" w:customStyle="1" w:styleId="39">
    <w:name w:val="标题 2 字符"/>
    <w:basedOn w:val="34"/>
    <w:link w:val="6"/>
    <w:semiHidden/>
    <w:qFormat/>
    <w:uiPriority w:val="9"/>
    <w:rPr>
      <w:rFonts w:asciiTheme="majorHAnsi" w:hAnsiTheme="majorHAnsi" w:eastAsiaTheme="majorEastAsia" w:cstheme="majorBidi"/>
      <w:color w:val="104862" w:themeColor="accent1" w:themeShade="BF"/>
      <w:sz w:val="40"/>
      <w:szCs w:val="40"/>
    </w:rPr>
  </w:style>
  <w:style w:type="character" w:customStyle="1" w:styleId="40">
    <w:name w:val="标题 3 字符"/>
    <w:basedOn w:val="34"/>
    <w:link w:val="7"/>
    <w:semiHidden/>
    <w:qFormat/>
    <w:uiPriority w:val="9"/>
    <w:rPr>
      <w:rFonts w:asciiTheme="majorHAnsi" w:hAnsiTheme="majorHAnsi" w:eastAsiaTheme="majorEastAsia" w:cstheme="majorBidi"/>
      <w:color w:val="104862" w:themeColor="accent1" w:themeShade="BF"/>
      <w:sz w:val="32"/>
      <w:szCs w:val="32"/>
    </w:rPr>
  </w:style>
  <w:style w:type="character" w:customStyle="1" w:styleId="41">
    <w:name w:val="标题 4 字符"/>
    <w:basedOn w:val="34"/>
    <w:link w:val="8"/>
    <w:semiHidden/>
    <w:qFormat/>
    <w:uiPriority w:val="9"/>
    <w:rPr>
      <w:rFonts w:cstheme="majorBidi"/>
      <w:color w:val="104862" w:themeColor="accent1" w:themeShade="BF"/>
      <w:sz w:val="28"/>
      <w:szCs w:val="28"/>
    </w:rPr>
  </w:style>
  <w:style w:type="character" w:customStyle="1" w:styleId="42">
    <w:name w:val="标题 5 字符"/>
    <w:basedOn w:val="34"/>
    <w:link w:val="9"/>
    <w:semiHidden/>
    <w:qFormat/>
    <w:uiPriority w:val="9"/>
    <w:rPr>
      <w:rFonts w:cstheme="majorBidi"/>
      <w:color w:val="104862" w:themeColor="accent1" w:themeShade="BF"/>
      <w:sz w:val="24"/>
      <w:szCs w:val="24"/>
    </w:rPr>
  </w:style>
  <w:style w:type="character" w:customStyle="1" w:styleId="43">
    <w:name w:val="标题 6 字符"/>
    <w:basedOn w:val="34"/>
    <w:link w:val="10"/>
    <w:semiHidden/>
    <w:qFormat/>
    <w:uiPriority w:val="9"/>
    <w:rPr>
      <w:rFonts w:cstheme="majorBidi"/>
      <w:b/>
      <w:bCs/>
      <w:color w:val="104862" w:themeColor="accent1" w:themeShade="BF"/>
    </w:rPr>
  </w:style>
  <w:style w:type="character" w:customStyle="1" w:styleId="44">
    <w:name w:val="标题 7 字符"/>
    <w:basedOn w:val="34"/>
    <w:link w:val="11"/>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45">
    <w:name w:val="标题 8 字符"/>
    <w:basedOn w:val="34"/>
    <w:link w:val="12"/>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46">
    <w:name w:val="标题 9 字符"/>
    <w:basedOn w:val="34"/>
    <w:link w:val="13"/>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47">
    <w:name w:val="标题 字符"/>
    <w:basedOn w:val="34"/>
    <w:link w:val="29"/>
    <w:qFormat/>
    <w:uiPriority w:val="10"/>
    <w:rPr>
      <w:rFonts w:asciiTheme="majorHAnsi" w:hAnsiTheme="majorHAnsi" w:eastAsiaTheme="majorEastAsia" w:cstheme="majorBidi"/>
      <w:spacing w:val="-10"/>
      <w:kern w:val="28"/>
      <w:sz w:val="56"/>
      <w:szCs w:val="56"/>
    </w:rPr>
  </w:style>
  <w:style w:type="character" w:customStyle="1" w:styleId="48">
    <w:name w:val="副标题 字符"/>
    <w:basedOn w:val="34"/>
    <w:link w:val="2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49">
    <w:name w:val="Quote"/>
    <w:basedOn w:val="1"/>
    <w:next w:val="1"/>
    <w:link w:val="50"/>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50">
    <w:name w:val="引用 字符"/>
    <w:basedOn w:val="34"/>
    <w:link w:val="49"/>
    <w:qFormat/>
    <w:uiPriority w:val="29"/>
    <w:rPr>
      <w:i/>
      <w:iCs/>
      <w:color w:val="404040" w:themeColor="text1" w:themeTint="BF"/>
      <w14:textFill>
        <w14:solidFill>
          <w14:schemeClr w14:val="tx1">
            <w14:lumMod w14:val="75000"/>
            <w14:lumOff w14:val="25000"/>
          </w14:schemeClr>
        </w14:solidFill>
      </w14:textFill>
    </w:rPr>
  </w:style>
  <w:style w:type="paragraph" w:styleId="51">
    <w:name w:val="List Paragraph"/>
    <w:basedOn w:val="1"/>
    <w:qFormat/>
    <w:uiPriority w:val="34"/>
    <w:pPr>
      <w:ind w:left="720"/>
      <w:contextualSpacing/>
    </w:pPr>
  </w:style>
  <w:style w:type="character" w:customStyle="1" w:styleId="52">
    <w:name w:val="明显强调1"/>
    <w:basedOn w:val="34"/>
    <w:qFormat/>
    <w:uiPriority w:val="21"/>
    <w:rPr>
      <w:i/>
      <w:iCs/>
      <w:color w:val="104862" w:themeColor="accent1" w:themeShade="BF"/>
    </w:rPr>
  </w:style>
  <w:style w:type="paragraph" w:styleId="53">
    <w:name w:val="Intense Quote"/>
    <w:basedOn w:val="1"/>
    <w:next w:val="1"/>
    <w:link w:val="54"/>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54">
    <w:name w:val="明显引用 字符"/>
    <w:basedOn w:val="34"/>
    <w:link w:val="53"/>
    <w:qFormat/>
    <w:uiPriority w:val="30"/>
    <w:rPr>
      <w:i/>
      <w:iCs/>
      <w:color w:val="104862" w:themeColor="accent1" w:themeShade="BF"/>
    </w:rPr>
  </w:style>
  <w:style w:type="character" w:customStyle="1" w:styleId="55">
    <w:name w:val="明显参考1"/>
    <w:basedOn w:val="34"/>
    <w:qFormat/>
    <w:uiPriority w:val="32"/>
    <w:rPr>
      <w:b/>
      <w:bCs/>
      <w:smallCaps/>
      <w:color w:val="104862" w:themeColor="accent1" w:themeShade="BF"/>
      <w:spacing w:val="5"/>
    </w:rPr>
  </w:style>
  <w:style w:type="character" w:customStyle="1" w:styleId="56">
    <w:name w:val="页眉 字符"/>
    <w:basedOn w:val="34"/>
    <w:link w:val="21"/>
    <w:qFormat/>
    <w:uiPriority w:val="99"/>
    <w:rPr>
      <w:sz w:val="18"/>
      <w:szCs w:val="18"/>
    </w:rPr>
  </w:style>
  <w:style w:type="character" w:customStyle="1" w:styleId="57">
    <w:name w:val="页脚 字符"/>
    <w:basedOn w:val="34"/>
    <w:link w:val="20"/>
    <w:qFormat/>
    <w:uiPriority w:val="99"/>
    <w:rPr>
      <w:sz w:val="18"/>
      <w:szCs w:val="18"/>
    </w:rPr>
  </w:style>
  <w:style w:type="character" w:customStyle="1" w:styleId="58">
    <w:name w:val="批注文字 字符"/>
    <w:basedOn w:val="34"/>
    <w:link w:val="15"/>
    <w:qFormat/>
    <w:uiPriority w:val="99"/>
  </w:style>
  <w:style w:type="character" w:customStyle="1" w:styleId="59">
    <w:name w:val="正文文本缩进 字符"/>
    <w:basedOn w:val="34"/>
    <w:link w:val="3"/>
    <w:semiHidden/>
    <w:qFormat/>
    <w:uiPriority w:val="99"/>
  </w:style>
  <w:style w:type="character" w:customStyle="1" w:styleId="60">
    <w:name w:val="正文文本缩进 3 字符"/>
    <w:basedOn w:val="34"/>
    <w:link w:val="24"/>
    <w:qFormat/>
    <w:uiPriority w:val="0"/>
    <w:rPr>
      <w:rFonts w:ascii="宋体" w:hAnsi="宋体"/>
      <w:color w:val="000000"/>
      <w:kern w:val="0"/>
      <w:sz w:val="24"/>
      <w:szCs w:val="20"/>
    </w:rPr>
  </w:style>
  <w:style w:type="character" w:customStyle="1" w:styleId="61">
    <w:name w:val="批注框文本 字符"/>
    <w:basedOn w:val="34"/>
    <w:link w:val="19"/>
    <w:semiHidden/>
    <w:qFormat/>
    <w:uiPriority w:val="99"/>
    <w:rPr>
      <w:sz w:val="18"/>
      <w:szCs w:val="18"/>
    </w:rPr>
  </w:style>
  <w:style w:type="character" w:customStyle="1" w:styleId="62">
    <w:name w:val="正文文本首行缩进 2 字符"/>
    <w:basedOn w:val="59"/>
    <w:link w:val="2"/>
    <w:qFormat/>
    <w:uiPriority w:val="0"/>
    <w:rPr>
      <w:rFonts w:ascii="Calibri" w:hAnsi="Calibri" w:eastAsia="宋体" w:cs="Times New Roman"/>
      <w:szCs w:val="24"/>
    </w:rPr>
  </w:style>
  <w:style w:type="character" w:customStyle="1" w:styleId="63">
    <w:name w:val="明显强调11"/>
    <w:basedOn w:val="34"/>
    <w:qFormat/>
    <w:uiPriority w:val="21"/>
    <w:rPr>
      <w:i/>
      <w:iCs/>
      <w:color w:val="0F4761"/>
    </w:rPr>
  </w:style>
  <w:style w:type="character" w:customStyle="1" w:styleId="64">
    <w:name w:val="明显参考11"/>
    <w:basedOn w:val="34"/>
    <w:qFormat/>
    <w:uiPriority w:val="32"/>
    <w:rPr>
      <w:b/>
      <w:bCs/>
      <w:smallCaps/>
      <w:color w:val="0F4761"/>
      <w:spacing w:val="5"/>
    </w:rPr>
  </w:style>
  <w:style w:type="paragraph" w:customStyle="1" w:styleId="65">
    <w:name w:val="修订1"/>
    <w:hidden/>
    <w:semiHidden/>
    <w:qFormat/>
    <w:uiPriority w:val="99"/>
    <w:rPr>
      <w:rFonts w:asciiTheme="minorHAnsi" w:hAnsiTheme="minorHAnsi" w:eastAsiaTheme="minorEastAsia" w:cstheme="minorBidi"/>
      <w:kern w:val="2"/>
      <w:sz w:val="21"/>
      <w:szCs w:val="22"/>
      <w:lang w:val="en-US" w:eastAsia="zh-CN" w:bidi="ar-SA"/>
      <w14:ligatures w14:val="standardContextual"/>
    </w:rPr>
  </w:style>
  <w:style w:type="paragraph" w:customStyle="1" w:styleId="66">
    <w:name w:val="Default"/>
    <w:qFormat/>
    <w:uiPriority w:val="99"/>
    <w:pPr>
      <w:widowControl w:val="0"/>
      <w:autoSpaceDE w:val="0"/>
      <w:autoSpaceDN w:val="0"/>
      <w:adjustRightInd w:val="0"/>
    </w:pPr>
    <w:rPr>
      <w:rFonts w:ascii="Calibri" w:hAnsi="Calibri" w:eastAsia="宋体" w:cs="Calibri"/>
      <w:color w:val="000000"/>
      <w:sz w:val="24"/>
      <w:szCs w:val="24"/>
      <w:lang w:val="en-US" w:eastAsia="zh-CN" w:bidi="ar-SA"/>
      <w14:ligatures w14:val="standardContextual"/>
    </w:rPr>
  </w:style>
  <w:style w:type="table" w:customStyle="1" w:styleId="67">
    <w:name w:val="网格型1"/>
    <w:basedOn w:val="3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8">
    <w:name w:val="网格型11"/>
    <w:basedOn w:val="3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9">
    <w:name w:val="网格型12"/>
    <w:basedOn w:val="3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0">
    <w:name w:val="网格型2"/>
    <w:basedOn w:val="3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1">
    <w:name w:val="修订2"/>
    <w:next w:val="72"/>
    <w:hidden/>
    <w:semiHidden/>
    <w:qFormat/>
    <w:uiPriority w:val="99"/>
    <w:rPr>
      <w:rFonts w:asciiTheme="minorHAnsi" w:hAnsiTheme="minorHAnsi" w:eastAsiaTheme="minorEastAsia" w:cstheme="minorBidi"/>
      <w:kern w:val="2"/>
      <w:sz w:val="21"/>
      <w:szCs w:val="22"/>
      <w:lang w:val="en-US" w:eastAsia="zh-CN" w:bidi="ar-SA"/>
      <w14:ligatures w14:val="standardContextual"/>
    </w:rPr>
  </w:style>
  <w:style w:type="paragraph" w:customStyle="1" w:styleId="72">
    <w:name w:val="修订3"/>
    <w:hidden/>
    <w:semiHidden/>
    <w:qFormat/>
    <w:uiPriority w:val="99"/>
    <w:rPr>
      <w:rFonts w:asciiTheme="minorHAnsi" w:hAnsiTheme="minorHAnsi" w:eastAsiaTheme="minorEastAsia" w:cstheme="minorBidi"/>
      <w:kern w:val="2"/>
      <w:sz w:val="21"/>
      <w:szCs w:val="22"/>
      <w:lang w:val="en-US" w:eastAsia="zh-CN" w:bidi="ar-SA"/>
      <w14:ligatures w14:val="standardContextual"/>
    </w:rPr>
  </w:style>
  <w:style w:type="table" w:customStyle="1" w:styleId="73">
    <w:name w:val="网格型3"/>
    <w:basedOn w:val="3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4">
    <w:name w:val="超链接1"/>
    <w:basedOn w:val="34"/>
    <w:unhideWhenUsed/>
    <w:qFormat/>
    <w:uiPriority w:val="99"/>
    <w:rPr>
      <w:color w:val="467886"/>
      <w:u w:val="single"/>
    </w:rPr>
  </w:style>
  <w:style w:type="character" w:customStyle="1" w:styleId="75">
    <w:name w:val="批注主题 字符"/>
    <w:basedOn w:val="58"/>
    <w:link w:val="30"/>
    <w:semiHidden/>
    <w:qFormat/>
    <w:uiPriority w:val="99"/>
    <w:rPr>
      <w:b/>
      <w:bCs/>
    </w:rPr>
  </w:style>
  <w:style w:type="table" w:customStyle="1" w:styleId="76">
    <w:name w:val="网格型21"/>
    <w:basedOn w:val="3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7">
    <w:name w:val="网格型31"/>
    <w:basedOn w:val="3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8">
    <w:name w:val="网格型13"/>
    <w:basedOn w:val="3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9">
    <w:name w:val="正文文本 字符"/>
    <w:basedOn w:val="34"/>
    <w:link w:val="16"/>
    <w:semiHidden/>
    <w:qFormat/>
    <w:uiPriority w:val="99"/>
  </w:style>
  <w:style w:type="table" w:customStyle="1" w:styleId="80">
    <w:name w:val="网格型11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table" w:customStyle="1" w:styleId="81">
    <w:name w:val="网格型211"/>
    <w:basedOn w:val="3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2">
    <w:name w:val="网格型311"/>
    <w:basedOn w:val="3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3">
    <w:name w:val="p0"/>
    <w:basedOn w:val="1"/>
    <w:qFormat/>
    <w:uiPriority w:val="0"/>
    <w:pPr>
      <w:widowControl/>
    </w:pPr>
    <w:rPr>
      <w:rFonts w:ascii="等线" w:hAnsi="等线" w:eastAsia="方正楷体_GBK" w:cs="宋体"/>
      <w:kern w:val="0"/>
      <w:szCs w:val="21"/>
    </w:rPr>
  </w:style>
  <w:style w:type="paragraph" w:customStyle="1" w:styleId="84">
    <w:name w:val="修订4"/>
    <w:hidden/>
    <w:unhideWhenUsed/>
    <w:qFormat/>
    <w:uiPriority w:val="99"/>
    <w:rPr>
      <w:rFonts w:asciiTheme="minorHAnsi" w:hAnsiTheme="minorHAnsi" w:eastAsiaTheme="minorEastAsia" w:cstheme="minorBidi"/>
      <w:kern w:val="2"/>
      <w:sz w:val="21"/>
      <w:szCs w:val="22"/>
      <w:lang w:val="en-US" w:eastAsia="zh-CN" w:bidi="ar-SA"/>
      <w14:ligatures w14:val="standardContextual"/>
    </w:rPr>
  </w:style>
  <w:style w:type="paragraph" w:customStyle="1" w:styleId="85">
    <w:name w:val="修订5"/>
    <w:hidden/>
    <w:unhideWhenUsed/>
    <w:qFormat/>
    <w:uiPriority w:val="99"/>
    <w:rPr>
      <w:rFonts w:asciiTheme="minorHAnsi" w:hAnsiTheme="minorHAnsi" w:eastAsiaTheme="minorEastAsia" w:cstheme="minorBidi"/>
      <w:kern w:val="2"/>
      <w:sz w:val="21"/>
      <w:szCs w:val="22"/>
      <w:lang w:val="en-US" w:eastAsia="zh-CN" w:bidi="ar-SA"/>
      <w14:ligatures w14:val="standardContextual"/>
    </w:rPr>
  </w:style>
  <w:style w:type="paragraph" w:customStyle="1" w:styleId="86">
    <w:name w:val="正文文本1"/>
    <w:basedOn w:val="1"/>
    <w:qFormat/>
    <w:uiPriority w:val="0"/>
    <w:pPr>
      <w:autoSpaceDE w:val="0"/>
      <w:autoSpaceDN w:val="0"/>
      <w:spacing w:line="360" w:lineRule="auto"/>
      <w:ind w:firstLine="567"/>
    </w:pPr>
    <w:rPr>
      <w:rFonts w:ascii="Times New Roman" w:hAnsi="Times New Roman" w:eastAsia="仿宋_GB2312"/>
      <w:kern w:val="0"/>
      <w:sz w:val="32"/>
      <w:szCs w:val="32"/>
    </w:rPr>
  </w:style>
  <w:style w:type="paragraph" w:customStyle="1" w:styleId="87">
    <w:name w:val="05 正文"/>
    <w:basedOn w:val="1"/>
    <w:qFormat/>
    <w:uiPriority w:val="0"/>
    <w:pPr>
      <w:adjustRightInd w:val="0"/>
      <w:snapToGrid w:val="0"/>
      <w:spacing w:line="360" w:lineRule="auto"/>
      <w:ind w:firstLine="200" w:firstLineChars="200"/>
    </w:pPr>
    <w:rPr>
      <w:rFonts w:ascii="Times New Roman" w:hAnsi="Times New Roman" w:eastAsia="仿宋_GB2312"/>
      <w:sz w:val="2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6C353C8-98B9-45E7-A232-FA44D22A0A06}">
  <ds:schemaRefs/>
</ds:datastoreItem>
</file>

<file path=docProps/app.xml><?xml version="1.0" encoding="utf-8"?>
<Properties xmlns="http://schemas.openxmlformats.org/officeDocument/2006/extended-properties" xmlns:vt="http://schemas.openxmlformats.org/officeDocument/2006/docPropsVTypes">
  <Template>Normal.dotm</Template>
  <Pages>143</Pages>
  <Words>64582</Words>
  <Characters>66457</Characters>
  <Lines>516</Lines>
  <Paragraphs>145</Paragraphs>
  <TotalTime>2</TotalTime>
  <ScaleCrop>false</ScaleCrop>
  <LinksUpToDate>false</LinksUpToDate>
  <CharactersWithSpaces>67392</CharactersWithSpaces>
  <Application>WPS Office_11.1.0.9175_F1E327BC-269C-435d-A152-05C5408002CA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2026-07-17T01:28:00Z</dcterms:created>
  <dc:creator>cai yang</dc:creator>
  <cp:lastModifiedBy>Administrator</cp:lastModifiedBy>
  <cp:lastPrinted>2026-08-20T02:34:00Z</cp:lastPrinted>
  <dcterms:modified xsi:type="dcterms:W3CDTF">2026-08-20T07:21:06Z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2052-11.1.0.9175</vt:lpwstr>
  </property>
  <property fmtid="{D5CDD505-2E9C-101B-9397-08002B2CF9AE}" pid="3" name="ICV">
    <vt:lpwstr>7DEC0049FA3ED0645E594B6A544B1BF7_43</vt:lpwstr>
  </property>
  <property fmtid="{D5CDD505-2E9C-101B-9397-08002B2CF9AE}" pid="4" name="KSOTemplateDocerSaveRecord">
    <vt:lpwstr>eyJoZGlkIjoiODk4MzRkOGExZjI3MDE2YmRmZmZiOTgyMzRhODNkYTIiLCJ1c2VySWQiOiI0NjkwNjk5NTgifQ==</vt:lpwstr>
  </property>
</Properties>
</file>