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会同县房</w:t>
      </w:r>
      <w:r>
        <w:rPr>
          <w:rFonts w:hint="eastAsia" w:ascii="黑体" w:hAnsi="黑体" w:eastAsia="黑体"/>
          <w:sz w:val="44"/>
          <w:szCs w:val="44"/>
          <w:lang w:eastAsia="zh-CN"/>
        </w:rPr>
        <w:t>产</w:t>
      </w:r>
      <w:r>
        <w:rPr>
          <w:rFonts w:hint="eastAsia" w:ascii="黑体" w:hAnsi="黑体" w:eastAsia="黑体"/>
          <w:sz w:val="44"/>
          <w:szCs w:val="44"/>
        </w:rPr>
        <w:t>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sz w:val="44"/>
          <w:szCs w:val="44"/>
        </w:rPr>
        <w:t>年度整体绩效和项目绩效自评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情　况　公　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8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根据《会同县财政局201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年算绩效管理工作方案》（会绩效[20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32"/>
          <w:szCs w:val="32"/>
        </w:rPr>
        <w:t>]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hAnsiTheme="minorEastAsia"/>
          <w:sz w:val="32"/>
          <w:szCs w:val="32"/>
        </w:rPr>
        <w:t>号]）文件要求，我单位拟公开201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年度一般公共支出整体绩效和专项资金预算绩效情况，公开如下：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20" w:lineRule="exact"/>
        <w:ind w:firstLine="643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一、主要职责、工作任务及目标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beforeAutospacing="0" w:afterAutospacing="0" w:line="520" w:lineRule="exact"/>
        <w:ind w:firstLine="630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主要职责：</w:t>
      </w:r>
      <w:r>
        <w:rPr>
          <w:rFonts w:hint="eastAsia" w:ascii="仿宋" w:hAnsi="仿宋" w:eastAsia="仿宋" w:cs="仿宋"/>
          <w:sz w:val="32"/>
          <w:szCs w:val="32"/>
        </w:rPr>
        <w:t>职能职责：保障性住房管理与维修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白蚁防治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</w:t>
      </w:r>
      <w:r>
        <w:rPr>
          <w:rFonts w:hint="eastAsia" w:ascii="仿宋" w:hAnsi="仿宋" w:eastAsia="仿宋" w:cs="仿宋"/>
          <w:sz w:val="32"/>
          <w:szCs w:val="32"/>
        </w:rPr>
        <w:t>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物业管理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及商品房预售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主要工作任务及目标是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认真贯彻落实国家住房保障政策，为城镇低收入家庭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  <w:t>改善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lang w:eastAsia="zh-CN"/>
        </w:rPr>
        <w:t>住房条件和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</w:rPr>
        <w:t>居住环境,进而实现社区的和谐与社会保障的完善。住房问题是重要的民生问题。党中央、国务院高度重视解决城市居民住房问题,始终把改善群众居住条件作为住房制度改革和房地产业发展的根本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lang w:eastAsia="zh-CN"/>
        </w:rPr>
        <w:t>目的。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lang w:val="en-US" w:eastAsia="zh-CN"/>
        </w:rPr>
        <w:t>2、开展白蚁防治宣传活动，广泛争取政府的支持和群众的认可，提高广大群众对白蚁危害的认识和对白蚁防治法规政策的了解，提高白蚁防治行业的服务质量和工作效率，努力为全县群众服务，为政府服务，消除白蚁危害，确保人民财产生命安全。3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把实施农村危房改造工程与改造村容村貌相结合、与实施新农村建设的整体规划相结合、与拓宽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村道路、改善人畜饮水、美化环境、农村卫生和农村文化等生产和社会事业发展相结合，有力地推动新农村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建设。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4、严格遵守《物业管理法》的规定，维修基金设立专户，专款专用。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会同县房产管理局现有全额拨款事业编制9人，全额在岗不在编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人，自收自支事业编2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人。实有在职人数3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人，退休人员25人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（全额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3人，自收自支22人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公务</w:t>
      </w:r>
      <w:r>
        <w:rPr>
          <w:rFonts w:hint="eastAsia" w:ascii="仿宋_GB2312" w:hAnsi="宋体" w:eastAsia="仿宋_GB2312"/>
          <w:sz w:val="32"/>
          <w:szCs w:val="32"/>
        </w:rPr>
        <w:t>车辆1台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。实有在职人数与编制数不相符</w:t>
      </w:r>
      <w:r>
        <w:rPr>
          <w:rFonts w:hint="eastAsia" w:ascii="仿宋_GB2312" w:hAnsi="宋体" w:eastAsia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主要是</w:t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333333"/>
          <w:sz w:val="32"/>
          <w:szCs w:val="32"/>
          <w:lang w:eastAsia="zh-CN"/>
        </w:rPr>
        <w:t>位行政编制人员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的编不在我局，他们的编制在主管单位住建局。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三、年初预算安排情况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县本级安排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/>
          <w:sz w:val="32"/>
          <w:szCs w:val="32"/>
        </w:rPr>
        <w:t>局预算收入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367.2万元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基本支出61.2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（其中</w:t>
      </w:r>
      <w:r>
        <w:rPr>
          <w:rFonts w:hint="eastAsia" w:ascii="仿宋_GB2312" w:hAnsi="宋体" w:eastAsia="仿宋_GB2312"/>
          <w:sz w:val="32"/>
          <w:szCs w:val="32"/>
        </w:rPr>
        <w:t>工资福利支出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47.7</w:t>
      </w:r>
      <w:r>
        <w:rPr>
          <w:rFonts w:hint="eastAsia" w:ascii="仿宋_GB2312" w:hAnsi="宋体" w:eastAsia="仿宋_GB2312"/>
          <w:sz w:val="32"/>
          <w:szCs w:val="32"/>
        </w:rPr>
        <w:t>万元，商品和服务支出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13.5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②</w:t>
      </w: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其中白蚁防治经费20万元，保障性住房维修与管理35万元，非税征收成本48万元，经常性补助203万元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经费11.546万元（其中三公经费中的公务接待费6.146万元，公务用车购置及运行维护费5.4万元）。</w:t>
      </w:r>
      <w:r>
        <w:rPr>
          <w:rFonts w:hint="eastAsia" w:ascii="仿宋_GB2312" w:eastAsia="仿宋_GB2312"/>
          <w:sz w:val="32"/>
          <w:szCs w:val="32"/>
        </w:rPr>
        <w:t>基本能够保障县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eastAsia="仿宋_GB2312"/>
          <w:sz w:val="32"/>
          <w:szCs w:val="32"/>
        </w:rPr>
        <w:t>履行主要工作职责。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本年预算执行情况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收入方面</w:t>
      </w:r>
      <w:r>
        <w:rPr>
          <w:rFonts w:hint="eastAsia" w:ascii="仿宋_GB2312" w:hAnsi="宋体" w:eastAsia="仿宋_GB2312"/>
          <w:sz w:val="32"/>
          <w:szCs w:val="32"/>
        </w:rPr>
        <w:t>：在实际执行中，县房产局全年收入为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673.08</w:t>
      </w:r>
      <w:r>
        <w:rPr>
          <w:rFonts w:hint="eastAsia" w:ascii="仿宋_GB2312" w:hAnsi="宋体" w:eastAsia="仿宋_GB2312"/>
          <w:sz w:val="32"/>
          <w:szCs w:val="32"/>
        </w:rPr>
        <w:t>万元其中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预算收入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367.2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，事业收入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262.2万元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比年初预算追加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43.68</w:t>
      </w:r>
      <w:r>
        <w:rPr>
          <w:rFonts w:hint="eastAsia" w:ascii="仿宋_GB2312" w:eastAsia="仿宋_GB2312"/>
          <w:sz w:val="32"/>
          <w:szCs w:val="32"/>
        </w:rPr>
        <w:t>万元，主要原因为：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年初预算人员经费不足。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支出方面</w:t>
      </w:r>
      <w:r>
        <w:rPr>
          <w:rFonts w:hint="eastAsia" w:ascii="仿宋_GB2312" w:hAnsi="宋体" w:eastAsia="仿宋_GB2312"/>
          <w:sz w:val="32"/>
          <w:szCs w:val="32"/>
        </w:rPr>
        <w:t>：全年实际支出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630.11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财政均按实际支出进度予以拨付，剔除</w:t>
      </w:r>
      <w:r>
        <w:rPr>
          <w:rFonts w:hint="eastAsia" w:ascii="仿宋_GB2312" w:hAnsi="宋体" w:eastAsia="仿宋_GB2312"/>
          <w:sz w:val="32"/>
          <w:szCs w:val="32"/>
        </w:rPr>
        <w:t>工资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hAnsi="宋体" w:eastAsia="仿宋_GB2312"/>
          <w:sz w:val="32"/>
          <w:szCs w:val="32"/>
        </w:rPr>
        <w:t>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及公务费</w:t>
      </w:r>
      <w:r>
        <w:rPr>
          <w:rFonts w:hint="eastAsia" w:ascii="仿宋_GB2312" w:hAnsi="宋体" w:eastAsia="仿宋_GB2312"/>
          <w:sz w:val="32"/>
          <w:szCs w:val="32"/>
        </w:rPr>
        <w:t>外，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宋体" w:eastAsia="仿宋_GB2312"/>
          <w:sz w:val="32"/>
          <w:szCs w:val="32"/>
        </w:rPr>
        <w:t>其中①对个人和家庭的补助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41.85</w:t>
      </w:r>
      <w:r>
        <w:rPr>
          <w:rFonts w:hint="eastAsia" w:ascii="仿宋_GB2312" w:hAnsi="宋体" w:eastAsia="仿宋_GB2312"/>
          <w:sz w:val="32"/>
          <w:szCs w:val="32"/>
        </w:rPr>
        <w:t>万元（退休费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23.77</w:t>
      </w:r>
      <w:r>
        <w:rPr>
          <w:rFonts w:hint="eastAsia" w:ascii="仿宋_GB2312" w:hAnsi="宋体" w:eastAsia="仿宋_GB2312"/>
          <w:sz w:val="32"/>
          <w:szCs w:val="32"/>
        </w:rPr>
        <w:t>万元，抚恤金0.5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生活补助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0.47万元，救济费6.4万元，奖励金7.38万元，</w:t>
      </w:r>
      <w:r>
        <w:rPr>
          <w:rFonts w:hint="eastAsia" w:ascii="仿宋_GB2312" w:hAnsi="宋体" w:eastAsia="仿宋_GB2312"/>
          <w:sz w:val="32"/>
          <w:szCs w:val="32"/>
        </w:rPr>
        <w:t>其他对个人和家庭的补助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3.28</w:t>
      </w:r>
      <w:r>
        <w:rPr>
          <w:rFonts w:hint="eastAsia" w:ascii="仿宋_GB2312" w:hAnsi="宋体" w:eastAsia="仿宋_GB2312"/>
          <w:sz w:val="32"/>
          <w:szCs w:val="32"/>
        </w:rPr>
        <w:t>万元）；②商品和服务支出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87.41</w:t>
      </w:r>
      <w:r>
        <w:rPr>
          <w:rFonts w:hint="eastAsia" w:ascii="仿宋_GB2312" w:hAnsi="宋体" w:eastAsia="仿宋_GB2312"/>
          <w:sz w:val="32"/>
          <w:szCs w:val="32"/>
        </w:rPr>
        <w:t>万元（办公费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7.32</w:t>
      </w:r>
      <w:r>
        <w:rPr>
          <w:rFonts w:hint="eastAsia" w:ascii="仿宋_GB2312" w:hAnsi="宋体" w:eastAsia="仿宋_GB2312"/>
          <w:sz w:val="32"/>
          <w:szCs w:val="32"/>
        </w:rPr>
        <w:t>万元，印刷费2.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万元，手续费0.1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万元，水费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1.13</w:t>
      </w:r>
      <w:r>
        <w:rPr>
          <w:rFonts w:hint="eastAsia" w:ascii="仿宋_GB2312" w:hAnsi="宋体" w:eastAsia="仿宋_GB2312"/>
          <w:sz w:val="32"/>
          <w:szCs w:val="32"/>
        </w:rPr>
        <w:t>万元，电费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4.29</w:t>
      </w:r>
      <w:r>
        <w:rPr>
          <w:rFonts w:hint="eastAsia" w:ascii="仿宋_GB2312" w:hAnsi="宋体" w:eastAsia="仿宋_GB2312"/>
          <w:sz w:val="32"/>
          <w:szCs w:val="32"/>
        </w:rPr>
        <w:t>万元，电话费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1.91</w:t>
      </w:r>
      <w:r>
        <w:rPr>
          <w:rFonts w:hint="eastAsia" w:ascii="仿宋_GB2312" w:hAnsi="宋体" w:eastAsia="仿宋_GB2312"/>
          <w:sz w:val="32"/>
          <w:szCs w:val="32"/>
        </w:rPr>
        <w:t>万元，物业管理费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3.16</w:t>
      </w:r>
      <w:r>
        <w:rPr>
          <w:rFonts w:hint="eastAsia" w:ascii="仿宋_GB2312" w:hAnsi="宋体" w:eastAsia="仿宋_GB2312"/>
          <w:sz w:val="32"/>
          <w:szCs w:val="32"/>
        </w:rPr>
        <w:t>万元，差旅费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7.34</w:t>
      </w:r>
      <w:r>
        <w:rPr>
          <w:rFonts w:hint="eastAsia" w:ascii="仿宋_GB2312" w:hAnsi="宋体" w:eastAsia="仿宋_GB2312"/>
          <w:sz w:val="32"/>
          <w:szCs w:val="32"/>
        </w:rPr>
        <w:t>万元，维修费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24.32</w:t>
      </w:r>
      <w:r>
        <w:rPr>
          <w:rFonts w:hint="eastAsia" w:ascii="仿宋_GB2312" w:hAnsi="宋体" w:eastAsia="仿宋_GB2312"/>
          <w:sz w:val="32"/>
          <w:szCs w:val="32"/>
        </w:rPr>
        <w:t>万元，公务招待费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1.88</w:t>
      </w:r>
      <w:r>
        <w:rPr>
          <w:rFonts w:hint="eastAsia" w:ascii="仿宋_GB2312" w:hAnsi="宋体" w:eastAsia="仿宋_GB2312"/>
          <w:sz w:val="32"/>
          <w:szCs w:val="32"/>
        </w:rPr>
        <w:t>万元，劳务费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0.86</w:t>
      </w:r>
      <w:r>
        <w:rPr>
          <w:rFonts w:hint="eastAsia" w:ascii="仿宋_GB2312" w:hAnsi="宋体" w:eastAsia="仿宋_GB2312"/>
          <w:sz w:val="32"/>
          <w:szCs w:val="32"/>
        </w:rPr>
        <w:t>万元，工会经费1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9.27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福利费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0.5万元，</w:t>
      </w:r>
      <w:r>
        <w:rPr>
          <w:rFonts w:hint="eastAsia" w:ascii="仿宋_GB2312" w:hAnsi="宋体" w:eastAsia="仿宋_GB2312"/>
          <w:sz w:val="32"/>
          <w:szCs w:val="32"/>
        </w:rPr>
        <w:t>公务用车运行维护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2.55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其他交通费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3.64万元，</w:t>
      </w:r>
      <w:r>
        <w:rPr>
          <w:rFonts w:hint="eastAsia" w:ascii="仿宋_GB2312" w:hAnsi="宋体" w:eastAsia="仿宋_GB2312"/>
          <w:sz w:val="32"/>
          <w:szCs w:val="32"/>
        </w:rPr>
        <w:t>其他商品与服务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6.95</w:t>
      </w:r>
      <w:r>
        <w:rPr>
          <w:rFonts w:hint="eastAsia" w:ascii="仿宋_GB2312" w:hAnsi="宋体" w:eastAsia="仿宋_GB2312"/>
          <w:sz w:val="32"/>
          <w:szCs w:val="32"/>
        </w:rPr>
        <w:t>万元）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本年基本支出结转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42.97万元。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“三公”经费控制情况</w:t>
      </w:r>
      <w:r>
        <w:rPr>
          <w:rFonts w:hint="eastAsia" w:ascii="仿宋" w:hAnsi="仿宋" w:eastAsia="仿宋" w:cs="仿宋"/>
          <w:sz w:val="32"/>
          <w:szCs w:val="32"/>
        </w:rPr>
        <w:t>：没有因公出国（境）人员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。“三公”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经费年初预算安排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11.5万元，其中公务接待6.1万元，公务用车购置及运行维护费5.4万元。全年实际支出“三公”经费4.43万元，与上年同期相比下降50%。公务接待实际支出1.88万元，</w:t>
      </w:r>
      <w:r>
        <w:rPr>
          <w:rFonts w:hint="eastAsia" w:ascii="仿宋" w:hAnsi="仿宋" w:eastAsia="仿宋" w:cs="仿宋"/>
          <w:sz w:val="30"/>
          <w:szCs w:val="30"/>
        </w:rPr>
        <w:t>占年初预算安排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30.82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公务用车购置及运行维护费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实际支出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2.55万元，</w:t>
      </w:r>
      <w:r>
        <w:rPr>
          <w:rFonts w:hint="eastAsia" w:ascii="仿宋" w:hAnsi="仿宋" w:eastAsia="仿宋" w:cs="仿宋"/>
          <w:sz w:val="30"/>
          <w:szCs w:val="30"/>
        </w:rPr>
        <w:t>占年初预算安排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47.22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有效的控制了“三公经费”的支出。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项目支出方面：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90" w:firstLineChars="23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年财政预算安排白蚁防治工作经费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万元。购买白蚁药品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sz w:val="30"/>
          <w:szCs w:val="30"/>
        </w:rPr>
        <w:t>万元，聘请灭治人员工资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万元，下乡下村租车费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万元，办公费(差旅费、宣传资料、培训费、资料归档等)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万元，设备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维护费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90" w:firstLineChars="23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年财务预算安排保障性住房管理与维修经费3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万元，实际支出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 w:cs="仿宋"/>
          <w:sz w:val="30"/>
          <w:szCs w:val="30"/>
        </w:rPr>
        <w:t>万元。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其中</w:t>
      </w:r>
      <w:r>
        <w:rPr>
          <w:rFonts w:hint="eastAsia" w:ascii="仿宋" w:hAnsi="仿宋" w:eastAsia="仿宋" w:cs="仿宋"/>
          <w:sz w:val="30"/>
          <w:szCs w:val="30"/>
        </w:rPr>
        <w:t>水管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改造</w:t>
      </w:r>
      <w:r>
        <w:rPr>
          <w:rFonts w:hint="eastAsia" w:ascii="仿宋" w:hAnsi="仿宋" w:eastAsia="仿宋" w:cs="仿宋"/>
          <w:sz w:val="30"/>
          <w:szCs w:val="30"/>
        </w:rPr>
        <w:t>更换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及修护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共计6.5万元</w:t>
      </w:r>
      <w:r>
        <w:rPr>
          <w:rFonts w:hint="eastAsia" w:ascii="仿宋" w:hAnsi="仿宋" w:eastAsia="仿宋" w:cs="仿宋"/>
          <w:sz w:val="30"/>
          <w:szCs w:val="30"/>
        </w:rPr>
        <w:t>，化粪池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清理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180立方米共计1.35万元</w:t>
      </w:r>
      <w:r>
        <w:rPr>
          <w:rFonts w:hint="eastAsia" w:ascii="仿宋" w:hAnsi="仿宋" w:eastAsia="仿宋" w:cs="仿宋"/>
          <w:sz w:val="30"/>
          <w:szCs w:val="30"/>
        </w:rPr>
        <w:t>，路面硬化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600</w:t>
      </w:r>
      <w:r>
        <w:rPr>
          <w:rFonts w:hint="eastAsia" w:ascii="仿宋" w:hAnsi="仿宋" w:eastAsia="仿宋" w:cs="仿宋"/>
          <w:sz w:val="30"/>
          <w:szCs w:val="30"/>
        </w:rPr>
        <w:t>平方米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共计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万元</w:t>
      </w:r>
      <w:r>
        <w:rPr>
          <w:rFonts w:hint="eastAsia" w:ascii="仿宋" w:hAnsi="仿宋" w:eastAsia="仿宋" w:cs="仿宋"/>
          <w:sz w:val="30"/>
          <w:szCs w:val="30"/>
        </w:rPr>
        <w:t>，围栏维修200米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共计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4.2万元</w:t>
      </w:r>
      <w:r>
        <w:rPr>
          <w:rFonts w:hint="eastAsia" w:ascii="仿宋" w:hAnsi="仿宋" w:eastAsia="仿宋" w:cs="仿宋"/>
          <w:sz w:val="30"/>
          <w:szCs w:val="30"/>
        </w:rPr>
        <w:t>，屋面漏水维修500平方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米共计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7.25万元</w:t>
      </w:r>
      <w:r>
        <w:rPr>
          <w:rFonts w:hint="eastAsia" w:ascii="仿宋" w:hAnsi="仿宋" w:eastAsia="仿宋" w:cs="仿宋"/>
          <w:sz w:val="30"/>
          <w:szCs w:val="30"/>
        </w:rPr>
        <w:t>，厕所防水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550平方米共计2.3万元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外墙及室内瓷砖修补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540平方米共计7.2万元，墙面粉刷1700平方米共计2.5万元，</w:t>
      </w:r>
      <w:r>
        <w:rPr>
          <w:rFonts w:hint="eastAsia" w:ascii="仿宋" w:hAnsi="仿宋" w:eastAsia="仿宋" w:cs="仿宋"/>
          <w:sz w:val="30"/>
          <w:szCs w:val="30"/>
        </w:rPr>
        <w:t>冰冻水表破烂更换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130块共计1万元。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3、非税征收成本48万元：基本用于非税收入的税费缴纳和门店维修与管理:其中税费14万元，办公费3万元，印刷费6.5万元，维修费20.5万元，劳务费3万元，差旅费1万元。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343233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4、经常补助203万元：基本用于发放干部职工的工资福利支出。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即工资为161.28万元，一次性奖金7.54万元，养老保险10.56万元，职业年金5.28万元，医院保险2.64万元，公积金13.2万元，工伤保险2.5万元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90" w:firstLineChars="230"/>
        <w:textAlignment w:val="auto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绩效自评公开后，由我单位承担公开主体责任，负责解释和说明。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bidi w:val="0"/>
        <w:adjustRightInd/>
        <w:snapToGrid/>
        <w:spacing w:line="520" w:lineRule="exact"/>
        <w:ind w:firstLine="6000" w:firstLineChars="2000"/>
        <w:jc w:val="left"/>
        <w:textAlignment w:val="auto"/>
        <w:rPr>
          <w:rFonts w:hint="eastAsia" w:ascii="仿宋" w:hAnsi="仿宋" w:eastAsia="仿宋" w:cs="仿宋"/>
          <w:color w:val="3432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43233"/>
          <w:kern w:val="0"/>
          <w:sz w:val="30"/>
          <w:szCs w:val="30"/>
          <w:lang w:eastAsia="zh-CN"/>
        </w:rPr>
        <w:t>会同县房产管理局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bidi w:val="0"/>
        <w:adjustRightInd/>
        <w:snapToGrid/>
        <w:spacing w:line="520" w:lineRule="exact"/>
        <w:ind w:firstLine="6000" w:firstLineChars="2000"/>
        <w:jc w:val="left"/>
        <w:textAlignment w:val="auto"/>
        <w:rPr>
          <w:rFonts w:hint="eastAsia" w:ascii="仿宋_GB2312" w:eastAsia="仿宋_GB2312" w:hAnsiTheme="minorEastAsia"/>
          <w:color w:val="3432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43233"/>
          <w:kern w:val="0"/>
          <w:sz w:val="30"/>
          <w:szCs w:val="30"/>
          <w:lang w:val="en-US" w:eastAsia="zh-CN"/>
        </w:rPr>
        <w:t>2020</w:t>
      </w:r>
      <w:bookmarkStart w:id="0" w:name="_GoBack"/>
      <w:bookmarkEnd w:id="0"/>
      <w:r>
        <w:rPr>
          <w:rFonts w:hint="eastAsia" w:ascii="仿宋" w:hAnsi="仿宋" w:eastAsia="仿宋" w:cs="仿宋"/>
          <w:color w:val="343233"/>
          <w:kern w:val="0"/>
          <w:sz w:val="30"/>
          <w:szCs w:val="30"/>
          <w:lang w:val="en-US" w:eastAsia="zh-CN"/>
        </w:rPr>
        <w:t>年6月25日</w:t>
      </w:r>
    </w:p>
    <w:sectPr>
      <w:footerReference r:id="rId3" w:type="default"/>
      <w:pgSz w:w="11906" w:h="16838"/>
      <w:pgMar w:top="1440" w:right="1134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945"/>
    <w:multiLevelType w:val="multilevel"/>
    <w:tmpl w:val="0B666945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DAB"/>
    <w:rsid w:val="0012069E"/>
    <w:rsid w:val="002A3C1F"/>
    <w:rsid w:val="002D13CC"/>
    <w:rsid w:val="0031464A"/>
    <w:rsid w:val="003163DC"/>
    <w:rsid w:val="00582712"/>
    <w:rsid w:val="005A32B1"/>
    <w:rsid w:val="006268F5"/>
    <w:rsid w:val="006509EE"/>
    <w:rsid w:val="00786DB7"/>
    <w:rsid w:val="00856312"/>
    <w:rsid w:val="00966653"/>
    <w:rsid w:val="009C28A9"/>
    <w:rsid w:val="009E62A6"/>
    <w:rsid w:val="00C87097"/>
    <w:rsid w:val="00CA7631"/>
    <w:rsid w:val="00CC3DEC"/>
    <w:rsid w:val="00D03DAB"/>
    <w:rsid w:val="00E62762"/>
    <w:rsid w:val="00EB6CD7"/>
    <w:rsid w:val="00F626B3"/>
    <w:rsid w:val="00FD0A45"/>
    <w:rsid w:val="0C1A74A9"/>
    <w:rsid w:val="11951E4E"/>
    <w:rsid w:val="133D6C8C"/>
    <w:rsid w:val="167453C6"/>
    <w:rsid w:val="17626529"/>
    <w:rsid w:val="195600F9"/>
    <w:rsid w:val="1B75058B"/>
    <w:rsid w:val="1C4203AE"/>
    <w:rsid w:val="206A42BF"/>
    <w:rsid w:val="219E55D4"/>
    <w:rsid w:val="22DE5894"/>
    <w:rsid w:val="27D759E7"/>
    <w:rsid w:val="27F73035"/>
    <w:rsid w:val="2DE80401"/>
    <w:rsid w:val="3D681560"/>
    <w:rsid w:val="3F9709B4"/>
    <w:rsid w:val="4B104553"/>
    <w:rsid w:val="5C1A3775"/>
    <w:rsid w:val="603705AC"/>
    <w:rsid w:val="66841EEF"/>
    <w:rsid w:val="68F26390"/>
    <w:rsid w:val="6ACC6D0A"/>
    <w:rsid w:val="6D8C2AF7"/>
    <w:rsid w:val="70A16C0C"/>
    <w:rsid w:val="720E0502"/>
    <w:rsid w:val="72334138"/>
    <w:rsid w:val="745E3E2B"/>
    <w:rsid w:val="782B6C44"/>
    <w:rsid w:val="788145C0"/>
    <w:rsid w:val="7C956E7A"/>
    <w:rsid w:val="7CAA3FEC"/>
    <w:rsid w:val="7D6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183</Words>
  <Characters>1047</Characters>
  <Lines>8</Lines>
  <Paragraphs>2</Paragraphs>
  <TotalTime>4</TotalTime>
  <ScaleCrop>false</ScaleCrop>
  <LinksUpToDate>false</LinksUpToDate>
  <CharactersWithSpaces>1228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2019-09-06T05:01:00Z</dcterms:created>
  <dc:creator>Microsoft</dc:creator>
  <cp:lastModifiedBy>洪 . @ c</cp:lastModifiedBy>
  <cp:lastPrinted>2020-07-25T02:09:12Z</cp:lastPrinted>
  <dcterms:modified xsi:type="dcterms:W3CDTF">2020-07-25T02:10:26Z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