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100" w:afterLines="100" w:line="280" w:lineRule="exact"/>
        <w:jc w:val="center"/>
        <w:textAlignment w:val="auto"/>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2021年部门整体支出绩效目标表</w:t>
      </w:r>
    </w:p>
    <w:p>
      <w:pPr>
        <w:keepNext w:val="0"/>
        <w:keepLines w:val="0"/>
        <w:pageBreakBefore w:val="0"/>
        <w:widowControl/>
        <w:tabs>
          <w:tab w:val="left" w:pos="2593"/>
        </w:tabs>
        <w:kinsoku/>
        <w:wordWrap/>
        <w:overflowPunct/>
        <w:topLinePunct w:val="0"/>
        <w:autoSpaceDE/>
        <w:autoSpaceDN/>
        <w:bidi w:val="0"/>
        <w:adjustRightInd/>
        <w:snapToGrid/>
        <w:spacing w:line="280" w:lineRule="exact"/>
        <w:jc w:val="left"/>
        <w:textAlignment w:val="auto"/>
        <w:rPr>
          <w:rFonts w:ascii="仿宋" w:hAnsi="仿宋" w:eastAsia="仿宋"/>
          <w:kern w:val="0"/>
          <w:sz w:val="21"/>
          <w:szCs w:val="21"/>
        </w:rPr>
      </w:pPr>
      <w:r>
        <w:rPr>
          <w:rFonts w:hint="eastAsia" w:ascii="仿宋" w:hAnsi="仿宋" w:eastAsia="仿宋"/>
          <w:kern w:val="0"/>
          <w:sz w:val="21"/>
          <w:szCs w:val="21"/>
        </w:rPr>
        <w:t xml:space="preserve"> 填报单位：</w:t>
      </w:r>
      <w:r>
        <w:rPr>
          <w:rFonts w:hint="eastAsia" w:ascii="仿宋" w:hAnsi="仿宋" w:eastAsia="仿宋"/>
          <w:kern w:val="0"/>
          <w:sz w:val="21"/>
          <w:szCs w:val="21"/>
          <w:lang w:eastAsia="zh-CN"/>
        </w:rPr>
        <w:t>会同县物质文化遗产保护中心</w:t>
      </w:r>
      <w:r>
        <w:rPr>
          <w:rFonts w:hint="eastAsia" w:ascii="仿宋" w:hAnsi="仿宋" w:eastAsia="仿宋"/>
          <w:kern w:val="0"/>
          <w:sz w:val="21"/>
          <w:szCs w:val="21"/>
        </w:rPr>
        <w:t>（盖章）</w:t>
      </w:r>
      <w:r>
        <w:rPr>
          <w:rFonts w:hint="eastAsia" w:ascii="仿宋" w:hAnsi="仿宋" w:eastAsia="仿宋"/>
          <w:kern w:val="0"/>
          <w:sz w:val="21"/>
          <w:szCs w:val="21"/>
          <w:lang w:eastAsia="zh-CN"/>
        </w:rPr>
        <w:t>（原文物管理所）</w:t>
      </w:r>
      <w:r>
        <w:rPr>
          <w:rFonts w:hint="eastAsia" w:ascii="仿宋" w:hAnsi="仿宋" w:eastAsia="仿宋"/>
          <w:kern w:val="0"/>
          <w:sz w:val="21"/>
          <w:szCs w:val="21"/>
        </w:rPr>
        <w:tab/>
      </w:r>
    </w:p>
    <w:tbl>
      <w:tblPr>
        <w:tblStyle w:val="6"/>
        <w:tblW w:w="5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684"/>
        <w:gridCol w:w="1539"/>
        <w:gridCol w:w="1828"/>
        <w:gridCol w:w="3848"/>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部门名称</w:t>
            </w:r>
          </w:p>
        </w:tc>
        <w:tc>
          <w:tcPr>
            <w:tcW w:w="4388"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lang w:eastAsia="zh-CN"/>
              </w:rPr>
              <w:t>会同县物质文化遗产保护中心</w:t>
            </w:r>
            <w:r>
              <w:rPr>
                <w:rFonts w:hint="eastAsia" w:ascii="仿宋" w:hAnsi="仿宋" w:eastAsia="仿宋"/>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年度预算申请</w:t>
            </w:r>
            <w:r>
              <w:rPr>
                <w:rFonts w:hint="eastAsia" w:ascii="仿宋" w:hAnsi="仿宋" w:eastAsia="仿宋"/>
                <w:kern w:val="0"/>
                <w:sz w:val="21"/>
                <w:szCs w:val="21"/>
              </w:rPr>
              <w:br w:type="textWrapping"/>
            </w:r>
            <w:r>
              <w:rPr>
                <w:rFonts w:hint="eastAsia" w:ascii="仿宋" w:hAnsi="仿宋" w:eastAsia="仿宋"/>
                <w:kern w:val="0"/>
                <w:sz w:val="21"/>
                <w:szCs w:val="21"/>
              </w:rPr>
              <w:t>（万元）</w:t>
            </w:r>
          </w:p>
        </w:tc>
        <w:tc>
          <w:tcPr>
            <w:tcW w:w="4388"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 w:hAnsi="仿宋" w:eastAsia="仿宋"/>
                <w:kern w:val="0"/>
                <w:sz w:val="21"/>
                <w:szCs w:val="21"/>
                <w:lang w:val="en-US" w:eastAsia="zh-CN"/>
              </w:rPr>
            </w:pPr>
            <w:r>
              <w:rPr>
                <w:rFonts w:hint="eastAsia" w:ascii="仿宋" w:hAnsi="仿宋" w:eastAsia="仿宋"/>
                <w:kern w:val="0"/>
                <w:sz w:val="21"/>
                <w:szCs w:val="21"/>
              </w:rPr>
              <w:t>资金总额：</w:t>
            </w:r>
            <w:r>
              <w:rPr>
                <w:rFonts w:hint="eastAsia" w:ascii="仿宋" w:hAnsi="仿宋" w:eastAsia="仿宋"/>
                <w:kern w:val="0"/>
                <w:sz w:val="21"/>
                <w:szCs w:val="21"/>
                <w:lang w:val="en-US" w:eastAsia="zh-CN"/>
              </w:rPr>
              <w:t>46.372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2019" w:type="pct"/>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 w:hAnsi="仿宋" w:eastAsia="仿宋"/>
                <w:kern w:val="0"/>
                <w:sz w:val="21"/>
                <w:szCs w:val="21"/>
              </w:rPr>
            </w:pPr>
            <w:r>
              <w:rPr>
                <w:rFonts w:hint="eastAsia" w:ascii="仿宋" w:hAnsi="仿宋" w:eastAsia="仿宋"/>
                <w:kern w:val="0"/>
                <w:sz w:val="21"/>
                <w:szCs w:val="21"/>
              </w:rPr>
              <w:t>按收入性质分：</w:t>
            </w:r>
          </w:p>
        </w:tc>
        <w:tc>
          <w:tcPr>
            <w:tcW w:w="2369"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 w:hAnsi="仿宋" w:eastAsia="仿宋"/>
                <w:kern w:val="0"/>
                <w:sz w:val="21"/>
                <w:szCs w:val="21"/>
              </w:rPr>
            </w:pPr>
            <w:r>
              <w:rPr>
                <w:rFonts w:hint="eastAsia" w:ascii="仿宋" w:hAnsi="仿宋" w:eastAsia="仿宋"/>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2019" w:type="pct"/>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 w:hAnsi="仿宋" w:eastAsia="仿宋"/>
                <w:kern w:val="0"/>
                <w:sz w:val="21"/>
                <w:szCs w:val="21"/>
                <w:lang w:val="en-US" w:eastAsia="zh-CN"/>
              </w:rPr>
            </w:pPr>
            <w:r>
              <w:rPr>
                <w:rFonts w:hint="eastAsia" w:ascii="仿宋" w:hAnsi="仿宋" w:eastAsia="仿宋"/>
                <w:kern w:val="0"/>
                <w:sz w:val="21"/>
                <w:szCs w:val="21"/>
              </w:rPr>
              <w:t>其中：  一般公共预算：</w:t>
            </w:r>
            <w:r>
              <w:rPr>
                <w:rFonts w:hint="eastAsia" w:ascii="仿宋" w:hAnsi="仿宋" w:eastAsia="仿宋"/>
                <w:kern w:val="0"/>
                <w:sz w:val="21"/>
                <w:szCs w:val="21"/>
                <w:lang w:val="en-US" w:eastAsia="zh-CN"/>
              </w:rPr>
              <w:t>46.372</w:t>
            </w:r>
          </w:p>
        </w:tc>
        <w:tc>
          <w:tcPr>
            <w:tcW w:w="2369"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 w:hAnsi="仿宋" w:eastAsia="仿宋"/>
                <w:kern w:val="0"/>
                <w:sz w:val="21"/>
                <w:szCs w:val="21"/>
                <w:lang w:val="en-US" w:eastAsia="zh-CN"/>
              </w:rPr>
            </w:pPr>
            <w:r>
              <w:rPr>
                <w:rFonts w:hint="eastAsia" w:ascii="仿宋" w:hAnsi="仿宋" w:eastAsia="仿宋"/>
                <w:kern w:val="0"/>
                <w:sz w:val="21"/>
                <w:szCs w:val="21"/>
              </w:rPr>
              <w:t>其中： 基本支出：</w:t>
            </w:r>
            <w:r>
              <w:rPr>
                <w:rFonts w:hint="eastAsia" w:ascii="仿宋" w:hAnsi="仿宋" w:eastAsia="仿宋"/>
                <w:kern w:val="0"/>
                <w:sz w:val="21"/>
                <w:szCs w:val="21"/>
                <w:lang w:val="en-US" w:eastAsia="zh-CN"/>
              </w:rPr>
              <w:t>24.572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2019" w:type="pct"/>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 w:hAnsi="仿宋" w:eastAsia="仿宋"/>
                <w:kern w:val="0"/>
                <w:sz w:val="21"/>
                <w:szCs w:val="21"/>
              </w:rPr>
            </w:pPr>
            <w:r>
              <w:rPr>
                <w:rFonts w:hint="eastAsia" w:ascii="仿宋" w:hAnsi="仿宋" w:eastAsia="仿宋"/>
                <w:kern w:val="0"/>
                <w:sz w:val="21"/>
                <w:szCs w:val="21"/>
              </w:rPr>
              <w:t xml:space="preserve">       政府性基金拨款：</w:t>
            </w:r>
          </w:p>
        </w:tc>
        <w:tc>
          <w:tcPr>
            <w:tcW w:w="2369"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 w:hAnsi="仿宋" w:eastAsia="仿宋"/>
                <w:kern w:val="0"/>
                <w:sz w:val="21"/>
                <w:szCs w:val="21"/>
                <w:lang w:val="en-US" w:eastAsia="zh-CN"/>
              </w:rPr>
            </w:pPr>
            <w:r>
              <w:rPr>
                <w:rFonts w:hint="eastAsia" w:ascii="仿宋" w:hAnsi="仿宋" w:eastAsia="仿宋"/>
                <w:kern w:val="0"/>
                <w:sz w:val="21"/>
                <w:szCs w:val="21"/>
              </w:rPr>
              <w:t xml:space="preserve">       项目支出：</w:t>
            </w:r>
            <w:r>
              <w:rPr>
                <w:rFonts w:hint="eastAsia" w:ascii="仿宋" w:hAnsi="仿宋" w:eastAsia="仿宋"/>
                <w:kern w:val="0"/>
                <w:sz w:val="21"/>
                <w:szCs w:val="21"/>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2019" w:type="pct"/>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kern w:val="0"/>
                <w:sz w:val="21"/>
                <w:szCs w:val="21"/>
                <w:lang w:val="en-US" w:eastAsia="zh-CN"/>
              </w:rPr>
            </w:pPr>
            <w:r>
              <w:rPr>
                <w:rFonts w:hint="eastAsia" w:ascii="仿宋" w:hAnsi="仿宋" w:eastAsia="仿宋"/>
                <w:kern w:val="0"/>
                <w:sz w:val="21"/>
                <w:szCs w:val="21"/>
              </w:rPr>
              <w:t>纳入专户管理的非税收入拨款：</w:t>
            </w:r>
          </w:p>
        </w:tc>
        <w:tc>
          <w:tcPr>
            <w:tcW w:w="2369"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 w:hAnsi="仿宋" w:eastAsia="仿宋"/>
                <w:kern w:val="0"/>
                <w:sz w:val="21"/>
                <w:szCs w:val="21"/>
              </w:rPr>
            </w:pPr>
            <w:r>
              <w:rPr>
                <w:rFonts w:hint="eastAsia" w:ascii="仿宋" w:hAnsi="仿宋" w:eastAsia="仿宋"/>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2019" w:type="pct"/>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 w:hAnsi="仿宋" w:eastAsia="仿宋"/>
                <w:kern w:val="0"/>
                <w:sz w:val="21"/>
                <w:szCs w:val="21"/>
              </w:rPr>
            </w:pPr>
            <w:r>
              <w:rPr>
                <w:rFonts w:hint="eastAsia" w:ascii="仿宋" w:hAnsi="仿宋" w:eastAsia="仿宋"/>
                <w:kern w:val="0"/>
                <w:sz w:val="21"/>
                <w:szCs w:val="21"/>
              </w:rPr>
              <w:t xml:space="preserve">       其他资金：</w:t>
            </w:r>
          </w:p>
        </w:tc>
        <w:tc>
          <w:tcPr>
            <w:tcW w:w="2369"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 w:hAnsi="仿宋"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部门职能</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职责概述</w:t>
            </w:r>
          </w:p>
        </w:tc>
        <w:tc>
          <w:tcPr>
            <w:tcW w:w="4388"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加强文物保护，管理好文物市场，文物征集、收藏、展览。开展全县非物质文化遗产调查、评审、申报及保护工作。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整体绩效目标</w:t>
            </w:r>
          </w:p>
        </w:tc>
        <w:tc>
          <w:tcPr>
            <w:tcW w:w="4388" w:type="pct"/>
            <w:gridSpan w:val="5"/>
            <w:shd w:val="clear" w:color="auto" w:fill="auto"/>
            <w:vAlign w:val="center"/>
          </w:tcPr>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目标1：开展物质文化遗产调查、保护利用工作，管理和指导全县文物考古工作，推进物质文化遗产的保护开发。</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目标2：开展全县非物质文化遗产保护利用工作，推动非物质文化遗产的保护、传承、普及、弘扬和振兴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11"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部门整体支出</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年度绩效指标</w:t>
            </w:r>
          </w:p>
        </w:tc>
        <w:tc>
          <w:tcPr>
            <w:tcW w:w="34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一级指标</w:t>
            </w:r>
          </w:p>
        </w:tc>
        <w:tc>
          <w:tcPr>
            <w:tcW w:w="7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二级指标</w:t>
            </w:r>
          </w:p>
        </w:tc>
        <w:tc>
          <w:tcPr>
            <w:tcW w:w="2828"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三级指标</w:t>
            </w:r>
          </w:p>
        </w:tc>
        <w:tc>
          <w:tcPr>
            <w:tcW w:w="45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341"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产出指标</w:t>
            </w:r>
          </w:p>
        </w:tc>
        <w:tc>
          <w:tcPr>
            <w:tcW w:w="767"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数量指标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保证工资支出和正常运转，完成物质文化遗产保护中心各项管理工作。</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开展文物和非物质文化遗产保护工作，粟裕故居免费开放经费7万元；文物征集及文物库房维护支出8万元。</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质量指标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保证工资支出和正常运转，确保财政资金规范使用。</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做好公共文化服务，开展好文物和非物质文化遗产保护工作。</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成本指标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基本支出24.57万元，其中工资福利支出20.37万元、商品和服务支出4.1万元（公务接待费1.0万元、公车经费0.9万元）、对个人和家庭的补助0.1万元。</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项目支出15万元（粟裕故居免费开放经费7万元，文物征集及文物库房维护8万元）</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时效指标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2021年12月底完成</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341"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效益指标</w:t>
            </w:r>
          </w:p>
        </w:tc>
        <w:tc>
          <w:tcPr>
            <w:tcW w:w="76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经济效益指标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促进我县旅游经济发展，带动地方村民增收。</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社会效益指标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丰富人民文化生活，弘扬优秀红色文化。</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生态效益指标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提高地方人文生态环境</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可持续影响指标</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民众文物保护意识增强，传统文化持续传播。</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繁荣文化事业，满足人民群众精神文化需求。</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611" w:type="pct"/>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kern w:val="0"/>
                <w:sz w:val="21"/>
                <w:szCs w:val="21"/>
              </w:rPr>
            </w:pPr>
          </w:p>
        </w:tc>
        <w:tc>
          <w:tcPr>
            <w:tcW w:w="34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p>
        </w:tc>
        <w:tc>
          <w:tcPr>
            <w:tcW w:w="76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kern w:val="0"/>
                <w:sz w:val="21"/>
                <w:szCs w:val="21"/>
              </w:rPr>
            </w:pPr>
            <w:r>
              <w:rPr>
                <w:rFonts w:hint="eastAsia" w:ascii="仿宋" w:hAnsi="仿宋" w:eastAsia="仿宋"/>
                <w:kern w:val="0"/>
                <w:sz w:val="21"/>
                <w:szCs w:val="21"/>
              </w:rPr>
              <w:t>社会公众或服务对象满意度</w:t>
            </w:r>
          </w:p>
        </w:tc>
        <w:tc>
          <w:tcPr>
            <w:tcW w:w="2828" w:type="pct"/>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公众满意度测评</w:t>
            </w:r>
          </w:p>
        </w:tc>
        <w:tc>
          <w:tcPr>
            <w:tcW w:w="45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95%</w:t>
            </w:r>
          </w:p>
        </w:tc>
      </w:tr>
    </w:tbl>
    <w:p>
      <w:pPr>
        <w:keepNext w:val="0"/>
        <w:keepLines w:val="0"/>
        <w:pageBreakBefore w:val="0"/>
        <w:widowControl/>
        <w:tabs>
          <w:tab w:val="left" w:pos="1333"/>
          <w:tab w:val="left" w:pos="3793"/>
          <w:tab w:val="left" w:pos="5853"/>
        </w:tabs>
        <w:kinsoku/>
        <w:wordWrap/>
        <w:overflowPunct/>
        <w:topLinePunct w:val="0"/>
        <w:autoSpaceDE/>
        <w:autoSpaceDN/>
        <w:bidi w:val="0"/>
        <w:adjustRightInd/>
        <w:snapToGrid/>
        <w:spacing w:line="320" w:lineRule="exact"/>
        <w:jc w:val="left"/>
        <w:textAlignment w:val="auto"/>
        <w:rPr>
          <w:rFonts w:ascii="方正小标宋简体" w:hAnsi="方正小标宋简体" w:eastAsia="方正小标宋简体" w:cs="方正小标宋简体"/>
          <w:sz w:val="44"/>
          <w:szCs w:val="44"/>
        </w:rPr>
      </w:pPr>
      <w:r>
        <w:rPr>
          <w:rFonts w:hint="eastAsia" w:ascii="仿宋" w:hAnsi="仿宋" w:eastAsia="仿宋"/>
          <w:kern w:val="0"/>
          <w:sz w:val="21"/>
          <w:szCs w:val="21"/>
        </w:rPr>
        <w:t>填表人：</w:t>
      </w:r>
      <w:r>
        <w:rPr>
          <w:rFonts w:hint="eastAsia" w:ascii="仿宋" w:hAnsi="仿宋" w:eastAsia="仿宋"/>
          <w:kern w:val="0"/>
          <w:sz w:val="21"/>
          <w:szCs w:val="21"/>
          <w:lang w:eastAsia="zh-CN"/>
        </w:rPr>
        <w:t>梁成</w:t>
      </w:r>
      <w:r>
        <w:rPr>
          <w:rFonts w:hint="eastAsia" w:ascii="仿宋" w:hAnsi="仿宋" w:eastAsia="仿宋"/>
          <w:kern w:val="0"/>
          <w:sz w:val="21"/>
          <w:szCs w:val="21"/>
          <w:lang w:val="en-US" w:eastAsia="zh-CN"/>
        </w:rPr>
        <w:t xml:space="preserve">       </w:t>
      </w:r>
      <w:r>
        <w:rPr>
          <w:rFonts w:hint="eastAsia" w:ascii="仿宋" w:hAnsi="仿宋" w:eastAsia="仿宋"/>
          <w:kern w:val="0"/>
          <w:sz w:val="21"/>
          <w:szCs w:val="21"/>
        </w:rPr>
        <w:t>联系电话：</w:t>
      </w:r>
      <w:r>
        <w:rPr>
          <w:rFonts w:hint="eastAsia" w:ascii="仿宋" w:hAnsi="仿宋" w:eastAsia="仿宋"/>
          <w:kern w:val="0"/>
          <w:sz w:val="21"/>
          <w:szCs w:val="21"/>
          <w:lang w:val="en-US" w:eastAsia="zh-CN"/>
        </w:rPr>
        <w:t>13974517594</w:t>
      </w:r>
      <w:r>
        <w:rPr>
          <w:rFonts w:hint="eastAsia" w:ascii="仿宋" w:hAnsi="仿宋" w:eastAsia="仿宋"/>
          <w:kern w:val="0"/>
          <w:sz w:val="21"/>
          <w:szCs w:val="21"/>
        </w:rPr>
        <w:t xml:space="preserve">     </w:t>
      </w:r>
      <w:r>
        <w:rPr>
          <w:rFonts w:hint="eastAsia" w:ascii="仿宋" w:hAnsi="仿宋" w:eastAsia="仿宋"/>
          <w:kern w:val="0"/>
          <w:sz w:val="21"/>
          <w:szCs w:val="21"/>
          <w:lang w:val="en-US" w:eastAsia="zh-CN"/>
        </w:rPr>
        <w:t xml:space="preserve">      </w:t>
      </w:r>
      <w:r>
        <w:rPr>
          <w:rFonts w:hint="eastAsia" w:ascii="仿宋" w:hAnsi="仿宋" w:eastAsia="仿宋"/>
          <w:kern w:val="0"/>
          <w:sz w:val="21"/>
          <w:szCs w:val="21"/>
        </w:rPr>
        <w:t>填报日期：</w:t>
      </w:r>
      <w:r>
        <w:rPr>
          <w:rFonts w:hint="eastAsia" w:ascii="仿宋" w:hAnsi="仿宋" w:eastAsia="仿宋"/>
          <w:kern w:val="0"/>
          <w:sz w:val="21"/>
          <w:szCs w:val="21"/>
          <w:lang w:val="en-US" w:eastAsia="zh-CN"/>
        </w:rPr>
        <w:t>2020.12.15</w:t>
      </w:r>
      <w:r>
        <w:rPr>
          <w:rFonts w:hint="eastAsia" w:ascii="仿宋" w:hAnsi="仿宋" w:eastAsia="仿宋"/>
          <w:kern w:val="0"/>
          <w:sz w:val="21"/>
          <w:szCs w:val="21"/>
        </w:rPr>
        <w:t xml:space="preserve">      </w:t>
      </w:r>
      <w:r>
        <w:rPr>
          <w:rFonts w:hint="eastAsia" w:ascii="仿宋" w:hAnsi="仿宋" w:eastAsia="仿宋"/>
          <w:kern w:val="0"/>
          <w:sz w:val="21"/>
          <w:szCs w:val="21"/>
          <w:lang w:val="en-US" w:eastAsia="zh-CN"/>
        </w:rPr>
        <w:t xml:space="preserve">       </w:t>
      </w:r>
      <w:r>
        <w:rPr>
          <w:rFonts w:hint="eastAsia" w:ascii="仿宋" w:hAnsi="仿宋" w:eastAsia="仿宋"/>
          <w:kern w:val="0"/>
          <w:sz w:val="21"/>
          <w:szCs w:val="21"/>
        </w:rPr>
        <w:t xml:space="preserve"> 单位负责人签字：</w:t>
      </w:r>
      <w:r>
        <w:rPr>
          <w:rFonts w:hint="eastAsia" w:ascii="仿宋" w:hAnsi="仿宋" w:eastAsia="仿宋"/>
          <w:kern w:val="0"/>
          <w:sz w:val="21"/>
          <w:szCs w:val="21"/>
          <w:lang w:eastAsia="zh-CN"/>
        </w:rPr>
        <w:t>林雪凤</w:t>
      </w:r>
      <w:r>
        <w:rPr>
          <w:rFonts w:ascii="仿宋" w:hAnsi="仿宋" w:eastAsia="仿宋"/>
          <w:kern w:val="0"/>
          <w:sz w:val="30"/>
          <w:szCs w:val="30"/>
        </w:rPr>
        <w:br w:type="page"/>
      </w:r>
    </w:p>
    <w:p>
      <w:pPr>
        <w:spacing w:line="600" w:lineRule="exact"/>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《部门整体支出绩效目标表》编报说明</w:t>
      </w:r>
    </w:p>
    <w:p>
      <w:pPr>
        <w:spacing w:line="600" w:lineRule="exact"/>
        <w:rPr>
          <w:rFonts w:ascii="黑体" w:hAnsi="黑体" w:eastAsia="黑体" w:cs="黑体"/>
          <w:color w:val="000000"/>
          <w:kern w:val="0"/>
          <w:sz w:val="24"/>
          <w:szCs w:val="24"/>
        </w:rPr>
      </w:pPr>
      <w:r>
        <w:rPr>
          <w:rFonts w:hint="eastAsia" w:ascii="黑体" w:hAnsi="黑体" w:eastAsia="黑体" w:cs="黑体"/>
          <w:color w:val="000000"/>
          <w:kern w:val="0"/>
          <w:sz w:val="24"/>
          <w:szCs w:val="24"/>
        </w:rPr>
        <w:t>一、基本信息</w:t>
      </w:r>
    </w:p>
    <w:p>
      <w:pPr>
        <w:spacing w:line="600" w:lineRule="exact"/>
        <w:ind w:firstLine="480"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color w:val="000000"/>
          <w:kern w:val="0"/>
          <w:sz w:val="24"/>
          <w:szCs w:val="24"/>
        </w:rPr>
        <w:t>填报单位（盖章）：加盖填报单位公章。</w:t>
      </w:r>
    </w:p>
    <w:p>
      <w:pPr>
        <w:spacing w:line="600" w:lineRule="exact"/>
        <w:ind w:firstLine="480"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2.年度预算申请：填写部门年度预算资金总额，并按收入预算和支出预算分别填写。</w:t>
      </w:r>
    </w:p>
    <w:p>
      <w:pPr>
        <w:spacing w:line="600" w:lineRule="exact"/>
        <w:ind w:firstLine="480"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3.部门职能职责概述：</w:t>
      </w:r>
      <w:r>
        <w:rPr>
          <w:rFonts w:hint="eastAsia" w:ascii="仿宋_GB2312" w:hAnsi="仿宋_GB2312" w:eastAsia="仿宋_GB2312" w:cs="仿宋_GB2312"/>
          <w:sz w:val="24"/>
          <w:szCs w:val="24"/>
        </w:rPr>
        <w:t>简要描述本部门的主要职能职责。</w:t>
      </w:r>
    </w:p>
    <w:p>
      <w:pPr>
        <w:spacing w:line="600" w:lineRule="exact"/>
        <w:ind w:firstLine="480" w:firstLineChars="200"/>
        <w:rPr>
          <w:rFonts w:ascii="黑体" w:hAnsi="黑体" w:eastAsia="黑体" w:cs="黑体"/>
          <w:color w:val="000000"/>
          <w:kern w:val="0"/>
          <w:sz w:val="24"/>
          <w:szCs w:val="24"/>
        </w:rPr>
      </w:pPr>
      <w:r>
        <w:rPr>
          <w:rFonts w:hint="eastAsia" w:ascii="黑体" w:hAnsi="黑体" w:eastAsia="黑体" w:cs="黑体"/>
          <w:color w:val="000000"/>
          <w:kern w:val="0"/>
          <w:sz w:val="24"/>
          <w:szCs w:val="24"/>
        </w:rPr>
        <w:t>二、整体绩效目标</w:t>
      </w:r>
    </w:p>
    <w:p>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预算部门根据各级党委、政府下达的工作任务及本部门发展规划，描述年度内部门使用预算资金达到的产出和效果。</w:t>
      </w:r>
    </w:p>
    <w:p>
      <w:pPr>
        <w:spacing w:line="600" w:lineRule="exact"/>
        <w:ind w:firstLine="480" w:firstLineChars="200"/>
        <w:rPr>
          <w:rFonts w:ascii="黑体" w:hAnsi="黑体" w:eastAsia="黑体" w:cs="黑体"/>
          <w:color w:val="000000"/>
          <w:kern w:val="0"/>
          <w:sz w:val="24"/>
          <w:szCs w:val="24"/>
        </w:rPr>
      </w:pPr>
      <w:r>
        <w:rPr>
          <w:rFonts w:hint="eastAsia" w:ascii="黑体" w:hAnsi="黑体" w:eastAsia="黑体" w:cs="黑体"/>
          <w:color w:val="000000"/>
          <w:kern w:val="0"/>
          <w:sz w:val="24"/>
          <w:szCs w:val="24"/>
        </w:rPr>
        <w:t>三、部门整体支出年度绩效指标</w:t>
      </w:r>
    </w:p>
    <w:p>
      <w:pPr>
        <w:spacing w:line="600" w:lineRule="exact"/>
        <w:ind w:firstLine="480"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部门整体支出年度绩效指标是对预算部门整体支出绩效目标的细化和量化，主要包括：</w:t>
      </w:r>
    </w:p>
    <w:p>
      <w:pPr>
        <w:spacing w:line="600" w:lineRule="exact"/>
        <w:ind w:firstLine="480"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产出指标：反映部门根据既定目标计划完成的产品和服务情况。可进一步细分为：数量指标，反映部门计划完成的产品或服务数量；质量指标，反映部门计划提供产品或服务达到的标准、水平和效果；时效指标，反映部门计划提供产品或服务的及时程度和效率情况；成本指标，反映部门计划提供产品或服务所需成本。</w:t>
      </w:r>
    </w:p>
    <w:p>
      <w:pPr>
        <w:spacing w:line="600" w:lineRule="exact"/>
        <w:ind w:firstLine="480"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2.效益指标：反映与既定绩效目标相关的、部门整体支出预期结果的实现程度和影响，包括经济效益指标、社会效益指标、生态效益指标、可持续影响指标、</w:t>
      </w:r>
      <w:r>
        <w:rPr>
          <w:rFonts w:hint="eastAsia" w:ascii="仿宋_GB2312" w:hAnsi="仿宋_GB2312" w:eastAsia="仿宋_GB2312" w:cs="仿宋_GB2312"/>
          <w:sz w:val="24"/>
          <w:szCs w:val="24"/>
        </w:rPr>
        <w:t>社会公众或服务对象满意度指标</w:t>
      </w:r>
      <w:r>
        <w:rPr>
          <w:rFonts w:hint="eastAsia" w:ascii="仿宋_GB2312" w:hAnsi="仿宋_GB2312" w:eastAsia="仿宋_GB2312" w:cs="仿宋_GB2312"/>
          <w:color w:val="000000"/>
          <w:kern w:val="0"/>
          <w:sz w:val="24"/>
          <w:szCs w:val="24"/>
        </w:rPr>
        <w:t>等。</w:t>
      </w:r>
    </w:p>
    <w:p>
      <w:pPr>
        <w:spacing w:line="600" w:lineRule="exact"/>
        <w:ind w:firstLine="480"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3.实际操作中确定的部门整体支出绩效指标具体内容，各部门可根据预算绩效管理工作的需要，在上述指标中选取或做另行补充。</w:t>
      </w:r>
    </w:p>
    <w:p>
      <w:pPr>
        <w:widowControl/>
        <w:jc w:val="left"/>
        <w:rPr>
          <w:rFonts w:ascii="仿宋" w:hAnsi="仿宋" w:eastAsia="仿宋"/>
          <w:sz w:val="24"/>
          <w:szCs w:val="24"/>
        </w:rPr>
      </w:pPr>
    </w:p>
    <w:sectPr>
      <w:footerReference r:id="rId3" w:type="default"/>
      <w:pgSz w:w="11906" w:h="16838"/>
      <w:pgMar w:top="1242"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369"/>
      <w:docPartObj>
        <w:docPartGallery w:val="autotext"/>
      </w:docPartObj>
    </w:sdtPr>
    <w:sdtContent>
      <w:p>
        <w:pPr>
          <w:pStyle w:val="3"/>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52"/>
    <w:rsid w:val="000346B0"/>
    <w:rsid w:val="0003543B"/>
    <w:rsid w:val="00053067"/>
    <w:rsid w:val="00056EA6"/>
    <w:rsid w:val="00063AC9"/>
    <w:rsid w:val="0006798C"/>
    <w:rsid w:val="00086D87"/>
    <w:rsid w:val="000F4959"/>
    <w:rsid w:val="00120E0E"/>
    <w:rsid w:val="00130FBB"/>
    <w:rsid w:val="00141501"/>
    <w:rsid w:val="001A754D"/>
    <w:rsid w:val="001C11C3"/>
    <w:rsid w:val="001D1340"/>
    <w:rsid w:val="001D18F8"/>
    <w:rsid w:val="00226C4A"/>
    <w:rsid w:val="00232B07"/>
    <w:rsid w:val="00232B0C"/>
    <w:rsid w:val="00245C4F"/>
    <w:rsid w:val="0025405D"/>
    <w:rsid w:val="00254D19"/>
    <w:rsid w:val="002748BD"/>
    <w:rsid w:val="00276B68"/>
    <w:rsid w:val="002D2CA9"/>
    <w:rsid w:val="003641D2"/>
    <w:rsid w:val="003700B0"/>
    <w:rsid w:val="003705B9"/>
    <w:rsid w:val="00382AB1"/>
    <w:rsid w:val="003B567D"/>
    <w:rsid w:val="003B631E"/>
    <w:rsid w:val="003B67EE"/>
    <w:rsid w:val="003D4764"/>
    <w:rsid w:val="003D663C"/>
    <w:rsid w:val="003E01EE"/>
    <w:rsid w:val="004262D9"/>
    <w:rsid w:val="00431700"/>
    <w:rsid w:val="00453A2A"/>
    <w:rsid w:val="004C7BEF"/>
    <w:rsid w:val="004F4A78"/>
    <w:rsid w:val="004F7E36"/>
    <w:rsid w:val="00515C86"/>
    <w:rsid w:val="00520398"/>
    <w:rsid w:val="005322A2"/>
    <w:rsid w:val="005364F8"/>
    <w:rsid w:val="005A6190"/>
    <w:rsid w:val="00614417"/>
    <w:rsid w:val="00620112"/>
    <w:rsid w:val="0062245C"/>
    <w:rsid w:val="00626D18"/>
    <w:rsid w:val="00627634"/>
    <w:rsid w:val="00685620"/>
    <w:rsid w:val="00696F07"/>
    <w:rsid w:val="006E3B09"/>
    <w:rsid w:val="007044A6"/>
    <w:rsid w:val="00735272"/>
    <w:rsid w:val="00762539"/>
    <w:rsid w:val="00767FDF"/>
    <w:rsid w:val="00790EEF"/>
    <w:rsid w:val="007E21AE"/>
    <w:rsid w:val="00801F0C"/>
    <w:rsid w:val="00804FD9"/>
    <w:rsid w:val="008324D8"/>
    <w:rsid w:val="00855C70"/>
    <w:rsid w:val="00872B96"/>
    <w:rsid w:val="00890F3C"/>
    <w:rsid w:val="0096225A"/>
    <w:rsid w:val="009A61C8"/>
    <w:rsid w:val="009C14B6"/>
    <w:rsid w:val="009D076C"/>
    <w:rsid w:val="00AD1DEE"/>
    <w:rsid w:val="00B2044A"/>
    <w:rsid w:val="00B2574B"/>
    <w:rsid w:val="00B430BB"/>
    <w:rsid w:val="00B93D22"/>
    <w:rsid w:val="00B979CE"/>
    <w:rsid w:val="00BB0BCE"/>
    <w:rsid w:val="00BF7E9F"/>
    <w:rsid w:val="00C00652"/>
    <w:rsid w:val="00C26887"/>
    <w:rsid w:val="00C41526"/>
    <w:rsid w:val="00CD6153"/>
    <w:rsid w:val="00CE148D"/>
    <w:rsid w:val="00CE26D9"/>
    <w:rsid w:val="00D209CB"/>
    <w:rsid w:val="00D334DB"/>
    <w:rsid w:val="00D53BB3"/>
    <w:rsid w:val="00DA15F6"/>
    <w:rsid w:val="00E16EF1"/>
    <w:rsid w:val="00E26131"/>
    <w:rsid w:val="00E85B93"/>
    <w:rsid w:val="00E95C6B"/>
    <w:rsid w:val="00EA2C83"/>
    <w:rsid w:val="00ED430A"/>
    <w:rsid w:val="00EE3F78"/>
    <w:rsid w:val="00F03AB0"/>
    <w:rsid w:val="00F139FF"/>
    <w:rsid w:val="00F31BB3"/>
    <w:rsid w:val="00F32F58"/>
    <w:rsid w:val="00F41883"/>
    <w:rsid w:val="00FA1973"/>
    <w:rsid w:val="00FD6480"/>
    <w:rsid w:val="02A11CD3"/>
    <w:rsid w:val="03127837"/>
    <w:rsid w:val="038E38C8"/>
    <w:rsid w:val="06D96D15"/>
    <w:rsid w:val="07E60DA5"/>
    <w:rsid w:val="106D7EE9"/>
    <w:rsid w:val="156974B0"/>
    <w:rsid w:val="15AB6FCA"/>
    <w:rsid w:val="17E45562"/>
    <w:rsid w:val="1B811AFA"/>
    <w:rsid w:val="1C9604DD"/>
    <w:rsid w:val="1CD0479F"/>
    <w:rsid w:val="1FA969BB"/>
    <w:rsid w:val="211F1F5F"/>
    <w:rsid w:val="213C589A"/>
    <w:rsid w:val="223B7858"/>
    <w:rsid w:val="235F5676"/>
    <w:rsid w:val="23D4315B"/>
    <w:rsid w:val="25A93D59"/>
    <w:rsid w:val="29430306"/>
    <w:rsid w:val="2A325713"/>
    <w:rsid w:val="2E27013A"/>
    <w:rsid w:val="2E93391F"/>
    <w:rsid w:val="31152DD7"/>
    <w:rsid w:val="33870D83"/>
    <w:rsid w:val="33CD0B8D"/>
    <w:rsid w:val="35CD6950"/>
    <w:rsid w:val="36934003"/>
    <w:rsid w:val="38143F01"/>
    <w:rsid w:val="3A3C251C"/>
    <w:rsid w:val="3B0830C7"/>
    <w:rsid w:val="3B8A6EE6"/>
    <w:rsid w:val="3C99329C"/>
    <w:rsid w:val="3CEC1630"/>
    <w:rsid w:val="413E0691"/>
    <w:rsid w:val="416B6759"/>
    <w:rsid w:val="43326E73"/>
    <w:rsid w:val="46545A20"/>
    <w:rsid w:val="476E6F16"/>
    <w:rsid w:val="48ED63BE"/>
    <w:rsid w:val="4C885237"/>
    <w:rsid w:val="4CA34DE3"/>
    <w:rsid w:val="507F030A"/>
    <w:rsid w:val="555834B2"/>
    <w:rsid w:val="573E6D11"/>
    <w:rsid w:val="583B7000"/>
    <w:rsid w:val="5B2051DE"/>
    <w:rsid w:val="5B5258CF"/>
    <w:rsid w:val="5F513B21"/>
    <w:rsid w:val="61BB6FAC"/>
    <w:rsid w:val="65AE6E1F"/>
    <w:rsid w:val="69687952"/>
    <w:rsid w:val="701C4C81"/>
    <w:rsid w:val="721649B9"/>
    <w:rsid w:val="73231583"/>
    <w:rsid w:val="76E47227"/>
    <w:rsid w:val="76F36237"/>
    <w:rsid w:val="78CA2907"/>
    <w:rsid w:val="79424DD9"/>
    <w:rsid w:val="7F585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customStyle="1" w:styleId="8">
    <w:name w:val="日期 Char"/>
    <w:basedOn w:val="7"/>
    <w:link w:val="2"/>
    <w:semiHidden/>
    <w:qFormat/>
    <w:uiPriority w:val="99"/>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24881-E9A5-4919-AEBF-F9C3C861637C}">
  <ds:schemaRefs/>
</ds:datastoreItem>
</file>

<file path=docProps/app.xml><?xml version="1.0" encoding="utf-8"?>
<Properties xmlns="http://schemas.openxmlformats.org/officeDocument/2006/extended-properties" xmlns:vt="http://schemas.openxmlformats.org/officeDocument/2006/docPropsVTypes">
  <Template>Normal</Template>
  <Pages>3</Pages>
  <Words>149</Words>
  <Characters>850</Characters>
  <Lines>7</Lines>
  <Paragraphs>1</Paragraphs>
  <TotalTime>2</TotalTime>
  <ScaleCrop>false</ScaleCrop>
  <LinksUpToDate>false</LinksUpToDate>
  <CharactersWithSpaces>998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2020-10-14T07:24:00Z</dcterms:created>
  <dc:creator>Administrator</dc:creator>
  <cp:lastModifiedBy>櫻子</cp:lastModifiedBy>
  <cp:lastPrinted>2020-12-16T08:02:00Z</cp:lastPrinted>
  <dcterms:modified xsi:type="dcterms:W3CDTF">2020-12-29T08:44:20Z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