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320" w:firstLineChars="300"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2"/>
        <w:tblW w:w="90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143"/>
        <w:gridCol w:w="2070"/>
        <w:gridCol w:w="434"/>
        <w:gridCol w:w="11"/>
        <w:gridCol w:w="1174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填报单位：（盖章）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会同工业集中区管理委员会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绩效考核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工业集中区管理委员会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122.3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为进一步激发会同县工业集中区工委及管委干部职工干事创业激情，加强机关效能建设，加快工业集中区发展。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为进一步激发会同县工业集中区工委及管委干部职工干事创业激情，加强机关效能建设，加快工业集中区发展。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考核内容以县委、县政府下达的年度目标为依据，围绕年度总目标及具体工作任务，按部门职能进行任务分解，主要考核经济指标、招商引资指标、项目建设指标，部门履行日常工作职责，理论学习，工作纪律，党风廉洁建设，县委、县政府及上级部门交办的其他工作任务等情况。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  <w:t>坚持以人为本、客观公正、奖优罚劣的原则，强化监督管理，严格目标责任，加强绩效管理，创新工作方式，取得项目建设、招商引资、融资争资新突破，推进工业集中区快速健康发展。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  <w:t>90%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经费下拨标准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2021年底前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  <w:t>会同工业集中区干部职工绩效考核奖励资金122.3万元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122.3万元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工业总产值达到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亿元，同比增长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18%；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工业增加值达到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6.3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亿，同比增长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%以上，其中规模以上工业增加值达到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4.1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亿元，增长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10.5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%。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亿元，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18%；6.3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10.5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%。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工业集中区的发展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可以促进城市建设的进一步发展，从而增加当地居民的就业机会和收入，更进一步提高他们的生活水平和生活质量，产生良性循环的效果。此项目实施后，将会进一步带动全县农业工业的发展，为群众提供更多的就业岗位，增加就业岗位，助力扶贫攻坚工程。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就业率达到90%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符合可持续发展和环境保护的需要。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90%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可持续影响指标率达到90%以上。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90%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可持续影响指标率达到90%以上。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90%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bookmarkEnd w:id="0"/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填表人：      联系电话：   填报日期：        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468E7"/>
    <w:rsid w:val="0FAD739A"/>
    <w:rsid w:val="147672C2"/>
    <w:rsid w:val="4D9D6101"/>
    <w:rsid w:val="63E4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斜楷"/>
    <w:basedOn w:val="3"/>
    <w:qFormat/>
    <w:uiPriority w:val="0"/>
    <w:rPr>
      <w:rFonts w:ascii="Calibri" w:hAnsi="Calibri" w:eastAsia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2021-01-29T08:37:00Z</dcterms:created>
  <dc:creator>Administrator</dc:creator>
  <cp:lastModifiedBy>Administrator</cp:lastModifiedBy>
  <dcterms:modified xsi:type="dcterms:W3CDTF">2021-02-01T03:31:57Z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