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t xml:space="preserve">       </w:t>
      </w:r>
      <w:r>
        <w:rPr>
          <w:rFonts w:hint="eastAsia" w:ascii="仿宋" w:hAnsi="仿宋" w:eastAsia="仿宋"/>
          <w:bCs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/>
          <w:bCs/>
          <w:kern w:val="0"/>
          <w:sz w:val="24"/>
          <w:szCs w:val="2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5"/>
        <w:tblW w:w="10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888"/>
        <w:gridCol w:w="1050"/>
        <w:gridCol w:w="3191"/>
        <w:gridCol w:w="179"/>
        <w:gridCol w:w="266"/>
        <w:gridCol w:w="1951"/>
        <w:gridCol w:w="14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0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填报单位：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县委宣传部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（盖章）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项目支出名称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意识形态工作经费</w:t>
            </w:r>
          </w:p>
        </w:tc>
        <w:tc>
          <w:tcPr>
            <w:tcW w:w="3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预算部门</w:t>
            </w:r>
          </w:p>
        </w:tc>
        <w:tc>
          <w:tcPr>
            <w:tcW w:w="38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行政政法股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预算金额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该项目支出上级资金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项目支出实施期</w:t>
            </w:r>
          </w:p>
        </w:tc>
        <w:tc>
          <w:tcPr>
            <w:tcW w:w="89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实施期绩效目标</w:t>
            </w:r>
          </w:p>
        </w:tc>
        <w:tc>
          <w:tcPr>
            <w:tcW w:w="89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负责指导协调全县各级党委（党组）落实意识形态工作责任制；承担意识形态工作联席会议日常工作；负责开展全县意识形态工作督查考核；配合巡视巡察做好专项监督检查工作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本年度绩效目标</w:t>
            </w:r>
          </w:p>
        </w:tc>
        <w:tc>
          <w:tcPr>
            <w:tcW w:w="89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810" w:firstLineChars="450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坚持党对意识形态工作的领导权，增强意识形态领域主导权和话语权，维护意识形态安全和文化安全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指标值及单位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绩效标准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意识形态工作业务培训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1次以上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意识形态联席会议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2次以上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意识形态工作业务培训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考核合格率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意识形态联席会议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考核合格率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2021年12月完成率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2021年12月完成率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意识形态工作业务培训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4万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历史标准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意识形态联席会议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5万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≥98%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历史标准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效益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形成正确的人生观、价值观，汇聚正能量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开展全县意识形态工作督查考核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80" w:firstLine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为经济社会发展提供有力的思想保证、精神动力、舆论支持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维护意识形态安全和文化安全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社会公众或服务对象满意度指标</w:t>
            </w: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提升社会公众满意度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填表人：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 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24"/>
          <w:szCs w:val="24"/>
        </w:rPr>
        <w:t>联系电话：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填报日期：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 xml:space="preserve">     年  月   日 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    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单位负责人签字：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center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5"/>
        <w:tblW w:w="9573" w:type="dxa"/>
        <w:jc w:val="center"/>
        <w:tblInd w:w="-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950"/>
        <w:gridCol w:w="1212"/>
        <w:gridCol w:w="3235"/>
        <w:gridCol w:w="715"/>
        <w:gridCol w:w="1380"/>
        <w:gridCol w:w="10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57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填报单位：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县委宣传部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（盖章）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项目支出名称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县委中心组学习经费</w:t>
            </w:r>
          </w:p>
        </w:tc>
        <w:tc>
          <w:tcPr>
            <w:tcW w:w="3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预算部门</w:t>
            </w:r>
          </w:p>
        </w:tc>
        <w:tc>
          <w:tcPr>
            <w:tcW w:w="3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预算金额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该项目支出上级资金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项目支出实施期</w:t>
            </w:r>
          </w:p>
        </w:tc>
        <w:tc>
          <w:tcPr>
            <w:tcW w:w="84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实施期绩效目标</w:t>
            </w:r>
          </w:p>
        </w:tc>
        <w:tc>
          <w:tcPr>
            <w:tcW w:w="84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用党的创新理论武装全党、教育人民、推动工作，加强党委（党组）理论学习中心组学习，组织开展理论宣讲、加强理论宣讲阵地建设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本年度绩效目标</w:t>
            </w:r>
          </w:p>
        </w:tc>
        <w:tc>
          <w:tcPr>
            <w:tcW w:w="84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810" w:firstLineChars="450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用党的创新理论武装全党、教育人民、推动工作，加强党委（党组）理论学习中心组学习，组织开展理论宣讲、加强理论宣传阵地建设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指标值及单位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绩效标准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服务县委中心组学习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12次以上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督查考核党委（党组）理论学习中心组学习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2次以上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理论阐释和宣传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10场次以上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rPr>
                <w:rFonts w:hint="eastAsia" w:ascii="仿宋" w:hAnsi="仿宋" w:eastAsia="仿宋" w:cs="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8"/>
                <w:szCs w:val="18"/>
              </w:rPr>
              <w:t>理论中心组（扩大）专题辅导学习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2次以上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服务县委中心组学习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考核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督查考核党委（党组）理论学习中心组学习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考核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理论阐释和宣传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考核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rPr>
                <w:rFonts w:hint="eastAsia" w:ascii="仿宋" w:hAnsi="仿宋" w:eastAsia="仿宋" w:cs="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8"/>
                <w:szCs w:val="18"/>
              </w:rPr>
              <w:t>理论中心组（扩大）专题辅导学习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考核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2021年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12月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完成率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2021年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12月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完成率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2021年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12月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完成率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50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2021年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12月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完成率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服务县委中心组学习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2万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督查考核党委（党组）理论学习中心组学习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2万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理论阐释和宣传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2万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8"/>
                <w:szCs w:val="18"/>
              </w:rPr>
              <w:t>理论中心组（扩大）专题辅导学习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2万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效益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理论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考核通过率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增强广大干部群众理论自信、道路自信、制度自信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提升满意率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推进马克思主义中国化、时代化、大众化，用党的创新理论武装全党、教育人民、推进工作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社会公众或服务对象满意度指标</w:t>
            </w:r>
          </w:p>
        </w:tc>
        <w:tc>
          <w:tcPr>
            <w:tcW w:w="3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提升社会公众满意度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填表人：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 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24"/>
          <w:szCs w:val="24"/>
        </w:rPr>
        <w:t>联系电话：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填报日期：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 xml:space="preserve">     年  月   日 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    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单位负责人签字：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960" w:firstLineChars="400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960" w:firstLineChars="400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960" w:firstLineChars="400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960" w:firstLineChars="400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960" w:firstLineChars="400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960" w:firstLineChars="400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960" w:firstLineChars="400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960" w:firstLineChars="400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960" w:firstLineChars="400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960" w:firstLineChars="400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960" w:firstLineChars="400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960" w:firstLineChars="400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960" w:firstLineChars="400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960" w:firstLineChars="400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960" w:firstLineChars="400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960" w:firstLineChars="400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960" w:firstLineChars="400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960" w:firstLineChars="400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960" w:firstLineChars="400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960" w:firstLineChars="400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960" w:firstLineChars="400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960" w:firstLineChars="400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960" w:firstLineChars="400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960" w:firstLineChars="400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960" w:firstLineChars="400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960" w:firstLineChars="400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960" w:firstLineChars="400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960" w:firstLineChars="400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960" w:firstLineChars="400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960" w:firstLineChars="400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960" w:firstLineChars="400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960" w:firstLineChars="400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960" w:firstLineChars="400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ind w:firstLine="960" w:firstLineChars="400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center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5"/>
        <w:tblW w:w="90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645"/>
        <w:gridCol w:w="1365"/>
        <w:gridCol w:w="2910"/>
        <w:gridCol w:w="445"/>
        <w:gridCol w:w="1145"/>
        <w:gridCol w:w="12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填报单位：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县委宣传部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（盖章）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项目支出名称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 xml:space="preserve">  精神文明创建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预算部门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预算金额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项目支出实施期</w:t>
            </w:r>
          </w:p>
        </w:tc>
        <w:tc>
          <w:tcPr>
            <w:tcW w:w="77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实施期绩效目标</w:t>
            </w:r>
          </w:p>
        </w:tc>
        <w:tc>
          <w:tcPr>
            <w:tcW w:w="77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负责组织指导文明单位、文明窗口等群众性精神文明创建活动；负责指导协调社会主义核心价值观培育和治理工作；负责公益广告宣传、道德领域突出问题专项教育和治理工作；负责“讲文明·树新风”活动和指导协调推进移风易俗工作；负责组织开展文明旅游、文明交通、文明餐桌等工作；负责指导协调新时代文明实践中心建设工作；负责指导协调“我们的节日”活动；负责文明网有关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本年度绩效目标</w:t>
            </w:r>
          </w:p>
        </w:tc>
        <w:tc>
          <w:tcPr>
            <w:tcW w:w="77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810" w:firstLineChars="450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加强未成年人思想道德建设，培育担当民族复兴大任的时代新人，弘扬共筑美好生活梦想的时代新风，提高全社会文明程度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指标值及单位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绩效标准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精神文明创建活动指导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全县副科级以民独立核算单位1次以上　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志愿服务活动指导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8次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新时代文明实践中心建设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19个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rPr>
                <w:rFonts w:hint="eastAsia" w:ascii="仿宋" w:hAnsi="仿宋" w:eastAsia="仿宋" w:cs="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8"/>
                <w:szCs w:val="18"/>
              </w:rPr>
              <w:t>移风易俗工作开展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4次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精神文明创建活动指导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开展率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志愿服务活动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指导开展率开展率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新时代文明实践中心建设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开展率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rPr>
                <w:rFonts w:hint="eastAsia" w:ascii="仿宋" w:hAnsi="仿宋" w:eastAsia="仿宋" w:cs="仿宋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8"/>
                <w:szCs w:val="18"/>
              </w:rPr>
              <w:t>移风易俗工作开展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开展率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精神文明创建活动指导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2021年12月完成率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志愿服务活动指导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2021年12月完成率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新时代文明实践中心建设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2021年12月完成率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8"/>
                <w:szCs w:val="18"/>
              </w:rPr>
              <w:t>移风易俗工作开展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2021年12月完成率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精神文明创建活动指导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3万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历史标准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志愿服务活动指导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2万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历史标准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新时代文明实践中心建设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3万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历史标准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8"/>
                <w:szCs w:val="18"/>
              </w:rPr>
              <w:t>移风易俗工作开展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1万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历史标准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效益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全县城乡文明程度提升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率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958%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　　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志愿服务活动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满意率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958%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80" w:firstLineChars="1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全县城乡文明程度提升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率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958%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新时代文明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建设满意率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958%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widowControl/>
              <w:ind w:firstLine="150" w:firstLineChars="1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社会公众或服务对象满意度指标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提升社会公众满意度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958%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填表人：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 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24"/>
          <w:szCs w:val="24"/>
        </w:rPr>
        <w:t>联系电话：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填报日期：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 xml:space="preserve">     年  月   日 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    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单位负责人签字：</w:t>
      </w:r>
    </w:p>
    <w:p>
      <w:pPr>
        <w:widowControl/>
        <w:spacing w:line="600" w:lineRule="exact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spacing w:line="600" w:lineRule="exact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spacing w:line="600" w:lineRule="exact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spacing w:line="600" w:lineRule="exact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spacing w:line="600" w:lineRule="exact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spacing w:line="600" w:lineRule="exact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spacing w:line="600" w:lineRule="exact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jc w:val="left"/>
        <w:rPr>
          <w:rFonts w:hint="eastAsia" w:ascii="仿宋" w:hAnsi="仿宋" w:eastAsia="仿宋"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/>
          <w:bCs/>
          <w:kern w:val="0"/>
          <w:sz w:val="24"/>
          <w:szCs w:val="24"/>
          <w:lang w:val="en-US" w:eastAsia="zh-CN"/>
        </w:rPr>
        <w:t xml:space="preserve">        </w:t>
      </w:r>
    </w:p>
    <w:p>
      <w:pPr>
        <w:widowControl/>
        <w:jc w:val="left"/>
        <w:rPr>
          <w:rFonts w:hint="eastAsia" w:ascii="仿宋" w:hAnsi="仿宋" w:eastAsia="仿宋"/>
          <w:bCs/>
          <w:kern w:val="0"/>
          <w:sz w:val="24"/>
          <w:szCs w:val="24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/>
          <w:bCs/>
          <w:kern w:val="0"/>
          <w:sz w:val="24"/>
          <w:szCs w:val="24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/>
          <w:bCs/>
          <w:kern w:val="0"/>
          <w:sz w:val="24"/>
          <w:szCs w:val="24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/>
          <w:bCs/>
          <w:kern w:val="0"/>
          <w:sz w:val="24"/>
          <w:szCs w:val="24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/>
          <w:bCs/>
          <w:kern w:val="0"/>
          <w:sz w:val="24"/>
          <w:szCs w:val="24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/>
          <w:bCs/>
          <w:kern w:val="0"/>
          <w:sz w:val="24"/>
          <w:szCs w:val="24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/>
          <w:bCs/>
          <w:kern w:val="0"/>
          <w:sz w:val="24"/>
          <w:szCs w:val="24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/>
          <w:bCs/>
          <w:kern w:val="0"/>
          <w:sz w:val="24"/>
          <w:szCs w:val="24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/>
          <w:bCs/>
          <w:kern w:val="0"/>
          <w:sz w:val="24"/>
          <w:szCs w:val="24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/>
          <w:bCs/>
          <w:kern w:val="0"/>
          <w:sz w:val="24"/>
          <w:szCs w:val="24"/>
          <w:lang w:val="en-US" w:eastAsia="zh-CN"/>
        </w:rPr>
      </w:pPr>
    </w:p>
    <w:p>
      <w:pPr>
        <w:widowControl/>
        <w:jc w:val="center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5"/>
        <w:tblW w:w="90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765"/>
        <w:gridCol w:w="1260"/>
        <w:gridCol w:w="2505"/>
        <w:gridCol w:w="255"/>
        <w:gridCol w:w="445"/>
        <w:gridCol w:w="860"/>
        <w:gridCol w:w="15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填报单位：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县委宣传部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（盖章）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社科联工作经费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预算金额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项目支出实施期</w:t>
            </w:r>
          </w:p>
        </w:tc>
        <w:tc>
          <w:tcPr>
            <w:tcW w:w="76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实施期绩效目标</w:t>
            </w:r>
          </w:p>
        </w:tc>
        <w:tc>
          <w:tcPr>
            <w:tcW w:w="76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统一指导和协调哲学社会科学工作，加强理论研究，深化重大理论问题，重大现实问题，重大实践经验总结研究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本年度绩效目标</w:t>
            </w:r>
          </w:p>
        </w:tc>
        <w:tc>
          <w:tcPr>
            <w:tcW w:w="76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45" w:firstLineChars="4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加强理论研究和阐释，研究回答新时代重大理论和现实问题，推动党的理论创新成果的学理化，哲学社会科学话语体系的大众化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组织百姓微宣讲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12次以上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开展理论研讨活动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1次以上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举办形势政策报告会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2次以上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组织百姓微宣讲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每次时效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一小时以上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开展理论研讨活动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参会率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%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举办形势政策报告会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参会率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%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组织百姓微宣讲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2021年12月完成率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≥98%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开展理论研讨活动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2021年12月完成率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≥98%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举办形势政策报告会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2021年12月完成率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≥98%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组织百姓微宣讲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2万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98%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历史标准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开展理论研讨活动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1万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98%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历史标准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举办形势政策报告会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2万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98%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历史标准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推进马克思主义中国化时代化大众化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组织百姓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参加率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提升社会公众满意度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填表人：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 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24"/>
          <w:szCs w:val="24"/>
        </w:rPr>
        <w:t>联系电话：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填报日期：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 xml:space="preserve">     年  月   日 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    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单位负责人签字：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ind w:firstLine="1440" w:firstLineChars="600"/>
        <w:jc w:val="left"/>
        <w:rPr>
          <w:rFonts w:ascii="仿宋" w:hAnsi="仿宋" w:eastAsia="仿宋"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Cs/>
          <w:kern w:val="0"/>
          <w:sz w:val="24"/>
          <w:szCs w:val="2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2021年项目支出绩效目标表</w:t>
      </w:r>
    </w:p>
    <w:tbl>
      <w:tblPr>
        <w:tblStyle w:val="5"/>
        <w:tblW w:w="90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780"/>
        <w:gridCol w:w="1035"/>
        <w:gridCol w:w="2700"/>
        <w:gridCol w:w="255"/>
        <w:gridCol w:w="445"/>
        <w:gridCol w:w="736"/>
        <w:gridCol w:w="16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填报单位：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县委宣传部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（盖章）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项目支出名称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上级新闻媒体对接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预算部门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项目支出实施期</w:t>
            </w:r>
          </w:p>
        </w:tc>
        <w:tc>
          <w:tcPr>
            <w:tcW w:w="76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2021年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实施期绩效目标</w:t>
            </w:r>
          </w:p>
        </w:tc>
        <w:tc>
          <w:tcPr>
            <w:tcW w:w="76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负责全县新闻舆论宏观管理业务，组织协调新闻宣传报道；负责对本办开办的报纸及广播电视内容的审读和舆情分析工作；负责新闻单位记者证的审核、发放、备案、管理；承担县政府新闻办公室日常工作；负责指导协调全县新闻发布工作；研究拟订我县重大事项对外宣传口径；会同有关部门做好境外来访记者相关管理和服务工作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本年度绩效目标</w:t>
            </w:r>
          </w:p>
        </w:tc>
        <w:tc>
          <w:tcPr>
            <w:tcW w:w="76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80" w:firstLineChars="450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组织正面宣传，有理有利有节开展舆论斗争，组织热点引导和突发公共事件应急报道，开展新闻发布工作，加强传播手段，建设和创新，加强互联网宣传和信息内容管理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本年度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绩效标准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县委政府中心工作专题宣传市级以上新闻每周一篇以上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网络宣传每天1条以上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突发事件新闻应对1次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新闻发布和对外宣传</w:t>
            </w:r>
            <w:r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1次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县委政府中心工作专题宣传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互联网宣传和信息内容管理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效果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突发事件新闻应对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社会影响范围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小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新闻发布和对外宣传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效果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县委政府中心工作专题宣传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2021年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12月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完成率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互联网宣传和信息内容管理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2021年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12月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完成率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突发事件新闻应对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2021年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12月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完成率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新闻发布和对外宣传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2021年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12月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完成率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计划标准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县委政府中心工作专题宣传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3万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历史标准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互联网宣传和信息内容管理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历史标准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突发事件新闻应对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2万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历史标准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hint="default" w:ascii="仿宋" w:hAnsi="仿宋" w:eastAsia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新闻发布和对外宣传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历史标准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县委政府中心工作专题宣传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互联网宣传和信息内容管理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效果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突发事件新闻应对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社会影响范围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小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新闻发布和对外宣传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效果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县委政府中心工作专题宣传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率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互联网宣传和信息内容管理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效果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突发事件新闻应对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社会影响范围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小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新闻发布和对外宣传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效果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社会公众或服务对象满意度指标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提升社会公众满意度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仿宋" w:cs="Arial"/>
                <w:color w:val="000000"/>
                <w:kern w:val="0"/>
                <w:sz w:val="15"/>
                <w:szCs w:val="15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  <w:lang w:val="en-US" w:eastAsia="zh-CN"/>
              </w:rPr>
              <w:t>98%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行业标准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填表人：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 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24"/>
          <w:szCs w:val="24"/>
        </w:rPr>
        <w:t>联系电话：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填报日期：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 xml:space="preserve">     年  月   日 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    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>单位负责人签字：</w:t>
      </w:r>
    </w:p>
    <w:p>
      <w:pPr>
        <w:widowControl/>
        <w:spacing w:line="600" w:lineRule="exact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spacing w:line="600" w:lineRule="exact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spacing w:line="600" w:lineRule="exact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</w:p>
    <w:p>
      <w:pPr>
        <w:widowControl/>
        <w:spacing w:line="600" w:lineRule="exact"/>
        <w:jc w:val="left"/>
        <w:rPr>
          <w:rFonts w:hint="eastAsia" w:ascii="仿宋" w:hAnsi="仿宋" w:eastAsia="仿宋"/>
          <w:bCs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pacing w:line="600" w:lineRule="exact"/>
        <w:jc w:val="left"/>
        <w:rPr>
          <w:rFonts w:ascii="仿宋" w:hAnsi="仿宋" w:eastAsia="仿宋"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附件2-2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项目支出绩效目标表编报说明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填报单位（盖章）：加盖填报单位公章。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2.项目支出名称：填写规范的项目支出名称。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3.预算部门：</w:t>
      </w:r>
      <w:r>
        <w:rPr>
          <w:rFonts w:hint="eastAsia" w:ascii="仿宋_GB2312" w:hAnsi="仿宋_GB2312" w:eastAsia="仿宋_GB2312" w:cs="仿宋_GB2312"/>
          <w:sz w:val="28"/>
          <w:szCs w:val="28"/>
        </w:rPr>
        <w:t>填写项目支出的主管部门全称。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4.年度本级预算金额：本年度该项目支出本级预算总金额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5.该项目支出上级资金：预算年度项目支出获得上级财政资金总额，市、县要按中央、省（市）分别填报。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6.项目支出实施期：按照报同级政府审定的项目支出设置情况填写。</w:t>
      </w:r>
    </w:p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7.实施期绩效目标：概括描述该项目支出整个实施期内的总体产出和效益。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8.本年度绩效目标：概括描述该项目支出本年度计划达到的产出和效益。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9.绩效指标：对支出方向绩效目标的细化和量化，具体解释见后。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shd w:val="clear" w:fill="FFFF00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fill="FFFF00"/>
        </w:rPr>
        <w:t>绩效标准：设定绩效指标值时依据或参考的标准，一般包括：历史标准，是指同类指标的历史数据等；行业标准，是指国家公布的行业指标数据等；计划标准，是指预先制定的目标、计划、预算、定额等数据；财政部门和预算部门确认或认可的其他标准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11.产出指标：反映支出方向根据既定目标计划完成的产品和服务情况。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12.数量指标：反映支出方向预算年度内计划完成的产品或提供的服务数量。如支持学前教育发展资金：</w:t>
      </w:r>
    </w:p>
    <w:tbl>
      <w:tblPr>
        <w:tblStyle w:val="5"/>
        <w:tblW w:w="85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569"/>
        <w:gridCol w:w="3821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一级指标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二级指标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三级指标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数量指标</w:t>
            </w: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全国学前三年毛入园率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普惠性学前教育覆盖率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新增幼儿园数量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5000所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支持地方扶持企事业单位、集体办园和普惠性民办园的受益儿童数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1000万人次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资助家庭经济困难幼儿入园数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1200万人次</w:t>
            </w:r>
          </w:p>
        </w:tc>
      </w:tr>
    </w:tbl>
    <w:p>
      <w:pPr>
        <w:widowControl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（该指标仅用于解释说明数量指标的填报。）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13.质量指标：反映支出方向计划提供产品或服务达到的标准、水平和效果。如退役安置补助资金：</w:t>
      </w:r>
    </w:p>
    <w:tbl>
      <w:tblPr>
        <w:tblStyle w:val="5"/>
        <w:tblW w:w="86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559"/>
        <w:gridCol w:w="3301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质量指标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教育培训参训率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教育培训合格率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教育培训就业率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军休服务房建筑标准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办公用房标准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下拨经费符合相关政策规定比率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100%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（该指标仅用于解释说明质量指标的填报。）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14.时效指标：反映支出方向计划提供产品或服务的及时程度和效率情况。如优抚对象抚恤补助资金：</w:t>
      </w:r>
    </w:p>
    <w:tbl>
      <w:tblPr>
        <w:tblStyle w:val="5"/>
        <w:tblW w:w="8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545"/>
        <w:gridCol w:w="310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产出指标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时效指标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优抚对象抚恤补助资金下拨时间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2019年年底前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Lines="50" w:line="6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烈士褒扬金下拨标准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2019年年底前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（该指标仅用于解释说明时效指标的填报。）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15.成本指标：反映支出方向计划提供产品或服务所需成本。如非物质文化遗产保护资金：</w:t>
      </w:r>
    </w:p>
    <w:tbl>
      <w:tblPr>
        <w:tblStyle w:val="5"/>
        <w:tblW w:w="87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744"/>
        <w:gridCol w:w="3371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三级指标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产出</w:t>
            </w:r>
          </w:p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成本</w:t>
            </w:r>
          </w:p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国家级非遗代表性项目年度重点项目平均补助资金额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≥30万元/个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国家级代表性传承人抢救性记录补助金额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40万元/人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国家级代表性传承人传承活动补助资金额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Lines="50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2万元/人</w:t>
            </w:r>
          </w:p>
        </w:tc>
      </w:tr>
    </w:tbl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（该指标仅用于解释说明成本指标的填报。）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16.效益指标：反映与支出方向既定绩效目标相关的、预期结果的实现程度和影响，包括经济效益指标、社会效益指标、生态效益指标、可持续影响指标及社会公众或服务对象满意度指标等。相关的三级指标和指标值参照产出指标的模式填写。该支出方向有什么类型的效益指标就填报该类型的指标，并非经济、社会、生态、可持续影响和满意度指标都要全部填写。</w:t>
      </w: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spacing w:afterLines="50"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spacing w:afterLines="50" w:line="600" w:lineRule="exac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242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369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00652"/>
    <w:rsid w:val="00000395"/>
    <w:rsid w:val="000346B0"/>
    <w:rsid w:val="0003543B"/>
    <w:rsid w:val="00042898"/>
    <w:rsid w:val="00053067"/>
    <w:rsid w:val="00056EA6"/>
    <w:rsid w:val="00063AC9"/>
    <w:rsid w:val="0006798C"/>
    <w:rsid w:val="00086D87"/>
    <w:rsid w:val="000F4959"/>
    <w:rsid w:val="00120E0E"/>
    <w:rsid w:val="00130FBB"/>
    <w:rsid w:val="00141501"/>
    <w:rsid w:val="001A754D"/>
    <w:rsid w:val="001C11C3"/>
    <w:rsid w:val="001D1340"/>
    <w:rsid w:val="001D18F8"/>
    <w:rsid w:val="00226C4A"/>
    <w:rsid w:val="00232082"/>
    <w:rsid w:val="00232B0C"/>
    <w:rsid w:val="00245C4F"/>
    <w:rsid w:val="0025405D"/>
    <w:rsid w:val="00254D19"/>
    <w:rsid w:val="002748BD"/>
    <w:rsid w:val="00276B68"/>
    <w:rsid w:val="00286319"/>
    <w:rsid w:val="002D2CA9"/>
    <w:rsid w:val="003641D2"/>
    <w:rsid w:val="003700B0"/>
    <w:rsid w:val="003705B9"/>
    <w:rsid w:val="00382AB1"/>
    <w:rsid w:val="003B567D"/>
    <w:rsid w:val="003B631E"/>
    <w:rsid w:val="003D4764"/>
    <w:rsid w:val="003D663C"/>
    <w:rsid w:val="003E01EE"/>
    <w:rsid w:val="004262D9"/>
    <w:rsid w:val="00431700"/>
    <w:rsid w:val="00453A2A"/>
    <w:rsid w:val="004C7BEF"/>
    <w:rsid w:val="004F4A78"/>
    <w:rsid w:val="004F7E36"/>
    <w:rsid w:val="00515C86"/>
    <w:rsid w:val="00520398"/>
    <w:rsid w:val="00530743"/>
    <w:rsid w:val="005322A2"/>
    <w:rsid w:val="005364F8"/>
    <w:rsid w:val="005A6190"/>
    <w:rsid w:val="00614417"/>
    <w:rsid w:val="00620112"/>
    <w:rsid w:val="0062245C"/>
    <w:rsid w:val="00626D18"/>
    <w:rsid w:val="00627634"/>
    <w:rsid w:val="00685620"/>
    <w:rsid w:val="00696F07"/>
    <w:rsid w:val="006E3B09"/>
    <w:rsid w:val="007044A6"/>
    <w:rsid w:val="00735272"/>
    <w:rsid w:val="00762539"/>
    <w:rsid w:val="00767FDF"/>
    <w:rsid w:val="00780163"/>
    <w:rsid w:val="00790EEF"/>
    <w:rsid w:val="007E21AE"/>
    <w:rsid w:val="00801F0C"/>
    <w:rsid w:val="00804FD9"/>
    <w:rsid w:val="008324D8"/>
    <w:rsid w:val="00855C70"/>
    <w:rsid w:val="00872B96"/>
    <w:rsid w:val="00890F3C"/>
    <w:rsid w:val="00944D8F"/>
    <w:rsid w:val="0096225A"/>
    <w:rsid w:val="009A61C8"/>
    <w:rsid w:val="009C14B6"/>
    <w:rsid w:val="009D076C"/>
    <w:rsid w:val="00AA40B7"/>
    <w:rsid w:val="00AD1DEE"/>
    <w:rsid w:val="00AF7C10"/>
    <w:rsid w:val="00B2044A"/>
    <w:rsid w:val="00B2574B"/>
    <w:rsid w:val="00B430BB"/>
    <w:rsid w:val="00B93D22"/>
    <w:rsid w:val="00B979CE"/>
    <w:rsid w:val="00BB0BCE"/>
    <w:rsid w:val="00BF7E9F"/>
    <w:rsid w:val="00C00652"/>
    <w:rsid w:val="00C26887"/>
    <w:rsid w:val="00C41526"/>
    <w:rsid w:val="00CD6153"/>
    <w:rsid w:val="00CE148D"/>
    <w:rsid w:val="00CE26D9"/>
    <w:rsid w:val="00D209CB"/>
    <w:rsid w:val="00D334DB"/>
    <w:rsid w:val="00D53BB3"/>
    <w:rsid w:val="00D81630"/>
    <w:rsid w:val="00DA15F6"/>
    <w:rsid w:val="00E16EF1"/>
    <w:rsid w:val="00E26131"/>
    <w:rsid w:val="00E85B93"/>
    <w:rsid w:val="00E95C6B"/>
    <w:rsid w:val="00EA2C83"/>
    <w:rsid w:val="00EC3244"/>
    <w:rsid w:val="00ED430A"/>
    <w:rsid w:val="00EE3F78"/>
    <w:rsid w:val="00F03AB0"/>
    <w:rsid w:val="00F139FF"/>
    <w:rsid w:val="00F32F58"/>
    <w:rsid w:val="00F41883"/>
    <w:rsid w:val="00FA1973"/>
    <w:rsid w:val="00FA2951"/>
    <w:rsid w:val="00FD6480"/>
    <w:rsid w:val="01C61005"/>
    <w:rsid w:val="08F4629C"/>
    <w:rsid w:val="095C5113"/>
    <w:rsid w:val="098D4444"/>
    <w:rsid w:val="0BB160D4"/>
    <w:rsid w:val="0C1B7213"/>
    <w:rsid w:val="0DD52B6D"/>
    <w:rsid w:val="0EC97375"/>
    <w:rsid w:val="146E229B"/>
    <w:rsid w:val="152C6821"/>
    <w:rsid w:val="168F6106"/>
    <w:rsid w:val="16E810F9"/>
    <w:rsid w:val="17A84C8A"/>
    <w:rsid w:val="19AF6314"/>
    <w:rsid w:val="1CAE6F54"/>
    <w:rsid w:val="1D1E2B32"/>
    <w:rsid w:val="1E722E6A"/>
    <w:rsid w:val="20064B75"/>
    <w:rsid w:val="21566A2A"/>
    <w:rsid w:val="216D2246"/>
    <w:rsid w:val="228C46CA"/>
    <w:rsid w:val="22BD56DB"/>
    <w:rsid w:val="241B59DC"/>
    <w:rsid w:val="2B6C0077"/>
    <w:rsid w:val="2BD80758"/>
    <w:rsid w:val="2CB10A95"/>
    <w:rsid w:val="2E4933DE"/>
    <w:rsid w:val="2EA8020A"/>
    <w:rsid w:val="2F423D78"/>
    <w:rsid w:val="334C4489"/>
    <w:rsid w:val="34F634C7"/>
    <w:rsid w:val="35485FAC"/>
    <w:rsid w:val="37811C99"/>
    <w:rsid w:val="380C68A7"/>
    <w:rsid w:val="3F6B1160"/>
    <w:rsid w:val="3FC90FE5"/>
    <w:rsid w:val="412D4F54"/>
    <w:rsid w:val="42546267"/>
    <w:rsid w:val="43B7720E"/>
    <w:rsid w:val="44C6709A"/>
    <w:rsid w:val="460B44E1"/>
    <w:rsid w:val="486620D7"/>
    <w:rsid w:val="48FB371E"/>
    <w:rsid w:val="49BF34EB"/>
    <w:rsid w:val="4A007D2E"/>
    <w:rsid w:val="4AAE2A60"/>
    <w:rsid w:val="4BB46494"/>
    <w:rsid w:val="4BCC0014"/>
    <w:rsid w:val="4D821FA0"/>
    <w:rsid w:val="4E064061"/>
    <w:rsid w:val="4FA441ED"/>
    <w:rsid w:val="50A348C9"/>
    <w:rsid w:val="516A6594"/>
    <w:rsid w:val="52DC07BE"/>
    <w:rsid w:val="53271B30"/>
    <w:rsid w:val="547A4FD5"/>
    <w:rsid w:val="56573C02"/>
    <w:rsid w:val="5A787E28"/>
    <w:rsid w:val="5A912CB9"/>
    <w:rsid w:val="5BFE7253"/>
    <w:rsid w:val="5EA90F63"/>
    <w:rsid w:val="5F8B4C32"/>
    <w:rsid w:val="600D7D72"/>
    <w:rsid w:val="605C35F2"/>
    <w:rsid w:val="60AA066E"/>
    <w:rsid w:val="635171C3"/>
    <w:rsid w:val="64522DA1"/>
    <w:rsid w:val="65153BE6"/>
    <w:rsid w:val="65AE6E1F"/>
    <w:rsid w:val="663039E1"/>
    <w:rsid w:val="67C51689"/>
    <w:rsid w:val="68765041"/>
    <w:rsid w:val="69774726"/>
    <w:rsid w:val="6DE33B44"/>
    <w:rsid w:val="6E04243B"/>
    <w:rsid w:val="6E7940A8"/>
    <w:rsid w:val="6FBE1CE1"/>
    <w:rsid w:val="70E33B2D"/>
    <w:rsid w:val="717A440B"/>
    <w:rsid w:val="71817174"/>
    <w:rsid w:val="72EF417E"/>
    <w:rsid w:val="730001CF"/>
    <w:rsid w:val="74486B57"/>
    <w:rsid w:val="74B63A3C"/>
    <w:rsid w:val="75D9376C"/>
    <w:rsid w:val="760E3F15"/>
    <w:rsid w:val="77506A17"/>
    <w:rsid w:val="79CE4AB3"/>
    <w:rsid w:val="7B320341"/>
    <w:rsid w:val="7B6B3C0C"/>
    <w:rsid w:val="7C33733F"/>
    <w:rsid w:val="7CC14481"/>
    <w:rsid w:val="7DA96076"/>
    <w:rsid w:val="7E437693"/>
    <w:rsid w:val="7E69468A"/>
    <w:rsid w:val="7E912AED"/>
    <w:rsid w:val="7EA0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B68A60-6257-4F50-B727-BD0E7287BA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268</Words>
  <Characters>1533</Characters>
  <Lines>12</Lines>
  <Paragraphs>3</Paragraphs>
  <TotalTime>1</TotalTime>
  <ScaleCrop>false</ScaleCrop>
  <LinksUpToDate>false</LinksUpToDate>
  <CharactersWithSpaces>1798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2020-10-14T07:24:00Z</dcterms:created>
  <dc:creator>Administrator</dc:creator>
  <cp:lastModifiedBy>admin</cp:lastModifiedBy>
  <cp:lastPrinted>2020-12-16T08:15:00Z</cp:lastPrinted>
  <dcterms:modified xsi:type="dcterms:W3CDTF">2021-03-04T10:34:47Z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