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b/>
          <w:bCs/>
          <w:kern w:val="0"/>
          <w:sz w:val="24"/>
          <w:szCs w:val="24"/>
        </w:rPr>
      </w:pPr>
      <w:bookmarkStart w:id="0" w:name="_GoBack"/>
      <w:r>
        <w:rPr>
          <w:rFonts w:hint="eastAsia" w:ascii="仿宋" w:hAnsi="仿宋" w:eastAsia="仿宋"/>
          <w:b/>
          <w:bCs/>
          <w:kern w:val="0"/>
          <w:sz w:val="24"/>
          <w:szCs w:val="24"/>
        </w:rPr>
        <w:t xml:space="preserve"> 填报单位：（盖章）</w:t>
      </w:r>
      <w:r>
        <w:rPr>
          <w:rFonts w:hint="eastAsia" w:ascii="仿宋" w:hAnsi="仿宋" w:eastAsia="仿宋"/>
          <w:b/>
          <w:bCs/>
          <w:kern w:val="0"/>
          <w:sz w:val="24"/>
          <w:szCs w:val="24"/>
          <w:lang w:eastAsia="zh-CN"/>
        </w:rPr>
        <w:t>会同县政府</w:t>
      </w:r>
      <w:r>
        <w:rPr>
          <w:rFonts w:hint="eastAsia" w:ascii="仿宋" w:hAnsi="仿宋" w:eastAsia="仿宋"/>
          <w:b/>
          <w:bCs/>
          <w:kern w:val="0"/>
          <w:sz w:val="24"/>
          <w:szCs w:val="24"/>
          <w:lang w:val="en-US" w:eastAsia="zh-CN"/>
        </w:rPr>
        <w:t>采购中心</w:t>
      </w:r>
      <w:r>
        <w:rPr>
          <w:rFonts w:hint="eastAsia" w:ascii="仿宋" w:hAnsi="仿宋" w:eastAsia="仿宋"/>
          <w:b/>
          <w:bCs/>
          <w:kern w:val="0"/>
          <w:sz w:val="24"/>
          <w:szCs w:val="24"/>
        </w:rPr>
        <w:tab/>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269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部门名称</w:t>
            </w:r>
          </w:p>
        </w:tc>
        <w:tc>
          <w:tcPr>
            <w:tcW w:w="7681" w:type="dxa"/>
            <w:gridSpan w:val="5"/>
            <w:shd w:val="clear" w:color="auto" w:fill="auto"/>
            <w:vAlign w:val="center"/>
          </w:tcPr>
          <w:p>
            <w:pPr>
              <w:widowControl/>
              <w:jc w:val="center"/>
              <w:rPr>
                <w:rFonts w:ascii="仿宋" w:hAnsi="仿宋" w:eastAsia="仿宋"/>
                <w:b/>
                <w:bCs/>
                <w:kern w:val="0"/>
                <w:sz w:val="24"/>
                <w:szCs w:val="24"/>
              </w:rPr>
            </w:pPr>
            <w:r>
              <w:rPr>
                <w:rFonts w:hint="eastAsia" w:eastAsia="黑体"/>
                <w:b/>
                <w:bCs/>
                <w:kern w:val="0"/>
                <w:szCs w:val="21"/>
                <w:lang w:eastAsia="zh-CN"/>
              </w:rPr>
              <w:t>会同县政府采购中心</w:t>
            </w:r>
            <w:r>
              <w:rPr>
                <w:rFonts w:hint="eastAsia" w:ascii="仿宋" w:hAnsi="仿宋" w:eastAsia="仿宋"/>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年度预算申请</w:t>
            </w:r>
            <w:r>
              <w:rPr>
                <w:rFonts w:hint="eastAsia" w:ascii="仿宋" w:hAnsi="仿宋" w:eastAsia="仿宋"/>
                <w:b/>
                <w:bCs/>
                <w:kern w:val="0"/>
                <w:sz w:val="24"/>
                <w:szCs w:val="24"/>
              </w:rPr>
              <w:br w:type="textWrapping"/>
            </w:r>
            <w:r>
              <w:rPr>
                <w:rFonts w:hint="eastAsia" w:ascii="仿宋" w:hAnsi="仿宋" w:eastAsia="仿宋"/>
                <w:b/>
                <w:bCs/>
                <w:kern w:val="0"/>
                <w:sz w:val="24"/>
                <w:szCs w:val="24"/>
              </w:rPr>
              <w:t>（万元）</w:t>
            </w:r>
          </w:p>
        </w:tc>
        <w:tc>
          <w:tcPr>
            <w:tcW w:w="7681" w:type="dxa"/>
            <w:gridSpan w:val="5"/>
            <w:shd w:val="clear" w:color="auto" w:fill="auto"/>
            <w:vAlign w:val="center"/>
          </w:tcPr>
          <w:p>
            <w:pPr>
              <w:widowControl/>
              <w:jc w:val="left"/>
              <w:rPr>
                <w:rFonts w:hint="default" w:ascii="仿宋" w:hAnsi="仿宋" w:eastAsia="仿宋"/>
                <w:b/>
                <w:bCs/>
                <w:kern w:val="0"/>
                <w:sz w:val="24"/>
                <w:szCs w:val="24"/>
                <w:lang w:val="en-US" w:eastAsia="zh-CN"/>
              </w:rPr>
            </w:pPr>
            <w:r>
              <w:rPr>
                <w:rFonts w:hint="eastAsia" w:ascii="仿宋" w:hAnsi="仿宋" w:eastAsia="仿宋"/>
                <w:b/>
                <w:bCs/>
                <w:kern w:val="0"/>
                <w:sz w:val="24"/>
                <w:szCs w:val="24"/>
              </w:rPr>
              <w:t>资金总额：</w:t>
            </w:r>
            <w:r>
              <w:rPr>
                <w:rFonts w:hint="eastAsia" w:ascii="仿宋" w:hAnsi="仿宋" w:eastAsia="仿宋"/>
                <w:b/>
                <w:bCs/>
                <w:kern w:val="0"/>
                <w:sz w:val="24"/>
                <w:szCs w:val="24"/>
                <w:lang w:val="en-US" w:eastAsia="zh-CN"/>
              </w:rPr>
              <w:t>36.4万元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3940" w:type="dxa"/>
            <w:gridSpan w:val="3"/>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按收入性质分：</w:t>
            </w:r>
          </w:p>
        </w:tc>
        <w:tc>
          <w:tcPr>
            <w:tcW w:w="3741" w:type="dxa"/>
            <w:gridSpan w:val="2"/>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3940" w:type="dxa"/>
            <w:gridSpan w:val="3"/>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其中：  一般公共预算：</w:t>
            </w:r>
            <w:r>
              <w:rPr>
                <w:rFonts w:hint="eastAsia" w:ascii="仿宋" w:hAnsi="仿宋" w:eastAsia="仿宋"/>
                <w:b/>
                <w:bCs/>
                <w:kern w:val="0"/>
                <w:sz w:val="24"/>
                <w:szCs w:val="24"/>
                <w:lang w:val="en-US" w:eastAsia="zh-CN"/>
              </w:rPr>
              <w:t>36.4万元</w:t>
            </w:r>
          </w:p>
        </w:tc>
        <w:tc>
          <w:tcPr>
            <w:tcW w:w="3741" w:type="dxa"/>
            <w:gridSpan w:val="2"/>
            <w:shd w:val="clear" w:color="auto" w:fill="auto"/>
            <w:vAlign w:val="center"/>
          </w:tcPr>
          <w:p>
            <w:pPr>
              <w:widowControl/>
              <w:jc w:val="left"/>
              <w:rPr>
                <w:rFonts w:hint="default" w:ascii="仿宋" w:hAnsi="仿宋" w:eastAsia="仿宋"/>
                <w:b/>
                <w:bCs/>
                <w:kern w:val="0"/>
                <w:sz w:val="24"/>
                <w:szCs w:val="24"/>
                <w:lang w:val="en-US" w:eastAsia="zh-CN"/>
              </w:rPr>
            </w:pPr>
            <w:r>
              <w:rPr>
                <w:rFonts w:hint="eastAsia" w:ascii="仿宋" w:hAnsi="仿宋" w:eastAsia="仿宋"/>
                <w:b/>
                <w:bCs/>
                <w:kern w:val="0"/>
                <w:sz w:val="24"/>
                <w:szCs w:val="24"/>
              </w:rPr>
              <w:t>其中： 基本支出：</w:t>
            </w:r>
            <w:r>
              <w:rPr>
                <w:rFonts w:hint="eastAsia" w:ascii="仿宋" w:hAnsi="仿宋" w:eastAsia="仿宋"/>
                <w:b/>
                <w:bCs/>
                <w:kern w:val="0"/>
                <w:sz w:val="24"/>
                <w:szCs w:val="24"/>
                <w:lang w:val="en-US" w:eastAsia="zh-CN"/>
              </w:rPr>
              <w:t>28.4万元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3940" w:type="dxa"/>
            <w:gridSpan w:val="3"/>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 xml:space="preserve">       政府性基金拨款：</w:t>
            </w:r>
          </w:p>
        </w:tc>
        <w:tc>
          <w:tcPr>
            <w:tcW w:w="3741" w:type="dxa"/>
            <w:gridSpan w:val="2"/>
            <w:shd w:val="clear" w:color="auto" w:fill="auto"/>
            <w:vAlign w:val="center"/>
          </w:tcPr>
          <w:p>
            <w:pPr>
              <w:widowControl/>
              <w:jc w:val="left"/>
              <w:rPr>
                <w:rFonts w:hint="eastAsia" w:ascii="仿宋" w:hAnsi="仿宋" w:eastAsia="仿宋"/>
                <w:b/>
                <w:bCs/>
                <w:kern w:val="0"/>
                <w:sz w:val="24"/>
                <w:szCs w:val="24"/>
                <w:lang w:val="en-US" w:eastAsia="zh-CN"/>
              </w:rPr>
            </w:pPr>
            <w:r>
              <w:rPr>
                <w:rFonts w:hint="eastAsia" w:ascii="仿宋" w:hAnsi="仿宋" w:eastAsia="仿宋"/>
                <w:b/>
                <w:bCs/>
                <w:kern w:val="0"/>
                <w:sz w:val="24"/>
                <w:szCs w:val="24"/>
              </w:rPr>
              <w:t xml:space="preserve">       项目支出：</w:t>
            </w:r>
            <w:r>
              <w:rPr>
                <w:rFonts w:hint="eastAsia" w:ascii="仿宋" w:hAnsi="仿宋" w:eastAsia="仿宋"/>
                <w:b/>
                <w:bCs/>
                <w:kern w:val="0"/>
                <w:sz w:val="24"/>
                <w:szCs w:val="24"/>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3940" w:type="dxa"/>
            <w:gridSpan w:val="3"/>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纳入专户管理的非税收入拨款：</w:t>
            </w:r>
          </w:p>
        </w:tc>
        <w:tc>
          <w:tcPr>
            <w:tcW w:w="3741" w:type="dxa"/>
            <w:gridSpan w:val="2"/>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3940" w:type="dxa"/>
            <w:gridSpan w:val="3"/>
            <w:shd w:val="clear" w:color="auto" w:fill="auto"/>
            <w:vAlign w:val="center"/>
          </w:tcPr>
          <w:p>
            <w:pPr>
              <w:widowControl/>
              <w:jc w:val="left"/>
              <w:rPr>
                <w:rFonts w:ascii="仿宋" w:hAnsi="仿宋" w:eastAsia="仿宋"/>
                <w:b/>
                <w:bCs/>
                <w:kern w:val="0"/>
                <w:sz w:val="24"/>
                <w:szCs w:val="24"/>
              </w:rPr>
            </w:pPr>
            <w:r>
              <w:rPr>
                <w:rFonts w:hint="eastAsia" w:ascii="仿宋" w:hAnsi="仿宋" w:eastAsia="仿宋"/>
                <w:b/>
                <w:bCs/>
                <w:kern w:val="0"/>
                <w:sz w:val="24"/>
                <w:szCs w:val="24"/>
              </w:rPr>
              <w:t xml:space="preserve">       其他资金：</w:t>
            </w:r>
          </w:p>
        </w:tc>
        <w:tc>
          <w:tcPr>
            <w:tcW w:w="3741" w:type="dxa"/>
            <w:gridSpan w:val="2"/>
            <w:shd w:val="clear" w:color="auto" w:fill="auto"/>
            <w:vAlign w:val="center"/>
          </w:tcPr>
          <w:p>
            <w:pPr>
              <w:widowControl/>
              <w:jc w:val="left"/>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61"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部门职能</w:t>
            </w:r>
          </w:p>
          <w:p>
            <w:pPr>
              <w:widowControl/>
              <w:jc w:val="center"/>
              <w:rPr>
                <w:rFonts w:ascii="仿宋" w:hAnsi="仿宋" w:eastAsia="仿宋"/>
                <w:b/>
                <w:bCs/>
                <w:kern w:val="0"/>
                <w:sz w:val="24"/>
                <w:szCs w:val="24"/>
              </w:rPr>
            </w:pPr>
            <w:r>
              <w:rPr>
                <w:rFonts w:hint="eastAsia" w:ascii="仿宋" w:hAnsi="仿宋" w:eastAsia="仿宋"/>
                <w:b/>
                <w:bCs/>
                <w:kern w:val="0"/>
                <w:sz w:val="24"/>
                <w:szCs w:val="24"/>
              </w:rPr>
              <w:t>职责概述</w:t>
            </w:r>
          </w:p>
        </w:tc>
        <w:tc>
          <w:tcPr>
            <w:tcW w:w="7681" w:type="dxa"/>
            <w:gridSpan w:val="5"/>
            <w:shd w:val="clear" w:color="auto" w:fill="auto"/>
            <w:vAlign w:val="center"/>
          </w:tcPr>
          <w:p>
            <w:pPr>
              <w:keepNext w:val="0"/>
              <w:keepLines w:val="0"/>
              <w:pageBreakBefore w:val="0"/>
              <w:kinsoku/>
              <w:wordWrap/>
              <w:overflowPunct/>
              <w:topLinePunct w:val="0"/>
              <w:autoSpaceDE/>
              <w:autoSpaceDN w:val="0"/>
              <w:bidi w:val="0"/>
              <w:adjustRightInd/>
              <w:snapToGrid/>
              <w:spacing w:line="480" w:lineRule="atLeast"/>
              <w:ind w:firstLine="643"/>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组织协调和承办政府采购任务。负责政府采购信息的收集、发布、统计、分析和编制政府采购目录</w:t>
            </w:r>
          </w:p>
          <w:p>
            <w:pPr>
              <w:widowControl/>
              <w:jc w:val="left"/>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61"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整体绩效目标</w:t>
            </w:r>
          </w:p>
        </w:tc>
        <w:tc>
          <w:tcPr>
            <w:tcW w:w="7681" w:type="dxa"/>
            <w:gridSpan w:val="5"/>
            <w:shd w:val="clear" w:color="auto" w:fill="auto"/>
            <w:vAlign w:val="center"/>
          </w:tcPr>
          <w:p>
            <w:pPr>
              <w:widowControl/>
              <w:jc w:val="left"/>
              <w:rPr>
                <w:rFonts w:asciiTheme="minorHAnsi" w:hAnsiTheme="minorHAnsi" w:eastAsiaTheme="minorEastAsia" w:cstheme="minorBidi"/>
                <w:b/>
                <w:bCs/>
                <w:kern w:val="0"/>
                <w:sz w:val="21"/>
                <w:szCs w:val="21"/>
                <w:lang w:val="en-US" w:eastAsia="zh-CN" w:bidi="ar-SA"/>
              </w:rPr>
            </w:pPr>
            <w:r>
              <w:rPr>
                <w:rFonts w:hint="eastAsia" w:asciiTheme="minorEastAsia" w:hAnsiTheme="minorEastAsia" w:eastAsiaTheme="minorEastAsia" w:cstheme="minorEastAsia"/>
                <w:b/>
                <w:bCs/>
                <w:kern w:val="0"/>
                <w:szCs w:val="21"/>
              </w:rPr>
              <w:t>公开招标采购、竞争性谈判采购、竞争性磋商采购、询价采购、单一来源采购等完成率均为100%；投标人投标保证金收取和退还完成率100%；完成政府采购招标经费预算</w:t>
            </w:r>
            <w:r>
              <w:rPr>
                <w:rFonts w:hint="eastAsia" w:asciiTheme="minorEastAsia" w:hAnsiTheme="minorEastAsia" w:eastAsiaTheme="minorEastAsia" w:cstheme="minorEastAsia"/>
                <w:b/>
                <w:bCs/>
                <w:kern w:val="0"/>
                <w:szCs w:val="21"/>
                <w:lang w:val="en-US" w:eastAsia="zh-CN"/>
              </w:rPr>
              <w:t>36.4</w:t>
            </w:r>
            <w:r>
              <w:rPr>
                <w:rFonts w:hint="eastAsia" w:asciiTheme="minorEastAsia" w:hAnsiTheme="minorEastAsia" w:eastAsiaTheme="minorEastAsia" w:cstheme="minorEastAsia"/>
                <w:b/>
                <w:bCs/>
                <w:kern w:val="0"/>
                <w:szCs w:val="21"/>
              </w:rPr>
              <w:t>万元，资金使用率100%.</w:t>
            </w:r>
            <w:r>
              <w:rPr>
                <w:b/>
                <w:bCs/>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部门整体支出</w:t>
            </w:r>
          </w:p>
          <w:p>
            <w:pPr>
              <w:jc w:val="center"/>
              <w:rPr>
                <w:rFonts w:ascii="仿宋" w:hAnsi="仿宋" w:eastAsia="仿宋"/>
                <w:b/>
                <w:bCs/>
                <w:kern w:val="0"/>
                <w:sz w:val="24"/>
                <w:szCs w:val="24"/>
              </w:rPr>
            </w:pPr>
            <w:r>
              <w:rPr>
                <w:rFonts w:hint="eastAsia" w:ascii="仿宋" w:hAnsi="仿宋" w:eastAsia="仿宋"/>
                <w:b/>
                <w:bCs/>
                <w:kern w:val="0"/>
                <w:sz w:val="24"/>
                <w:szCs w:val="24"/>
              </w:rPr>
              <w:t>年度绩效指标</w:t>
            </w:r>
          </w:p>
        </w:tc>
        <w:tc>
          <w:tcPr>
            <w:tcW w:w="1147"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一级指标</w:t>
            </w:r>
          </w:p>
        </w:tc>
        <w:tc>
          <w:tcPr>
            <w:tcW w:w="1843"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二级指标</w:t>
            </w:r>
          </w:p>
        </w:tc>
        <w:tc>
          <w:tcPr>
            <w:tcW w:w="3645" w:type="dxa"/>
            <w:gridSpan w:val="2"/>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三级指标</w:t>
            </w:r>
          </w:p>
        </w:tc>
        <w:tc>
          <w:tcPr>
            <w:tcW w:w="1046" w:type="dxa"/>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restart"/>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产出指标</w:t>
            </w: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数量指标</w:t>
            </w:r>
          </w:p>
        </w:tc>
        <w:tc>
          <w:tcPr>
            <w:tcW w:w="3645" w:type="dxa"/>
            <w:gridSpan w:val="2"/>
            <w:shd w:val="clear" w:color="auto" w:fill="auto"/>
            <w:vAlign w:val="center"/>
          </w:tcPr>
          <w:p>
            <w:pPr>
              <w:rPr>
                <w:rFonts w:hint="default" w:eastAsia="宋体"/>
                <w:b/>
                <w:bCs/>
                <w:kern w:val="0"/>
                <w:szCs w:val="21"/>
                <w:lang w:val="en-US" w:eastAsia="zh-CN"/>
              </w:rPr>
            </w:pPr>
            <w:r>
              <w:rPr>
                <w:rFonts w:hint="eastAsia" w:asciiTheme="minorEastAsia" w:hAnsiTheme="minorEastAsia" w:eastAsiaTheme="minorEastAsia" w:cstheme="minorEastAsia"/>
                <w:b/>
                <w:bCs/>
                <w:kern w:val="0"/>
                <w:sz w:val="21"/>
                <w:szCs w:val="21"/>
                <w:lang w:val="en-US" w:eastAsia="zh-CN"/>
              </w:rPr>
              <w:t>保证工资支出和正常运转</w:t>
            </w:r>
          </w:p>
          <w:p>
            <w:pPr>
              <w:jc w:val="center"/>
              <w:rPr>
                <w:rFonts w:ascii="仿宋" w:hAnsi="仿宋" w:eastAsia="仿宋"/>
                <w:b/>
                <w:bCs/>
                <w:kern w:val="0"/>
                <w:sz w:val="21"/>
                <w:szCs w:val="21"/>
              </w:rPr>
            </w:pP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rPr>
                <w:rFonts w:hint="default" w:eastAsia="宋体"/>
                <w:b/>
                <w:bCs/>
                <w:kern w:val="0"/>
                <w:szCs w:val="21"/>
                <w:lang w:val="en-US" w:eastAsia="zh-CN"/>
              </w:rPr>
            </w:pPr>
            <w:r>
              <w:rPr>
                <w:rFonts w:hint="eastAsia"/>
                <w:b/>
                <w:bCs/>
                <w:kern w:val="0"/>
                <w:szCs w:val="21"/>
                <w:lang w:eastAsia="zh-CN"/>
              </w:rPr>
              <w:t>完成全年政府采购任务</w:t>
            </w:r>
            <w:r>
              <w:rPr>
                <w:rFonts w:hint="eastAsia"/>
                <w:b/>
                <w:bCs/>
                <w:kern w:val="0"/>
                <w:szCs w:val="21"/>
                <w:lang w:val="en-US" w:eastAsia="zh-CN"/>
              </w:rPr>
              <w:t>5千万元以上</w:t>
            </w:r>
          </w:p>
          <w:p>
            <w:pPr>
              <w:numPr>
                <w:ilvl w:val="0"/>
                <w:numId w:val="0"/>
              </w:numPr>
              <w:jc w:val="both"/>
              <w:rPr>
                <w:rFonts w:hint="eastAsia" w:ascii="宋体" w:hAnsi="宋体" w:eastAsia="宋体" w:cs="宋体"/>
                <w:b/>
                <w:bCs/>
                <w:kern w:val="0"/>
                <w:sz w:val="21"/>
                <w:szCs w:val="21"/>
              </w:rPr>
            </w:pPr>
          </w:p>
        </w:tc>
        <w:tc>
          <w:tcPr>
            <w:tcW w:w="1046" w:type="dxa"/>
            <w:shd w:val="clear" w:color="auto" w:fill="auto"/>
            <w:vAlign w:val="center"/>
          </w:tcPr>
          <w:p>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质量指标</w:t>
            </w: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Theme="minorEastAsia" w:hAnsiTheme="minorEastAsia" w:eastAsiaTheme="minorEastAsia" w:cstheme="minorEastAsia"/>
                <w:b/>
                <w:bCs/>
                <w:kern w:val="0"/>
                <w:sz w:val="21"/>
                <w:szCs w:val="21"/>
                <w:lang w:val="en-US" w:eastAsia="zh-CN"/>
              </w:rPr>
              <w:t>保证工资支出和正常运转，确保财政资金规范使用。</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Theme="minorEastAsia" w:hAnsiTheme="minorEastAsia" w:eastAsiaTheme="minorEastAsia" w:cstheme="minorEastAsia"/>
                <w:b/>
                <w:bCs/>
                <w:color w:val="000000"/>
                <w:kern w:val="0"/>
                <w:sz w:val="21"/>
                <w:szCs w:val="21"/>
              </w:rPr>
              <w:t>公开招标、竞争性谈判、竞争性磋商、询价采购，单一来源等多种采购方式和投标保证金收取和退还严格按政府采购法规定程序</w:t>
            </w:r>
            <w:r>
              <w:rPr>
                <w:rFonts w:hint="eastAsia" w:asciiTheme="minorEastAsia" w:hAnsiTheme="minorEastAsia" w:eastAsiaTheme="minorEastAsia" w:cstheme="minorEastAsia"/>
                <w:b/>
                <w:bCs/>
                <w:color w:val="000000"/>
                <w:kern w:val="0"/>
                <w:sz w:val="21"/>
                <w:szCs w:val="21"/>
                <w:lang w:eastAsia="zh-CN"/>
              </w:rPr>
              <w:t>及时</w:t>
            </w:r>
            <w:r>
              <w:rPr>
                <w:rFonts w:hint="eastAsia" w:asciiTheme="minorEastAsia" w:hAnsiTheme="minorEastAsia" w:eastAsiaTheme="minorEastAsia" w:cstheme="minorEastAsia"/>
                <w:b/>
                <w:bCs/>
                <w:color w:val="000000"/>
                <w:kern w:val="0"/>
                <w:sz w:val="21"/>
                <w:szCs w:val="21"/>
              </w:rPr>
              <w:t>办理</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成本指标</w:t>
            </w:r>
          </w:p>
        </w:tc>
        <w:tc>
          <w:tcPr>
            <w:tcW w:w="3645" w:type="dxa"/>
            <w:gridSpan w:val="2"/>
            <w:shd w:val="clear" w:color="auto" w:fill="auto"/>
            <w:vAlign w:val="center"/>
          </w:tcPr>
          <w:p>
            <w:pPr>
              <w:numPr>
                <w:ilvl w:val="0"/>
                <w:numId w:val="0"/>
              </w:numPr>
              <w:jc w:val="both"/>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eastAsia="zh-CN"/>
              </w:rPr>
              <w:t>一、基本支出</w:t>
            </w:r>
            <w:r>
              <w:rPr>
                <w:rFonts w:hint="eastAsia" w:asciiTheme="minorEastAsia" w:hAnsiTheme="minorEastAsia" w:cstheme="minorEastAsia"/>
                <w:b/>
                <w:bCs/>
                <w:kern w:val="0"/>
                <w:sz w:val="21"/>
                <w:szCs w:val="21"/>
                <w:lang w:val="en-US" w:eastAsia="zh-CN"/>
              </w:rPr>
              <w:t>28.4万元</w:t>
            </w:r>
          </w:p>
          <w:p>
            <w:pPr>
              <w:jc w:val="center"/>
              <w:rPr>
                <w:rFonts w:ascii="仿宋" w:hAnsi="仿宋" w:eastAsia="仿宋"/>
                <w:b/>
                <w:bCs/>
                <w:kern w:val="0"/>
                <w:sz w:val="21"/>
                <w:szCs w:val="21"/>
              </w:rPr>
            </w:pPr>
            <w:r>
              <w:rPr>
                <w:rFonts w:hint="eastAsia" w:asciiTheme="minorEastAsia" w:hAnsiTheme="minorEastAsia" w:eastAsiaTheme="minorEastAsia" w:cstheme="minorEastAsia"/>
                <w:b/>
                <w:bCs/>
                <w:kern w:val="0"/>
                <w:sz w:val="21"/>
                <w:szCs w:val="21"/>
                <w:lang w:val="en-US" w:eastAsia="zh-CN"/>
              </w:rPr>
              <w:t>其中工资福利支出</w:t>
            </w:r>
            <w:r>
              <w:rPr>
                <w:rFonts w:hint="eastAsia" w:asciiTheme="minorEastAsia" w:hAnsiTheme="minorEastAsia" w:cstheme="minorEastAsia"/>
                <w:b/>
                <w:bCs/>
                <w:kern w:val="0"/>
                <w:sz w:val="21"/>
                <w:szCs w:val="21"/>
                <w:lang w:val="en-US" w:eastAsia="zh-CN"/>
              </w:rPr>
              <w:t>17.9</w:t>
            </w:r>
            <w:r>
              <w:rPr>
                <w:rFonts w:hint="eastAsia" w:asciiTheme="minorEastAsia" w:hAnsiTheme="minorEastAsia" w:eastAsiaTheme="minorEastAsia" w:cstheme="minorEastAsia"/>
                <w:b/>
                <w:bCs/>
                <w:kern w:val="0"/>
                <w:sz w:val="21"/>
                <w:szCs w:val="21"/>
                <w:lang w:val="en-US" w:eastAsia="zh-CN"/>
              </w:rPr>
              <w:t>万元、商品和服务支出</w:t>
            </w:r>
            <w:r>
              <w:rPr>
                <w:rFonts w:hint="eastAsia" w:asciiTheme="minorEastAsia" w:hAnsiTheme="minorEastAsia" w:cstheme="minorEastAsia"/>
                <w:b/>
                <w:bCs/>
                <w:kern w:val="0"/>
                <w:sz w:val="21"/>
                <w:szCs w:val="21"/>
                <w:lang w:val="en-US" w:eastAsia="zh-CN"/>
              </w:rPr>
              <w:t>4.1</w:t>
            </w:r>
            <w:r>
              <w:rPr>
                <w:rFonts w:hint="eastAsia" w:asciiTheme="minorEastAsia" w:hAnsiTheme="minorEastAsia" w:eastAsiaTheme="minorEastAsia" w:cstheme="minorEastAsia"/>
                <w:b/>
                <w:bCs/>
                <w:kern w:val="0"/>
                <w:sz w:val="21"/>
                <w:szCs w:val="21"/>
                <w:lang w:val="en-US" w:eastAsia="zh-CN"/>
              </w:rPr>
              <w:t>万元（公务接待费</w:t>
            </w:r>
            <w:r>
              <w:rPr>
                <w:rFonts w:hint="eastAsia" w:asciiTheme="minorEastAsia" w:hAnsiTheme="minorEastAsia" w:cstheme="minorEastAsia"/>
                <w:b/>
                <w:bCs/>
                <w:kern w:val="0"/>
                <w:sz w:val="21"/>
                <w:szCs w:val="21"/>
                <w:lang w:val="en-US" w:eastAsia="zh-CN"/>
              </w:rPr>
              <w:t>0.2</w:t>
            </w:r>
            <w:r>
              <w:rPr>
                <w:rFonts w:hint="eastAsia" w:asciiTheme="minorEastAsia" w:hAnsiTheme="minorEastAsia" w:eastAsiaTheme="minorEastAsia" w:cstheme="minorEastAsia"/>
                <w:b/>
                <w:bCs/>
                <w:kern w:val="0"/>
                <w:sz w:val="21"/>
                <w:szCs w:val="21"/>
                <w:lang w:val="en-US" w:eastAsia="zh-CN"/>
              </w:rPr>
              <w:t>万元、公车经费0.</w:t>
            </w:r>
            <w:r>
              <w:rPr>
                <w:rFonts w:hint="eastAsia" w:asciiTheme="minorEastAsia" w:hAnsiTheme="minorEastAsia" w:cstheme="minorEastAsia"/>
                <w:b/>
                <w:bCs/>
                <w:kern w:val="0"/>
                <w:sz w:val="21"/>
                <w:szCs w:val="21"/>
                <w:lang w:val="en-US" w:eastAsia="zh-CN"/>
              </w:rPr>
              <w:t>3万</w:t>
            </w:r>
            <w:r>
              <w:rPr>
                <w:rFonts w:hint="eastAsia" w:asciiTheme="minorEastAsia" w:hAnsiTheme="minorEastAsia" w:eastAsiaTheme="minorEastAsia" w:cstheme="minorEastAsia"/>
                <w:b/>
                <w:bCs/>
                <w:kern w:val="0"/>
                <w:sz w:val="21"/>
                <w:szCs w:val="21"/>
                <w:lang w:val="en-US" w:eastAsia="zh-CN"/>
              </w:rPr>
              <w:t>元）、单位基本养老保险缴费</w:t>
            </w:r>
            <w:r>
              <w:rPr>
                <w:rFonts w:hint="eastAsia" w:asciiTheme="minorEastAsia" w:hAnsiTheme="minorEastAsia" w:cstheme="minorEastAsia"/>
                <w:b/>
                <w:bCs/>
                <w:kern w:val="0"/>
                <w:sz w:val="21"/>
                <w:szCs w:val="21"/>
                <w:lang w:val="en-US" w:eastAsia="zh-CN"/>
              </w:rPr>
              <w:t>3.2万元、</w:t>
            </w:r>
            <w:r>
              <w:rPr>
                <w:rFonts w:hint="eastAsia" w:asciiTheme="minorEastAsia" w:hAnsiTheme="minorEastAsia" w:eastAsiaTheme="minorEastAsia" w:cstheme="minorEastAsia"/>
                <w:b/>
                <w:bCs/>
                <w:kern w:val="0"/>
                <w:sz w:val="21"/>
                <w:szCs w:val="21"/>
                <w:lang w:val="en-US" w:eastAsia="zh-CN"/>
              </w:rPr>
              <w:t>对个人和家庭的补助</w:t>
            </w:r>
            <w:r>
              <w:rPr>
                <w:rFonts w:hint="eastAsia" w:asciiTheme="minorEastAsia" w:hAnsiTheme="minorEastAsia" w:cstheme="minorEastAsia"/>
                <w:b/>
                <w:bCs/>
                <w:kern w:val="0"/>
                <w:sz w:val="21"/>
                <w:szCs w:val="21"/>
                <w:lang w:val="en-US" w:eastAsia="zh-CN"/>
              </w:rPr>
              <w:t>1.6</w:t>
            </w:r>
            <w:r>
              <w:rPr>
                <w:rFonts w:hint="eastAsia" w:asciiTheme="minorEastAsia" w:hAnsiTheme="minorEastAsia" w:eastAsiaTheme="minorEastAsia" w:cstheme="minorEastAsia"/>
                <w:b/>
                <w:bCs/>
                <w:kern w:val="0"/>
                <w:sz w:val="21"/>
                <w:szCs w:val="21"/>
                <w:lang w:val="en-US" w:eastAsia="zh-CN"/>
              </w:rPr>
              <w:t>万元。</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numPr>
                <w:ilvl w:val="0"/>
                <w:numId w:val="0"/>
              </w:numPr>
              <w:jc w:val="both"/>
              <w:rPr>
                <w:rFonts w:hint="eastAsia" w:asciiTheme="minorEastAsia" w:hAnsiTheme="minorEastAsia" w:cstheme="minorEastAsia"/>
                <w:b/>
                <w:bCs/>
                <w:kern w:val="0"/>
                <w:sz w:val="21"/>
                <w:szCs w:val="21"/>
                <w:lang w:val="en-US" w:eastAsia="zh-CN"/>
              </w:rPr>
            </w:pPr>
          </w:p>
          <w:p>
            <w:pPr>
              <w:rPr>
                <w:rFonts w:hint="default" w:eastAsia="宋体"/>
                <w:b/>
                <w:bCs/>
                <w:kern w:val="0"/>
                <w:szCs w:val="21"/>
                <w:lang w:val="en-US" w:eastAsia="zh-CN"/>
              </w:rPr>
            </w:pPr>
            <w:r>
              <w:rPr>
                <w:rFonts w:hint="eastAsia"/>
                <w:b/>
                <w:bCs/>
                <w:kern w:val="0"/>
                <w:szCs w:val="21"/>
                <w:lang w:eastAsia="zh-CN"/>
              </w:rPr>
              <w:t>完成全年政府采购任务</w:t>
            </w:r>
            <w:r>
              <w:rPr>
                <w:rFonts w:hint="eastAsia"/>
                <w:b/>
                <w:bCs/>
                <w:kern w:val="0"/>
                <w:szCs w:val="21"/>
                <w:lang w:val="en-US" w:eastAsia="zh-CN"/>
              </w:rPr>
              <w:t>5千万元以上</w:t>
            </w:r>
          </w:p>
          <w:p>
            <w:pPr>
              <w:numPr>
                <w:ilvl w:val="0"/>
                <w:numId w:val="0"/>
              </w:numPr>
              <w:jc w:val="both"/>
              <w:rPr>
                <w:rFonts w:hint="eastAsia" w:asciiTheme="minorEastAsia" w:hAnsiTheme="minorEastAsia" w:cstheme="minorEastAsia"/>
                <w:b/>
                <w:bCs/>
                <w:kern w:val="0"/>
                <w:sz w:val="21"/>
                <w:szCs w:val="21"/>
                <w:lang w:val="en-US" w:eastAsia="zh-CN"/>
              </w:rPr>
            </w:pPr>
          </w:p>
          <w:p>
            <w:pPr>
              <w:jc w:val="center"/>
              <w:rPr>
                <w:rFonts w:ascii="仿宋" w:hAnsi="仿宋" w:eastAsia="仿宋"/>
                <w:b/>
                <w:bCs/>
                <w:kern w:val="0"/>
                <w:sz w:val="21"/>
                <w:szCs w:val="21"/>
              </w:rPr>
            </w:pP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时效指标</w:t>
            </w:r>
          </w:p>
        </w:tc>
        <w:tc>
          <w:tcPr>
            <w:tcW w:w="3645" w:type="dxa"/>
            <w:gridSpan w:val="2"/>
            <w:shd w:val="clear" w:color="auto" w:fill="auto"/>
            <w:vAlign w:val="center"/>
          </w:tcPr>
          <w:p>
            <w:pPr>
              <w:jc w:val="center"/>
              <w:rPr>
                <w:rFonts w:hint="eastAsia" w:ascii="仿宋" w:hAnsi="仿宋" w:eastAsiaTheme="minorEastAsia"/>
                <w:b/>
                <w:bCs/>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2021年</w:t>
            </w:r>
            <w:r>
              <w:rPr>
                <w:rFonts w:hint="eastAsia" w:asciiTheme="minorEastAsia" w:hAnsiTheme="minorEastAsia" w:cstheme="minorEastAsia"/>
                <w:b/>
                <w:bCs/>
                <w:kern w:val="0"/>
                <w:sz w:val="22"/>
                <w:szCs w:val="22"/>
                <w:lang w:val="en-US" w:eastAsia="zh-CN"/>
              </w:rPr>
              <w:t>12月</w:t>
            </w:r>
            <w:r>
              <w:rPr>
                <w:rFonts w:hint="eastAsia" w:asciiTheme="minorEastAsia" w:hAnsiTheme="minorEastAsia" w:eastAsiaTheme="minorEastAsia" w:cstheme="minorEastAsia"/>
                <w:b/>
                <w:bCs/>
                <w:kern w:val="0"/>
                <w:sz w:val="22"/>
                <w:szCs w:val="22"/>
                <w:lang w:val="en-US" w:eastAsia="zh-CN"/>
              </w:rPr>
              <w:t>完成</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2"/>
                <w:szCs w:val="22"/>
              </w:rPr>
            </w:pPr>
            <w:r>
              <w:rPr>
                <w:rFonts w:hint="eastAsia" w:asciiTheme="minorEastAsia" w:hAnsiTheme="minorEastAsia" w:eastAsiaTheme="minorEastAsia" w:cstheme="minorEastAsia"/>
                <w:b/>
                <w:bCs/>
                <w:kern w:val="0"/>
                <w:sz w:val="22"/>
                <w:szCs w:val="22"/>
                <w:lang w:val="en-US" w:eastAsia="zh-CN"/>
              </w:rPr>
              <w:t>2021年</w:t>
            </w:r>
            <w:r>
              <w:rPr>
                <w:rFonts w:hint="eastAsia" w:asciiTheme="minorEastAsia" w:hAnsiTheme="minorEastAsia" w:cstheme="minorEastAsia"/>
                <w:b/>
                <w:bCs/>
                <w:kern w:val="0"/>
                <w:sz w:val="22"/>
                <w:szCs w:val="22"/>
                <w:lang w:val="en-US" w:eastAsia="zh-CN"/>
              </w:rPr>
              <w:t>12月</w:t>
            </w:r>
            <w:r>
              <w:rPr>
                <w:rFonts w:hint="eastAsia" w:asciiTheme="minorEastAsia" w:hAnsiTheme="minorEastAsia" w:eastAsiaTheme="minorEastAsia" w:cstheme="minorEastAsia"/>
                <w:b/>
                <w:bCs/>
                <w:kern w:val="0"/>
                <w:sz w:val="22"/>
                <w:szCs w:val="22"/>
                <w:lang w:val="en-US" w:eastAsia="zh-CN"/>
              </w:rPr>
              <w:t>完成</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restart"/>
            <w:shd w:val="clear" w:color="auto" w:fill="auto"/>
            <w:vAlign w:val="center"/>
          </w:tcPr>
          <w:p>
            <w:pPr>
              <w:widowControl/>
              <w:jc w:val="center"/>
              <w:rPr>
                <w:rFonts w:ascii="仿宋" w:hAnsi="仿宋" w:eastAsia="仿宋"/>
                <w:b/>
                <w:bCs/>
                <w:kern w:val="0"/>
                <w:sz w:val="24"/>
                <w:szCs w:val="24"/>
              </w:rPr>
            </w:pPr>
            <w:r>
              <w:rPr>
                <w:rFonts w:hint="eastAsia" w:ascii="仿宋" w:hAnsi="仿宋" w:eastAsia="仿宋"/>
                <w:b/>
                <w:bCs/>
                <w:kern w:val="0"/>
                <w:sz w:val="24"/>
                <w:szCs w:val="24"/>
              </w:rPr>
              <w:t>效益指标</w:t>
            </w: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经济效益指标</w:t>
            </w:r>
          </w:p>
        </w:tc>
        <w:tc>
          <w:tcPr>
            <w:tcW w:w="3645" w:type="dxa"/>
            <w:gridSpan w:val="2"/>
            <w:shd w:val="clear" w:color="auto" w:fill="auto"/>
            <w:vAlign w:val="center"/>
          </w:tcPr>
          <w:p>
            <w:pPr>
              <w:jc w:val="both"/>
              <w:rPr>
                <w:rFonts w:ascii="仿宋" w:hAnsi="仿宋" w:eastAsia="仿宋"/>
                <w:b/>
                <w:bCs/>
                <w:kern w:val="0"/>
                <w:sz w:val="24"/>
                <w:szCs w:val="24"/>
              </w:rPr>
            </w:pPr>
            <w:r>
              <w:rPr>
                <w:rFonts w:hint="eastAsia"/>
                <w:b/>
                <w:bCs/>
                <w:kern w:val="0"/>
                <w:szCs w:val="21"/>
                <w:lang w:eastAsia="zh-CN"/>
              </w:rPr>
              <w:t>执行政府采购预算时，结算金额低于财政预算金额，厉行节约资金，努力使节约率达</w:t>
            </w:r>
            <w:r>
              <w:rPr>
                <w:rFonts w:hint="eastAsia"/>
                <w:b/>
                <w:bCs/>
                <w:kern w:val="0"/>
                <w:szCs w:val="21"/>
                <w:lang w:val="en-US" w:eastAsia="zh-CN"/>
              </w:rPr>
              <w:t>3</w:t>
            </w:r>
            <w:r>
              <w:rPr>
                <w:rFonts w:hint="eastAsia"/>
                <w:b/>
                <w:bCs/>
                <w:kern w:val="0"/>
                <w:szCs w:val="21"/>
                <w:lang w:eastAsia="zh-CN"/>
              </w:rPr>
              <w:t>%以上。</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w:t>
            </w:r>
          </w:p>
        </w:tc>
        <w:tc>
          <w:tcPr>
            <w:tcW w:w="1046" w:type="dxa"/>
            <w:shd w:val="clear" w:color="auto" w:fill="auto"/>
            <w:vAlign w:val="center"/>
          </w:tcPr>
          <w:p>
            <w:pPr>
              <w:jc w:val="center"/>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社会效益指标</w:t>
            </w:r>
          </w:p>
        </w:tc>
        <w:tc>
          <w:tcPr>
            <w:tcW w:w="3645" w:type="dxa"/>
            <w:gridSpan w:val="2"/>
            <w:shd w:val="clear" w:color="auto" w:fill="auto"/>
            <w:vAlign w:val="center"/>
          </w:tcPr>
          <w:p>
            <w:pPr>
              <w:jc w:val="center"/>
              <w:rPr>
                <w:rFonts w:hint="eastAsia" w:ascii="仿宋" w:hAnsi="仿宋" w:eastAsia="宋体"/>
                <w:b/>
                <w:bCs/>
                <w:kern w:val="0"/>
                <w:sz w:val="24"/>
                <w:szCs w:val="24"/>
                <w:lang w:eastAsia="zh-CN"/>
              </w:rPr>
            </w:pPr>
            <w:r>
              <w:rPr>
                <w:rFonts w:hint="eastAsia" w:ascii="宋体" w:hAnsi="宋体" w:eastAsia="宋体" w:cs="宋体"/>
                <w:b/>
                <w:bCs/>
                <w:color w:val="auto"/>
                <w:sz w:val="21"/>
                <w:szCs w:val="21"/>
              </w:rPr>
              <w:t>坚持“公开、公平、公正和诚实信用”的宗旨，认真组织各项政府采购活动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确保广大采购单位得到质量保证</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宋体" w:hAnsi="宋体" w:eastAsia="宋体" w:cs="宋体"/>
                <w:b/>
                <w:bCs/>
                <w:color w:val="auto"/>
                <w:sz w:val="21"/>
                <w:szCs w:val="21"/>
              </w:rPr>
              <w:t>全面实行“阳光采购”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自觉接受广大采购单位、供应商以及社会各界的监督。</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生态效益指标</w:t>
            </w:r>
          </w:p>
        </w:tc>
        <w:tc>
          <w:tcPr>
            <w:tcW w:w="3645" w:type="dxa"/>
            <w:gridSpan w:val="2"/>
            <w:shd w:val="clear" w:color="auto" w:fill="auto"/>
            <w:vAlign w:val="center"/>
          </w:tcPr>
          <w:p>
            <w:pPr>
              <w:jc w:val="center"/>
              <w:rPr>
                <w:rFonts w:ascii="仿宋" w:hAnsi="仿宋" w:eastAsia="仿宋"/>
                <w:b/>
                <w:bCs/>
                <w:kern w:val="0"/>
                <w:sz w:val="24"/>
                <w:szCs w:val="24"/>
              </w:rPr>
            </w:pPr>
          </w:p>
        </w:tc>
        <w:tc>
          <w:tcPr>
            <w:tcW w:w="1046" w:type="dxa"/>
            <w:shd w:val="clear" w:color="auto" w:fill="auto"/>
            <w:vAlign w:val="center"/>
          </w:tcPr>
          <w:p>
            <w:pPr>
              <w:jc w:val="center"/>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w:t>
            </w:r>
          </w:p>
        </w:tc>
        <w:tc>
          <w:tcPr>
            <w:tcW w:w="1046" w:type="dxa"/>
            <w:shd w:val="clear" w:color="auto" w:fill="auto"/>
            <w:vAlign w:val="center"/>
          </w:tcPr>
          <w:p>
            <w:pPr>
              <w:jc w:val="center"/>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可持续影响指标</w:t>
            </w:r>
          </w:p>
        </w:tc>
        <w:tc>
          <w:tcPr>
            <w:tcW w:w="3645" w:type="dxa"/>
            <w:gridSpan w:val="2"/>
            <w:shd w:val="clear" w:color="auto" w:fill="auto"/>
            <w:vAlign w:val="center"/>
          </w:tcPr>
          <w:p>
            <w:pPr>
              <w:jc w:val="center"/>
              <w:rPr>
                <w:rFonts w:ascii="仿宋" w:hAnsi="仿宋" w:eastAsia="仿宋"/>
                <w:b/>
                <w:bCs/>
                <w:kern w:val="0"/>
                <w:sz w:val="21"/>
                <w:szCs w:val="21"/>
              </w:rPr>
            </w:pPr>
            <w:r>
              <w:rPr>
                <w:rFonts w:hint="eastAsia" w:asciiTheme="minorEastAsia" w:hAnsiTheme="minorEastAsia" w:eastAsiaTheme="minorEastAsia" w:cstheme="minorEastAsia"/>
                <w:b/>
                <w:bCs/>
                <w:i w:val="0"/>
                <w:caps w:val="0"/>
                <w:color w:val="222222"/>
                <w:spacing w:val="0"/>
                <w:sz w:val="21"/>
                <w:szCs w:val="21"/>
                <w:shd w:val="clear" w:fill="FFFFFF"/>
              </w:rPr>
              <w:t>可持续影响数年以上</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hint="eastAsia" w:ascii="仿宋" w:hAnsi="仿宋" w:eastAsiaTheme="minorEastAsia"/>
                <w:b/>
                <w:bCs/>
                <w:kern w:val="0"/>
                <w:sz w:val="21"/>
                <w:szCs w:val="21"/>
                <w:lang w:eastAsia="zh-CN"/>
              </w:rPr>
            </w:pPr>
            <w:r>
              <w:rPr>
                <w:rFonts w:hint="eastAsia" w:asciiTheme="minorEastAsia" w:hAnsiTheme="minorEastAsia" w:cstheme="minorEastAsia"/>
                <w:b/>
                <w:bCs/>
                <w:kern w:val="0"/>
                <w:sz w:val="21"/>
                <w:szCs w:val="21"/>
                <w:lang w:eastAsia="zh-CN"/>
              </w:rPr>
              <w:t>政府采购的服务、工程和货物在使用期间，始终保证质量符合相关标准和要求</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restart"/>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社会公众或服务对象满意度</w:t>
            </w:r>
          </w:p>
        </w:tc>
        <w:tc>
          <w:tcPr>
            <w:tcW w:w="3645" w:type="dxa"/>
            <w:gridSpan w:val="2"/>
            <w:shd w:val="clear" w:color="auto" w:fill="auto"/>
            <w:vAlign w:val="center"/>
          </w:tcPr>
          <w:p>
            <w:pPr>
              <w:jc w:val="center"/>
              <w:rPr>
                <w:rFonts w:hint="eastAsia" w:ascii="仿宋" w:hAnsi="仿宋" w:eastAsia="仿宋"/>
                <w:b/>
                <w:bCs/>
                <w:kern w:val="0"/>
                <w:sz w:val="24"/>
                <w:szCs w:val="24"/>
                <w:lang w:eastAsia="zh-CN"/>
              </w:rPr>
            </w:pPr>
            <w:r>
              <w:rPr>
                <w:rFonts w:hint="eastAsia" w:asciiTheme="majorEastAsia" w:hAnsiTheme="majorEastAsia" w:eastAsiaTheme="majorEastAsia" w:cstheme="majorEastAsia"/>
                <w:b/>
                <w:bCs/>
                <w:kern w:val="0"/>
                <w:sz w:val="21"/>
                <w:szCs w:val="21"/>
              </w:rPr>
              <w:t>采购单位对本单位政府采购工作的</w:t>
            </w:r>
            <w:r>
              <w:rPr>
                <w:rFonts w:hint="eastAsia" w:asciiTheme="majorEastAsia" w:hAnsiTheme="majorEastAsia" w:eastAsiaTheme="majorEastAsia" w:cstheme="majorEastAsia"/>
                <w:b/>
                <w:bCs/>
                <w:kern w:val="0"/>
                <w:sz w:val="21"/>
                <w:szCs w:val="21"/>
                <w:lang w:eastAsia="zh-CN"/>
              </w:rPr>
              <w:t>服务态度和业务能力</w:t>
            </w:r>
            <w:r>
              <w:rPr>
                <w:rFonts w:hint="eastAsia" w:asciiTheme="majorEastAsia" w:hAnsiTheme="majorEastAsia" w:eastAsiaTheme="majorEastAsia" w:cstheme="majorEastAsia"/>
                <w:b/>
                <w:bCs/>
                <w:kern w:val="0"/>
                <w:sz w:val="21"/>
                <w:szCs w:val="21"/>
              </w:rPr>
              <w:t>满意率</w:t>
            </w:r>
          </w:p>
        </w:tc>
        <w:tc>
          <w:tcPr>
            <w:tcW w:w="1046" w:type="dxa"/>
            <w:shd w:val="clear" w:color="auto" w:fill="auto"/>
            <w:vAlign w:val="center"/>
          </w:tcPr>
          <w:p>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b/>
                <w:bCs/>
                <w:kern w:val="0"/>
                <w:sz w:val="24"/>
                <w:szCs w:val="24"/>
              </w:rPr>
            </w:pPr>
          </w:p>
        </w:tc>
        <w:tc>
          <w:tcPr>
            <w:tcW w:w="1147" w:type="dxa"/>
            <w:vMerge w:val="continue"/>
            <w:shd w:val="clear" w:color="auto" w:fill="auto"/>
            <w:vAlign w:val="center"/>
          </w:tcPr>
          <w:p>
            <w:pPr>
              <w:widowControl/>
              <w:jc w:val="center"/>
              <w:rPr>
                <w:rFonts w:ascii="仿宋" w:hAnsi="仿宋" w:eastAsia="仿宋"/>
                <w:b/>
                <w:bCs/>
                <w:kern w:val="0"/>
                <w:sz w:val="24"/>
                <w:szCs w:val="24"/>
              </w:rPr>
            </w:pPr>
          </w:p>
        </w:tc>
        <w:tc>
          <w:tcPr>
            <w:tcW w:w="1843" w:type="dxa"/>
            <w:vMerge w:val="continue"/>
            <w:shd w:val="clear" w:color="auto" w:fill="auto"/>
            <w:vAlign w:val="center"/>
          </w:tcPr>
          <w:p>
            <w:pPr>
              <w:jc w:val="center"/>
              <w:rPr>
                <w:rFonts w:ascii="仿宋" w:hAnsi="仿宋" w:eastAsia="仿宋"/>
                <w:b/>
                <w:bCs/>
                <w:kern w:val="0"/>
                <w:sz w:val="24"/>
                <w:szCs w:val="24"/>
              </w:rPr>
            </w:pPr>
          </w:p>
        </w:tc>
        <w:tc>
          <w:tcPr>
            <w:tcW w:w="3645" w:type="dxa"/>
            <w:gridSpan w:val="2"/>
            <w:shd w:val="clear" w:color="auto" w:fill="auto"/>
            <w:vAlign w:val="center"/>
          </w:tcPr>
          <w:p>
            <w:pPr>
              <w:jc w:val="center"/>
              <w:rPr>
                <w:rFonts w:ascii="仿宋" w:hAnsi="仿宋" w:eastAsia="仿宋"/>
                <w:b/>
                <w:bCs/>
                <w:kern w:val="0"/>
                <w:sz w:val="24"/>
                <w:szCs w:val="24"/>
              </w:rPr>
            </w:pPr>
            <w:r>
              <w:rPr>
                <w:rFonts w:hint="eastAsia" w:asciiTheme="majorEastAsia" w:hAnsiTheme="majorEastAsia" w:eastAsiaTheme="majorEastAsia" w:cstheme="majorEastAsia"/>
                <w:b/>
                <w:bCs/>
                <w:kern w:val="0"/>
                <w:sz w:val="21"/>
                <w:szCs w:val="21"/>
              </w:rPr>
              <w:t>投标供应商对本单位政府采购工作的</w:t>
            </w:r>
            <w:r>
              <w:rPr>
                <w:rFonts w:hint="eastAsia" w:asciiTheme="majorEastAsia" w:hAnsiTheme="majorEastAsia" w:eastAsiaTheme="majorEastAsia" w:cstheme="majorEastAsia"/>
                <w:b/>
                <w:bCs/>
                <w:kern w:val="0"/>
                <w:sz w:val="21"/>
                <w:szCs w:val="21"/>
                <w:lang w:eastAsia="zh-CN"/>
              </w:rPr>
              <w:t>服务态度和</w:t>
            </w:r>
            <w:r>
              <w:rPr>
                <w:rFonts w:hint="eastAsia" w:ascii="宋体" w:hAnsi="宋体" w:eastAsia="宋体" w:cs="宋体"/>
                <w:b/>
                <w:bCs/>
                <w:color w:val="auto"/>
                <w:sz w:val="21"/>
                <w:szCs w:val="21"/>
              </w:rPr>
              <w:t>坚持“公开、公平、公正</w:t>
            </w:r>
            <w:r>
              <w:rPr>
                <w:rFonts w:hint="default" w:ascii="宋体" w:hAnsi="宋体" w:eastAsia="宋体" w:cs="宋体"/>
                <w:b/>
                <w:bCs/>
                <w:color w:val="auto"/>
                <w:sz w:val="21"/>
                <w:szCs w:val="21"/>
                <w:lang w:val="en-US" w:eastAsia="zh-CN"/>
              </w:rPr>
              <w:t>”</w:t>
            </w:r>
            <w:r>
              <w:rPr>
                <w:rFonts w:hint="eastAsia" w:ascii="宋体" w:hAnsi="宋体" w:eastAsia="宋体" w:cs="宋体"/>
                <w:b/>
                <w:bCs/>
                <w:color w:val="auto"/>
                <w:sz w:val="21"/>
                <w:szCs w:val="21"/>
                <w:lang w:val="en-US" w:eastAsia="zh-CN"/>
              </w:rPr>
              <w:t>原则性</w:t>
            </w:r>
            <w:r>
              <w:rPr>
                <w:rFonts w:hint="eastAsia" w:asciiTheme="majorEastAsia" w:hAnsiTheme="majorEastAsia" w:eastAsiaTheme="majorEastAsia" w:cstheme="majorEastAsia"/>
                <w:b/>
                <w:bCs/>
                <w:kern w:val="0"/>
                <w:sz w:val="21"/>
                <w:szCs w:val="21"/>
              </w:rPr>
              <w:t>满意率</w:t>
            </w:r>
          </w:p>
        </w:tc>
        <w:tc>
          <w:tcPr>
            <w:tcW w:w="1046" w:type="dxa"/>
            <w:shd w:val="clear" w:color="auto" w:fill="auto"/>
            <w:vAlign w:val="center"/>
          </w:tcPr>
          <w:p>
            <w:pPr>
              <w:jc w:val="center"/>
              <w:rPr>
                <w:rFonts w:ascii="仿宋" w:hAnsi="仿宋" w:eastAsia="仿宋"/>
                <w:b/>
                <w:bCs/>
                <w:kern w:val="0"/>
                <w:sz w:val="24"/>
                <w:szCs w:val="24"/>
              </w:rPr>
            </w:pPr>
            <w:r>
              <w:rPr>
                <w:rFonts w:hint="eastAsia" w:ascii="仿宋" w:hAnsi="仿宋" w:eastAsia="仿宋"/>
                <w:b/>
                <w:bCs/>
                <w:kern w:val="0"/>
                <w:sz w:val="24"/>
                <w:szCs w:val="24"/>
                <w:lang w:val="en-US" w:eastAsia="zh-CN"/>
              </w:rPr>
              <w:t>98%</w:t>
            </w:r>
          </w:p>
        </w:tc>
      </w:tr>
    </w:tbl>
    <w:p>
      <w:pPr>
        <w:widowControl/>
        <w:tabs>
          <w:tab w:val="left" w:pos="1333"/>
          <w:tab w:val="left" w:pos="3793"/>
          <w:tab w:val="left" w:pos="5853"/>
        </w:tabs>
        <w:jc w:val="left"/>
        <w:rPr>
          <w:rFonts w:ascii="仿宋" w:hAnsi="仿宋" w:eastAsia="仿宋"/>
          <w:b/>
          <w:bCs/>
          <w:kern w:val="0"/>
          <w:sz w:val="24"/>
          <w:szCs w:val="24"/>
        </w:rPr>
      </w:pPr>
    </w:p>
    <w:p>
      <w:pPr>
        <w:widowControl/>
        <w:tabs>
          <w:tab w:val="left" w:pos="1333"/>
          <w:tab w:val="left" w:pos="3793"/>
          <w:tab w:val="left" w:pos="5853"/>
        </w:tabs>
        <w:jc w:val="left"/>
        <w:rPr>
          <w:rFonts w:ascii="仿宋" w:hAnsi="仿宋" w:eastAsia="仿宋"/>
          <w:b/>
          <w:bCs/>
          <w:kern w:val="0"/>
          <w:sz w:val="24"/>
          <w:szCs w:val="24"/>
        </w:rPr>
      </w:pPr>
    </w:p>
    <w:p>
      <w:pPr>
        <w:widowControl/>
        <w:tabs>
          <w:tab w:val="left" w:pos="1333"/>
          <w:tab w:val="left" w:pos="3793"/>
          <w:tab w:val="left" w:pos="5853"/>
        </w:tabs>
        <w:jc w:val="left"/>
        <w:rPr>
          <w:rFonts w:ascii="仿宋" w:hAnsi="仿宋" w:eastAsia="仿宋"/>
          <w:b/>
          <w:bCs/>
          <w:kern w:val="0"/>
          <w:sz w:val="24"/>
          <w:szCs w:val="24"/>
        </w:rPr>
      </w:pPr>
      <w:r>
        <w:rPr>
          <w:rFonts w:hint="eastAsia" w:ascii="仿宋" w:hAnsi="仿宋" w:eastAsia="仿宋"/>
          <w:b/>
          <w:bCs/>
          <w:kern w:val="0"/>
          <w:sz w:val="24"/>
          <w:szCs w:val="24"/>
        </w:rPr>
        <w:t xml:space="preserve">填表人： </w:t>
      </w:r>
      <w:r>
        <w:rPr>
          <w:rFonts w:hint="eastAsia" w:ascii="仿宋" w:hAnsi="仿宋" w:eastAsia="仿宋"/>
          <w:b/>
          <w:bCs/>
          <w:kern w:val="0"/>
          <w:sz w:val="24"/>
          <w:szCs w:val="24"/>
          <w:lang w:eastAsia="zh-CN"/>
        </w:rPr>
        <w:t>龙春晖</w:t>
      </w:r>
      <w:r>
        <w:rPr>
          <w:rFonts w:hint="eastAsia" w:ascii="仿宋" w:hAnsi="仿宋" w:eastAsia="仿宋"/>
          <w:b/>
          <w:bCs/>
          <w:kern w:val="0"/>
          <w:sz w:val="24"/>
          <w:szCs w:val="24"/>
        </w:rPr>
        <w:t xml:space="preserve"> </w:t>
      </w:r>
      <w:r>
        <w:rPr>
          <w:rFonts w:hint="eastAsia" w:ascii="仿宋" w:hAnsi="仿宋" w:eastAsia="仿宋"/>
          <w:b/>
          <w:bCs/>
          <w:kern w:val="0"/>
          <w:sz w:val="24"/>
          <w:szCs w:val="24"/>
          <w:lang w:val="en-US" w:eastAsia="zh-CN"/>
        </w:rPr>
        <w:t xml:space="preserve"> </w:t>
      </w:r>
      <w:r>
        <w:rPr>
          <w:rFonts w:hint="eastAsia" w:ascii="仿宋" w:hAnsi="仿宋" w:eastAsia="仿宋"/>
          <w:b/>
          <w:bCs/>
          <w:kern w:val="0"/>
          <w:sz w:val="24"/>
          <w:szCs w:val="24"/>
        </w:rPr>
        <w:t>联系电话：</w:t>
      </w:r>
      <w:r>
        <w:rPr>
          <w:rFonts w:hint="eastAsia" w:ascii="仿宋" w:hAnsi="仿宋" w:eastAsia="仿宋"/>
          <w:b/>
          <w:bCs/>
          <w:kern w:val="0"/>
          <w:sz w:val="24"/>
          <w:szCs w:val="24"/>
          <w:lang w:val="en-US" w:eastAsia="zh-CN"/>
        </w:rPr>
        <w:t>15096273128</w:t>
      </w:r>
      <w:r>
        <w:rPr>
          <w:rFonts w:hint="eastAsia" w:ascii="仿宋" w:hAnsi="仿宋" w:eastAsia="仿宋"/>
          <w:b/>
          <w:bCs/>
          <w:kern w:val="0"/>
          <w:sz w:val="24"/>
          <w:szCs w:val="24"/>
        </w:rPr>
        <w:t xml:space="preserve">   填报日期：     单位负责人签字：</w:t>
      </w:r>
    </w:p>
    <w:bookmarkEnd w:id="0"/>
    <w:p>
      <w:pPr>
        <w:widowControl/>
        <w:spacing w:line="600" w:lineRule="exact"/>
        <w:jc w:val="left"/>
        <w:rPr>
          <w:rFonts w:ascii="方正小标宋简体" w:hAnsi="方正小标宋简体" w:eastAsia="方正小标宋简体" w:cs="方正小标宋简体"/>
          <w:sz w:val="44"/>
          <w:szCs w:val="44"/>
        </w:rPr>
      </w:pP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spacing w:line="600" w:lineRule="exact"/>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eastAsia="仿宋_GB2312"/>
          <w:sz w:val="28"/>
          <w:szCs w:val="28"/>
        </w:rPr>
        <w:br w:type="page"/>
      </w:r>
      <w:r>
        <w:rPr>
          <w:rFonts w:hint="eastAsia" w:ascii="仿宋" w:hAnsi="仿宋" w:eastAsia="仿宋"/>
          <w:bCs/>
          <w:kern w:val="0"/>
          <w:sz w:val="28"/>
          <w:szCs w:val="28"/>
        </w:rPr>
        <w:t xml:space="preserve">        </w:t>
      </w:r>
    </w:p>
    <w:p>
      <w:pPr>
        <w:widowControl/>
        <w:spacing w:afterLines="50" w:line="600" w:lineRule="exac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15F97"/>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17F0D2F"/>
    <w:rsid w:val="024B55FC"/>
    <w:rsid w:val="02C17034"/>
    <w:rsid w:val="03E845BB"/>
    <w:rsid w:val="05F775D5"/>
    <w:rsid w:val="06A27409"/>
    <w:rsid w:val="06FF40F9"/>
    <w:rsid w:val="084B2EEF"/>
    <w:rsid w:val="08617FF7"/>
    <w:rsid w:val="091B4697"/>
    <w:rsid w:val="0A4F47E0"/>
    <w:rsid w:val="0ADE5EDA"/>
    <w:rsid w:val="0BED7B98"/>
    <w:rsid w:val="0C6E6E9A"/>
    <w:rsid w:val="0C7A0B91"/>
    <w:rsid w:val="0CD17029"/>
    <w:rsid w:val="0D2C2E9C"/>
    <w:rsid w:val="0D401EBC"/>
    <w:rsid w:val="0DB126DE"/>
    <w:rsid w:val="0E536A06"/>
    <w:rsid w:val="0EF11FBC"/>
    <w:rsid w:val="0F116AEA"/>
    <w:rsid w:val="102C34B9"/>
    <w:rsid w:val="10D91750"/>
    <w:rsid w:val="14446A42"/>
    <w:rsid w:val="14A14343"/>
    <w:rsid w:val="16333CE9"/>
    <w:rsid w:val="168F3058"/>
    <w:rsid w:val="172F2369"/>
    <w:rsid w:val="173E79C6"/>
    <w:rsid w:val="1C077A3E"/>
    <w:rsid w:val="1CA673F7"/>
    <w:rsid w:val="1DB26E7F"/>
    <w:rsid w:val="1E506BFA"/>
    <w:rsid w:val="1F2240A7"/>
    <w:rsid w:val="1F3C7746"/>
    <w:rsid w:val="20D251CF"/>
    <w:rsid w:val="23A10AF4"/>
    <w:rsid w:val="249D3604"/>
    <w:rsid w:val="271418AE"/>
    <w:rsid w:val="27800A8E"/>
    <w:rsid w:val="27810A60"/>
    <w:rsid w:val="2785384C"/>
    <w:rsid w:val="28AF65B4"/>
    <w:rsid w:val="29E3392A"/>
    <w:rsid w:val="2A842577"/>
    <w:rsid w:val="2A877A0E"/>
    <w:rsid w:val="2BFE7B94"/>
    <w:rsid w:val="2C866166"/>
    <w:rsid w:val="2D0A7955"/>
    <w:rsid w:val="2E9546AE"/>
    <w:rsid w:val="324A7BE6"/>
    <w:rsid w:val="326B0D04"/>
    <w:rsid w:val="347C400A"/>
    <w:rsid w:val="34FC6255"/>
    <w:rsid w:val="352247DC"/>
    <w:rsid w:val="36C5731A"/>
    <w:rsid w:val="36DC6384"/>
    <w:rsid w:val="385D3555"/>
    <w:rsid w:val="38C35D15"/>
    <w:rsid w:val="3B2026CE"/>
    <w:rsid w:val="3B9176EB"/>
    <w:rsid w:val="3BCB77F5"/>
    <w:rsid w:val="3D1006FE"/>
    <w:rsid w:val="3F6655A3"/>
    <w:rsid w:val="3FE764AD"/>
    <w:rsid w:val="3FEA741A"/>
    <w:rsid w:val="40161289"/>
    <w:rsid w:val="404C4C7E"/>
    <w:rsid w:val="437970BB"/>
    <w:rsid w:val="43932774"/>
    <w:rsid w:val="442F6DAA"/>
    <w:rsid w:val="44C3587D"/>
    <w:rsid w:val="44E41BF3"/>
    <w:rsid w:val="45684CC3"/>
    <w:rsid w:val="46957D66"/>
    <w:rsid w:val="494A3C13"/>
    <w:rsid w:val="49D82A3D"/>
    <w:rsid w:val="4AD30C20"/>
    <w:rsid w:val="4C3537BB"/>
    <w:rsid w:val="4C515E3F"/>
    <w:rsid w:val="4CE64FCC"/>
    <w:rsid w:val="4D4C3D06"/>
    <w:rsid w:val="4D6515B5"/>
    <w:rsid w:val="4E7B1A1A"/>
    <w:rsid w:val="4E8B7CAF"/>
    <w:rsid w:val="4F7A40BE"/>
    <w:rsid w:val="4FF20251"/>
    <w:rsid w:val="50021CC9"/>
    <w:rsid w:val="507C60DD"/>
    <w:rsid w:val="51DF6AD6"/>
    <w:rsid w:val="5423001C"/>
    <w:rsid w:val="56384E8B"/>
    <w:rsid w:val="56D74AB5"/>
    <w:rsid w:val="58380218"/>
    <w:rsid w:val="5899022D"/>
    <w:rsid w:val="5970138D"/>
    <w:rsid w:val="5ADF36C5"/>
    <w:rsid w:val="5B1B431D"/>
    <w:rsid w:val="5B257724"/>
    <w:rsid w:val="5B502AF5"/>
    <w:rsid w:val="5F7804BF"/>
    <w:rsid w:val="5F982763"/>
    <w:rsid w:val="5FAE4CAD"/>
    <w:rsid w:val="612B6E81"/>
    <w:rsid w:val="641C6411"/>
    <w:rsid w:val="647D0212"/>
    <w:rsid w:val="65AE6E1F"/>
    <w:rsid w:val="66E02C0B"/>
    <w:rsid w:val="680A0407"/>
    <w:rsid w:val="682D1437"/>
    <w:rsid w:val="682D2F56"/>
    <w:rsid w:val="6854742D"/>
    <w:rsid w:val="689355D9"/>
    <w:rsid w:val="6A4C3E98"/>
    <w:rsid w:val="6B527BE7"/>
    <w:rsid w:val="6B824A47"/>
    <w:rsid w:val="6BE86DB1"/>
    <w:rsid w:val="6BFC72BE"/>
    <w:rsid w:val="6C500114"/>
    <w:rsid w:val="6CCC1DC8"/>
    <w:rsid w:val="6F5B0DAB"/>
    <w:rsid w:val="719E76A2"/>
    <w:rsid w:val="71FA0483"/>
    <w:rsid w:val="737F12F2"/>
    <w:rsid w:val="73A2054C"/>
    <w:rsid w:val="74EB452A"/>
    <w:rsid w:val="760E368B"/>
    <w:rsid w:val="792D17A7"/>
    <w:rsid w:val="79680847"/>
    <w:rsid w:val="796B7EA9"/>
    <w:rsid w:val="79A87DC2"/>
    <w:rsid w:val="7AAA4FA7"/>
    <w:rsid w:val="7B9A127A"/>
    <w:rsid w:val="7BFA5D62"/>
    <w:rsid w:val="7E2F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4</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Administrator</cp:lastModifiedBy>
  <cp:lastPrinted>2021-01-19T09:16:48Z</cp:lastPrinted>
  <dcterms:modified xsi:type="dcterms:W3CDTF">2021-01-19T09:23:12Z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