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="宋体" w:hAnsi="宋体" w:eastAsia="宋体"/>
          <w:b/>
          <w:sz w:val="44"/>
          <w:szCs w:val="44"/>
          <w:lang w:eastAsia="zh-CN"/>
        </w:rPr>
      </w:pPr>
      <w:r>
        <w:rPr>
          <w:rFonts w:hint="eastAsia" w:ascii="宋体" w:hAnsi="宋体"/>
          <w:b/>
          <w:sz w:val="44"/>
          <w:szCs w:val="44"/>
          <w:lang w:eastAsia="zh-CN"/>
        </w:rPr>
        <w:t>会同县社保中心</w:t>
      </w:r>
      <w:r>
        <w:rPr>
          <w:rFonts w:hint="eastAsia" w:ascii="宋体" w:hAnsi="宋体"/>
          <w:b/>
          <w:sz w:val="44"/>
          <w:szCs w:val="44"/>
          <w:lang w:val="en-US" w:eastAsia="zh-CN"/>
        </w:rPr>
        <w:t>2021</w:t>
      </w:r>
      <w:r>
        <w:rPr>
          <w:rFonts w:hint="eastAsia" w:ascii="宋体" w:hAnsi="宋体"/>
          <w:b/>
          <w:sz w:val="44"/>
          <w:szCs w:val="44"/>
        </w:rPr>
        <w:t>年</w:t>
      </w:r>
      <w:r>
        <w:rPr>
          <w:rFonts w:hint="eastAsia" w:ascii="宋体" w:hAnsi="宋体"/>
          <w:b/>
          <w:sz w:val="44"/>
          <w:szCs w:val="44"/>
          <w:lang w:eastAsia="zh-CN"/>
        </w:rPr>
        <w:t>度整体绩效</w:t>
      </w:r>
      <w:r>
        <w:rPr>
          <w:rFonts w:hint="eastAsia" w:ascii="宋体" w:hAnsi="宋体"/>
          <w:b/>
          <w:sz w:val="44"/>
          <w:szCs w:val="44"/>
        </w:rPr>
        <w:t>和</w:t>
      </w:r>
      <w:r>
        <w:rPr>
          <w:rFonts w:hint="eastAsia" w:ascii="宋体" w:hAnsi="宋体"/>
          <w:b/>
          <w:sz w:val="44"/>
          <w:szCs w:val="44"/>
          <w:lang w:eastAsia="zh-CN"/>
        </w:rPr>
        <w:t>项目绩效自评情况公开</w:t>
      </w:r>
    </w:p>
    <w:p>
      <w:pPr>
        <w:jc w:val="center"/>
        <w:rPr>
          <w:rFonts w:hint="eastAsia" w:ascii="仿宋_GB2312" w:hAnsi="宋体" w:eastAsia="仿宋_GB2312"/>
          <w:b/>
          <w:sz w:val="32"/>
          <w:szCs w:val="32"/>
        </w:rPr>
      </w:pPr>
    </w:p>
    <w:p>
      <w:pPr>
        <w:spacing w:line="640" w:lineRule="exact"/>
        <w:ind w:firstLine="640" w:firstLineChars="200"/>
        <w:rPr>
          <w:rFonts w:hint="eastAsia" w:ascii="仿宋" w:hAnsi="仿宋" w:eastAsia="仿宋"/>
          <w:sz w:val="32"/>
          <w:szCs w:val="32"/>
        </w:rPr>
      </w:pPr>
      <w:r>
        <w:rPr>
          <w:rFonts w:ascii="仿宋" w:hAnsi="仿宋" w:eastAsia="仿宋"/>
          <w:sz w:val="32"/>
          <w:szCs w:val="32"/>
        </w:rPr>
        <w:t>为加强预算绩效管理，强化预算支出绩效责任，提高财政资金使用效益，根据《中共湖南省委办公厅</w:t>
      </w:r>
      <w:r>
        <w:rPr>
          <w:rFonts w:eastAsia="仿宋"/>
          <w:sz w:val="32"/>
          <w:szCs w:val="32"/>
        </w:rPr>
        <w:t> </w:t>
      </w:r>
      <w:r>
        <w:rPr>
          <w:rFonts w:ascii="仿宋" w:hAnsi="仿宋" w:eastAsia="仿宋"/>
          <w:sz w:val="32"/>
          <w:szCs w:val="32"/>
        </w:rPr>
        <w:t>湖南省人民政府办公厅关于全面实施预算绩效管理的实施意见》</w:t>
      </w:r>
      <w:r>
        <w:rPr>
          <w:rFonts w:hint="eastAsia" w:ascii="仿宋" w:hAnsi="仿宋" w:eastAsia="仿宋"/>
          <w:sz w:val="32"/>
          <w:szCs w:val="32"/>
          <w:lang w:eastAsia="zh-CN"/>
        </w:rPr>
        <w:t>（湘办发</w:t>
      </w:r>
      <w:r>
        <w:rPr>
          <w:rFonts w:hint="eastAsia" w:ascii="仿宋" w:hAnsi="仿宋" w:eastAsia="仿宋"/>
          <w:sz w:val="32"/>
          <w:szCs w:val="32"/>
          <w:lang w:val="en-US" w:eastAsia="zh-CN"/>
        </w:rPr>
        <w:t>[2019]10号</w:t>
      </w:r>
      <w:r>
        <w:rPr>
          <w:rFonts w:hint="eastAsia" w:ascii="仿宋" w:hAnsi="仿宋" w:eastAsia="仿宋"/>
          <w:sz w:val="32"/>
          <w:szCs w:val="32"/>
          <w:lang w:eastAsia="zh-CN"/>
        </w:rPr>
        <w:t>）、</w:t>
      </w:r>
      <w:r>
        <w:rPr>
          <w:rFonts w:ascii="仿宋" w:hAnsi="仿宋" w:eastAsia="仿宋"/>
          <w:sz w:val="32"/>
          <w:szCs w:val="32"/>
        </w:rPr>
        <w:t>《会同县财政局关于开展</w:t>
      </w:r>
      <w:r>
        <w:rPr>
          <w:rFonts w:hint="eastAsia" w:ascii="仿宋" w:hAnsi="仿宋" w:eastAsia="仿宋"/>
          <w:sz w:val="32"/>
          <w:szCs w:val="32"/>
          <w:lang w:eastAsia="zh-CN"/>
        </w:rPr>
        <w:t>2021</w:t>
      </w:r>
      <w:r>
        <w:rPr>
          <w:rFonts w:ascii="仿宋" w:hAnsi="仿宋" w:eastAsia="仿宋"/>
          <w:sz w:val="32"/>
          <w:szCs w:val="32"/>
        </w:rPr>
        <w:t>年度本级财政资金绩效自评工作的通知》（会财绩[202</w:t>
      </w:r>
      <w:r>
        <w:rPr>
          <w:rFonts w:hint="eastAsia" w:ascii="仿宋" w:hAnsi="仿宋" w:eastAsia="仿宋"/>
          <w:sz w:val="32"/>
          <w:szCs w:val="32"/>
          <w:lang w:val="en-US" w:eastAsia="zh-CN"/>
        </w:rPr>
        <w:t>2</w:t>
      </w:r>
      <w:r>
        <w:rPr>
          <w:rFonts w:ascii="仿宋" w:hAnsi="仿宋" w:eastAsia="仿宋"/>
          <w:sz w:val="32"/>
          <w:szCs w:val="32"/>
        </w:rPr>
        <w:t>］11号），我单位拟公开</w:t>
      </w:r>
      <w:r>
        <w:rPr>
          <w:rFonts w:hint="eastAsia" w:ascii="仿宋" w:hAnsi="仿宋" w:eastAsia="仿宋"/>
          <w:sz w:val="32"/>
          <w:szCs w:val="32"/>
          <w:lang w:eastAsia="zh-CN"/>
        </w:rPr>
        <w:t>2021</w:t>
      </w:r>
      <w:r>
        <w:rPr>
          <w:rFonts w:ascii="仿宋" w:hAnsi="仿宋" w:eastAsia="仿宋"/>
          <w:sz w:val="32"/>
          <w:szCs w:val="32"/>
        </w:rPr>
        <w:t>年度一般公共支出整体绩效和专项资金预算绩效情况。公开如下：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 w:val="0"/>
        <w:bidi w:val="0"/>
        <w:adjustRightInd/>
        <w:snapToGrid/>
        <w:spacing w:line="560" w:lineRule="exact"/>
        <w:ind w:left="0" w:firstLine="678" w:firstLineChars="211"/>
        <w:textAlignment w:val="auto"/>
        <w:rPr>
          <w:rFonts w:hint="eastAsia" w:ascii="仿宋" w:hAnsi="仿宋" w:eastAsia="仿宋" w:cs="仿宋"/>
          <w:b/>
          <w:bCs/>
          <w:sz w:val="32"/>
          <w:szCs w:val="32"/>
        </w:rPr>
      </w:pPr>
      <w:r>
        <w:rPr>
          <w:rFonts w:hint="eastAsia" w:ascii="仿宋" w:hAnsi="仿宋" w:eastAsia="仿宋" w:cs="仿宋"/>
          <w:b/>
          <w:bCs/>
          <w:sz w:val="32"/>
          <w:szCs w:val="32"/>
        </w:rPr>
        <w:t>一、县</w:t>
      </w:r>
      <w:r>
        <w:rPr>
          <w:rFonts w:hint="eastAsia" w:ascii="仿宋" w:hAnsi="仿宋" w:eastAsia="仿宋" w:cs="仿宋"/>
          <w:b/>
          <w:bCs/>
          <w:sz w:val="32"/>
          <w:szCs w:val="32"/>
          <w:lang w:eastAsia="zh-CN"/>
        </w:rPr>
        <w:t>社保中心</w:t>
      </w:r>
      <w:r>
        <w:rPr>
          <w:rFonts w:hint="eastAsia" w:ascii="仿宋" w:hAnsi="仿宋" w:eastAsia="仿宋" w:cs="仿宋"/>
          <w:b/>
          <w:bCs/>
          <w:sz w:val="32"/>
          <w:szCs w:val="32"/>
        </w:rPr>
        <w:t>的主要职责、工作任务及目标</w:t>
      </w:r>
    </w:p>
    <w:p>
      <w:pPr>
        <w:widowControl/>
        <w:spacing w:line="600" w:lineRule="exact"/>
        <w:ind w:firstLine="630" w:firstLineChars="196"/>
        <w:jc w:val="left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楷体_GB2312" w:eastAsia="楷体_GB2312"/>
          <w:b/>
          <w:sz w:val="32"/>
          <w:szCs w:val="32"/>
        </w:rPr>
        <w:t>主要职责</w:t>
      </w:r>
      <w:r>
        <w:rPr>
          <w:rFonts w:hint="eastAsia" w:ascii="宋体"/>
          <w:b/>
          <w:sz w:val="32"/>
          <w:szCs w:val="32"/>
        </w:rPr>
        <w:t>：</w:t>
      </w:r>
      <w:r>
        <w:rPr>
          <w:rFonts w:hint="eastAsia" w:ascii="仿宋" w:hAnsi="仿宋" w:eastAsia="仿宋" w:cs="仿宋"/>
          <w:sz w:val="32"/>
          <w:szCs w:val="32"/>
        </w:rPr>
        <w:t>为城乡居民养老保险基金、企业养老保险基金，机关事业养老保险基金、提供服务，管理、征缴、及退休人员的养老金社会化发放、退休人员生存认证等工作。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 w:val="0"/>
        <w:bidi w:val="0"/>
        <w:adjustRightInd/>
        <w:snapToGrid/>
        <w:spacing w:line="560" w:lineRule="exact"/>
        <w:ind w:left="0" w:firstLine="360" w:firstLineChars="112"/>
        <w:textAlignment w:val="auto"/>
        <w:rPr>
          <w:rFonts w:hint="eastAsia" w:ascii="宋体"/>
          <w:color w:val="333333"/>
          <w:sz w:val="32"/>
          <w:szCs w:val="32"/>
        </w:rPr>
      </w:pPr>
      <w:r>
        <w:rPr>
          <w:rFonts w:hint="eastAsia" w:ascii="楷体_GB2312" w:eastAsia="楷体_GB2312"/>
          <w:b/>
          <w:bCs/>
          <w:color w:val="333333"/>
          <w:sz w:val="32"/>
          <w:szCs w:val="32"/>
          <w:lang w:eastAsia="zh-CN"/>
        </w:rPr>
        <w:t>主</w:t>
      </w:r>
      <w:r>
        <w:rPr>
          <w:rFonts w:hint="eastAsia" w:ascii="楷体_GB2312" w:eastAsia="楷体_GB2312"/>
          <w:b/>
          <w:bCs/>
          <w:color w:val="333333"/>
          <w:sz w:val="32"/>
          <w:szCs w:val="32"/>
        </w:rPr>
        <w:t>要工作任务及目标是</w:t>
      </w:r>
      <w:r>
        <w:rPr>
          <w:rFonts w:hint="eastAsia" w:ascii="宋体"/>
          <w:color w:val="333333"/>
          <w:sz w:val="32"/>
          <w:szCs w:val="32"/>
        </w:rPr>
        <w:t>：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 w:val="0"/>
        <w:bidi w:val="0"/>
        <w:adjustRightInd/>
        <w:snapToGrid/>
        <w:spacing w:line="560" w:lineRule="exact"/>
        <w:ind w:left="630" w:leftChars="0"/>
        <w:textAlignment w:val="auto"/>
        <w:rPr>
          <w:rFonts w:hint="eastAsia" w:ascii="仿宋" w:hAnsi="仿宋" w:eastAsia="仿宋_GB2312" w:cs="仿宋"/>
          <w:b w:val="0"/>
          <w:bCs w:val="0"/>
          <w:color w:val="000000"/>
          <w:sz w:val="32"/>
          <w:szCs w:val="32"/>
          <w:lang w:val="en-US" w:eastAsia="zh-CN"/>
        </w:rPr>
      </w:pPr>
      <w:r>
        <w:rPr>
          <w:rFonts w:hint="eastAsia" w:ascii="仿宋_GB2312" w:eastAsia="仿宋_GB2312"/>
          <w:b/>
          <w:bCs/>
          <w:sz w:val="28"/>
          <w:szCs w:val="28"/>
        </w:rPr>
        <w:t>主要工作任务：</w:t>
      </w:r>
      <w:r>
        <w:rPr>
          <w:rFonts w:hint="eastAsia" w:ascii="仿宋_GB2312" w:eastAsia="仿宋_GB2312"/>
          <w:sz w:val="28"/>
          <w:szCs w:val="28"/>
        </w:rPr>
        <w:t>按时足额发放</w:t>
      </w:r>
      <w:r>
        <w:rPr>
          <w:rFonts w:hint="eastAsia" w:ascii="仿宋_GB2312" w:eastAsia="仿宋_GB2312"/>
          <w:sz w:val="28"/>
          <w:szCs w:val="28"/>
          <w:lang w:eastAsia="zh-CN"/>
        </w:rPr>
        <w:t>全县</w:t>
      </w:r>
      <w:r>
        <w:rPr>
          <w:rFonts w:hint="eastAsia" w:ascii="仿宋_GB2312" w:eastAsia="仿宋_GB2312"/>
          <w:sz w:val="28"/>
          <w:szCs w:val="28"/>
        </w:rPr>
        <w:t>养老保险金、征缴养老保险费、确保养老保险基金安全</w:t>
      </w:r>
      <w:r>
        <w:rPr>
          <w:rFonts w:hint="eastAsia" w:ascii="仿宋_GB2312" w:eastAsia="仿宋_GB2312"/>
          <w:sz w:val="28"/>
          <w:szCs w:val="28"/>
          <w:lang w:eastAsia="zh-CN"/>
        </w:rPr>
        <w:t>，按时完成各项工作任务。</w:t>
      </w:r>
    </w:p>
    <w:p>
      <w:pPr>
        <w:autoSpaceDN w:val="0"/>
        <w:spacing w:line="560" w:lineRule="exact"/>
        <w:ind w:firstLine="643" w:firstLineChars="200"/>
        <w:rPr>
          <w:rFonts w:hint="eastAsia" w:ascii="仿宋" w:hAnsi="仿宋" w:eastAsia="仿宋" w:cs="仿宋"/>
          <w:color w:val="333333"/>
          <w:sz w:val="32"/>
          <w:szCs w:val="32"/>
        </w:rPr>
      </w:pPr>
      <w:r>
        <w:rPr>
          <w:rFonts w:hint="eastAsia" w:ascii="仿宋" w:hAnsi="仿宋" w:eastAsia="仿宋" w:cs="仿宋"/>
          <w:b/>
          <w:bCs/>
          <w:color w:val="333333"/>
          <w:sz w:val="32"/>
          <w:szCs w:val="32"/>
        </w:rPr>
        <w:t>二、基本情况</w:t>
      </w:r>
    </w:p>
    <w:p>
      <w:pPr>
        <w:autoSpaceDN w:val="0"/>
        <w:spacing w:line="560" w:lineRule="exact"/>
        <w:ind w:firstLine="640" w:firstLineChars="200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现有编制人员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35</w:t>
      </w:r>
      <w:r>
        <w:rPr>
          <w:rFonts w:hint="eastAsia" w:ascii="仿宋" w:hAnsi="仿宋" w:eastAsia="仿宋" w:cs="仿宋"/>
          <w:sz w:val="32"/>
          <w:szCs w:val="32"/>
        </w:rPr>
        <w:t>个，实有在职人数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23</w:t>
      </w:r>
      <w:r>
        <w:rPr>
          <w:rFonts w:hint="eastAsia" w:ascii="仿宋" w:hAnsi="仿宋" w:eastAsia="仿宋" w:cs="仿宋"/>
          <w:sz w:val="32"/>
          <w:szCs w:val="32"/>
        </w:rPr>
        <w:t>人，</w:t>
      </w:r>
      <w:r>
        <w:rPr>
          <w:rFonts w:hint="eastAsia" w:ascii="仿宋_GB2312" w:eastAsia="仿宋_GB2312"/>
          <w:sz w:val="32"/>
          <w:szCs w:val="32"/>
        </w:rPr>
        <w:t>退休人员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12人</w:t>
      </w:r>
      <w:r>
        <w:rPr>
          <w:rFonts w:hint="eastAsia" w:ascii="仿宋_GB2312" w:eastAsia="仿宋_GB2312"/>
          <w:sz w:val="32"/>
          <w:szCs w:val="32"/>
        </w:rPr>
        <w:t>。</w:t>
      </w:r>
    </w:p>
    <w:p>
      <w:pPr>
        <w:spacing w:line="240" w:lineRule="auto"/>
        <w:ind w:firstLine="643" w:firstLineChars="200"/>
        <w:rPr>
          <w:rFonts w:hint="eastAsia" w:ascii="仿宋" w:hAnsi="仿宋" w:eastAsia="仿宋" w:cs="仿宋"/>
          <w:b/>
          <w:sz w:val="32"/>
          <w:szCs w:val="32"/>
        </w:rPr>
      </w:pPr>
      <w:r>
        <w:rPr>
          <w:rFonts w:hint="eastAsia" w:ascii="仿宋" w:hAnsi="仿宋" w:eastAsia="仿宋" w:cs="仿宋"/>
          <w:b/>
          <w:sz w:val="32"/>
          <w:szCs w:val="32"/>
        </w:rPr>
        <w:t>三、年初预算安排情况</w:t>
      </w:r>
    </w:p>
    <w:p>
      <w:pPr>
        <w:spacing w:line="560" w:lineRule="exact"/>
        <w:ind w:firstLine="640" w:firstLineChars="200"/>
        <w:rPr>
          <w:rFonts w:hint="eastAsia" w:ascii="仿宋_GB2312" w:eastAsia="仿宋_GB2312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县本级安排社保中心预算收入309.10万元。</w:t>
      </w:r>
      <w:r>
        <w:rPr>
          <w:rFonts w:hint="eastAsia" w:ascii="楷体" w:hAnsi="楷体" w:eastAsia="楷体" w:cs="Times New Roman"/>
          <w:sz w:val="32"/>
          <w:szCs w:val="32"/>
          <w:lang w:val="en-US" w:eastAsia="zh-CN"/>
        </w:rPr>
        <w:t>其中：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基本支出收入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277.20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万元，占县本级年初预算安排收入的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89.67%（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工资福利性支出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233.70万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元、公用经费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43.50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万元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）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。项目支出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31.90万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元，占县本级年初预算安排收入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10.32%，</w:t>
      </w:r>
      <w:r>
        <w:rPr>
          <w:rFonts w:hint="eastAsia" w:ascii="仿宋_GB2312" w:eastAsia="仿宋_GB2312"/>
          <w:sz w:val="32"/>
          <w:szCs w:val="32"/>
        </w:rPr>
        <w:t>（其中</w:t>
      </w:r>
      <w:r>
        <w:rPr>
          <w:rFonts w:hint="eastAsia" w:ascii="仿宋_GB2312" w:eastAsia="仿宋_GB2312"/>
          <w:sz w:val="32"/>
          <w:szCs w:val="32"/>
          <w:lang w:eastAsia="zh-CN"/>
        </w:rPr>
        <w:t>：</w:t>
      </w:r>
      <w:r>
        <w:rPr>
          <w:rFonts w:hint="eastAsia" w:ascii="仿宋_GB2312" w:eastAsia="仿宋_GB2312"/>
          <w:sz w:val="32"/>
          <w:szCs w:val="32"/>
        </w:rPr>
        <w:t>其中</w:t>
      </w:r>
      <w:r>
        <w:rPr>
          <w:rFonts w:hint="eastAsia" w:ascii="仿宋_GB2312" w:eastAsia="仿宋_GB2312"/>
          <w:sz w:val="32"/>
          <w:szCs w:val="32"/>
          <w:lang w:eastAsia="zh-CN"/>
        </w:rPr>
        <w:t>城乡居保待遇人员生存认证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5万元、城乡居保信息系统维护费5万元、非税征收成本1.9万元、机关事业单位退休人员生存认证及稽核管理经费5万元、企保信息系统维护费5万元、企业退休人员生存认证及稽核管理5万元.).</w:t>
      </w:r>
    </w:p>
    <w:p>
      <w:pPr>
        <w:spacing w:line="560" w:lineRule="exact"/>
        <w:ind w:firstLine="640" w:firstLineChars="200"/>
        <w:rPr>
          <w:rFonts w:hint="eastAsia" w:ascii="仿宋" w:hAnsi="仿宋" w:eastAsia="仿宋" w:cs="仿宋"/>
          <w:sz w:val="32"/>
          <w:szCs w:val="32"/>
          <w:lang w:eastAsia="zh-CN"/>
        </w:rPr>
      </w:pPr>
      <w:r>
        <w:rPr>
          <w:rFonts w:hint="eastAsia" w:ascii="仿宋" w:hAnsi="仿宋" w:eastAsia="仿宋"/>
          <w:sz w:val="32"/>
          <w:szCs w:val="32"/>
          <w:lang w:eastAsia="zh-CN"/>
        </w:rPr>
        <w:t>2021</w:t>
      </w:r>
      <w:r>
        <w:rPr>
          <w:rFonts w:hint="eastAsia" w:ascii="仿宋" w:hAnsi="仿宋" w:eastAsia="仿宋"/>
          <w:sz w:val="32"/>
          <w:szCs w:val="32"/>
        </w:rPr>
        <w:t>年度“三公经费”预算</w:t>
      </w:r>
      <w:r>
        <w:rPr>
          <w:rFonts w:hint="eastAsia" w:ascii="仿宋" w:hAnsi="仿宋" w:eastAsia="仿宋"/>
          <w:sz w:val="32"/>
          <w:szCs w:val="32"/>
          <w:lang w:val="en-US" w:eastAsia="zh-CN"/>
        </w:rPr>
        <w:t>2.3万元，其中</w:t>
      </w:r>
      <w:r>
        <w:rPr>
          <w:rFonts w:hint="eastAsia" w:ascii="仿宋" w:hAnsi="仿宋" w:eastAsia="仿宋" w:cs="仿宋"/>
          <w:sz w:val="32"/>
          <w:szCs w:val="32"/>
        </w:rPr>
        <w:t>公务接待费为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1.8万</w:t>
      </w:r>
      <w:r>
        <w:rPr>
          <w:rFonts w:hint="eastAsia" w:ascii="仿宋" w:hAnsi="仿宋" w:eastAsia="仿宋" w:cs="仿宋"/>
          <w:sz w:val="32"/>
          <w:szCs w:val="32"/>
        </w:rPr>
        <w:t>元、公务用车购置及运行维护费为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0.5万</w:t>
      </w:r>
      <w:r>
        <w:rPr>
          <w:rFonts w:hint="eastAsia" w:ascii="仿宋" w:hAnsi="仿宋" w:eastAsia="仿宋" w:cs="仿宋"/>
          <w:sz w:val="32"/>
          <w:szCs w:val="32"/>
        </w:rPr>
        <w:t>元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。</w:t>
      </w:r>
    </w:p>
    <w:p>
      <w:pPr>
        <w:numPr>
          <w:ilvl w:val="0"/>
          <w:numId w:val="1"/>
        </w:numPr>
        <w:spacing w:line="560" w:lineRule="exact"/>
        <w:ind w:firstLine="643" w:firstLineChars="200"/>
        <w:rPr>
          <w:rFonts w:hint="eastAsia" w:ascii="黑体" w:eastAsia="黑体"/>
          <w:b/>
          <w:sz w:val="32"/>
          <w:szCs w:val="32"/>
        </w:rPr>
      </w:pPr>
      <w:r>
        <w:rPr>
          <w:rFonts w:hint="eastAsia" w:ascii="黑体" w:eastAsia="黑体"/>
          <w:b/>
          <w:sz w:val="32"/>
          <w:szCs w:val="32"/>
        </w:rPr>
        <w:t>本年预算执行情况</w:t>
      </w:r>
    </w:p>
    <w:p>
      <w:pPr>
        <w:spacing w:line="560" w:lineRule="exact"/>
        <w:ind w:firstLine="643" w:firstLineChars="200"/>
        <w:rPr>
          <w:rFonts w:hint="eastAsia" w:ascii="仿宋_GB2312" w:eastAsia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b/>
          <w:sz w:val="32"/>
          <w:szCs w:val="32"/>
        </w:rPr>
        <w:t>收入方面</w:t>
      </w:r>
      <w:r>
        <w:rPr>
          <w:rFonts w:hint="eastAsia" w:ascii="仿宋" w:hAnsi="仿宋" w:eastAsia="仿宋" w:cs="仿宋"/>
          <w:sz w:val="32"/>
          <w:szCs w:val="32"/>
        </w:rPr>
        <w:t>：在实际执行中，县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社保中心</w:t>
      </w:r>
      <w:r>
        <w:rPr>
          <w:rFonts w:hint="eastAsia" w:ascii="仿宋" w:hAnsi="仿宋" w:eastAsia="仿宋" w:cs="仿宋"/>
          <w:sz w:val="32"/>
          <w:szCs w:val="32"/>
        </w:rPr>
        <w:t>全年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总</w:t>
      </w:r>
      <w:r>
        <w:rPr>
          <w:rFonts w:hint="eastAsia" w:ascii="仿宋" w:hAnsi="仿宋" w:eastAsia="仿宋" w:cs="仿宋"/>
          <w:sz w:val="32"/>
          <w:szCs w:val="32"/>
        </w:rPr>
        <w:t>收入为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383.54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万</w:t>
      </w:r>
      <w:r>
        <w:rPr>
          <w:rFonts w:hint="eastAsia" w:ascii="仿宋" w:hAnsi="仿宋" w:eastAsia="仿宋" w:cs="仿宋"/>
          <w:sz w:val="32"/>
          <w:szCs w:val="32"/>
        </w:rPr>
        <w:t>元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，其中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2020年结转结余1.54万元（基本支出结余结转1.54万元，分别是店租减免一个月0.83万元、特色专户1-12月应补社保差额），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本年收入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383.54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万元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，具体如下：</w:t>
      </w:r>
    </w:p>
    <w:p>
      <w:pPr>
        <w:spacing w:line="560" w:lineRule="exact"/>
        <w:ind w:firstLine="640" w:firstLineChars="200"/>
        <w:rPr>
          <w:rFonts w:hint="default" w:ascii="仿宋_GB2312" w:eastAsia="仿宋_GB2312"/>
          <w:sz w:val="32"/>
          <w:szCs w:val="32"/>
          <w:lang w:val="en-US" w:eastAsia="zh-CN"/>
        </w:rPr>
      </w:pPr>
      <w:r>
        <w:rPr>
          <w:rFonts w:hint="eastAsia" w:ascii="仿宋_GB2312" w:eastAsia="仿宋_GB2312"/>
          <w:sz w:val="32"/>
          <w:szCs w:val="32"/>
          <w:lang w:val="en-US" w:eastAsia="zh-CN"/>
        </w:rPr>
        <w:t>1、</w:t>
      </w:r>
      <w:r>
        <w:rPr>
          <w:rFonts w:hint="eastAsia" w:ascii="仿宋" w:hAnsi="仿宋" w:eastAsia="仿宋"/>
          <w:sz w:val="32"/>
          <w:szCs w:val="32"/>
        </w:rPr>
        <w:t>县本级年初预算拨款收入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309.1元，其中基本支出收入277.20万元（工资福利收入233.70万元、公用经费收入43.50万元）；项目收入31.9万元（城乡居保待遇人员生存认证5万元、城乡居保信息维护费5万元、非税征收成本1.9万元、机关社保信息系统维护费5万元、机关事业单位退休人员生存认证及稽核管理经费5万元、企保信息系统维护费5万元、企业退休人员生存认证5万元。）</w:t>
      </w:r>
    </w:p>
    <w:p>
      <w:pPr>
        <w:spacing w:line="560" w:lineRule="exact"/>
        <w:ind w:firstLine="640" w:firstLineChars="200"/>
        <w:rPr>
          <w:rFonts w:hint="eastAsia" w:ascii="仿宋_GB2312" w:eastAsia="仿宋_GB2312"/>
          <w:sz w:val="32"/>
          <w:szCs w:val="32"/>
          <w:lang w:val="en-US" w:eastAsia="zh-CN"/>
        </w:rPr>
      </w:pPr>
      <w:r>
        <w:rPr>
          <w:rFonts w:hint="eastAsia" w:ascii="仿宋_GB2312" w:eastAsia="仿宋_GB2312"/>
          <w:sz w:val="32"/>
          <w:szCs w:val="32"/>
          <w:lang w:val="en-US" w:eastAsia="zh-CN"/>
        </w:rPr>
        <w:t xml:space="preserve"> 2、</w:t>
      </w:r>
      <w:r>
        <w:rPr>
          <w:rFonts w:hint="eastAsia" w:ascii="仿宋" w:hAnsi="仿宋" w:eastAsia="仿宋"/>
          <w:sz w:val="32"/>
          <w:szCs w:val="32"/>
        </w:rPr>
        <w:t>预算调整收入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75.98万元 ，其中基本支出收入75.98万元（企业军转干部及建国初期老放映员生活补助18.58万元社保基金工作经费5万元，奖金人员</w:t>
      </w:r>
      <w:r>
        <w:rPr>
          <w:rFonts w:hint="eastAsia" w:ascii="仿宋" w:hAnsi="仿宋" w:eastAsia="仿宋"/>
          <w:sz w:val="32"/>
          <w:szCs w:val="32"/>
          <w:lang w:eastAsia="zh-CN"/>
        </w:rPr>
        <w:t>福利及驻村</w:t>
      </w:r>
      <w:r>
        <w:rPr>
          <w:rFonts w:hint="eastAsia" w:ascii="仿宋" w:hAnsi="仿宋" w:eastAsia="仿宋"/>
          <w:sz w:val="32"/>
          <w:szCs w:val="32"/>
          <w:lang w:val="en-US" w:eastAsia="zh-CN"/>
        </w:rPr>
        <w:t>52.4万元。）</w:t>
      </w:r>
    </w:p>
    <w:p>
      <w:pPr>
        <w:pStyle w:val="2"/>
        <w:ind w:left="0" w:leftChars="0" w:firstLine="643" w:firstLineChars="200"/>
        <w:rPr>
          <w:rFonts w:hint="default" w:eastAsia="仿宋_GB2312"/>
          <w:lang w:val="en-US" w:eastAsia="zh-CN"/>
        </w:rPr>
      </w:pPr>
      <w:r>
        <w:rPr>
          <w:rFonts w:hint="eastAsia" w:ascii="仿宋_GB2312"/>
          <w:b/>
          <w:bCs/>
          <w:sz w:val="32"/>
          <w:szCs w:val="32"/>
          <w:lang w:val="en-US" w:eastAsia="zh-CN"/>
        </w:rPr>
        <w:t>专项资金收入</w:t>
      </w:r>
      <w:r>
        <w:rPr>
          <w:rFonts w:hint="eastAsia" w:ascii="仿宋_GB2312"/>
          <w:sz w:val="32"/>
          <w:szCs w:val="32"/>
          <w:lang w:val="en-US" w:eastAsia="zh-CN"/>
        </w:rPr>
        <w:t>48.07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万元（城乡居保待遇人员生存认证5万元、城乡居保信息维护费5万元、非税征收成本1.9万元、机关社保信息系统维护费5万元、机关事业单位退休人员生存认证及稽核管理经费5万元、企保信息系统维护费5万元、企业退休人员生存认证5万元。</w:t>
      </w:r>
      <w:r>
        <w:rPr>
          <w:rFonts w:hint="eastAsia" w:ascii="仿宋_GB2312"/>
          <w:sz w:val="32"/>
          <w:szCs w:val="32"/>
          <w:lang w:val="en-US" w:eastAsia="zh-CN"/>
        </w:rPr>
        <w:t>年初预算安排城乡居民两险工作经费17.17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万元</w:t>
      </w:r>
      <w:r>
        <w:rPr>
          <w:rFonts w:hint="eastAsia" w:ascii="仿宋_GB2312"/>
          <w:sz w:val="32"/>
          <w:szCs w:val="32"/>
          <w:lang w:val="en-US" w:eastAsia="zh-CN"/>
        </w:rPr>
        <w:t>。）</w:t>
      </w:r>
    </w:p>
    <w:p>
      <w:pPr>
        <w:spacing w:line="560" w:lineRule="exact"/>
        <w:ind w:firstLine="643" w:firstLineChars="200"/>
        <w:rPr>
          <w:rFonts w:hint="eastAsia" w:ascii="楷体" w:hAnsi="楷体" w:eastAsia="楷体" w:cs="Times New Roman"/>
          <w:sz w:val="32"/>
          <w:szCs w:val="32"/>
          <w:lang w:eastAsia="zh-CN"/>
        </w:rPr>
      </w:pPr>
      <w:r>
        <w:rPr>
          <w:rFonts w:hint="eastAsia" w:ascii="仿宋" w:hAnsi="仿宋" w:eastAsia="仿宋" w:cs="仿宋"/>
          <w:b/>
          <w:sz w:val="32"/>
          <w:szCs w:val="32"/>
        </w:rPr>
        <w:t>支出方面</w:t>
      </w:r>
      <w:r>
        <w:rPr>
          <w:rFonts w:hint="eastAsia" w:ascii="仿宋" w:hAnsi="仿宋" w:eastAsia="仿宋" w:cs="仿宋"/>
          <w:sz w:val="32"/>
          <w:szCs w:val="32"/>
        </w:rPr>
        <w:t>：全年实际支出为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385.08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万</w:t>
      </w:r>
      <w:r>
        <w:rPr>
          <w:rFonts w:hint="eastAsia" w:ascii="仿宋" w:hAnsi="仿宋" w:eastAsia="仿宋" w:cs="仿宋"/>
          <w:sz w:val="32"/>
          <w:szCs w:val="32"/>
        </w:rPr>
        <w:t>元，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占全年收入的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100%，</w:t>
      </w:r>
      <w:r>
        <w:rPr>
          <w:rFonts w:hint="eastAsia" w:ascii="仿宋" w:hAnsi="仿宋" w:eastAsia="仿宋" w:cs="仿宋"/>
          <w:sz w:val="32"/>
          <w:szCs w:val="32"/>
        </w:rPr>
        <w:t>财政均按实际支出进度予以拨付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。</w:t>
      </w:r>
    </w:p>
    <w:p>
      <w:pPr>
        <w:spacing w:line="560" w:lineRule="exact"/>
        <w:ind w:firstLine="640" w:firstLineChars="200"/>
        <w:rPr>
          <w:rFonts w:hint="eastAsia" w:ascii="楷体_GB2312" w:eastAsia="楷体_GB2312"/>
          <w:b/>
          <w:sz w:val="32"/>
          <w:szCs w:val="32"/>
        </w:rPr>
      </w:pPr>
      <w:r>
        <w:rPr>
          <w:rFonts w:hint="eastAsia" w:ascii="楷体" w:hAnsi="楷体" w:eastAsia="楷体" w:cs="Times New Roman"/>
          <w:sz w:val="32"/>
          <w:szCs w:val="32"/>
          <w:lang w:eastAsia="zh-CN"/>
        </w:rPr>
        <w:t>（一）基本支出</w:t>
      </w:r>
      <w:r>
        <w:rPr>
          <w:rFonts w:hint="eastAsia" w:ascii="楷体" w:hAnsi="楷体" w:eastAsia="楷体" w:cs="Times New Roman"/>
          <w:sz w:val="32"/>
          <w:szCs w:val="32"/>
          <w:lang w:val="en-US" w:eastAsia="zh-CN"/>
        </w:rPr>
        <w:t>337万元，</w:t>
      </w:r>
      <w:r>
        <w:rPr>
          <w:rFonts w:hint="eastAsia" w:ascii="楷体" w:hAnsi="楷体" w:eastAsia="楷体" w:cs="Times New Roman"/>
          <w:sz w:val="32"/>
          <w:szCs w:val="32"/>
          <w:lang w:eastAsia="zh-CN"/>
        </w:rPr>
        <w:t>占全年收入的</w:t>
      </w:r>
      <w:r>
        <w:rPr>
          <w:rFonts w:hint="eastAsia" w:ascii="楷体" w:hAnsi="楷体" w:eastAsia="楷体" w:cs="Times New Roman"/>
          <w:sz w:val="32"/>
          <w:szCs w:val="32"/>
          <w:lang w:val="en-US" w:eastAsia="zh-CN"/>
        </w:rPr>
        <w:t>87%，其中年中预算调整收入支出385.08万元，</w:t>
      </w:r>
      <w:r>
        <w:rPr>
          <w:rFonts w:hint="eastAsia" w:ascii="楷体" w:hAnsi="楷体" w:eastAsia="楷体" w:cs="Times New Roman"/>
          <w:sz w:val="32"/>
          <w:szCs w:val="32"/>
          <w:lang w:eastAsia="zh-CN"/>
        </w:rPr>
        <w:t>占全年收入的</w:t>
      </w:r>
      <w:r>
        <w:rPr>
          <w:rFonts w:hint="eastAsia" w:ascii="楷体" w:hAnsi="楷体" w:eastAsia="楷体" w:cs="Times New Roman"/>
          <w:sz w:val="32"/>
          <w:szCs w:val="32"/>
          <w:lang w:val="en-US" w:eastAsia="zh-CN"/>
        </w:rPr>
        <w:t>100%。</w:t>
      </w:r>
    </w:p>
    <w:p>
      <w:pPr>
        <w:spacing w:line="560" w:lineRule="exact"/>
        <w:ind w:firstLine="640" w:firstLineChars="200"/>
        <w:rPr>
          <w:rFonts w:hint="eastAsia" w:ascii="仿宋_GB2312" w:eastAsia="仿宋_GB2312"/>
          <w:sz w:val="32"/>
          <w:szCs w:val="32"/>
          <w:lang w:val="en-US" w:eastAsia="zh-CN"/>
        </w:rPr>
      </w:pPr>
      <w:r>
        <w:rPr>
          <w:rFonts w:hint="eastAsia" w:ascii="仿宋_GB2312" w:eastAsia="仿宋_GB2312"/>
          <w:color w:val="auto"/>
          <w:sz w:val="32"/>
          <w:szCs w:val="32"/>
          <w:highlight w:val="none"/>
          <w:lang w:val="en-US" w:eastAsia="zh-CN"/>
        </w:rPr>
        <w:t>1、</w:t>
      </w:r>
      <w:r>
        <w:rPr>
          <w:rFonts w:hint="eastAsia" w:ascii="仿宋_GB2312" w:eastAsia="仿宋_GB2312"/>
          <w:color w:val="auto"/>
          <w:sz w:val="32"/>
          <w:szCs w:val="32"/>
          <w:highlight w:val="none"/>
          <w:lang w:eastAsia="zh-CN"/>
        </w:rPr>
        <w:t>工资福利性支出</w:t>
      </w:r>
      <w:r>
        <w:rPr>
          <w:rFonts w:hint="eastAsia" w:ascii="仿宋_GB2312" w:eastAsia="仿宋_GB2312"/>
          <w:color w:val="auto"/>
          <w:sz w:val="32"/>
          <w:szCs w:val="32"/>
          <w:highlight w:val="none"/>
          <w:lang w:val="en-US" w:eastAsia="zh-CN"/>
        </w:rPr>
        <w:t>255.40万</w:t>
      </w:r>
      <w:r>
        <w:rPr>
          <w:rFonts w:hint="eastAsia" w:ascii="仿宋_GB2312" w:hAnsi="Times New Roman" w:eastAsia="仿宋_GB2312" w:cs="Times New Roman"/>
          <w:color w:val="auto"/>
          <w:sz w:val="32"/>
          <w:szCs w:val="32"/>
          <w:highlight w:val="none"/>
          <w:lang w:val="en-US" w:eastAsia="zh-CN"/>
        </w:rPr>
        <w:t>元，</w:t>
      </w:r>
      <w:r>
        <w:rPr>
          <w:rFonts w:hint="eastAsia" w:ascii="仿宋_GB2312" w:hAnsi="Times New Roman" w:eastAsia="仿宋_GB2312" w:cs="Times New Roman"/>
          <w:color w:val="auto"/>
          <w:sz w:val="32"/>
          <w:szCs w:val="32"/>
          <w:highlight w:val="none"/>
          <w:lang w:eastAsia="zh-CN"/>
        </w:rPr>
        <w:t>占全年收入</w:t>
      </w:r>
      <w:r>
        <w:rPr>
          <w:rFonts w:hint="eastAsia" w:ascii="仿宋_GB2312" w:hAnsi="Times New Roman" w:eastAsia="仿宋_GB2312" w:cs="Times New Roman"/>
          <w:color w:val="auto"/>
          <w:sz w:val="32"/>
          <w:szCs w:val="32"/>
          <w:highlight w:val="none"/>
          <w:lang w:val="en-US" w:eastAsia="zh-CN"/>
        </w:rPr>
        <w:t>66%，其中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基本工资100.76万元、津贴补贴60.25元、奖金45.04万元、伙食补助费9.70万元、机关事业单位基本养老保险费24.88万元、职工基本医疗保险缴费13.22万元、其他社会保障缴费1.08万元）其他工资福利支出0.44万元。</w:t>
      </w:r>
    </w:p>
    <w:p>
      <w:pPr>
        <w:spacing w:line="560" w:lineRule="exact"/>
        <w:ind w:firstLine="640" w:firstLineChars="200"/>
        <w:rPr>
          <w:rFonts w:hint="eastAsia" w:ascii="仿宋_GB2312" w:eastAsia="仿宋_GB2312"/>
          <w:sz w:val="32"/>
          <w:szCs w:val="32"/>
          <w:lang w:val="en-US" w:eastAsia="zh-CN"/>
        </w:rPr>
      </w:pPr>
      <w:r>
        <w:rPr>
          <w:rFonts w:hint="eastAsia" w:ascii="仿宋_GB2312" w:eastAsia="仿宋_GB2312"/>
          <w:color w:val="auto"/>
          <w:sz w:val="32"/>
          <w:szCs w:val="32"/>
          <w:highlight w:val="none"/>
          <w:lang w:val="en-US" w:eastAsia="zh-CN"/>
        </w:rPr>
        <w:t>2、公用经费支出31.81万元，</w:t>
      </w:r>
      <w:r>
        <w:rPr>
          <w:rFonts w:hint="eastAsia" w:ascii="仿宋_GB2312" w:hAnsi="Times New Roman" w:eastAsia="仿宋_GB2312" w:cs="Times New Roman"/>
          <w:color w:val="auto"/>
          <w:sz w:val="32"/>
          <w:szCs w:val="32"/>
          <w:highlight w:val="none"/>
          <w:lang w:eastAsia="zh-CN"/>
        </w:rPr>
        <w:t>占全年收入</w:t>
      </w:r>
      <w:r>
        <w:rPr>
          <w:rFonts w:hint="eastAsia" w:ascii="仿宋_GB2312" w:eastAsia="仿宋_GB2312"/>
          <w:color w:val="auto"/>
          <w:sz w:val="32"/>
          <w:szCs w:val="32"/>
          <w:highlight w:val="none"/>
          <w:lang w:val="en-US" w:eastAsia="zh-CN"/>
        </w:rPr>
        <w:t>8.2%，其中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办公室2万元、水费0.19万元、电费1.06、邮电费0.046万元、差旅费1.10万元、维修费0.2万元、公务接待费0.23万元、工会经费12.22万元、其他交通费用13.04万元、其他商品和服务支出1.68万元</w:t>
      </w:r>
    </w:p>
    <w:p>
      <w:pPr>
        <w:spacing w:line="560" w:lineRule="exact"/>
        <w:ind w:firstLine="640" w:firstLineChars="200"/>
        <w:rPr>
          <w:rFonts w:hint="default" w:ascii="仿宋_GB2312" w:eastAsia="仿宋_GB2312"/>
          <w:color w:val="auto"/>
          <w:sz w:val="32"/>
          <w:szCs w:val="32"/>
          <w:lang w:val="en-US" w:eastAsia="zh-CN"/>
        </w:rPr>
      </w:pPr>
      <w:r>
        <w:rPr>
          <w:rFonts w:hint="eastAsia" w:ascii="仿宋_GB2312" w:eastAsia="仿宋_GB2312"/>
          <w:color w:val="auto"/>
          <w:sz w:val="32"/>
          <w:szCs w:val="32"/>
          <w:lang w:val="en-US" w:eastAsia="zh-CN"/>
        </w:rPr>
        <w:t>3、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其他对个人和家庭的补助49.78万元、生活补助49.07万元、奖励金0.70万元。</w:t>
      </w:r>
      <w:r>
        <w:rPr>
          <w:rFonts w:hint="eastAsia" w:ascii="仿宋_GB2312" w:hAnsi="Times New Roman" w:eastAsia="仿宋_GB2312" w:cs="Times New Roman"/>
          <w:color w:val="auto"/>
          <w:sz w:val="32"/>
          <w:szCs w:val="32"/>
          <w:highlight w:val="none"/>
          <w:lang w:eastAsia="zh-CN"/>
        </w:rPr>
        <w:t>占全年收入</w:t>
      </w:r>
      <w:r>
        <w:rPr>
          <w:rFonts w:hint="eastAsia" w:ascii="仿宋_GB2312" w:eastAsia="仿宋_GB2312"/>
          <w:color w:val="auto"/>
          <w:sz w:val="32"/>
          <w:szCs w:val="32"/>
          <w:lang w:val="en-US" w:eastAsia="zh-CN"/>
        </w:rPr>
        <w:t>12%。</w:t>
      </w:r>
    </w:p>
    <w:p>
      <w:pPr>
        <w:numPr>
          <w:ilvl w:val="0"/>
          <w:numId w:val="0"/>
        </w:numPr>
        <w:spacing w:line="560" w:lineRule="exact"/>
        <w:ind w:firstLine="320" w:firstLineChars="100"/>
        <w:rPr>
          <w:rFonts w:hint="eastAsia" w:ascii="楷体" w:hAnsi="楷体" w:eastAsia="楷体" w:cs="Times New Roman"/>
          <w:sz w:val="32"/>
          <w:szCs w:val="32"/>
          <w:lang w:val="en-US" w:eastAsia="zh-CN"/>
        </w:rPr>
      </w:pPr>
      <w:r>
        <w:rPr>
          <w:rFonts w:hint="eastAsia" w:ascii="楷体" w:hAnsi="楷体" w:eastAsia="楷体" w:cs="Times New Roman"/>
          <w:sz w:val="32"/>
          <w:szCs w:val="32"/>
          <w:lang w:val="en-US" w:eastAsia="zh-CN"/>
        </w:rPr>
        <w:t>（二）项目支出48.08万元，</w:t>
      </w:r>
      <w:r>
        <w:rPr>
          <w:rFonts w:hint="eastAsia" w:ascii="楷体" w:hAnsi="楷体" w:eastAsia="楷体" w:cs="Times New Roman"/>
          <w:sz w:val="32"/>
          <w:szCs w:val="32"/>
          <w:lang w:eastAsia="zh-CN"/>
        </w:rPr>
        <w:t>占全年收入的</w:t>
      </w:r>
      <w:r>
        <w:rPr>
          <w:rFonts w:hint="eastAsia" w:ascii="楷体" w:hAnsi="楷体" w:eastAsia="楷体" w:cs="Times New Roman"/>
          <w:sz w:val="32"/>
          <w:szCs w:val="32"/>
          <w:lang w:val="en-US" w:eastAsia="zh-CN"/>
        </w:rPr>
        <w:t>12%。</w:t>
      </w:r>
    </w:p>
    <w:p>
      <w:pPr>
        <w:ind w:firstLine="640" w:firstLineChars="200"/>
        <w:rPr>
          <w:rFonts w:hint="eastAsia" w:ascii="仿宋_GB2312" w:eastAsia="仿宋_GB2312"/>
          <w:sz w:val="32"/>
          <w:szCs w:val="32"/>
          <w:lang w:val="en-US" w:eastAsia="zh-CN"/>
        </w:rPr>
      </w:pPr>
      <w:r>
        <w:rPr>
          <w:rFonts w:hint="eastAsia" w:ascii="仿宋_GB2312" w:eastAsia="仿宋_GB2312"/>
          <w:sz w:val="32"/>
          <w:szCs w:val="32"/>
          <w:highlight w:val="none"/>
          <w:lang w:val="en-US" w:eastAsia="zh-CN"/>
        </w:rPr>
        <w:t>1、</w:t>
      </w:r>
      <w:r>
        <w:rPr>
          <w:rFonts w:hint="eastAsia" w:ascii="仿宋" w:hAnsi="仿宋" w:eastAsia="仿宋"/>
          <w:sz w:val="32"/>
          <w:szCs w:val="32"/>
        </w:rPr>
        <w:t>县本级</w:t>
      </w:r>
      <w:r>
        <w:rPr>
          <w:rFonts w:hint="eastAsia" w:ascii="仿宋_GB2312" w:hAnsi="Times New Roman" w:eastAsia="仿宋_GB2312" w:cs="Times New Roman"/>
          <w:sz w:val="32"/>
          <w:szCs w:val="32"/>
          <w:highlight w:val="none"/>
          <w:lang w:val="en-US" w:eastAsia="zh-CN"/>
        </w:rPr>
        <w:t>年初预算安排的项目支出31.9万元，占全年收入的100%，其中：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城乡居保待遇人员生存认证5万元、城乡居保信息维护费5万元、非税征收成本1.9万元、机关社保信息系统维护费5万元、机关事业单位退休人员生存认证及稽核管理经费5万元、企保信息系统维护费5万元、企业退休人员生存认证5万元。</w:t>
      </w:r>
    </w:p>
    <w:p>
      <w:pPr>
        <w:ind w:firstLine="640" w:firstLineChars="200"/>
        <w:rPr>
          <w:rFonts w:hint="eastAsia"/>
          <w:color w:val="FF0000"/>
          <w:lang w:val="en-US" w:eastAsia="zh-CN"/>
        </w:rPr>
      </w:pPr>
      <w:r>
        <w:rPr>
          <w:rFonts w:hint="eastAsia" w:ascii="仿宋_GB2312" w:eastAsia="仿宋_GB2312"/>
          <w:sz w:val="32"/>
          <w:szCs w:val="32"/>
          <w:lang w:val="en-US" w:eastAsia="zh-CN"/>
        </w:rPr>
        <w:t>2、调增项目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年初预算安排城乡居民两险工作经费17.17万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元</w:t>
      </w:r>
      <w:r>
        <w:rPr>
          <w:rFonts w:hint="eastAsia" w:ascii="仿宋_GB2312"/>
          <w:sz w:val="32"/>
          <w:szCs w:val="32"/>
          <w:lang w:val="en-US" w:eastAsia="zh-CN"/>
        </w:rPr>
        <w:t>。</w:t>
      </w:r>
    </w:p>
    <w:p>
      <w:pPr>
        <w:spacing w:line="560" w:lineRule="exact"/>
        <w:ind w:firstLine="640" w:firstLineChars="200"/>
        <w:rPr>
          <w:rFonts w:hint="eastAsia" w:ascii="仿宋_GB2312" w:eastAsia="仿宋_GB2312"/>
          <w:sz w:val="32"/>
          <w:szCs w:val="32"/>
          <w:lang w:val="en-US" w:eastAsia="zh-CN"/>
        </w:rPr>
      </w:pPr>
      <w:r>
        <w:rPr>
          <w:rFonts w:hint="eastAsia" w:ascii="仿宋_GB2312" w:eastAsia="仿宋_GB2312"/>
          <w:sz w:val="32"/>
          <w:szCs w:val="32"/>
          <w:lang w:val="en-US" w:eastAsia="zh-CN"/>
        </w:rPr>
        <w:t>工资福利支出16.27万元（奖金11.79万元、伙食补助费1.78万元，其他社会保障缴费0.47万元、其他工资福利支出2.23万元）、商品服务支出27.17万元（办公费3.99万元、印刷费8.09万元、水费0.26万元、电费0.32万元、邮电费5.83万元、差旅费3.67万元、公务接待费0.62万元、其他交通费用1.45万元、税务及附加费用1.15万元、其他商品和服务支出1.74万元）、对个人和家庭的补助4.63万元（奖励金3.85万元、其他对个人和家庭的补助0.78万元）。</w:t>
      </w:r>
    </w:p>
    <w:p>
      <w:pPr>
        <w:spacing w:line="560" w:lineRule="exact"/>
        <w:ind w:firstLine="643" w:firstLineChars="200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b/>
          <w:sz w:val="32"/>
          <w:szCs w:val="32"/>
        </w:rPr>
        <w:t>“三公”经费控制情况</w:t>
      </w:r>
      <w:r>
        <w:rPr>
          <w:rFonts w:hint="eastAsia" w:ascii="仿宋" w:hAnsi="仿宋" w:eastAsia="仿宋" w:cs="仿宋"/>
          <w:sz w:val="32"/>
          <w:szCs w:val="32"/>
        </w:rPr>
        <w:t>：没有因公出国（境）人员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；</w:t>
      </w:r>
      <w:r>
        <w:rPr>
          <w:rFonts w:hint="eastAsia" w:ascii="仿宋" w:hAnsi="仿宋" w:eastAsia="仿宋" w:cs="仿宋"/>
          <w:sz w:val="32"/>
          <w:szCs w:val="32"/>
        </w:rPr>
        <w:t>公务接待费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支出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0.86万元，</w:t>
      </w:r>
      <w:r>
        <w:rPr>
          <w:rFonts w:hint="eastAsia" w:ascii="仿宋" w:hAnsi="仿宋" w:eastAsia="仿宋" w:cs="仿宋"/>
          <w:sz w:val="32"/>
          <w:szCs w:val="32"/>
        </w:rPr>
        <w:t>占年初预算安排数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2.3万元的</w:t>
      </w:r>
      <w:r>
        <w:rPr>
          <w:rFonts w:hint="eastAsia" w:ascii="仿宋" w:hAnsi="仿宋" w:eastAsia="仿宋" w:cs="仿宋"/>
          <w:sz w:val="32"/>
          <w:szCs w:val="32"/>
        </w:rPr>
        <w:t xml:space="preserve"> 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37</w:t>
      </w:r>
      <w:r>
        <w:rPr>
          <w:rFonts w:hint="eastAsia" w:ascii="仿宋" w:hAnsi="仿宋" w:eastAsia="仿宋" w:cs="仿宋"/>
          <w:sz w:val="32"/>
          <w:szCs w:val="32"/>
        </w:rPr>
        <w:t>%，比2020年支出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0.16</w:t>
      </w:r>
      <w:r>
        <w:rPr>
          <w:rFonts w:hint="eastAsia" w:ascii="仿宋" w:hAnsi="仿宋" w:eastAsia="仿宋" w:cs="仿宋"/>
          <w:sz w:val="32"/>
          <w:szCs w:val="32"/>
        </w:rPr>
        <w:t>万元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增加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0.7</w:t>
      </w:r>
      <w:r>
        <w:rPr>
          <w:rFonts w:hint="eastAsia" w:ascii="仿宋" w:hAnsi="仿宋" w:eastAsia="仿宋" w:cs="仿宋"/>
          <w:sz w:val="32"/>
          <w:szCs w:val="32"/>
        </w:rPr>
        <w:t>万元，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其他县交流学习增加，</w:t>
      </w:r>
      <w:r>
        <w:rPr>
          <w:rFonts w:hint="eastAsia" w:ascii="仿宋" w:hAnsi="仿宋" w:eastAsia="仿宋"/>
          <w:sz w:val="32"/>
          <w:szCs w:val="32"/>
        </w:rPr>
        <w:t>无公务用车购置及运行维护费。</w:t>
      </w:r>
      <w:r>
        <w:rPr>
          <w:rFonts w:hint="eastAsia" w:ascii="仿宋" w:hAnsi="仿宋" w:eastAsia="仿宋" w:cs="仿宋"/>
          <w:sz w:val="32"/>
          <w:szCs w:val="32"/>
        </w:rPr>
        <w:t>有效的控制了“三公经费”的支出。</w:t>
      </w:r>
    </w:p>
    <w:p>
      <w:pPr>
        <w:spacing w:line="560" w:lineRule="exact"/>
        <w:ind w:firstLine="643" w:firstLineChars="200"/>
        <w:rPr>
          <w:rFonts w:hint="eastAsia" w:ascii="仿宋" w:hAnsi="仿宋" w:eastAsia="仿宋" w:cs="仿宋"/>
          <w:sz w:val="32"/>
          <w:szCs w:val="32"/>
          <w:lang w:eastAsia="zh-CN"/>
        </w:rPr>
      </w:pPr>
      <w:r>
        <w:rPr>
          <w:rFonts w:hint="eastAsia" w:ascii="仿宋" w:hAnsi="仿宋" w:eastAsia="仿宋" w:cs="仿宋"/>
          <w:b/>
          <w:sz w:val="32"/>
          <w:szCs w:val="32"/>
        </w:rPr>
        <w:t>政府采购方面：</w:t>
      </w:r>
      <w:r>
        <w:rPr>
          <w:rFonts w:hint="eastAsia" w:ascii="仿宋" w:hAnsi="仿宋" w:eastAsia="仿宋" w:cs="Times New Roman"/>
          <w:sz w:val="32"/>
          <w:szCs w:val="32"/>
          <w:lang w:eastAsia="zh-CN"/>
        </w:rPr>
        <w:t>无</w:t>
      </w:r>
      <w:r>
        <w:rPr>
          <w:rFonts w:hint="eastAsia" w:ascii="仿宋" w:hAnsi="仿宋" w:eastAsia="仿宋" w:cs="仿宋"/>
          <w:sz w:val="32"/>
          <w:szCs w:val="32"/>
        </w:rPr>
        <w:t>政府采购支出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。</w:t>
      </w:r>
    </w:p>
    <w:p>
      <w:pPr>
        <w:ind w:firstLine="640" w:firstLineChars="200"/>
        <w:rPr>
          <w:rFonts w:hint="default" w:ascii="仿宋_GB2312" w:eastAsia="仿宋_GB2312"/>
          <w:sz w:val="32"/>
          <w:szCs w:val="32"/>
          <w:lang w:val="en-US" w:eastAsia="zh-CN"/>
        </w:rPr>
      </w:pPr>
    </w:p>
    <w:p>
      <w:pPr>
        <w:ind w:firstLine="643" w:firstLineChars="200"/>
        <w:rPr>
          <w:rFonts w:hint="eastAsia" w:ascii="仿宋" w:hAnsi="仿宋" w:eastAsia="仿宋"/>
          <w:spacing w:val="-20"/>
          <w:sz w:val="32"/>
          <w:szCs w:val="32"/>
        </w:rPr>
      </w:pPr>
      <w:r>
        <w:rPr>
          <w:rFonts w:hint="eastAsia" w:ascii="仿宋" w:hAnsi="仿宋" w:eastAsia="仿宋" w:cs="仿宋"/>
          <w:b/>
          <w:sz w:val="32"/>
          <w:szCs w:val="32"/>
        </w:rPr>
        <w:t>财务管理方面：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县社保中心</w:t>
      </w:r>
      <w:r>
        <w:rPr>
          <w:rFonts w:hint="eastAsia" w:ascii="仿宋" w:hAnsi="仿宋" w:eastAsia="仿宋" w:cs="仿宋"/>
          <w:sz w:val="32"/>
          <w:szCs w:val="32"/>
        </w:rPr>
        <w:t>认真履行部门“三定”方案确定的职责。没有存在截留、挤占、挪用、虚列支出等情况；基础数据信息和会计信息资料真实、完整、准确。并按规定内容公开预、决算信息。</w:t>
      </w:r>
      <w:r>
        <w:rPr>
          <w:rFonts w:hint="eastAsia" w:ascii="仿宋_GB2312" w:eastAsia="仿宋_GB2312"/>
          <w:sz w:val="32"/>
          <w:szCs w:val="32"/>
        </w:rPr>
        <w:t>对有关财务方面文件及时掌握</w:t>
      </w:r>
      <w:r>
        <w:rPr>
          <w:rFonts w:hint="eastAsia" w:ascii="仿宋_GB2312" w:eastAsia="仿宋_GB2312"/>
          <w:sz w:val="32"/>
          <w:szCs w:val="32"/>
          <w:lang w:eastAsia="zh-CN"/>
        </w:rPr>
        <w:t>，单位在以下方面进行了严格的管理：</w:t>
      </w:r>
      <w:r>
        <w:rPr>
          <w:rFonts w:hint="eastAsia" w:ascii="仿宋" w:hAnsi="仿宋" w:eastAsia="仿宋"/>
          <w:sz w:val="32"/>
          <w:szCs w:val="32"/>
        </w:rPr>
        <w:t>1</w:t>
      </w:r>
      <w:r>
        <w:rPr>
          <w:rFonts w:hint="eastAsia" w:ascii="仿宋" w:hAnsi="仿宋" w:eastAsia="仿宋"/>
          <w:sz w:val="32"/>
          <w:szCs w:val="32"/>
          <w:lang w:eastAsia="zh-CN"/>
        </w:rPr>
        <w:t>、</w:t>
      </w:r>
      <w:r>
        <w:rPr>
          <w:rFonts w:hint="eastAsia" w:ascii="仿宋" w:hAnsi="仿宋" w:eastAsia="仿宋"/>
          <w:sz w:val="32"/>
          <w:szCs w:val="32"/>
        </w:rPr>
        <w:t>加强预算和专户管理。根据县财政局部门预算编制的相关要求，结合本单位事业任务和服务规模，在保工资、保运转和</w:t>
      </w:r>
      <w:r>
        <w:rPr>
          <w:rFonts w:hint="eastAsia" w:ascii="仿宋" w:hAnsi="仿宋" w:eastAsia="仿宋"/>
          <w:sz w:val="32"/>
          <w:szCs w:val="32"/>
          <w:lang w:eastAsia="zh-CN"/>
        </w:rPr>
        <w:t>退役军人</w:t>
      </w:r>
      <w:r>
        <w:rPr>
          <w:rFonts w:hint="eastAsia" w:ascii="仿宋" w:hAnsi="仿宋" w:eastAsia="仿宋"/>
          <w:sz w:val="32"/>
          <w:szCs w:val="32"/>
        </w:rPr>
        <w:t>事业发展的基础上，科学地做好20</w:t>
      </w:r>
      <w:r>
        <w:rPr>
          <w:rFonts w:hint="eastAsia" w:ascii="仿宋" w:hAnsi="仿宋" w:eastAsia="仿宋"/>
          <w:sz w:val="32"/>
          <w:szCs w:val="32"/>
          <w:lang w:val="en-US" w:eastAsia="zh-CN"/>
        </w:rPr>
        <w:t>21</w:t>
      </w:r>
      <w:r>
        <w:rPr>
          <w:rFonts w:hint="eastAsia" w:ascii="仿宋" w:hAnsi="仿宋" w:eastAsia="仿宋"/>
          <w:sz w:val="32"/>
          <w:szCs w:val="32"/>
        </w:rPr>
        <w:t>年部门预算编报工作。预算执行时，坚持分月编制资金使用计划，确保资金支出不突破预算。2</w:t>
      </w:r>
      <w:r>
        <w:rPr>
          <w:rFonts w:hint="eastAsia" w:ascii="仿宋" w:hAnsi="仿宋" w:eastAsia="仿宋"/>
          <w:sz w:val="32"/>
          <w:szCs w:val="32"/>
          <w:lang w:eastAsia="zh-CN"/>
        </w:rPr>
        <w:t>、</w:t>
      </w:r>
      <w:r>
        <w:rPr>
          <w:rFonts w:hint="eastAsia" w:ascii="仿宋" w:hAnsi="仿宋" w:eastAsia="仿宋"/>
          <w:sz w:val="32"/>
          <w:szCs w:val="32"/>
        </w:rPr>
        <w:t>规范财务管理。一是认真做好了会计核算工作，完成了日常财务报销、工资以及各项费用的支出。二是认真执行《会计法》</w:t>
      </w:r>
      <w:r>
        <w:rPr>
          <w:rFonts w:hint="eastAsia" w:ascii="仿宋" w:hAnsi="仿宋" w:eastAsia="仿宋"/>
          <w:sz w:val="32"/>
          <w:szCs w:val="32"/>
          <w:lang w:eastAsia="zh-CN"/>
        </w:rPr>
        <w:t>《预算法》</w:t>
      </w:r>
      <w:r>
        <w:rPr>
          <w:rFonts w:hint="eastAsia" w:ascii="仿宋" w:hAnsi="仿宋" w:eastAsia="仿宋"/>
          <w:sz w:val="32"/>
          <w:szCs w:val="32"/>
        </w:rPr>
        <w:t>，进一步加强了对财务人员财务基础工作的指导，规范了记账凭证的编制，严格了原始凭证的审核，强化了会计档案的管理等。三是加强内、外部的沟通。进一步协调了和财政、审计、税务等业务部门的关系。四是合理调度资金，保证了全</w:t>
      </w:r>
      <w:r>
        <w:rPr>
          <w:rFonts w:hint="eastAsia" w:ascii="仿宋" w:hAnsi="仿宋" w:eastAsia="仿宋"/>
          <w:sz w:val="32"/>
          <w:szCs w:val="32"/>
          <w:lang w:eastAsia="zh-CN"/>
        </w:rPr>
        <w:t>局事</w:t>
      </w:r>
      <w:r>
        <w:rPr>
          <w:rFonts w:hint="eastAsia" w:ascii="仿宋" w:hAnsi="仿宋" w:eastAsia="仿宋"/>
          <w:sz w:val="32"/>
          <w:szCs w:val="32"/>
        </w:rPr>
        <w:t>业发展的需要。3.加强管理厉行节支。结合我局实际情况，完善了接</w:t>
      </w:r>
      <w:r>
        <w:rPr>
          <w:rFonts w:hint="eastAsia" w:ascii="仿宋" w:hAnsi="仿宋" w:eastAsia="仿宋"/>
          <w:spacing w:val="-20"/>
          <w:sz w:val="32"/>
          <w:szCs w:val="32"/>
        </w:rPr>
        <w:t>待、出差、会议、培训等制度和审批程序，规范了公务支出行为。</w:t>
      </w:r>
    </w:p>
    <w:p>
      <w:pPr>
        <w:spacing w:line="360" w:lineRule="auto"/>
        <w:ind w:firstLine="640" w:firstLineChars="200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  <w:lang w:eastAsia="zh-CN"/>
        </w:rPr>
        <w:t>绩效自评</w:t>
      </w:r>
      <w:r>
        <w:rPr>
          <w:rFonts w:hint="eastAsia" w:ascii="仿宋" w:hAnsi="仿宋" w:eastAsia="仿宋" w:cs="仿宋"/>
          <w:sz w:val="32"/>
          <w:szCs w:val="32"/>
        </w:rPr>
        <w:t>公开后，由我单位承担公开主体责任，负责解释和说明。</w:t>
      </w:r>
    </w:p>
    <w:p>
      <w:pPr>
        <w:spacing w:line="360" w:lineRule="auto"/>
        <w:ind w:firstLine="3779" w:firstLineChars="1181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  <w:lang w:eastAsia="zh-CN"/>
        </w:rPr>
        <w:t>会同县社会保险服务中心</w:t>
      </w:r>
      <w:r>
        <w:rPr>
          <w:rFonts w:hint="eastAsia" w:ascii="仿宋" w:hAnsi="仿宋" w:eastAsia="仿宋" w:cs="仿宋"/>
          <w:sz w:val="32"/>
          <w:szCs w:val="32"/>
        </w:rPr>
        <w:t>（公章）</w:t>
      </w:r>
    </w:p>
    <w:p>
      <w:pPr>
        <w:spacing w:line="360" w:lineRule="auto"/>
        <w:ind w:firstLine="592" w:firstLineChars="185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 xml:space="preserve">                       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 xml:space="preserve">        </w:t>
      </w:r>
      <w:bookmarkStart w:id="0" w:name="_GoBack"/>
      <w:bookmarkEnd w:id="0"/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 xml:space="preserve"> </w:t>
      </w:r>
      <w:r>
        <w:rPr>
          <w:rFonts w:hint="eastAsia" w:ascii="仿宋" w:hAnsi="仿宋" w:eastAsia="仿宋" w:cs="仿宋"/>
          <w:sz w:val="32"/>
          <w:szCs w:val="32"/>
        </w:rPr>
        <w:t xml:space="preserve"> 20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22</w:t>
      </w:r>
      <w:r>
        <w:rPr>
          <w:rFonts w:hint="eastAsia" w:ascii="仿宋" w:hAnsi="仿宋" w:eastAsia="仿宋" w:cs="仿宋"/>
          <w:sz w:val="32"/>
          <w:szCs w:val="32"/>
        </w:rPr>
        <w:t>年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5</w:t>
      </w:r>
      <w:r>
        <w:rPr>
          <w:rFonts w:hint="eastAsia" w:ascii="仿宋" w:hAnsi="仿宋" w:eastAsia="仿宋" w:cs="仿宋"/>
          <w:sz w:val="32"/>
          <w:szCs w:val="32"/>
        </w:rPr>
        <w:t>月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19</w:t>
      </w:r>
      <w:r>
        <w:rPr>
          <w:rFonts w:hint="eastAsia" w:ascii="仿宋" w:hAnsi="仿宋" w:eastAsia="仿宋" w:cs="仿宋"/>
          <w:sz w:val="32"/>
          <w:szCs w:val="32"/>
        </w:rPr>
        <w:t>日</w:t>
      </w:r>
    </w:p>
    <w:p>
      <w:pPr>
        <w:spacing w:line="360" w:lineRule="auto"/>
        <w:rPr>
          <w:rFonts w:hint="eastAsia" w:ascii="仿宋" w:hAnsi="仿宋" w:eastAsia="仿宋" w:cs="仿宋"/>
          <w:sz w:val="32"/>
          <w:szCs w:val="32"/>
        </w:rPr>
      </w:pPr>
    </w:p>
    <w:p>
      <w:pPr>
        <w:spacing w:line="360" w:lineRule="auto"/>
        <w:rPr>
          <w:rFonts w:hint="eastAsia" w:ascii="仿宋" w:hAnsi="仿宋" w:eastAsia="仿宋" w:cs="仿宋"/>
          <w:sz w:val="32"/>
          <w:szCs w:val="32"/>
        </w:rPr>
      </w:pPr>
    </w:p>
    <w:p>
      <w:pPr>
        <w:spacing w:line="360" w:lineRule="auto"/>
        <w:ind w:firstLine="592" w:firstLineChars="185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 xml:space="preserve">                    </w:t>
      </w:r>
    </w:p>
    <w:p/>
    <w:sectPr>
      <w:headerReference r:id="rId3" w:type="default"/>
      <w:pgSz w:w="11906" w:h="16838"/>
      <w:pgMar w:top="1440" w:right="1800" w:bottom="1440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  <w:pBdr>
        <w:bottom w:val="none" w:color="auto" w:sz="0" w:space="0"/>
      </w:pBd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A789A3F8"/>
    <w:multiLevelType w:val="singleLevel"/>
    <w:tmpl w:val="A789A3F8"/>
    <w:lvl w:ilvl="0" w:tentative="0">
      <w:start w:val="4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WNhMGFkZmRkZTg3ZGRmMTgzZmE3MTk0Zjk3N2VlOGUifQ=="/>
  </w:docVars>
  <w:rsids>
    <w:rsidRoot w:val="00000000"/>
    <w:rsid w:val="04AD7384"/>
    <w:rsid w:val="06B556CA"/>
    <w:rsid w:val="26392081"/>
    <w:rsid w:val="27127D10"/>
    <w:rsid w:val="3F670442"/>
    <w:rsid w:val="4A7330E1"/>
    <w:rsid w:val="4BDB2B82"/>
    <w:rsid w:val="634E3437"/>
    <w:rsid w:val="74CC21B7"/>
    <w:rsid w:val="75247D49"/>
    <w:rsid w:val="7AF92079"/>
    <w:rsid w:val="7F0236B4"/>
    <w:rsid w:val="7F0E696F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8">
    <w:name w:val="Default Paragraph Font"/>
    <w:semiHidden/>
    <w:qFormat/>
    <w:uiPriority w:val="0"/>
  </w:style>
  <w:style w:type="table" w:default="1" w:styleId="7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">
    <w:name w:val="BodyText1I2"/>
    <w:basedOn w:val="3"/>
    <w:next w:val="1"/>
    <w:unhideWhenUsed/>
    <w:qFormat/>
    <w:uiPriority w:val="0"/>
    <w:pPr>
      <w:ind w:firstLine="200" w:firstLineChars="200"/>
    </w:pPr>
    <w:rPr>
      <w:rFonts w:hint="default" w:ascii="Calibri" w:hAnsi="Calibri" w:eastAsia="仿宋_GB2312"/>
      <w:sz w:val="36"/>
    </w:rPr>
  </w:style>
  <w:style w:type="paragraph" w:customStyle="1" w:styleId="3">
    <w:name w:val="BodyTextIndent"/>
    <w:basedOn w:val="1"/>
    <w:unhideWhenUsed/>
    <w:qFormat/>
    <w:uiPriority w:val="0"/>
    <w:pPr>
      <w:spacing w:after="120"/>
      <w:ind w:left="420" w:leftChars="200"/>
      <w:textAlignment w:val="baseline"/>
    </w:pPr>
    <w:rPr>
      <w:rFonts w:hint="eastAsia"/>
      <w:sz w:val="21"/>
      <w:lang w:val="en-US" w:eastAsia="zh-CN"/>
    </w:rPr>
  </w:style>
  <w:style w:type="paragraph" w:styleId="4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5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6">
    <w:name w:val="Normal (Web)"/>
    <w:qFormat/>
    <w:uiPriority w:val="0"/>
    <w:pPr>
      <w:widowControl w:val="0"/>
      <w:spacing w:before="100" w:beforeAutospacing="1" w:after="100" w:afterAutospacing="1"/>
    </w:pPr>
    <w:rPr>
      <w:rFonts w:ascii="宋体" w:hAnsi="Times New Roman" w:eastAsia="宋体" w:cs="Times New Roman"/>
      <w:kern w:val="2"/>
      <w:sz w:val="24"/>
      <w:lang w:val="en-US" w:eastAsia="zh-CN" w:bidi="ar-SA"/>
    </w:rPr>
  </w:style>
  <w:style w:type="paragraph" w:customStyle="1" w:styleId="9">
    <w:name w:val="_Style 2"/>
    <w:basedOn w:val="1"/>
    <w:next w:val="1"/>
    <w:qFormat/>
    <w:uiPriority w:val="0"/>
    <w:pPr>
      <w:pBdr>
        <w:bottom w:val="single" w:color="auto" w:sz="6" w:space="1"/>
      </w:pBdr>
      <w:jc w:val="center"/>
    </w:pPr>
    <w:rPr>
      <w:rFonts w:ascii="Arial" w:eastAsia="宋体"/>
      <w:vanish/>
      <w:sz w:val="16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theme" Target="theme/theme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6</Pages>
  <Words>2401</Words>
  <Characters>2751</Characters>
  <Lines>0</Lines>
  <Paragraphs>0</Paragraphs>
  <TotalTime>0</TotalTime>
  <ScaleCrop>false</ScaleCrop>
  <LinksUpToDate>false</LinksUpToDate>
  <CharactersWithSpaces>2799</CharactersWithSpaces>
  <Application>WPS Office_11.1.0.11744_F1E327BC-269C-435d-A152-05C5408002CA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Administrator</dc:creator>
  <cp:lastModifiedBy>Administrator</cp:lastModifiedBy>
  <dcterms:modified xsi:type="dcterms:W3CDTF">2022-06-10T08:29:02Z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2052-11.1.0.11744</vt:lpwstr>
  </property>
  <property fmtid="{D5CDD505-2E9C-101B-9397-08002B2CF9AE}" pid="3" name="ICV">
    <vt:lpwstr>141EA2FFC3064FC193F648818CE4B9E5</vt:lpwstr>
  </property>
</Properties>
</file>