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会同县住房和城乡建设局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2021</w:t>
      </w:r>
      <w:r>
        <w:rPr>
          <w:rFonts w:hint="eastAsia" w:ascii="宋体" w:hAnsi="宋体"/>
          <w:b/>
          <w:sz w:val="44"/>
          <w:szCs w:val="44"/>
        </w:rPr>
        <w:t>年</w:t>
      </w:r>
      <w:r>
        <w:rPr>
          <w:rFonts w:hint="eastAsia" w:ascii="宋体" w:hAnsi="宋体"/>
          <w:b/>
          <w:sz w:val="44"/>
          <w:szCs w:val="44"/>
          <w:lang w:eastAsia="zh-CN"/>
        </w:rPr>
        <w:t>度整体绩效</w:t>
      </w:r>
      <w:r>
        <w:rPr>
          <w:rFonts w:hint="eastAsia" w:ascii="宋体" w:hAnsi="宋体"/>
          <w:b/>
          <w:sz w:val="44"/>
          <w:szCs w:val="44"/>
        </w:rPr>
        <w:t>和</w:t>
      </w:r>
      <w:r>
        <w:rPr>
          <w:rFonts w:hint="eastAsia" w:ascii="宋体" w:hAnsi="宋体"/>
          <w:b/>
          <w:sz w:val="44"/>
          <w:szCs w:val="44"/>
          <w:lang w:eastAsia="zh-CN"/>
        </w:rPr>
        <w:t>项目绩效自评情况公开</w:t>
      </w:r>
    </w:p>
    <w:p>
      <w:pPr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spacing w:line="6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为加强预算绩效管理，强化预算支出绩效责任，提高财政资金使用效益，根据《中共湖南省委办公厅</w:t>
      </w:r>
      <w:r>
        <w:rPr>
          <w:rFonts w:eastAsia="仿宋"/>
          <w:sz w:val="32"/>
          <w:szCs w:val="32"/>
        </w:rPr>
        <w:t> </w:t>
      </w:r>
      <w:r>
        <w:rPr>
          <w:rFonts w:ascii="仿宋" w:hAnsi="仿宋" w:eastAsia="仿宋"/>
          <w:sz w:val="32"/>
          <w:szCs w:val="32"/>
        </w:rPr>
        <w:t>湖南省人民政府办公厅关于全面实施预算绩效管理的实施意见》</w:t>
      </w:r>
      <w:r>
        <w:rPr>
          <w:rFonts w:hint="eastAsia" w:ascii="仿宋" w:hAnsi="仿宋" w:eastAsia="仿宋"/>
          <w:sz w:val="32"/>
          <w:szCs w:val="32"/>
          <w:lang w:eastAsia="zh-CN"/>
        </w:rPr>
        <w:t>（湘办发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[2019]10号</w:t>
      </w:r>
      <w:r>
        <w:rPr>
          <w:rFonts w:hint="eastAsia" w:ascii="仿宋" w:hAnsi="仿宋" w:eastAsia="仿宋"/>
          <w:sz w:val="32"/>
          <w:szCs w:val="32"/>
          <w:lang w:eastAsia="zh-CN"/>
        </w:rPr>
        <w:t>）、</w:t>
      </w:r>
      <w:r>
        <w:rPr>
          <w:rFonts w:ascii="仿宋" w:hAnsi="仿宋" w:eastAsia="仿宋"/>
          <w:sz w:val="32"/>
          <w:szCs w:val="32"/>
        </w:rPr>
        <w:t>《会同县财政局关于开展</w:t>
      </w:r>
      <w:r>
        <w:rPr>
          <w:rFonts w:hint="eastAsia" w:ascii="仿宋" w:hAnsi="仿宋" w:eastAsia="仿宋"/>
          <w:sz w:val="32"/>
          <w:szCs w:val="32"/>
          <w:lang w:eastAsia="zh-CN"/>
        </w:rPr>
        <w:t>2021</w:t>
      </w:r>
      <w:r>
        <w:rPr>
          <w:rFonts w:ascii="仿宋" w:hAnsi="仿宋" w:eastAsia="仿宋"/>
          <w:sz w:val="32"/>
          <w:szCs w:val="32"/>
        </w:rPr>
        <w:t>年度本级财政资金绩效自评工作的通知》（会财绩[202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sz w:val="32"/>
          <w:szCs w:val="32"/>
        </w:rPr>
        <w:t>］11号），我单位拟公开</w:t>
      </w:r>
      <w:r>
        <w:rPr>
          <w:rFonts w:hint="eastAsia" w:ascii="仿宋" w:hAnsi="仿宋" w:eastAsia="仿宋"/>
          <w:sz w:val="32"/>
          <w:szCs w:val="32"/>
          <w:lang w:eastAsia="zh-CN"/>
        </w:rPr>
        <w:t>2021</w:t>
      </w:r>
      <w:r>
        <w:rPr>
          <w:rFonts w:ascii="仿宋" w:hAnsi="仿宋" w:eastAsia="仿宋"/>
          <w:sz w:val="32"/>
          <w:szCs w:val="32"/>
        </w:rPr>
        <w:t>年度一般公共支出整体绩效和专项资金预算绩效情况。公开如下：</w:t>
      </w:r>
    </w:p>
    <w:p>
      <w:pPr>
        <w:autoSpaceDN w:val="0"/>
        <w:spacing w:line="560" w:lineRule="exact"/>
        <w:ind w:firstLine="643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一、县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住房和城乡建设局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的主要职责、工作任务及目标</w:t>
      </w:r>
    </w:p>
    <w:p>
      <w:pPr>
        <w:pStyle w:val="6"/>
        <w:shd w:val="clear" w:color="auto" w:fill="FFFFFF"/>
        <w:spacing w:before="0" w:beforeAutospacing="0" w:after="225" w:afterAutospacing="0" w:line="645" w:lineRule="atLeast"/>
        <w:ind w:firstLine="630"/>
        <w:rPr>
          <w:rFonts w:hint="eastAsia" w:ascii="仿宋" w:hAnsi="仿宋" w:eastAsia="仿宋" w:cs="仿宋"/>
          <w:color w:val="3D3D3D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主要职责：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（一）负责牵头推进新型城市化战略的日常工作，拟订全县推进新型城市化、城乡建设、工程建设、建筑行业、住宅房地产业、勘察设计咨询业、城市管理、行政执法、市政公用事业方面的规范性文件以及相关的发展战略、中长期规划及年度计划组织实施、进行行业管理。</w:t>
      </w:r>
    </w:p>
    <w:p>
      <w:pPr>
        <w:pStyle w:val="6"/>
        <w:shd w:val="clear" w:color="auto" w:fill="FFFFFF"/>
        <w:spacing w:before="0" w:beforeAutospacing="0" w:after="225" w:afterAutospacing="0" w:line="645" w:lineRule="atLeast"/>
        <w:ind w:firstLine="480"/>
        <w:rPr>
          <w:rFonts w:hint="eastAsia" w:ascii="仿宋" w:hAnsi="仿宋" w:eastAsia="仿宋" w:cs="仿宋"/>
          <w:color w:val="3D3D3D"/>
          <w:sz w:val="32"/>
          <w:szCs w:val="32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（二）负责县城规划区基础设施建设和城市扩改建工程，主要包括城市道路、给排水、桥涵、亮化、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消防燃气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、公共交通设施建设。</w:t>
      </w:r>
    </w:p>
    <w:p>
      <w:pPr>
        <w:pStyle w:val="6"/>
        <w:shd w:val="clear" w:color="auto" w:fill="FFFFFF"/>
        <w:spacing w:before="0" w:beforeAutospacing="0" w:after="225" w:afterAutospacing="0" w:line="645" w:lineRule="atLeast"/>
        <w:ind w:firstLine="480"/>
        <w:rPr>
          <w:rFonts w:hint="eastAsia" w:ascii="仿宋" w:hAnsi="仿宋" w:eastAsia="仿宋" w:cs="仿宋"/>
          <w:color w:val="3D3D3D"/>
          <w:sz w:val="32"/>
          <w:szCs w:val="32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（三）负责指导、协调、监督全县房地产市场管理。</w:t>
      </w:r>
    </w:p>
    <w:p>
      <w:pPr>
        <w:pStyle w:val="6"/>
        <w:shd w:val="clear" w:color="auto" w:fill="FFFFFF"/>
        <w:spacing w:before="0" w:beforeAutospacing="0" w:after="225" w:afterAutospacing="0" w:line="645" w:lineRule="atLeast"/>
        <w:ind w:firstLine="480"/>
        <w:rPr>
          <w:rFonts w:hint="eastAsia" w:ascii="仿宋" w:hAnsi="仿宋" w:eastAsia="仿宋" w:cs="仿宋"/>
          <w:color w:val="3D3D3D"/>
          <w:sz w:val="32"/>
          <w:szCs w:val="32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（四）承担城镇低收入家庭住房保障的责任。</w:t>
      </w:r>
    </w:p>
    <w:p>
      <w:pPr>
        <w:pStyle w:val="6"/>
        <w:shd w:val="clear" w:color="auto" w:fill="FFFFFF"/>
        <w:spacing w:before="0" w:beforeAutospacing="0" w:after="225" w:afterAutospacing="0" w:line="645" w:lineRule="atLeast"/>
        <w:ind w:firstLine="480"/>
        <w:rPr>
          <w:rFonts w:hint="eastAsia" w:ascii="仿宋" w:hAnsi="仿宋" w:eastAsia="仿宋" w:cs="仿宋"/>
          <w:color w:val="3D3D3D"/>
          <w:sz w:val="32"/>
          <w:szCs w:val="32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（五）承担建立规范的工程建设标准体系责任。组织贯彻执行建筑工程实施阶段国家标准、统一定额和行业标准及相关的管理制度、负责城镇建设档案管理。</w:t>
      </w:r>
    </w:p>
    <w:p>
      <w:pPr>
        <w:pStyle w:val="6"/>
        <w:shd w:val="clear" w:color="auto" w:fill="FFFFFF"/>
        <w:spacing w:before="0" w:beforeAutospacing="0" w:after="225" w:afterAutospacing="0" w:line="645" w:lineRule="atLeast"/>
        <w:ind w:firstLine="480"/>
        <w:rPr>
          <w:rFonts w:hint="eastAsia" w:ascii="仿宋" w:hAnsi="仿宋" w:eastAsia="仿宋" w:cs="仿宋"/>
          <w:color w:val="3D3D3D"/>
          <w:sz w:val="32"/>
          <w:szCs w:val="32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（六）负责监督和管理全县建筑活动。负责建筑市场的准入，工程招投标、劳保统筹、工程监理、实施合同备案管理，质量安全。</w:t>
      </w:r>
    </w:p>
    <w:p>
      <w:pPr>
        <w:pStyle w:val="6"/>
        <w:shd w:val="clear" w:color="auto" w:fill="FFFFFF"/>
        <w:spacing w:before="0" w:beforeAutospacing="0" w:after="225" w:afterAutospacing="0" w:line="645" w:lineRule="atLeast"/>
        <w:ind w:firstLine="480"/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（七）</w:t>
      </w:r>
      <w:r>
        <w:rPr>
          <w:rFonts w:hint="eastAsia" w:ascii="仿宋" w:hAnsi="仿宋" w:eastAsia="仿宋" w:cs="仿宋"/>
          <w:sz w:val="32"/>
          <w:szCs w:val="32"/>
        </w:rPr>
        <w:t>贯彻执行国家关于人民防空的方针、政策和法律法规，制定全县人民防空建设规划和年度工作计划，经批准后组织实施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firstLine="678" w:firstLineChars="211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主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要工作任务及目标是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：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工程维护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传统村落保护发展项目及危房改造、风貌改造</w:t>
      </w:r>
    </w:p>
    <w:p>
      <w:pPr>
        <w:numPr>
          <w:ilvl w:val="0"/>
          <w:numId w:val="0"/>
        </w:numPr>
        <w:ind w:leftChars="200" w:firstLine="320" w:firstLineChars="100"/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（三）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推进新型城市化战略的日常工作</w:t>
      </w:r>
    </w:p>
    <w:p>
      <w:pPr>
        <w:autoSpaceDN w:val="0"/>
        <w:spacing w:line="560" w:lineRule="exact"/>
        <w:ind w:firstLine="643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二、基本情况</w:t>
      </w:r>
    </w:p>
    <w:p>
      <w:pPr>
        <w:pStyle w:val="6"/>
        <w:widowControl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组织部核定机关行政编制数13，全额事业编制数24，差额编制数25，自收自支编制数8，共有编制数70。其中：行政编制实有人数13人，全额事业编实有人数24人，实有差额事业编人数18人，实有自收自支编人数7人，实有人数共62人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eastAsia="zh-CN"/>
        </w:rPr>
        <w:t>，比编制少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8人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eastAsia="zh-CN"/>
        </w:rPr>
        <w:t>单位公务用车辆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2台。</w:t>
      </w:r>
    </w:p>
    <w:p>
      <w:pPr>
        <w:pStyle w:val="6"/>
        <w:shd w:val="clear" w:color="auto" w:fill="FFFFFF"/>
        <w:spacing w:before="0" w:beforeAutospacing="0" w:after="225" w:afterAutospacing="0" w:line="450" w:lineRule="atLeast"/>
        <w:ind w:firstLine="645"/>
        <w:rPr>
          <w:rFonts w:hint="eastAsia" w:ascii="仿宋" w:hAnsi="仿宋" w:eastAsia="仿宋" w:cs="仿宋"/>
          <w:color w:val="3D3D3D"/>
          <w:sz w:val="32"/>
          <w:szCs w:val="32"/>
          <w:highlight w:val="green"/>
          <w:shd w:val="clear" w:color="auto" w:fill="FFFFFF"/>
        </w:rPr>
      </w:pPr>
    </w:p>
    <w:p>
      <w:pPr>
        <w:pStyle w:val="6"/>
        <w:shd w:val="clear" w:color="auto" w:fill="FFFFFF"/>
        <w:spacing w:before="0" w:beforeAutospacing="0" w:after="225" w:afterAutospacing="0" w:line="450" w:lineRule="atLeast"/>
        <w:ind w:firstLine="645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三、年初预算安排情况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9" w:leftChars="9" w:firstLine="617" w:firstLineChars="193"/>
        <w:jc w:val="left"/>
        <w:textAlignment w:val="auto"/>
        <w:rPr>
          <w:rFonts w:hint="eastAsia" w:ascii="仿宋" w:hAnsi="仿宋" w:eastAsia="仿宋" w:cs="仿宋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县本级安排住房和城乡建设局预算收入762.8万元。          1、一般公共预算安排702.8万元，其中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基本支出收入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318.8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万元，占县本级年初预算安排收入的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41.79%（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工资福利性支出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261.4万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元、公用经费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57.4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万元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。项目支出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384万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元，占县本级年初预算安排收入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50.34%，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主要围绕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住房的城乡建设各项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工作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及自收自支人员工资福利保障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工作进行安排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其中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传统村落保护发展项目及危房发造工作经费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30万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元、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经常性</w:t>
      </w:r>
      <w:r>
        <w:rPr>
          <w:rFonts w:hint="eastAsia" w:ascii="仿宋" w:hAnsi="仿宋" w:eastAsia="仿宋" w:cs="仿宋"/>
          <w:spacing w:val="-20"/>
          <w:sz w:val="32"/>
          <w:szCs w:val="32"/>
          <w:highlight w:val="none"/>
          <w:lang w:eastAsia="zh-CN"/>
        </w:rPr>
        <w:t>补助</w:t>
      </w:r>
      <w:r>
        <w:rPr>
          <w:rFonts w:hint="eastAsia" w:ascii="仿宋" w:hAnsi="仿宋" w:eastAsia="仿宋" w:cs="仿宋"/>
          <w:spacing w:val="-20"/>
          <w:sz w:val="32"/>
          <w:szCs w:val="32"/>
          <w:highlight w:val="none"/>
          <w:lang w:val="en-US" w:eastAsia="zh-CN"/>
        </w:rPr>
        <w:t>224万</w:t>
      </w:r>
      <w:r>
        <w:rPr>
          <w:rFonts w:hint="eastAsia" w:ascii="仿宋" w:hAnsi="仿宋" w:eastAsia="仿宋" w:cs="仿宋"/>
          <w:spacing w:val="-20"/>
          <w:sz w:val="32"/>
          <w:szCs w:val="32"/>
          <w:highlight w:val="none"/>
        </w:rPr>
        <w:t>元</w:t>
      </w:r>
      <w:r>
        <w:rPr>
          <w:rFonts w:hint="eastAsia" w:ascii="仿宋" w:hAnsi="仿宋" w:eastAsia="仿宋" w:cs="仿宋"/>
          <w:spacing w:val="-20"/>
          <w:sz w:val="32"/>
          <w:szCs w:val="32"/>
          <w:highlight w:val="none"/>
          <w:lang w:eastAsia="zh-CN"/>
        </w:rPr>
        <w:t>、政府购买施工图审查服务费</w:t>
      </w:r>
      <w:r>
        <w:rPr>
          <w:rFonts w:hint="eastAsia" w:ascii="仿宋" w:hAnsi="仿宋" w:eastAsia="仿宋" w:cs="仿宋"/>
          <w:spacing w:val="-20"/>
          <w:sz w:val="32"/>
          <w:szCs w:val="32"/>
          <w:highlight w:val="none"/>
          <w:lang w:val="en-US" w:eastAsia="zh-CN"/>
        </w:rPr>
        <w:t>100万元、指挥通讯费30万元，</w:t>
      </w:r>
      <w:r>
        <w:rPr>
          <w:rFonts w:hint="eastAsia" w:ascii="仿宋" w:hAnsi="仿宋" w:eastAsia="仿宋" w:cs="仿宋"/>
          <w:spacing w:val="0"/>
          <w:sz w:val="32"/>
          <w:szCs w:val="32"/>
          <w:highlight w:val="none"/>
        </w:rPr>
        <w:t>基本能够保障</w:t>
      </w:r>
      <w:r>
        <w:rPr>
          <w:rFonts w:hint="eastAsia" w:ascii="仿宋" w:hAnsi="仿宋" w:eastAsia="仿宋" w:cs="仿宋"/>
          <w:spacing w:val="0"/>
          <w:sz w:val="32"/>
          <w:szCs w:val="32"/>
          <w:highlight w:val="none"/>
          <w:lang w:eastAsia="zh-CN"/>
        </w:rPr>
        <w:t>县住房和城乡建设局</w:t>
      </w:r>
      <w:r>
        <w:rPr>
          <w:rFonts w:hint="eastAsia" w:ascii="仿宋" w:hAnsi="仿宋" w:eastAsia="仿宋" w:cs="仿宋"/>
          <w:spacing w:val="0"/>
          <w:sz w:val="32"/>
          <w:szCs w:val="32"/>
          <w:highlight w:val="none"/>
        </w:rPr>
        <w:t>履行主要工作职责。</w:t>
      </w:r>
    </w:p>
    <w:p>
      <w:pPr>
        <w:pStyle w:val="9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highlight w:val="none"/>
          <w:lang w:val="en-US" w:eastAsia="zh-CN"/>
        </w:rPr>
        <w:t>2、政府性基金预算安排60万元，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占县本级年初预算安排收入的</w:t>
      </w:r>
      <w:r>
        <w:rPr>
          <w:rFonts w:hint="eastAsia" w:ascii="仿宋" w:hAnsi="仿宋" w:eastAsia="仿宋" w:cs="仿宋"/>
          <w:spacing w:val="0"/>
          <w:sz w:val="32"/>
          <w:szCs w:val="32"/>
          <w:highlight w:val="none"/>
          <w:lang w:val="en-US" w:eastAsia="zh-CN"/>
        </w:rPr>
        <w:t>7.86%，</w:t>
      </w:r>
      <w:r>
        <w:rPr>
          <w:rFonts w:hint="eastAsia" w:ascii="仿宋" w:hAnsi="仿宋" w:eastAsia="仿宋" w:cs="仿宋"/>
          <w:spacing w:val="-20"/>
          <w:sz w:val="32"/>
          <w:szCs w:val="32"/>
          <w:highlight w:val="none"/>
          <w:lang w:eastAsia="zh-CN"/>
        </w:rPr>
        <w:t>污水泵站运行</w:t>
      </w:r>
      <w:r>
        <w:rPr>
          <w:rFonts w:hint="eastAsia" w:ascii="仿宋" w:hAnsi="仿宋" w:eastAsia="仿宋" w:cs="仿宋"/>
          <w:spacing w:val="-20"/>
          <w:sz w:val="32"/>
          <w:szCs w:val="32"/>
          <w:highlight w:val="none"/>
          <w:lang w:val="en-US" w:eastAsia="zh-CN"/>
        </w:rPr>
        <w:t>60万元。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年度“三公经费”预算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10.3万元，其中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公务接待费为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8.4万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元、公务用车购置及运行维护费为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1.9万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四、本年预算执行情况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收入方面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：在实际执行中，县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住房和城乡建设局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全年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总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收入为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5879.53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，其中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2020年结转结余1231.52万元（基本支出结余结转0万元、专项资金支出结转结余1231.52万元），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本年收入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4648.01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万元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，具体如下：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县本级年初预算拨款收入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749.15万元，其中基本支出收入318.8万（工资福利收入261.4万元、公用经费收入57.4万元）；项目收入430.35万元（专项商品服务支出收入206.35万元、专项对个人和家庭的补助224万元）。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2、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预算调整收入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935.7万元 ，其中基本支出收入935.7万元（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人员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工资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及福利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调增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683.28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万元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日常公用经费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调增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252.42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万元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）。</w:t>
      </w:r>
    </w:p>
    <w:p>
      <w:pPr>
        <w:pStyle w:val="9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3、专项资金收入2963.16万元（城市建设支出442.2万元、棚户区改造支出243万元、城市环境卫生126.82万元、污水处理设施建设和运营194.4万元、其他城乡社区支出97.84万元、其他保障性安居工程支出1858.8万元）。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支出方面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：全年实际支出为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5879.53万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占全年收入的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100%，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财政均按实际支出进度予以拨付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>
      <w:pPr>
        <w:numPr>
          <w:ilvl w:val="0"/>
          <w:numId w:val="0"/>
        </w:numPr>
        <w:spacing w:line="560" w:lineRule="exact"/>
        <w:ind w:firstLine="320" w:firstLineChars="1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（一）基本支出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1030.51万元，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占全年收入的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17.53%，其中年中预算调整收入支出935.71万元，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占全年收入的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16.22%。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工资福利性支出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720.68万元，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占全年收入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9.32%，其中基本工资153.78万元、津贴补贴105.55万元、奖金137.17万元、伙食补助39.74万元、机关事业单位养老保险缴费163.31万元、职业年金0.54万元、职工医疗保险35.02万元、其他社会保障缴费5.15万元、抚恤金2.41万元、医疗补助5.36万元、奖励金71.81万元、其他对个人和家庭的补助支出0.84万元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2、公用经费支出309.83万元，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占全年收入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4.01%，其中办公费12.99万元、印刷费13.27万元、咨询费38.5万元、水费1.68万元、电费11.04万元、邮电费5.91万元、差旅费16.22万元、维护费58.63万元、租赁费0.22万元、会议费0.85万元、公务接1.32万元、劳务费38.93万元、委托业务费28.11万元、工会经费39.33万元、福利费6.82万元、公务用车运行维护费1.79万元、其他交通费12.03万元、其他商品和服务支出6.01万元、办公设备购置0.56万元、专用设备购置费15.62万元。</w:t>
      </w:r>
    </w:p>
    <w:p>
      <w:pPr>
        <w:numPr>
          <w:ilvl w:val="0"/>
          <w:numId w:val="0"/>
        </w:numPr>
        <w:spacing w:line="560" w:lineRule="exact"/>
        <w:ind w:firstLine="320" w:firstLineChars="1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（二）项目支出4849.03元，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占全年收入的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82.47%。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县本级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年初预算的项目支出425.68万元，占全年收入的7.24%，其中：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3D3D3D"/>
          <w:sz w:val="32"/>
          <w:szCs w:val="32"/>
          <w:highlight w:val="none"/>
          <w:shd w:val="clear" w:color="auto" w:fill="FFFFFF"/>
          <w:lang w:val="en-US" w:eastAsia="zh-CN"/>
        </w:rPr>
        <w:t>1）</w:t>
      </w:r>
      <w:r>
        <w:rPr>
          <w:rFonts w:hint="eastAsia" w:ascii="仿宋" w:hAnsi="仿宋" w:eastAsia="仿宋" w:cs="仿宋"/>
          <w:color w:val="3D3D3D"/>
          <w:sz w:val="32"/>
          <w:szCs w:val="32"/>
          <w:highlight w:val="none"/>
          <w:shd w:val="clear" w:color="auto" w:fill="FFFFFF"/>
        </w:rPr>
        <w:t>政府性基金污水泵站运行经费</w:t>
      </w:r>
      <w:r>
        <w:rPr>
          <w:rFonts w:hint="eastAsia" w:ascii="仿宋" w:hAnsi="仿宋" w:eastAsia="仿宋" w:cs="仿宋"/>
          <w:color w:val="3D3D3D"/>
          <w:sz w:val="32"/>
          <w:szCs w:val="32"/>
          <w:highlight w:val="none"/>
          <w:shd w:val="clear" w:color="auto" w:fill="FFFFFF"/>
          <w:lang w:eastAsia="zh-CN"/>
        </w:rPr>
        <w:t>支出</w:t>
      </w:r>
      <w:r>
        <w:rPr>
          <w:rFonts w:hint="eastAsia" w:ascii="仿宋" w:hAnsi="仿宋" w:eastAsia="仿宋" w:cs="仿宋"/>
          <w:color w:val="3D3D3D"/>
          <w:sz w:val="32"/>
          <w:szCs w:val="32"/>
          <w:highlight w:val="none"/>
          <w:shd w:val="clear" w:color="auto" w:fill="FFFFFF"/>
          <w:lang w:val="en-US" w:eastAsia="zh-CN"/>
        </w:rPr>
        <w:t>54.83</w:t>
      </w:r>
      <w:r>
        <w:rPr>
          <w:rFonts w:hint="eastAsia" w:ascii="仿宋" w:hAnsi="仿宋" w:eastAsia="仿宋" w:cs="仿宋"/>
          <w:color w:val="3D3D3D"/>
          <w:sz w:val="32"/>
          <w:szCs w:val="32"/>
          <w:highlight w:val="none"/>
          <w:shd w:val="clear" w:color="auto" w:fill="FFFFFF"/>
        </w:rPr>
        <w:t>万元，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主要用于会同县各污水泵站的运行维护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其中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办公费0.33万元、水费0.18万元、电费33.35万元、邮电费2.4万元、差旅费0.22万元、维修（护）费15.45万元、劳务费2.4万元、其他商品和服务支出0.5万</w:t>
      </w:r>
      <w:r>
        <w:rPr>
          <w:rFonts w:hint="eastAsia" w:ascii="仿宋" w:hAnsi="仿宋" w:eastAsia="仿宋" w:cs="仿宋"/>
          <w:sz w:val="32"/>
          <w:szCs w:val="32"/>
        </w:rPr>
        <w:t>元。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  <w:lang w:val="en-US" w:eastAsia="zh-CN"/>
        </w:rPr>
        <w:t>2）</w:t>
      </w:r>
      <w:r>
        <w:rPr>
          <w:rFonts w:hint="eastAsia" w:ascii="仿宋" w:hAnsi="仿宋" w:eastAsia="仿宋" w:cs="仿宋"/>
          <w:sz w:val="32"/>
          <w:szCs w:val="32"/>
        </w:rPr>
        <w:t>传统村落保护发展及危房改造工作经费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  <w:lang w:eastAsia="zh-CN"/>
        </w:rPr>
        <w:t>支付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29.08万元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  <w:lang w:eastAsia="zh-CN"/>
        </w:rPr>
        <w:t>。其中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办公费2.38万元、印刷费2.72万元、差旅费3.82万元、劳务费7.63万元、委托业务费6.32万元、其他交通费用5.21万元、其他商品服务支出1万元。</w:t>
      </w:r>
    </w:p>
    <w:p>
      <w:pPr>
        <w:ind w:firstLine="640" w:firstLineChars="200"/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  <w:lang w:val="en-US" w:eastAsia="zh-CN"/>
        </w:rPr>
        <w:t>3）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指挥通信费专项资金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  <w:lang w:eastAsia="zh-CN"/>
        </w:rPr>
        <w:t>支出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27.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7万元，</w:t>
      </w:r>
      <w:r>
        <w:rPr>
          <w:rFonts w:hint="eastAsia" w:ascii="仿宋" w:hAnsi="仿宋" w:eastAsia="仿宋" w:cs="仿宋"/>
          <w:sz w:val="32"/>
          <w:szCs w:val="32"/>
        </w:rPr>
        <w:t>主要用于人防指挥通讯专项工作。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其中</w:t>
      </w:r>
      <w:r>
        <w:rPr>
          <w:rFonts w:hint="eastAsia" w:ascii="仿宋" w:hAnsi="仿宋" w:eastAsia="仿宋" w:cs="仿宋"/>
          <w:sz w:val="32"/>
          <w:szCs w:val="32"/>
        </w:rPr>
        <w:t>办公费0.33万元、印刷费1.8万元，邮电费2.59万元、差旅费0.42万元、维修（护）费 9.02万元、公务接待费0.19万元、其他交通费0.92万元、其他商品和服务支出（防空演练开支）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.94万元、办公设备购置费0.56万元。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  <w:lang w:val="en-US" w:eastAsia="zh-CN"/>
        </w:rPr>
        <w:t>4）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政府购买施工图审查服务费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  <w:lang w:eastAsia="zh-CN"/>
        </w:rPr>
        <w:t>支付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90万元,主要用施工图审费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其中</w:t>
      </w:r>
      <w:r>
        <w:rPr>
          <w:rFonts w:hint="eastAsia" w:ascii="仿宋" w:hAnsi="仿宋" w:eastAsia="仿宋" w:cs="仿宋"/>
          <w:sz w:val="32"/>
          <w:szCs w:val="32"/>
        </w:rPr>
        <w:t>委托业务费90万元。</w:t>
      </w:r>
    </w:p>
    <w:p>
      <w:pPr>
        <w:ind w:firstLine="640" w:firstLineChars="200"/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（5）经常性补助支出</w:t>
      </w:r>
      <w:r>
        <w:rPr>
          <w:rFonts w:hint="eastAsia" w:ascii="仿宋" w:hAnsi="仿宋" w:eastAsia="仿宋" w:cs="仿宋"/>
          <w:color w:val="3D3D3D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24万元，经常性补助主要用于差额人员的工资支出，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  <w:lang w:eastAsia="zh-CN"/>
        </w:rPr>
        <w:t>其中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基本工资137.22万元、津贴补贴58.4万元、养老金28.38万元。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pStyle w:val="9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、专项资金支出4423.2万元，占全年收入的75.23%，其中城市建设支出442.2万元、棚户区改造支出243万元、城市环境卫生126.82万元、污水处理设施建设和运营194.4万元、其他城乡社区支出326.46万元、其他保障性安居工程支出1858.8万元、专项债券收入安排的支出1231.52万元。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“三公”经费控制情况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：没有因公出国（境）人员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公务接待费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支出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1.32万元，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占年初预算安排数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8.4万元的15.71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%，比2020年支出2.3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万元减少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1.05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万元，变动率为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44.3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公务用车购置及运行维护费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1.79万元，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占年初预算安排数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1.9万元的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94.21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%，比2020年支出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2.09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万元减少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0.3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万元，变动率为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14.35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%。有效的控制了“三公经费”的支出。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政府采购方面：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政府采购支出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2439.87万元，其中政府采购货物支出30.63万元、政府采购工程支出2409.24万元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>
      <w:pPr>
        <w:ind w:firstLine="643" w:firstLineChars="200"/>
        <w:rPr>
          <w:rFonts w:hint="eastAsia" w:ascii="仿宋" w:hAnsi="仿宋" w:eastAsia="仿宋" w:cs="仿宋"/>
          <w:spacing w:val="-2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财务管理方面：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县住房和城乡建设局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认真履行部门“三定”方案确定的职责。没有存在截留、挤占、挪用、虚列支出等情况；基础数据信息和会计信息资料真实、完整、准确。并按规定内容公开预、决算信息。对有关财务方面文件及时掌握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，单位在以下方面进行了严格的管理：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加强预算和专户管理。根据县财政局部门预算编制的相关要求，结合本单位事业任务和服务规模，在保工资、保运转和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退役军人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事业发展的基础上，科学地做好20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年部门预算编报工作。预算执行时，坚持分月编制资金使用计划，确保资金支出不突破预算。2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规范财务管理。一是认真做好了会计核算工作，完成了日常财务报销、工资以及各项费用的支出。二是认真执行《会计法》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《预算法》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进一步加强了对财务人员财务基础工作的指导，规范了记账凭证的编制，严格了原始凭证的审核，强化了会计档案的管理等。三是加强内、外部的沟通。进一步协调了和财政、审计、税务等业务部门的关系。四是合理调度资金，保证了全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局事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业发展的需要。3.加强管理厉行节支。结合我局实际情况，完善了接</w:t>
      </w:r>
      <w:r>
        <w:rPr>
          <w:rFonts w:hint="eastAsia" w:ascii="仿宋" w:hAnsi="仿宋" w:eastAsia="仿宋" w:cs="仿宋"/>
          <w:spacing w:val="-20"/>
          <w:sz w:val="32"/>
          <w:szCs w:val="32"/>
          <w:highlight w:val="none"/>
        </w:rPr>
        <w:t>待、出差、会议、培训等制度和审批程序，规范了公务支出行为。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绩效自评</w:t>
      </w:r>
      <w:r>
        <w:rPr>
          <w:rFonts w:hint="eastAsia" w:ascii="仿宋" w:hAnsi="仿宋" w:eastAsia="仿宋" w:cs="仿宋"/>
          <w:sz w:val="32"/>
          <w:szCs w:val="32"/>
        </w:rPr>
        <w:t>公开后，由我单位承担公开主体责任，负责解释和说明。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592" w:firstLineChars="18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会同县住房和城乡建设局</w:t>
      </w:r>
      <w:r>
        <w:rPr>
          <w:rFonts w:hint="eastAsia" w:ascii="仿宋" w:hAnsi="仿宋" w:eastAsia="仿宋" w:cs="仿宋"/>
          <w:sz w:val="32"/>
          <w:szCs w:val="32"/>
        </w:rPr>
        <w:t>（公章）</w:t>
      </w:r>
    </w:p>
    <w:p>
      <w:pPr>
        <w:spacing w:line="360" w:lineRule="auto"/>
        <w:ind w:firstLine="592" w:firstLineChars="18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5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114B64"/>
    <w:multiLevelType w:val="singleLevel"/>
    <w:tmpl w:val="80114B6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5OGMzM2MzMTliZDJkZDAzODZmMzAwODA2NzgxNTcifQ=="/>
  </w:docVars>
  <w:rsids>
    <w:rsidRoot w:val="00000000"/>
    <w:rsid w:val="01AD071C"/>
    <w:rsid w:val="0FF05033"/>
    <w:rsid w:val="1A1B5468"/>
    <w:rsid w:val="27127D10"/>
    <w:rsid w:val="29BF67BF"/>
    <w:rsid w:val="3218590F"/>
    <w:rsid w:val="4A7330E1"/>
    <w:rsid w:val="4BDB2B82"/>
    <w:rsid w:val="552828E3"/>
    <w:rsid w:val="61EF3DF4"/>
    <w:rsid w:val="74CC21B7"/>
    <w:rsid w:val="75127A16"/>
    <w:rsid w:val="756664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 w:val="0"/>
      <w:spacing w:before="100" w:beforeAutospacing="1" w:after="100" w:afterAutospacing="1"/>
    </w:pPr>
    <w:rPr>
      <w:rFonts w:ascii="宋体" w:eastAsia="宋体"/>
      <w:kern w:val="2"/>
      <w:sz w:val="24"/>
      <w:lang w:val="en-US" w:eastAsia="zh-CN" w:bidi="ar-SA"/>
    </w:rPr>
  </w:style>
  <w:style w:type="paragraph" w:customStyle="1" w:styleId="9">
    <w:name w:val="BodyText1I2"/>
    <w:basedOn w:val="10"/>
    <w:next w:val="1"/>
    <w:unhideWhenUsed/>
    <w:qFormat/>
    <w:uiPriority w:val="0"/>
    <w:pPr>
      <w:ind w:firstLine="200" w:firstLineChars="200"/>
    </w:pPr>
    <w:rPr>
      <w:rFonts w:hint="default" w:ascii="Calibri" w:hAnsi="Calibri" w:eastAsia="仿宋_GB2312"/>
      <w:sz w:val="36"/>
    </w:rPr>
  </w:style>
  <w:style w:type="paragraph" w:customStyle="1" w:styleId="10">
    <w:name w:val="BodyTextIndent"/>
    <w:basedOn w:val="1"/>
    <w:unhideWhenUsed/>
    <w:qFormat/>
    <w:uiPriority w:val="0"/>
    <w:pPr>
      <w:spacing w:after="120"/>
      <w:ind w:left="420" w:leftChars="200"/>
      <w:textAlignment w:val="baseline"/>
    </w:pPr>
    <w:rPr>
      <w:rFonts w:hint="eastAsia"/>
      <w:sz w:val="21"/>
      <w:lang w:val="en-US" w:eastAsia="zh-CN"/>
    </w:rPr>
  </w:style>
  <w:style w:type="paragraph" w:customStyle="1" w:styleId="11">
    <w:name w:val="paragraph text-align-type-justify pap-line-15pt pap-line-rule-exact pap-spacing-before-2pt pap-spacing-after-0pt pap-firstline-indent-26p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3239</Words>
  <Characters>3841</Characters>
  <Lines>0</Lines>
  <Paragraphs>0</Paragraphs>
  <TotalTime>0</TotalTime>
  <ScaleCrop>false</ScaleCrop>
  <LinksUpToDate>false</LinksUpToDate>
  <CharactersWithSpaces>3902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2022-07-04T03:13:28Z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9276B558750442A8852657E794D76916</vt:lpwstr>
  </property>
</Properties>
</file>