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7E9608">
      <w:pPr>
        <w:spacing w:line="540" w:lineRule="exact"/>
        <w:jc w:val="center"/>
        <w:rPr>
          <w:rFonts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会同县人力资源和社会保障局</w:t>
      </w:r>
    </w:p>
    <w:p w14:paraId="42F8920E">
      <w:pPr>
        <w:spacing w:line="540" w:lineRule="exact"/>
        <w:jc w:val="center"/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202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sz w:val="44"/>
          <w:szCs w:val="44"/>
        </w:rPr>
        <w:t>年度财政支出绩效评价报告</w:t>
      </w:r>
    </w:p>
    <w:p w14:paraId="71304813">
      <w:pPr>
        <w:numPr>
          <w:ilvl w:val="0"/>
          <w:numId w:val="0"/>
        </w:numPr>
        <w:spacing w:line="540" w:lineRule="exact"/>
        <w:jc w:val="center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）信息化建设及执法监督工作经费</w:t>
      </w:r>
    </w:p>
    <w:p w14:paraId="13FD3205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</w:p>
    <w:p w14:paraId="4958BDA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left="0" w:right="0" w:firstLine="640" w:firstLineChars="200"/>
        <w:jc w:val="both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 </w:t>
      </w: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一、项目基本情况</w:t>
      </w:r>
    </w:p>
    <w:p w14:paraId="10B7779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</w:rPr>
        <w:t>项目概况</w:t>
      </w:r>
    </w:p>
    <w:p w14:paraId="357C28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1.项目决策背景</w:t>
      </w:r>
    </w:p>
    <w:p w14:paraId="7D006616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统筹实施劳动人事争议调解仲裁制度，组织实施劳动监察，协调劳动者维权，宣传法律法规，依法查处违法案件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5EE8C63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2.项目主要内容</w:t>
      </w:r>
    </w:p>
    <w:p w14:paraId="753B8823"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贯彻执行国家人力资源和社会保障法律法规、方针政策，推动农民工相关政策的落实，协调解决重点难点问题，维护农民工合法权益。统筹实施劳动人事争议调解仲裁制度，组织实施劳动监察，协调劳动者维权工作，宣传法律法规，依法查处违法案件。</w:t>
      </w:r>
    </w:p>
    <w:p w14:paraId="7F7F8DFE">
      <w:pPr>
        <w:spacing w:line="540" w:lineRule="exact"/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3.项目组织管理机构</w:t>
      </w:r>
    </w:p>
    <w:p w14:paraId="1DFB021D">
      <w:pPr>
        <w:spacing w:line="560" w:lineRule="exact"/>
        <w:ind w:firstLine="640" w:firstLineChars="200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会同县人力资源和社会保障局现有编制数为3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4个</w:t>
      </w:r>
      <w:r>
        <w:rPr>
          <w:rFonts w:hint="eastAsia" w:ascii="仿宋" w:hAnsi="仿宋" w:eastAsia="仿宋" w:cs="仿宋"/>
          <w:sz w:val="32"/>
          <w:szCs w:val="32"/>
        </w:rPr>
        <w:t>，其中行政编制1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个，机关后勤编1个，事业编制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个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(其中19个全额拨款编制，2个财政全额负担的差额拨款编制)</w:t>
      </w:r>
      <w:r>
        <w:rPr>
          <w:rFonts w:hint="eastAsia" w:ascii="仿宋" w:hAnsi="仿宋" w:eastAsia="仿宋" w:cs="仿宋"/>
          <w:sz w:val="32"/>
          <w:szCs w:val="32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2023年末</w:t>
      </w:r>
      <w:r>
        <w:rPr>
          <w:rFonts w:hint="eastAsia" w:ascii="仿宋" w:hAnsi="仿宋" w:eastAsia="仿宋" w:cs="仿宋"/>
          <w:sz w:val="32"/>
          <w:szCs w:val="32"/>
        </w:rPr>
        <w:t>实有在职人数3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人，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其中行政编制在职人数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11人，事业编制在职人数21人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68696B51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（二）预算资金使用管理情况</w:t>
      </w:r>
    </w:p>
    <w:p w14:paraId="31A571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0" w:name="_Toc108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1.预算资金安排及管理情况</w:t>
      </w:r>
      <w:bookmarkEnd w:id="0"/>
    </w:p>
    <w:p w14:paraId="2550D4EB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（1）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资金来源及拨付流程</w:t>
      </w:r>
    </w:p>
    <w:p w14:paraId="7C9400A7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sz w:val="32"/>
          <w:szCs w:val="32"/>
        </w:rPr>
        <w:t>该项目年初预算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财政拨款</w:t>
      </w:r>
      <w:r>
        <w:rPr>
          <w:rFonts w:hint="eastAsia" w:ascii="仿宋" w:hAnsi="仿宋" w:eastAsia="仿宋" w:cs="仿宋"/>
          <w:sz w:val="32"/>
          <w:szCs w:val="32"/>
        </w:rPr>
        <w:t>项目资金共计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4.8</w:t>
      </w:r>
      <w:r>
        <w:rPr>
          <w:rFonts w:hint="eastAsia" w:ascii="仿宋" w:hAnsi="仿宋" w:eastAsia="仿宋" w:cs="仿宋"/>
          <w:sz w:val="32"/>
          <w:szCs w:val="32"/>
        </w:rPr>
        <w:t>万元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26D35A32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（2）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资金到位情况</w:t>
      </w:r>
    </w:p>
    <w:p w14:paraId="77DF27C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该项目2023年拨付4.8万元。</w:t>
      </w:r>
    </w:p>
    <w:p w14:paraId="2AC13A6F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3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资金使用情况</w:t>
      </w:r>
    </w:p>
    <w:p w14:paraId="63641AB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本项目用于劳动监察、仲裁等业务。预算经费4.8万元，按进度拨付使用了资金4.8万元，其中办案差旅费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2.9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万元，宣传印刷费1.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9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万元。</w:t>
      </w:r>
    </w:p>
    <w:p w14:paraId="5286BB2A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548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</w:t>
      </w: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4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）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资金管理制度及执行情况</w:t>
      </w:r>
    </w:p>
    <w:p w14:paraId="3A2A9C34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该项目资金拨付严格按单位申报、财政局社保股审核程序，使用规范，会计核算结果真实、准确。我单位建立健全项目实施预算方案、财务管理制度和会计核算制度，未有截留、挤占或挪用该项目资金的情况。</w:t>
      </w:r>
    </w:p>
    <w:p w14:paraId="58459F10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.项目组织实施管理情况</w:t>
      </w:r>
    </w:p>
    <w:p w14:paraId="38C366A9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劳动监察、仲裁执法监督工作实施过程中，严格遵循国家法律法规，组织实施劳动监察，协调维权工作，宣传法律法规，依法查处违法案件，维护劳动者合法权益。按年初预算规定支付信息建设费、宣传费、外出办案差旅费等，有计划地开展全年工作，完满完成预算编制时提出的绩效目标。</w:t>
      </w:r>
    </w:p>
    <w:p w14:paraId="42CE17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（三）预算绩效目标情况</w:t>
      </w:r>
    </w:p>
    <w:p w14:paraId="2C048043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1.绩效目标</w:t>
      </w:r>
    </w:p>
    <w:p w14:paraId="29DDBF5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统筹实施劳动人事争议调解仲裁制度，组织实施劳动监察，协调劳动者维权，宣传法律法规，依法查处违法案件。</w:t>
      </w:r>
    </w:p>
    <w:p w14:paraId="79756C2D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2.绩效指标</w:t>
      </w:r>
    </w:p>
    <w:p w14:paraId="71092EE8">
      <w:pPr>
        <w:pStyle w:val="4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520" w:lineRule="exact"/>
        <w:ind w:right="0" w:firstLine="640" w:firstLineChars="200"/>
        <w:jc w:val="both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包含产出指标、效益指标、满意度指标。</w:t>
      </w:r>
    </w:p>
    <w:p w14:paraId="1386548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 w:leftChars="0"/>
        <w:textAlignment w:val="auto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二、绩效评价工作情况</w:t>
      </w:r>
    </w:p>
    <w:p w14:paraId="31CE5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绩效评价目的</w:t>
      </w:r>
    </w:p>
    <w:p w14:paraId="01252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明确项目资金政策、项目资金管理、项目资金安排、项目资金使用情况。</w:t>
      </w:r>
    </w:p>
    <w:p w14:paraId="05E546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" w:name="_Toc1184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被评价单位、绩效评价范围与时段</w:t>
      </w:r>
      <w:bookmarkEnd w:id="1"/>
    </w:p>
    <w:p w14:paraId="0C27C5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会同县人力资源和社会保障局2023年信息化建设及执法监督工作经费。</w:t>
      </w:r>
    </w:p>
    <w:p w14:paraId="14C56A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" w:name="_Toc31835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绩效评价原则、评价指标体系、评价方法</w:t>
      </w:r>
      <w:bookmarkEnd w:id="2"/>
    </w:p>
    <w:p w14:paraId="4AD797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包括是否完成了预算编制时提出的绩效目标，项目的实施效果如何，项目资金的产出成果及产出效益情况，包括项目资金所提供的公共产品和服务及其所产生的经济效益、社会效益、生态环境效益以及对可持续发展的影响等。</w:t>
      </w:r>
    </w:p>
    <w:p w14:paraId="69E40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3" w:name="_Toc7615"/>
      <w:bookmarkStart w:id="4" w:name="_Toc32076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三、主要绩效及评价结论</w:t>
      </w:r>
      <w:bookmarkEnd w:id="3"/>
      <w:bookmarkEnd w:id="4"/>
    </w:p>
    <w:p w14:paraId="3BDEDF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</w:t>
      </w:r>
    </w:p>
    <w:p w14:paraId="06409E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社会效益指标解决劳动者重难点问题效果明显。</w:t>
      </w:r>
    </w:p>
    <w:p w14:paraId="33B4A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</w:t>
      </w:r>
    </w:p>
    <w:p w14:paraId="7ADBE1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生态效益指标生态环境成本节约率≥0(计划成本-实际成本) /计划成本×100%。</w:t>
      </w:r>
    </w:p>
    <w:p w14:paraId="71431E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可持续影响</w:t>
      </w:r>
    </w:p>
    <w:p w14:paraId="02F84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维护社会和谐、稳定效果明显。</w:t>
      </w:r>
    </w:p>
    <w:p w14:paraId="2AC87B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满意度情况</w:t>
      </w:r>
    </w:p>
    <w:p w14:paraId="215341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服务对象满意度指标社会公众满意度98%。</w:t>
      </w:r>
    </w:p>
    <w:p w14:paraId="64AE5D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（五）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评价结论</w:t>
      </w:r>
    </w:p>
    <w:p w14:paraId="05DF99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整体项目绩效评分99分。</w:t>
      </w:r>
    </w:p>
    <w:p w14:paraId="73EF28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5" w:name="_Toc27541"/>
      <w:bookmarkStart w:id="6" w:name="_Toc16332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四、绩效评价指标分析</w:t>
      </w:r>
      <w:bookmarkEnd w:id="5"/>
      <w:bookmarkEnd w:id="6"/>
    </w:p>
    <w:p w14:paraId="1B6C8A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7" w:name="_Toc17679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项目决策情况</w:t>
      </w:r>
      <w:bookmarkEnd w:id="7"/>
    </w:p>
    <w:p w14:paraId="23E17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rPr>
          <w:rFonts w:hint="default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始终贯彻“先调、后裁、调裁结合”的理念，把好案件受理关、审理程序关、评查评议关，对农民工、集体劳动争议等弱势群体案件优先办理，快速审理、尽快结案。</w:t>
      </w:r>
    </w:p>
    <w:p w14:paraId="76E2DB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8" w:name="_Toc28411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项目过程情况</w:t>
      </w:r>
      <w:bookmarkEnd w:id="8"/>
    </w:p>
    <w:p w14:paraId="712B9A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9" w:name="_Toc1014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1.资金管理</w:t>
      </w:r>
      <w:bookmarkEnd w:id="9"/>
    </w:p>
    <w:p w14:paraId="0D5CD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该项目2023年预算4.8万元，按进度拨付使用了资金4.8万元。</w:t>
      </w:r>
    </w:p>
    <w:p w14:paraId="66CC5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0" w:name="_Toc1210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2.项目实施</w:t>
      </w:r>
      <w:bookmarkEnd w:id="10"/>
    </w:p>
    <w:p w14:paraId="60AD06DB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firstLine="640" w:firstLineChars="200"/>
        <w:textAlignment w:val="auto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项目实施过程中，做好人社工作事关政府形象，事关群众利益，推动农民工相关政策的落实。实现了项目管理与过程管理的有机结合。</w:t>
      </w:r>
    </w:p>
    <w:p w14:paraId="00D0AFD8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1" w:name="_Toc6604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项目产出情况</w:t>
      </w:r>
      <w:bookmarkEnd w:id="11"/>
    </w:p>
    <w:p w14:paraId="7BD1585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2" w:name="_Toc2074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1.产出数量</w:t>
      </w:r>
      <w:bookmarkEnd w:id="12"/>
    </w:p>
    <w:p w14:paraId="4DC4218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工作完成率100%，工作经费使用率100%。</w:t>
      </w:r>
    </w:p>
    <w:p w14:paraId="067BED83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3" w:name="_Toc5372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2.产出质量</w:t>
      </w:r>
      <w:bookmarkEnd w:id="13"/>
    </w:p>
    <w:p w14:paraId="3D245F1A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案件结案率100%。</w:t>
      </w:r>
    </w:p>
    <w:p w14:paraId="75F16CBD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4" w:name="_Toc2594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3.产出成本</w:t>
      </w:r>
      <w:bookmarkEnd w:id="14"/>
    </w:p>
    <w:p w14:paraId="587D2CEC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社会成本节约率≥0(计划成本-实际成本)/计划成本×100%。</w:t>
      </w:r>
    </w:p>
    <w:p w14:paraId="755B1B66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5" w:name="_Toc21477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4.产出时效</w:t>
      </w:r>
      <w:bookmarkEnd w:id="15"/>
    </w:p>
    <w:p w14:paraId="0B32F1A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2"/>
        <w:rPr>
          <w:rFonts w:hint="default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案件结案及时性100%</w:t>
      </w:r>
      <w:bookmarkStart w:id="28" w:name="_GoBack"/>
      <w:bookmarkEnd w:id="28"/>
      <w:r>
        <w:rPr>
          <w:rFonts w:hint="eastAsia" w:ascii="仿宋_GB2312" w:hAnsi="Calibri" w:eastAsia="仿宋_GB2312" w:cs="仿宋_GB2312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。</w:t>
      </w:r>
    </w:p>
    <w:p w14:paraId="6E85A320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6" w:name="_Toc3072"/>
      <w:bookmarkStart w:id="17" w:name="_Toc12690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(四）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项目效益情况</w:t>
      </w:r>
      <w:bookmarkEnd w:id="16"/>
      <w:bookmarkEnd w:id="17"/>
    </w:p>
    <w:p w14:paraId="4B9ECCE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520" w:lineRule="exact"/>
        <w:ind w:left="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始终贯彻“先调、后裁、调裁结合”的理念，把好案件受理关、审理程序关、评查评议关，对农民工、集体劳动争议等弱势群体案件优先办理，快速审理、尽快结案。劳动监察大队2023年共接到来访举报投诉26起，通过协调处理26起；接到“全国根治欠薪线索反映平台”线索61条，现已有效处置61条，办结率100%；为194余名农民工追发工资179万余元，有力地维护了农民工的合法权益。仲裁院2023年共受理劳动争议案件27起，办结27起（裁决9起、调解15起、经调解自行撤回3起）。</w:t>
      </w:r>
    </w:p>
    <w:p w14:paraId="240309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0"/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18" w:name="_Toc390096931"/>
      <w:bookmarkStart w:id="19" w:name="_Toc390267055"/>
      <w:bookmarkStart w:id="20" w:name="_Toc24241"/>
      <w:bookmarkStart w:id="21" w:name="_Toc12414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五、项目主要经验、存在的问题</w:t>
      </w:r>
      <w:bookmarkEnd w:id="18"/>
      <w:bookmarkEnd w:id="19"/>
      <w:r>
        <w:rPr>
          <w:rFonts w:hint="eastAsia" w:ascii="黑体" w:hAnsi="黑体" w:eastAsia="黑体" w:cs="黑体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及建议</w:t>
      </w:r>
      <w:bookmarkEnd w:id="20"/>
      <w:bookmarkEnd w:id="21"/>
    </w:p>
    <w:p w14:paraId="6E3CB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2" w:name="_Toc23434"/>
      <w:bookmarkStart w:id="23" w:name="_Toc5316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（一）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项目主要经验</w:t>
      </w:r>
      <w:bookmarkEnd w:id="22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及做法</w:t>
      </w:r>
      <w:bookmarkEnd w:id="23"/>
    </w:p>
    <w:p w14:paraId="24BE59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劳动监察、仲裁执法监督工作服务对象广，做好人社工作事关政府形象，事关群众利益，推动了农民工相关政策的落实，协调解决了重点难点问题，维护了劳动者合法权益。</w:t>
      </w:r>
    </w:p>
    <w:p w14:paraId="25BE1B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bookmarkStart w:id="24" w:name="_Toc6772"/>
      <w:bookmarkStart w:id="25" w:name="_Toc2597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（二）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存在的问题</w:t>
      </w:r>
      <w:bookmarkEnd w:id="24"/>
      <w:bookmarkEnd w:id="25"/>
    </w:p>
    <w:p w14:paraId="0422F1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640" w:firstLineChars="20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无。</w:t>
      </w:r>
    </w:p>
    <w:p w14:paraId="1F6981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548" w:firstLineChars="200"/>
        <w:textAlignment w:val="auto"/>
        <w:outlineLvl w:val="1"/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sz w:val="32"/>
          <w:szCs w:val="32"/>
        </w:rPr>
      </w:pPr>
      <w:bookmarkStart w:id="26" w:name="_Toc16271"/>
      <w:bookmarkStart w:id="27" w:name="_Toc29278"/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-23"/>
          <w:kern w:val="0"/>
          <w:sz w:val="32"/>
          <w:szCs w:val="32"/>
          <w:shd w:val="clear" w:color="auto" w:fill="FFFFFF"/>
          <w:lang w:val="en-US" w:eastAsia="zh-CN" w:bidi="ar"/>
        </w:rPr>
        <w:t>（三）</w:t>
      </w:r>
      <w:r>
        <w:rPr>
          <w:rFonts w:hint="eastAsia" w:ascii="楷体_GB2312" w:hAnsi="楷体_GB2312" w:eastAsia="楷体_GB2312" w:cs="楷体_GB2312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有关建议</w:t>
      </w:r>
      <w:bookmarkEnd w:id="26"/>
      <w:bookmarkEnd w:id="27"/>
    </w:p>
    <w:p w14:paraId="4C2285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firstLine="640" w:firstLineChars="200"/>
        <w:textAlignment w:val="auto"/>
        <w:outlineLvl w:val="1"/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_GB2312" w:hAnsi="Calibri" w:eastAsia="仿宋_GB2312" w:cs="仿宋_GB2312"/>
          <w:b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color="auto" w:fill="FFFFFF"/>
          <w:lang w:val="en-US" w:eastAsia="zh-CN" w:bidi="ar"/>
        </w:rPr>
        <w:t>继续加强劳动监察、仲裁执法监督工作服务，发挥财政资金效能。</w:t>
      </w:r>
    </w:p>
    <w:p w14:paraId="4E1DB41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k0MmYzNjRjNDMwNzg5MjA5ODgwMTZkY2RmNjNlNTQifQ=="/>
  </w:docVars>
  <w:rsids>
    <w:rsidRoot w:val="00000000"/>
    <w:rsid w:val="068035DA"/>
    <w:rsid w:val="0DC363ED"/>
    <w:rsid w:val="0F2F2BCC"/>
    <w:rsid w:val="1565422D"/>
    <w:rsid w:val="1B656D35"/>
    <w:rsid w:val="20452407"/>
    <w:rsid w:val="290D1308"/>
    <w:rsid w:val="3473547C"/>
    <w:rsid w:val="370D6DF5"/>
    <w:rsid w:val="40A34E78"/>
    <w:rsid w:val="44AA23DC"/>
    <w:rsid w:val="45F91CA4"/>
    <w:rsid w:val="48931F3C"/>
    <w:rsid w:val="4D9B5302"/>
    <w:rsid w:val="52716224"/>
    <w:rsid w:val="5DD3025B"/>
    <w:rsid w:val="6D82495B"/>
    <w:rsid w:val="6E364F94"/>
    <w:rsid w:val="6F711047"/>
    <w:rsid w:val="73864413"/>
    <w:rsid w:val="7810217B"/>
    <w:rsid w:val="7B290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unhideWhenUsed/>
    <w:qFormat/>
    <w:uiPriority w:val="0"/>
    <w:pPr>
      <w:spacing w:beforeLines="0" w:afterLines="0"/>
      <w:ind w:firstLine="640" w:firstLineChars="200"/>
    </w:pPr>
    <w:rPr>
      <w:rFonts w:hint="default"/>
      <w:sz w:val="32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Body Text First Indent 2"/>
    <w:basedOn w:val="3"/>
    <w:unhideWhenUsed/>
    <w:qFormat/>
    <w:uiPriority w:val="99"/>
    <w:pPr>
      <w:spacing w:beforeLines="0" w:afterLines="0"/>
      <w:ind w:firstLine="420"/>
    </w:pPr>
    <w:rPr>
      <w:rFonts w:hint="default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1707</Words>
  <Characters>1793</Characters>
  <Lines>0</Lines>
  <Paragraphs>0</Paragraphs>
  <TotalTime>35</TotalTime>
  <ScaleCrop>false</ScaleCrop>
  <LinksUpToDate>false</LinksUpToDate>
  <CharactersWithSpaces>1796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2024-09-11T08:51:00Z</dcterms:created>
  <dc:creator>Administrator</dc:creator>
  <cp:lastModifiedBy>Administrator</cp:lastModifiedBy>
  <dcterms:modified xsi:type="dcterms:W3CDTF">2024-09-12T01:50:38Z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10FB673CE1E14DC5B252590CD74D6064_12</vt:lpwstr>
  </property>
</Properties>
</file>