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212E4">
      <w:pPr>
        <w:jc w:val="left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5</w:t>
      </w:r>
    </w:p>
    <w:p w14:paraId="4D1FA10B">
      <w:pPr>
        <w:widowControl w:val="0"/>
        <w:spacing w:line="560" w:lineRule="exact"/>
        <w:jc w:val="center"/>
        <w:rPr>
          <w:rFonts w:hint="eastAsia" w:asciiTheme="majorEastAsia" w:hAnsiTheme="majorEastAsia" w:eastAsiaTheme="majorEastAsia"/>
          <w:b/>
          <w:bCs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  <w:lang w:eastAsia="zh-CN"/>
        </w:rPr>
        <w:t>会同县公路建设养护中心</w:t>
      </w: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非税收入征收成本项目支出绩效</w:t>
      </w:r>
      <w:r>
        <w:rPr>
          <w:rFonts w:hint="eastAsia" w:asciiTheme="majorEastAsia" w:hAnsiTheme="majorEastAsia" w:eastAsiaTheme="majorEastAsia"/>
          <w:b/>
          <w:bCs/>
          <w:sz w:val="44"/>
          <w:szCs w:val="44"/>
          <w:lang w:eastAsia="zh-CN"/>
        </w:rPr>
        <w:t>自评</w:t>
      </w:r>
    </w:p>
    <w:p w14:paraId="7FFED7E8">
      <w:pPr>
        <w:widowControl w:val="0"/>
        <w:spacing w:line="560" w:lineRule="exact"/>
        <w:rPr>
          <w:rFonts w:ascii="仿宋_GB2312" w:eastAsia="仿宋_GB2312"/>
          <w:sz w:val="32"/>
          <w:szCs w:val="32"/>
        </w:rPr>
      </w:pPr>
    </w:p>
    <w:p w14:paraId="6D0E0839">
      <w:pPr>
        <w:widowControl w:val="0"/>
        <w:tabs>
          <w:tab w:val="left" w:pos="900"/>
        </w:tabs>
        <w:spacing w:line="560" w:lineRule="exact"/>
        <w:ind w:left="466" w:leftChars="194" w:firstLine="156" w:firstLineChars="4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一、项目概况</w:t>
      </w:r>
    </w:p>
    <w:p w14:paraId="07B7C372">
      <w:pPr>
        <w:pStyle w:val="13"/>
        <w:widowControl w:val="0"/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" w:eastAsia="仿宋_GB2312"/>
          <w:sz w:val="32"/>
          <w:szCs w:val="32"/>
        </w:rPr>
        <w:t>年非税收入征收成本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主要用于门店征收税费支出和征收人员工资成本支出。</w:t>
      </w:r>
    </w:p>
    <w:p w14:paraId="52FA2AC4">
      <w:pPr>
        <w:widowControl w:val="0"/>
        <w:tabs>
          <w:tab w:val="left" w:pos="900"/>
        </w:tabs>
        <w:spacing w:line="560" w:lineRule="exact"/>
        <w:ind w:left="466" w:leftChars="194" w:firstLine="156" w:firstLineChars="4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二、项目资金使用及管理情况</w:t>
      </w:r>
    </w:p>
    <w:p w14:paraId="2927C6B1">
      <w:pPr>
        <w:pStyle w:val="13"/>
        <w:widowControl w:val="0"/>
        <w:tabs>
          <w:tab w:val="left" w:pos="1040"/>
        </w:tabs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楷体" w:eastAsia="仿宋_GB2312"/>
          <w:sz w:val="32"/>
          <w:szCs w:val="32"/>
        </w:rPr>
        <w:t>（一）项目资金到位及使用情况。</w:t>
      </w: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/>
          <w:sz w:val="32"/>
          <w:szCs w:val="32"/>
        </w:rPr>
        <w:t>年，县财政下达我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中心</w:t>
      </w:r>
      <w:r>
        <w:rPr>
          <w:rFonts w:hint="eastAsia" w:ascii="仿宋_GB2312" w:hAnsi="仿宋" w:eastAsia="仿宋_GB2312"/>
          <w:sz w:val="32"/>
          <w:szCs w:val="32"/>
        </w:rPr>
        <w:t>非税收入征收成本项目专项资金合计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19.3</w:t>
      </w:r>
      <w:r>
        <w:rPr>
          <w:rFonts w:hint="eastAsia" w:ascii="仿宋_GB2312" w:hAnsi="仿宋" w:eastAsia="仿宋_GB2312"/>
          <w:sz w:val="32"/>
          <w:szCs w:val="32"/>
        </w:rPr>
        <w:t>万元，到位资金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19.3</w:t>
      </w:r>
      <w:r>
        <w:rPr>
          <w:rFonts w:hint="eastAsia" w:ascii="仿宋_GB2312" w:hAnsi="仿宋" w:eastAsia="仿宋_GB2312"/>
          <w:sz w:val="32"/>
          <w:szCs w:val="32"/>
        </w:rPr>
        <w:t>万元，到位率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资金使用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19.09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，使用</w:t>
      </w:r>
      <w:r>
        <w:rPr>
          <w:rFonts w:hint="eastAsia" w:ascii="仿宋" w:hAnsi="仿宋" w:eastAsia="仿宋"/>
          <w:sz w:val="32"/>
          <w:szCs w:val="32"/>
        </w:rPr>
        <w:t>资金使用率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98.91</w:t>
      </w:r>
      <w:r>
        <w:rPr>
          <w:rFonts w:hint="eastAsia" w:ascii="仿宋" w:hAnsi="仿宋" w:eastAsia="仿宋"/>
          <w:sz w:val="32"/>
          <w:szCs w:val="32"/>
        </w:rPr>
        <w:t>%。</w:t>
      </w:r>
    </w:p>
    <w:p w14:paraId="0FEE2387">
      <w:pPr>
        <w:pStyle w:val="13"/>
        <w:widowControl w:val="0"/>
        <w:tabs>
          <w:tab w:val="left" w:pos="1040"/>
        </w:tabs>
        <w:spacing w:line="560" w:lineRule="exact"/>
        <w:ind w:left="0" w:firstLine="640" w:firstLineChars="20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（二）项目资金管理情况。</w:t>
      </w:r>
      <w:r>
        <w:rPr>
          <w:rFonts w:hint="eastAsia" w:ascii="仿宋_GB2312" w:hAnsi="仿宋" w:eastAsia="仿宋_GB2312" w:cs="宋体"/>
          <w:color w:val="333333"/>
          <w:sz w:val="32"/>
          <w:szCs w:val="32"/>
        </w:rPr>
        <w:t>一是</w:t>
      </w:r>
      <w:r>
        <w:rPr>
          <w:rFonts w:hint="eastAsia" w:ascii="仿宋_GB2312" w:hAnsi="仿宋" w:eastAsia="仿宋_GB2312"/>
          <w:sz w:val="32"/>
          <w:szCs w:val="32"/>
        </w:rPr>
        <w:t>制定相关管理措施，对各实施项目进行规范管理。项目资金实行专账管理、分项核算的管理模</w:t>
      </w:r>
      <w:r>
        <w:rPr>
          <w:rFonts w:hint="eastAsia" w:ascii="仿宋_GB2312" w:hAnsi="仿宋" w:eastAsia="仿宋_GB2312"/>
          <w:spacing w:val="-6"/>
          <w:sz w:val="32"/>
          <w:szCs w:val="32"/>
        </w:rPr>
        <w:t>式，做到专款专用，无挤占、挪用、串用的现象。二是</w:t>
      </w:r>
      <w:r>
        <w:rPr>
          <w:rFonts w:hint="eastAsia" w:ascii="仿宋_GB2312" w:hAnsi="仿宋" w:eastAsia="仿宋_GB2312"/>
          <w:sz w:val="32"/>
          <w:szCs w:val="32"/>
        </w:rPr>
        <w:t>规范项目资金发放程序，对各项目资金使用情况进行公示。</w:t>
      </w:r>
    </w:p>
    <w:p w14:paraId="56D8BDFA">
      <w:pPr>
        <w:widowControl w:val="0"/>
        <w:tabs>
          <w:tab w:val="left" w:pos="900"/>
        </w:tabs>
        <w:spacing w:line="560" w:lineRule="exact"/>
        <w:ind w:left="466" w:leftChars="194" w:firstLine="156" w:firstLineChars="4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三、</w:t>
      </w:r>
      <w:r>
        <w:rPr>
          <w:rFonts w:hint="eastAsia" w:ascii="黑体" w:eastAsia="黑体"/>
          <w:sz w:val="32"/>
          <w:szCs w:val="32"/>
        </w:rPr>
        <w:t>项目组织实施情况</w:t>
      </w:r>
    </w:p>
    <w:p w14:paraId="5EF8FBBF">
      <w:pPr>
        <w:spacing w:line="580" w:lineRule="exact"/>
        <w:ind w:firstLine="630"/>
        <w:outlineLvl w:val="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（一）项目组织实施及管理情况。</w:t>
      </w:r>
      <w:r>
        <w:rPr>
          <w:rFonts w:hint="eastAsia" w:ascii="仿宋_GB2312" w:hAnsi="仿宋" w:eastAsia="仿宋_GB2312"/>
          <w:sz w:val="32"/>
          <w:szCs w:val="32"/>
        </w:rPr>
        <w:t>一是加强组织领导，成立项目实施领导小组，促进项目顺利实施。二是严格按照项目批复、作业设计和实施方案组织项目实施。三是推行政府采购制度和项目工程专人负责制，对项目工程所需设备、基础设施建设，积极推行政府采购和招标制度，并建立事先、事中、事后全过程监督机制。四是健全项目质量保证体系，实行项目责任终身负责制、质量责任追究制、并成立项目工程督查和质检小组，对各项目施工中的各环节采取分工序检查验收的办法，严把项目质量关。</w:t>
      </w:r>
    </w:p>
    <w:p w14:paraId="5966B505">
      <w:pPr>
        <w:pStyle w:val="13"/>
        <w:widowControl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（二）项目完成情况。</w:t>
      </w:r>
      <w:r>
        <w:rPr>
          <w:rFonts w:hint="eastAsia" w:ascii="仿宋_GB2312" w:hAnsi="仿宋" w:eastAsia="仿宋_GB2312"/>
          <w:spacing w:val="-8"/>
          <w:sz w:val="32"/>
          <w:szCs w:val="32"/>
        </w:rPr>
        <w:t>全年非税收入征收成本支出</w:t>
      </w:r>
      <w:r>
        <w:rPr>
          <w:rFonts w:hint="eastAsia" w:ascii="仿宋_GB2312" w:hAnsi="仿宋" w:eastAsia="仿宋_GB2312"/>
          <w:spacing w:val="-8"/>
          <w:sz w:val="32"/>
          <w:szCs w:val="32"/>
          <w:lang w:val="en-US" w:eastAsia="zh-CN"/>
        </w:rPr>
        <w:t>19.3</w:t>
      </w:r>
      <w:r>
        <w:rPr>
          <w:rFonts w:hint="eastAsia" w:ascii="仿宋_GB2312" w:hAnsi="仿宋" w:eastAsia="仿宋_GB2312"/>
          <w:spacing w:val="-8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主要用于门店税金及附加费13.48万元和</w:t>
      </w:r>
      <w:r>
        <w:rPr>
          <w:rFonts w:hint="eastAsia" w:ascii="仿宋_GB2312" w:hAnsi="仿宋" w:eastAsia="仿宋_GB2312"/>
          <w:sz w:val="32"/>
          <w:szCs w:val="32"/>
        </w:rPr>
        <w:t>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5.82万元。</w:t>
      </w:r>
    </w:p>
    <w:p w14:paraId="47118E3B">
      <w:pPr>
        <w:widowControl w:val="0"/>
        <w:tabs>
          <w:tab w:val="left" w:pos="900"/>
        </w:tabs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四、项目绩效情况</w:t>
      </w:r>
      <w:r>
        <w:rPr>
          <w:rFonts w:hint="eastAsia" w:ascii="黑体" w:eastAsia="黑体"/>
          <w:sz w:val="32"/>
          <w:szCs w:val="32"/>
        </w:rPr>
        <w:tab/>
      </w:r>
    </w:p>
    <w:p w14:paraId="22628D3C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非税收入是财政收入的重要组成部分，近年来对地方经济和社会发展起到了越来越重要的作用。既包括财政部门的非税工作支出，也包括在组织非税收入过程中发生的支出；从支出项目看，既包括人员经费和日常公用经费支出。也包括在非税征管过程中发生的各种支出。项目实施后，解决了公路建设养护中心非税收入征收成本经费不足的问题，促进了非税收入的征收，为非税收入的征收提供了保障，较好地促进了县域经济发展。</w:t>
      </w:r>
    </w:p>
    <w:p w14:paraId="79D58B18">
      <w:pPr>
        <w:widowControl w:val="0"/>
        <w:tabs>
          <w:tab w:val="left" w:pos="900"/>
        </w:tabs>
        <w:spacing w:line="560" w:lineRule="exact"/>
        <w:ind w:left="466" w:leftChars="194" w:firstLine="156" w:firstLineChars="4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五、其他需要说明的问题</w:t>
      </w:r>
    </w:p>
    <w:p w14:paraId="46409656">
      <w:pPr>
        <w:shd w:val="clear" w:color="auto" w:fill="FFFFFF"/>
        <w:spacing w:line="560" w:lineRule="exact"/>
        <w:ind w:firstLine="480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（一）后续工作计划。</w:t>
      </w:r>
      <w:r>
        <w:rPr>
          <w:rFonts w:hint="eastAsia" w:ascii="仿宋_GB2312" w:hAnsi="仿宋" w:eastAsia="仿宋_GB2312"/>
          <w:sz w:val="32"/>
          <w:szCs w:val="32"/>
        </w:rPr>
        <w:t>严格按照项目作业规划设计和实施方案，继续抓好项目后期管理工作。同时进一步完善各项管理制度，确保今后的项目工程高标准、高质量完成。</w:t>
      </w:r>
    </w:p>
    <w:p w14:paraId="4ED7EFF8">
      <w:pPr>
        <w:widowControl w:val="0"/>
        <w:spacing w:line="560" w:lineRule="exact"/>
        <w:ind w:firstLine="470" w:firstLineChars="147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（二）存在的主要问题和建议。</w:t>
      </w:r>
      <w:r>
        <w:rPr>
          <w:rFonts w:hint="eastAsia" w:ascii="仿宋_GB2312" w:hAnsi="仿宋" w:eastAsia="仿宋_GB2312"/>
          <w:sz w:val="32"/>
          <w:szCs w:val="32"/>
        </w:rPr>
        <w:t>非税收入征收成本项目经费投入较少。20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/>
          <w:sz w:val="32"/>
          <w:szCs w:val="32"/>
        </w:rPr>
        <w:t>年，我中心管养里程线路长，各项工作任务量大，导致非税收入征收成本经费大幅增加，经费困难问题非常突出，特别是路政和超限治理工作受到很大影响。建议进一步增加非税收入征收成本经费的投入。</w:t>
      </w:r>
    </w:p>
    <w:p w14:paraId="64089613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六、项目评价工作情况</w:t>
      </w:r>
    </w:p>
    <w:p w14:paraId="5FE8730E">
      <w:pPr>
        <w:widowControl w:val="0"/>
        <w:spacing w:line="560" w:lineRule="exact"/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（一）绩效评价开展情况。</w:t>
      </w:r>
      <w:r>
        <w:rPr>
          <w:rFonts w:hint="eastAsia" w:ascii="仿宋_GB2312" w:hAnsi="仿宋" w:eastAsia="仿宋_GB2312"/>
          <w:sz w:val="32"/>
          <w:szCs w:val="32"/>
        </w:rPr>
        <w:t>按照此次绩效评价的相关要求，为了做好我中心项目支出绩效评价工作，我中心积极组织开展了收集评价基础数据，核定资料来源和依据等佐证材料，进行了现场勘验检查。采用综合评价法，以定性分析与定量分析相结合，实事求是地全面分析评价项目的绩效情况。通过规范程序，保证了评价依据的充分有效，及时完成了项目绩效评价报告。</w:t>
      </w:r>
    </w:p>
    <w:p w14:paraId="710837F9">
      <w:pPr>
        <w:widowControl w:val="0"/>
        <w:spacing w:line="560" w:lineRule="exact"/>
        <w:ind w:firstLine="658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（二）项目绩效自评结论。</w:t>
      </w:r>
      <w:r>
        <w:rPr>
          <w:rFonts w:hint="eastAsia" w:ascii="仿宋_GB2312" w:hAnsi="仿宋" w:eastAsia="仿宋_GB2312"/>
          <w:sz w:val="32"/>
          <w:szCs w:val="32"/>
        </w:rPr>
        <w:t>经自评，项目已基本按照规划作业设计和实施方案实施完工，项目支出达到预期绩效目标。</w:t>
      </w: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年我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中心非税收入征收成本</w:t>
      </w:r>
      <w:r>
        <w:rPr>
          <w:rFonts w:hint="eastAsia" w:ascii="仿宋" w:hAnsi="仿宋" w:eastAsia="仿宋"/>
          <w:sz w:val="32"/>
          <w:szCs w:val="32"/>
        </w:rPr>
        <w:t>项目绩效自评为“优”，自查评分为9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分。</w:t>
      </w:r>
    </w:p>
    <w:p w14:paraId="2741C8FA">
      <w:pPr>
        <w:widowControl w:val="0"/>
        <w:spacing w:line="560" w:lineRule="exact"/>
        <w:ind w:firstLine="658"/>
        <w:rPr>
          <w:rFonts w:ascii="仿宋_GB2312" w:eastAsia="仿宋_GB2312"/>
          <w:sz w:val="32"/>
          <w:szCs w:val="32"/>
        </w:rPr>
      </w:pPr>
    </w:p>
    <w:p w14:paraId="5FD66B03">
      <w:pPr>
        <w:widowControl w:val="0"/>
        <w:spacing w:line="560" w:lineRule="exact"/>
        <w:ind w:firstLine="658"/>
        <w:rPr>
          <w:rFonts w:ascii="仿宋_GB2312" w:eastAsia="仿宋_GB2312"/>
          <w:sz w:val="32"/>
          <w:szCs w:val="32"/>
        </w:rPr>
      </w:pPr>
    </w:p>
    <w:p w14:paraId="365134A6">
      <w:pPr>
        <w:shd w:val="clear" w:color="auto" w:fill="FFFFFF"/>
        <w:spacing w:line="600" w:lineRule="exact"/>
        <w:ind w:firstLine="4480" w:firstLineChars="14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会同县公路建设养护中心</w:t>
      </w:r>
    </w:p>
    <w:p w14:paraId="3F2926BE">
      <w:pPr>
        <w:widowControl/>
        <w:tabs>
          <w:tab w:val="left" w:pos="6120"/>
        </w:tabs>
        <w:spacing w:line="560" w:lineRule="exact"/>
        <w:ind w:firstLine="5264" w:firstLineChars="1645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Cs/>
          <w:sz w:val="32"/>
          <w:szCs w:val="32"/>
        </w:rPr>
        <w:t>年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eastAsia="仿宋_GB2312"/>
          <w:bCs/>
          <w:sz w:val="32"/>
          <w:szCs w:val="32"/>
        </w:rPr>
        <w:t>月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Cs/>
          <w:sz w:val="32"/>
          <w:szCs w:val="32"/>
        </w:rPr>
        <w:t>日</w:t>
      </w:r>
    </w:p>
    <w:p w14:paraId="2A5E06F6">
      <w:pPr>
        <w:shd w:val="clear" w:color="auto" w:fill="FFFFFF"/>
        <w:spacing w:line="600" w:lineRule="exact"/>
        <w:ind w:firstLine="5120" w:firstLineChars="1600"/>
        <w:rPr>
          <w:rFonts w:ascii="仿宋_GB2312" w:hAnsi="仿宋" w:eastAsia="仿宋_GB2312"/>
          <w:sz w:val="32"/>
          <w:szCs w:val="32"/>
        </w:rPr>
      </w:pPr>
    </w:p>
    <w:p w14:paraId="0E835B4F">
      <w:pPr>
        <w:rPr>
          <w:rFonts w:ascii="仿宋_GB2312" w:eastAsia="仿宋_GB231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8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5074C">
    <w:pPr>
      <w:pStyle w:val="4"/>
      <w:jc w:val="center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B9F714D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19</w:t>
                </w:r>
                <w:r>
                  <w:fldChar w:fldCharType="end"/>
                </w:r>
              </w:p>
            </w:txbxContent>
          </v:textbox>
        </v:shape>
      </w:pict>
    </w:r>
    <w:sdt>
      <w:sdtPr>
        <w:id w:val="10610922"/>
        <w:docPartObj>
          <w:docPartGallery w:val="autotext"/>
        </w:docPartObj>
      </w:sdtPr>
      <w:sdtContent/>
    </w:sdt>
  </w:p>
  <w:p w14:paraId="5DE4132D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E0D8B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JjZTY1YjY2YmU3NTJiM2FjY2EzMmU1NzQwN2EzMmEifQ=="/>
  </w:docVars>
  <w:rsids>
    <w:rsidRoot w:val="00752328"/>
    <w:rsid w:val="00047F65"/>
    <w:rsid w:val="00084B9A"/>
    <w:rsid w:val="001674F2"/>
    <w:rsid w:val="001C226C"/>
    <w:rsid w:val="0025290F"/>
    <w:rsid w:val="003D024F"/>
    <w:rsid w:val="005707AF"/>
    <w:rsid w:val="006674DE"/>
    <w:rsid w:val="00752328"/>
    <w:rsid w:val="00755156"/>
    <w:rsid w:val="009929E8"/>
    <w:rsid w:val="009B0336"/>
    <w:rsid w:val="00CC7816"/>
    <w:rsid w:val="00D277C8"/>
    <w:rsid w:val="00EC100A"/>
    <w:rsid w:val="0AB11D93"/>
    <w:rsid w:val="0C556196"/>
    <w:rsid w:val="0E421B0E"/>
    <w:rsid w:val="131C1A74"/>
    <w:rsid w:val="14022579"/>
    <w:rsid w:val="15D97C94"/>
    <w:rsid w:val="1C9172C5"/>
    <w:rsid w:val="1F266045"/>
    <w:rsid w:val="2314042A"/>
    <w:rsid w:val="23363D50"/>
    <w:rsid w:val="247B2049"/>
    <w:rsid w:val="26E03CE8"/>
    <w:rsid w:val="275D15F3"/>
    <w:rsid w:val="2BB66BBB"/>
    <w:rsid w:val="2D3409F6"/>
    <w:rsid w:val="444671CF"/>
    <w:rsid w:val="4C827B4B"/>
    <w:rsid w:val="520D57C1"/>
    <w:rsid w:val="620A56A7"/>
    <w:rsid w:val="629F7AB4"/>
    <w:rsid w:val="66793CE4"/>
    <w:rsid w:val="6D20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3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  <w:style w:type="paragraph" w:styleId="4">
    <w:name w:val="footer"/>
    <w:basedOn w:val="1"/>
    <w:link w:val="10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Title"/>
    <w:basedOn w:val="1"/>
    <w:next w:val="1"/>
    <w:link w:val="12"/>
    <w:qFormat/>
    <w:uiPriority w:val="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kern w:val="2"/>
      <w:sz w:val="32"/>
      <w:szCs w:val="32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Char"/>
    <w:basedOn w:val="8"/>
    <w:link w:val="6"/>
    <w:qFormat/>
    <w:locked/>
    <w:uiPriority w:val="0"/>
    <w:rPr>
      <w:rFonts w:ascii="Cambria" w:hAnsi="Cambria"/>
      <w:b/>
      <w:bCs/>
      <w:sz w:val="32"/>
      <w:szCs w:val="32"/>
    </w:rPr>
  </w:style>
  <w:style w:type="character" w:customStyle="1" w:styleId="12">
    <w:name w:val="标题 Char1"/>
    <w:basedOn w:val="8"/>
    <w:link w:val="6"/>
    <w:qFormat/>
    <w:uiPriority w:val="10"/>
    <w:rPr>
      <w:rFonts w:eastAsia="宋体" w:asciiTheme="majorHAnsi" w:hAnsiTheme="majorHAnsi" w:cstheme="majorBidi"/>
      <w:b/>
      <w:bCs/>
      <w:kern w:val="0"/>
      <w:sz w:val="32"/>
      <w:szCs w:val="32"/>
    </w:rPr>
  </w:style>
  <w:style w:type="paragraph" w:customStyle="1" w:styleId="13">
    <w:name w:val="p0"/>
    <w:basedOn w:val="1"/>
    <w:qFormat/>
    <w:uiPriority w:val="0"/>
    <w:pPr>
      <w:spacing w:line="365" w:lineRule="atLeast"/>
      <w:ind w:left="1"/>
      <w:jc w:val="both"/>
    </w:pPr>
    <w:rPr>
      <w:rFonts w:ascii="Times New Roman" w:hAnsi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1240</Words>
  <Characters>1289</Characters>
  <Lines>9</Lines>
  <Paragraphs>2</Paragraphs>
  <TotalTime>30</TotalTime>
  <ScaleCrop>false</ScaleCrop>
  <LinksUpToDate>false</LinksUpToDate>
  <CharactersWithSpaces>1290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2020-06-30T07:41:00Z</dcterms:created>
  <dc:creator>Microsoft</dc:creator>
  <cp:lastModifiedBy>qzuser</cp:lastModifiedBy>
  <cp:lastPrinted>2022-04-11T03:49:00Z</cp:lastPrinted>
  <dcterms:modified xsi:type="dcterms:W3CDTF">2024-10-17T01:15:00Z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E44CF14AB2BE47828872B50834B04EC0</vt:lpwstr>
  </property>
</Properties>
</file>