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54354">
      <w:pPr>
        <w:jc w:val="left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7</w:t>
      </w:r>
    </w:p>
    <w:p w14:paraId="2C638856"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会同县公路建设养护中心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2023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年度整体绩效和项目绩效自评情况公开</w:t>
      </w:r>
    </w:p>
    <w:p w14:paraId="03AA0583">
      <w:pPr>
        <w:autoSpaceDN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3D834116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根据《关于开展202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年度本级财政资金绩效自评工作的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通知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（会绩效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[2024］11号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我单位拟公开20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度一般公共支出整体绩效和专项资金预算绩效情况，公开如下：</w:t>
      </w:r>
    </w:p>
    <w:p w14:paraId="34A0E557">
      <w:pPr>
        <w:autoSpaceDN w:val="0"/>
        <w:spacing w:line="560" w:lineRule="exact"/>
        <w:ind w:firstLine="643"/>
        <w:rPr>
          <w:rFonts w:hint="eastAsia" w:ascii="黑体" w:eastAsia="黑体"/>
          <w:b w:val="0"/>
          <w:bCs w:val="0"/>
          <w:sz w:val="32"/>
          <w:szCs w:val="32"/>
        </w:rPr>
      </w:pPr>
      <w:r>
        <w:rPr>
          <w:rFonts w:hint="eastAsia" w:ascii="黑体" w:eastAsia="黑体"/>
          <w:b w:val="0"/>
          <w:bCs w:val="0"/>
          <w:sz w:val="32"/>
          <w:szCs w:val="32"/>
        </w:rPr>
        <w:t>一、县公路建设养护中心的主要职责、工作任务及目标</w:t>
      </w:r>
    </w:p>
    <w:p w14:paraId="73BADC6B">
      <w:pPr>
        <w:autoSpaceDN w:val="0"/>
        <w:spacing w:line="560" w:lineRule="exact"/>
        <w:ind w:firstLine="643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主要职责</w:t>
      </w:r>
      <w:r>
        <w:rPr>
          <w:rFonts w:hint="eastAsia" w:ascii="宋体"/>
          <w:b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负责辖区内国省干线公路的养护和管理工作，公路安保工程、水毁工程和危桥改造工程的实施，公路路政管理、治超执法工作，公路道路桥梁的维护，公路交通设施的管理、建设和维护等工作。</w:t>
      </w:r>
    </w:p>
    <w:p w14:paraId="4DEE1586">
      <w:pPr>
        <w:autoSpaceDN w:val="0"/>
        <w:spacing w:line="56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eastAsia="楷体_GB2312"/>
          <w:b/>
          <w:bCs/>
          <w:color w:val="333333"/>
          <w:sz w:val="32"/>
          <w:szCs w:val="32"/>
        </w:rPr>
        <w:t>主要工作任务及目标是</w:t>
      </w:r>
      <w:r>
        <w:rPr>
          <w:rFonts w:hint="eastAsia" w:ascii="宋体"/>
          <w:color w:val="333333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管养公路里程157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4.856公里</w:t>
      </w:r>
      <w:r>
        <w:rPr>
          <w:rFonts w:hint="eastAsia" w:ascii="仿宋_GB2312" w:eastAsia="仿宋_GB2312"/>
          <w:sz w:val="32"/>
          <w:szCs w:val="32"/>
        </w:rPr>
        <w:t>（其中国道48.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197</w:t>
      </w:r>
      <w:r>
        <w:rPr>
          <w:rFonts w:hint="eastAsia" w:ascii="仿宋_GB2312" w:eastAsia="仿宋_GB2312"/>
          <w:sz w:val="32"/>
          <w:szCs w:val="32"/>
        </w:rPr>
        <w:t>公里、省道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194.061</w:t>
      </w:r>
      <w:r>
        <w:rPr>
          <w:rFonts w:hint="eastAsia" w:ascii="仿宋_GB2312" w:eastAsia="仿宋_GB2312"/>
          <w:sz w:val="32"/>
          <w:szCs w:val="32"/>
        </w:rPr>
        <w:t>公里、县道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300.176</w:t>
      </w:r>
      <w:r>
        <w:rPr>
          <w:rFonts w:hint="eastAsia" w:ascii="仿宋_GB2312" w:eastAsia="仿宋_GB2312"/>
          <w:sz w:val="32"/>
          <w:szCs w:val="32"/>
        </w:rPr>
        <w:t>公里、乡道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543.44</w:t>
      </w:r>
      <w:r>
        <w:rPr>
          <w:rFonts w:hint="eastAsia" w:ascii="仿宋_GB2312" w:eastAsia="仿宋_GB2312"/>
          <w:sz w:val="32"/>
          <w:szCs w:val="32"/>
        </w:rPr>
        <w:t>公里、村道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488.445公里</w:t>
      </w:r>
      <w:r>
        <w:rPr>
          <w:rFonts w:hint="eastAsia" w:ascii="仿宋_GB2312" w:eastAsia="仿宋_GB2312"/>
          <w:sz w:val="32"/>
          <w:szCs w:val="32"/>
        </w:rPr>
        <w:t>及专用公路0.537公里）和桥梁383座（干线公路桥梁104座，农村公路桥梁279座）的小修保养和日常养护，保障道路安全畅通。</w:t>
      </w:r>
    </w:p>
    <w:p w14:paraId="40A4706B">
      <w:pPr>
        <w:autoSpaceDN w:val="0"/>
        <w:spacing w:line="560" w:lineRule="exact"/>
        <w:ind w:firstLine="640" w:firstLineChars="200"/>
        <w:rPr>
          <w:rFonts w:hint="eastAsia" w:ascii="黑体" w:eastAsia="黑体"/>
          <w:b w:val="0"/>
          <w:bCs w:val="0"/>
          <w:color w:val="333333"/>
          <w:sz w:val="32"/>
          <w:szCs w:val="32"/>
        </w:rPr>
      </w:pPr>
      <w:r>
        <w:rPr>
          <w:rFonts w:hint="eastAsia" w:ascii="黑体" w:eastAsia="黑体"/>
          <w:b w:val="0"/>
          <w:bCs w:val="0"/>
          <w:color w:val="333333"/>
          <w:sz w:val="32"/>
          <w:szCs w:val="32"/>
        </w:rPr>
        <w:t>二、基本情况</w:t>
      </w:r>
    </w:p>
    <w:p w14:paraId="785D6C49">
      <w:pPr>
        <w:spacing w:line="560" w:lineRule="exac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现有行政编制人员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个，全额拨款事业编制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66</w:t>
      </w:r>
      <w:r>
        <w:rPr>
          <w:rFonts w:hint="eastAsia" w:ascii="仿宋" w:hAnsi="仿宋" w:eastAsia="仿宋" w:cs="仿宋"/>
          <w:sz w:val="32"/>
          <w:szCs w:val="32"/>
        </w:rPr>
        <w:t>个，自收自支事业编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个，实有在职人数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66</w:t>
      </w:r>
      <w:r>
        <w:rPr>
          <w:rFonts w:hint="eastAsia" w:ascii="仿宋" w:hAnsi="仿宋" w:eastAsia="仿宋" w:cs="仿宋"/>
          <w:sz w:val="32"/>
          <w:szCs w:val="32"/>
        </w:rPr>
        <w:t>人，退休人员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115</w:t>
      </w:r>
      <w:r>
        <w:rPr>
          <w:rFonts w:hint="eastAsia" w:ascii="仿宋" w:hAnsi="仿宋" w:eastAsia="仿宋" w:cs="仿宋"/>
          <w:sz w:val="32"/>
          <w:szCs w:val="32"/>
        </w:rPr>
        <w:t>人。有车辆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台，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实有在职人数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与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编制数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相符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。</w:t>
      </w:r>
    </w:p>
    <w:p w14:paraId="4EFAB64C"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eastAsia="黑体"/>
          <w:sz w:val="32"/>
          <w:szCs w:val="32"/>
        </w:rPr>
        <w:t>、年初预算安排情况</w:t>
      </w:r>
    </w:p>
    <w:p w14:paraId="1BC30FB0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县本级安排县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公路</w:t>
      </w:r>
      <w:r>
        <w:rPr>
          <w:rFonts w:hint="eastAsia" w:ascii="仿宋" w:hAnsi="仿宋" w:eastAsia="仿宋" w:cs="仿宋"/>
          <w:sz w:val="32"/>
          <w:szCs w:val="32"/>
        </w:rPr>
        <w:t>建设养护中心预算收入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11738600</w:t>
      </w:r>
      <w:r>
        <w:rPr>
          <w:rFonts w:hint="eastAsia" w:ascii="仿宋" w:hAnsi="仿宋" w:eastAsia="仿宋" w:cs="仿宋"/>
          <w:sz w:val="32"/>
          <w:szCs w:val="32"/>
        </w:rPr>
        <w:t>元，其中工资福利性支出为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7622600</w:t>
      </w:r>
      <w:r>
        <w:rPr>
          <w:rFonts w:hint="eastAsia" w:ascii="仿宋" w:hAnsi="仿宋" w:eastAsia="仿宋" w:cs="仿宋"/>
          <w:sz w:val="32"/>
          <w:szCs w:val="32"/>
        </w:rPr>
        <w:t>元；项目支出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2797</w:t>
      </w:r>
      <w:r>
        <w:rPr>
          <w:rFonts w:hint="eastAsia" w:ascii="仿宋" w:hAnsi="仿宋" w:eastAsia="仿宋" w:cs="仿宋"/>
          <w:sz w:val="32"/>
          <w:szCs w:val="32"/>
        </w:rPr>
        <w:t>000元，主要围绕</w:t>
      </w:r>
      <w:r>
        <w:rPr>
          <w:rFonts w:hint="eastAsia" w:ascii="仿宋_GB2312" w:eastAsia="仿宋_GB2312"/>
          <w:sz w:val="32"/>
          <w:szCs w:val="32"/>
        </w:rPr>
        <w:t>公路养护</w:t>
      </w:r>
      <w:r>
        <w:rPr>
          <w:rFonts w:hint="eastAsia" w:ascii="仿宋" w:hAnsi="仿宋" w:eastAsia="仿宋" w:cs="仿宋"/>
          <w:sz w:val="32"/>
          <w:szCs w:val="32"/>
        </w:rPr>
        <w:t>工作进行安排（其中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非税征收成本193000元、公路养护经费2604000元）；</w:t>
      </w:r>
      <w:r>
        <w:rPr>
          <w:rFonts w:hint="eastAsia" w:ascii="仿宋" w:hAnsi="仿宋" w:eastAsia="仿宋" w:cs="仿宋"/>
          <w:sz w:val="32"/>
          <w:szCs w:val="32"/>
        </w:rPr>
        <w:t>公用经费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1319000</w:t>
      </w:r>
      <w:r>
        <w:rPr>
          <w:rFonts w:hint="eastAsia" w:ascii="仿宋" w:hAnsi="仿宋" w:eastAsia="仿宋" w:cs="仿宋"/>
          <w:sz w:val="32"/>
          <w:szCs w:val="32"/>
        </w:rPr>
        <w:t>元（其中“三公”经费预算中的公务接待费为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10000</w:t>
      </w:r>
      <w:r>
        <w:rPr>
          <w:rFonts w:hint="eastAsia" w:ascii="仿宋" w:hAnsi="仿宋" w:eastAsia="仿宋" w:cs="仿宋"/>
          <w:sz w:val="32"/>
          <w:szCs w:val="32"/>
        </w:rPr>
        <w:t>元、公务用车购置及运行维护费为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8400</w:t>
      </w:r>
      <w:r>
        <w:rPr>
          <w:rFonts w:hint="eastAsia" w:ascii="仿宋" w:hAnsi="仿宋" w:eastAsia="仿宋" w:cs="仿宋"/>
          <w:sz w:val="32"/>
          <w:szCs w:val="32"/>
        </w:rPr>
        <w:t>元）。基本能够保障县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公路</w:t>
      </w:r>
      <w:r>
        <w:rPr>
          <w:rFonts w:hint="eastAsia" w:ascii="仿宋" w:hAnsi="仿宋" w:eastAsia="仿宋" w:cs="仿宋"/>
          <w:sz w:val="32"/>
          <w:szCs w:val="32"/>
        </w:rPr>
        <w:t>建设养护中心履行主要工作职责。</w:t>
      </w:r>
    </w:p>
    <w:p w14:paraId="1749CDAA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2023年度</w:t>
      </w:r>
      <w:r>
        <w:rPr>
          <w:rFonts w:hint="eastAsia" w:ascii="仿宋" w:hAnsi="仿宋" w:eastAsia="仿宋"/>
          <w:sz w:val="32"/>
          <w:szCs w:val="32"/>
        </w:rPr>
        <w:t>“三公经费”</w:t>
      </w:r>
      <w:r>
        <w:rPr>
          <w:rFonts w:hint="eastAsia" w:ascii="仿宋_GB2312" w:eastAsia="仿宋_GB2312"/>
          <w:sz w:val="32"/>
          <w:szCs w:val="32"/>
        </w:rPr>
        <w:t>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1.84</w:t>
      </w:r>
      <w:r>
        <w:rPr>
          <w:rFonts w:hint="eastAsia" w:ascii="仿宋_GB2312" w:eastAsia="仿宋_GB2312"/>
          <w:sz w:val="32"/>
          <w:szCs w:val="32"/>
        </w:rPr>
        <w:t>万元（其中“三公”经费预算中的公务接待费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万元、公务用车购置及运行维护费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0.84</w:t>
      </w:r>
      <w:r>
        <w:rPr>
          <w:rFonts w:hint="eastAsia" w:ascii="仿宋_GB2312" w:eastAsia="仿宋_GB2312"/>
          <w:sz w:val="32"/>
          <w:szCs w:val="32"/>
        </w:rPr>
        <w:t>万元）。</w:t>
      </w:r>
    </w:p>
    <w:p w14:paraId="796D6BBE"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eastAsia="黑体"/>
          <w:sz w:val="32"/>
          <w:szCs w:val="32"/>
        </w:rPr>
        <w:t>、本年预算执行情况</w:t>
      </w:r>
    </w:p>
    <w:p w14:paraId="4D3A22C5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收入方面：</w:t>
      </w:r>
      <w:r>
        <w:rPr>
          <w:rFonts w:hint="eastAsia" w:ascii="仿宋" w:hAnsi="仿宋" w:eastAsia="仿宋" w:cs="仿宋"/>
          <w:sz w:val="32"/>
          <w:szCs w:val="32"/>
        </w:rPr>
        <w:t>在实际执行中，县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公路建设养护中心</w:t>
      </w:r>
      <w:r>
        <w:rPr>
          <w:rFonts w:hint="eastAsia" w:ascii="仿宋" w:hAnsi="仿宋" w:eastAsia="仿宋" w:cs="仿宋"/>
          <w:sz w:val="32"/>
          <w:szCs w:val="32"/>
        </w:rPr>
        <w:t>全年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总</w:t>
      </w:r>
      <w:r>
        <w:rPr>
          <w:rFonts w:hint="eastAsia" w:ascii="仿宋" w:hAnsi="仿宋" w:eastAsia="仿宋" w:cs="仿宋"/>
          <w:sz w:val="32"/>
          <w:szCs w:val="32"/>
        </w:rPr>
        <w:t>收入为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30487882.87</w:t>
      </w:r>
      <w:r>
        <w:rPr>
          <w:rFonts w:hint="eastAsia" w:ascii="仿宋" w:hAnsi="仿宋" w:eastAsia="仿宋" w:cs="仿宋"/>
          <w:sz w:val="32"/>
          <w:szCs w:val="32"/>
        </w:rPr>
        <w:t>元，其中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事业</w:t>
      </w:r>
      <w:r>
        <w:rPr>
          <w:rFonts w:hint="eastAsia" w:ascii="仿宋" w:hAnsi="仿宋" w:eastAsia="仿宋" w:cs="仿宋"/>
          <w:sz w:val="32"/>
          <w:szCs w:val="32"/>
        </w:rPr>
        <w:t>收入为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226081.22</w:t>
      </w:r>
      <w:r>
        <w:rPr>
          <w:rFonts w:hint="eastAsia" w:ascii="仿宋" w:hAnsi="仿宋" w:eastAsia="仿宋" w:cs="仿宋"/>
          <w:sz w:val="32"/>
          <w:szCs w:val="32"/>
        </w:rPr>
        <w:t>元（年初因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事业收入</w:t>
      </w:r>
      <w:r>
        <w:rPr>
          <w:rFonts w:hint="eastAsia" w:ascii="仿宋" w:hAnsi="仿宋" w:eastAsia="仿宋" w:cs="仿宋"/>
          <w:sz w:val="32"/>
          <w:szCs w:val="32"/>
        </w:rPr>
        <w:t>不能确定数据，未列入年初预算），本级财政拨入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30261801.65</w:t>
      </w:r>
      <w:r>
        <w:rPr>
          <w:rFonts w:hint="eastAsia" w:ascii="仿宋" w:hAnsi="仿宋" w:eastAsia="仿宋" w:cs="仿宋"/>
          <w:sz w:val="32"/>
          <w:szCs w:val="32"/>
        </w:rPr>
        <w:t>元，比年初预算追加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1852.32</w:t>
      </w:r>
      <w:r>
        <w:rPr>
          <w:rFonts w:hint="eastAsia" w:ascii="仿宋" w:hAnsi="仿宋" w:eastAsia="仿宋" w:cs="仿宋"/>
          <w:sz w:val="32"/>
          <w:szCs w:val="32"/>
        </w:rPr>
        <w:t>万元，主要原因为：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项目支出增加、人员经费的增加。</w:t>
      </w:r>
    </w:p>
    <w:p w14:paraId="5E297413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支出方面：</w:t>
      </w:r>
      <w:r>
        <w:rPr>
          <w:rFonts w:hint="eastAsia" w:ascii="仿宋" w:hAnsi="仿宋" w:eastAsia="仿宋" w:cs="仿宋"/>
          <w:sz w:val="32"/>
          <w:szCs w:val="32"/>
        </w:rPr>
        <w:t>全年实际支出为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30487882.87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其中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工资性支出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7629657.15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元，占总支出的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25.03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%，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其中基本工资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2937273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元，津补贴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1530130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元，奖金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276853.86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元，伙食补助费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198049.48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元，绩效工资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1111764.98元，基本养老保险缴费883803.62元，基本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医疗保险费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400999.34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元，其他社会保障缴费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69602.24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元，其他工资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福利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221180.63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元。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商品服务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支出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1513525.09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元，占总支出的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4.96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%，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其中办公费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113846.91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水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6057.61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元，电费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40125.12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元，邮电费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10525.12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元，差旅费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274816.37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元，公务接待费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10000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劳务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28769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元，培训费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13440元，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工会经费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272976.13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元，公务用车运行维护费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8400.13元，其他交通费用445370元，其他商品和服务支出289198.3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元。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对个人和家庭的补助支出861638.04元，占总支出的3.15%，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其中抚恤金581225元，生活补助250080元，奖励金50280元。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项目支出为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20383062.59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元，占总支出的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66.86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%，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财政均按实际支出进度予以拨付，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用于支付建安工程费用，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主要项目为：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结转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2022年年初预算养护经费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支出459880</w:t>
      </w:r>
      <w:r>
        <w:rPr>
          <w:rFonts w:hint="eastAsia" w:ascii="仿宋" w:hAnsi="仿宋" w:eastAsia="仿宋" w:cs="仿宋"/>
          <w:sz w:val="32"/>
          <w:szCs w:val="32"/>
        </w:rPr>
        <w:t>元、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2023年公路日常养护支出221628.22</w:t>
      </w:r>
      <w:r>
        <w:rPr>
          <w:rFonts w:hint="eastAsia" w:ascii="仿宋" w:hAnsi="仿宋" w:eastAsia="仿宋" w:cs="仿宋"/>
          <w:sz w:val="32"/>
          <w:szCs w:val="32"/>
        </w:rPr>
        <w:t>元、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2023年春节支付2022年养护工程项目资金6125538.8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大坪江危桥改造等项目支出230892元、2022年国省道预防性养护工程和G209线坪村集镇至水泥厂大修工程支出3329400元、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年公路水毁保险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项目1646000元、2023年公路日常养护及养护工程支出7259641.57元、“四好农村路”养护支出1110082元。</w:t>
      </w: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“三公”经费控制情况：</w:t>
      </w:r>
      <w:r>
        <w:rPr>
          <w:rFonts w:hint="eastAsia" w:ascii="仿宋" w:hAnsi="仿宋" w:eastAsia="仿宋" w:cs="仿宋"/>
          <w:sz w:val="32"/>
          <w:szCs w:val="32"/>
        </w:rPr>
        <w:t>没有因公出国（境）人员，公务接待费占年初预算安排数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54.34</w:t>
      </w:r>
      <w:r>
        <w:rPr>
          <w:rFonts w:hint="eastAsia" w:ascii="仿宋" w:hAnsi="仿宋" w:eastAsia="仿宋" w:cs="仿宋"/>
          <w:sz w:val="32"/>
          <w:szCs w:val="32"/>
        </w:rPr>
        <w:t>%，支出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10000</w:t>
      </w:r>
      <w:r>
        <w:rPr>
          <w:rFonts w:hint="eastAsia" w:ascii="仿宋" w:hAnsi="仿宋" w:eastAsia="仿宋" w:cs="仿宋"/>
          <w:sz w:val="32"/>
          <w:szCs w:val="32"/>
        </w:rPr>
        <w:t>元，公务用车购置及运行维护费占年初预算安排数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45.66</w:t>
      </w:r>
      <w:r>
        <w:rPr>
          <w:rFonts w:hint="eastAsia" w:ascii="仿宋" w:hAnsi="仿宋" w:eastAsia="仿宋" w:cs="仿宋"/>
          <w:sz w:val="32"/>
          <w:szCs w:val="32"/>
        </w:rPr>
        <w:t>%，支出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8400.13</w:t>
      </w:r>
      <w:r>
        <w:rPr>
          <w:rFonts w:hint="eastAsia" w:ascii="仿宋" w:hAnsi="仿宋" w:eastAsia="仿宋" w:cs="仿宋"/>
          <w:sz w:val="32"/>
          <w:szCs w:val="32"/>
        </w:rPr>
        <w:t>元，有效的控制了“三公经费”的支出。</w:t>
      </w:r>
    </w:p>
    <w:p w14:paraId="6D1A72A5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</w:rPr>
        <w:t>政府采购方面：</w:t>
      </w:r>
      <w:r>
        <w:rPr>
          <w:rFonts w:hint="eastAsia" w:ascii="仿宋" w:hAnsi="仿宋" w:eastAsia="仿宋" w:cs="仿宋"/>
          <w:sz w:val="32"/>
          <w:szCs w:val="32"/>
        </w:rPr>
        <w:t>全年通过政府采购支出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1161521</w:t>
      </w:r>
      <w:r>
        <w:rPr>
          <w:rFonts w:hint="eastAsia" w:ascii="仿宋" w:hAnsi="仿宋" w:eastAsia="仿宋" w:cs="仿宋"/>
          <w:sz w:val="32"/>
          <w:szCs w:val="32"/>
        </w:rPr>
        <w:t>元，采购内容为：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2023年养护工程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为年初采购计划的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32F520A2"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财务管理方面：</w:t>
      </w:r>
      <w:r>
        <w:rPr>
          <w:rFonts w:hint="eastAsia" w:ascii="仿宋" w:hAnsi="仿宋" w:eastAsia="仿宋" w:cs="仿宋"/>
          <w:sz w:val="32"/>
          <w:szCs w:val="32"/>
        </w:rPr>
        <w:t>县公路建设养护中心</w:t>
      </w:r>
      <w:r>
        <w:rPr>
          <w:rFonts w:hint="eastAsia" w:ascii="仿宋_GB2312" w:eastAsia="仿宋_GB2312"/>
          <w:sz w:val="32"/>
          <w:szCs w:val="32"/>
        </w:rPr>
        <w:t>认真履行部门“三定”方案确定的职责。没有存在截留、挤占、挪用、虚列支出等情况；基础数据信息和会计信息资料真实、完整、准确。并按规定内容公开预、决算信息。对有关财务方面文件及时掌握，认真履行，确保各项经费支出合理合法。对有关财务方面文件及时掌握</w:t>
      </w:r>
      <w:r>
        <w:rPr>
          <w:rFonts w:hint="eastAsia" w:ascii="仿宋_GB2312" w:eastAsia="仿宋_GB2312"/>
          <w:sz w:val="32"/>
          <w:szCs w:val="32"/>
          <w:lang w:eastAsia="zh-CN"/>
        </w:rPr>
        <w:t>，单位在以下方面进行了严格的管理：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加强预算和专户管理。根据县财政局部门预算编制的相关要求，结合本单位事业任务和服务规模，在保工资、保运转和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公路养护</w:t>
      </w:r>
      <w:r>
        <w:rPr>
          <w:rFonts w:hint="eastAsia" w:ascii="仿宋" w:hAnsi="仿宋" w:eastAsia="仿宋"/>
          <w:sz w:val="32"/>
          <w:szCs w:val="32"/>
        </w:rPr>
        <w:t>事业发展的基础上，科学地做好20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年部门预算编报工作。预算执行时，坚持分月编制资金使用计划，确保资金支出不突破预算。2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规范财务管理。一是认真做好了会计核算工作，完成了日常财务报销、工资以及各项费用的支出。二是认真执行《会计法》</w:t>
      </w:r>
      <w:r>
        <w:rPr>
          <w:rFonts w:hint="eastAsia" w:ascii="仿宋" w:hAnsi="仿宋" w:eastAsia="仿宋"/>
          <w:sz w:val="32"/>
          <w:szCs w:val="32"/>
          <w:lang w:eastAsia="zh-CN"/>
        </w:rPr>
        <w:t>《预算法》</w:t>
      </w:r>
      <w:r>
        <w:rPr>
          <w:rFonts w:hint="eastAsia" w:ascii="仿宋" w:hAnsi="仿宋" w:eastAsia="仿宋"/>
          <w:sz w:val="32"/>
          <w:szCs w:val="32"/>
        </w:rPr>
        <w:t>，进一步加强了对财务人员财务基础工作的指导，规范了记账凭证的编制，严格了原始凭证的审核，强化了会计档案的管理等。三是加强内、外部的沟通。进一步协调了和财政、审计、税务等业务部门的关系。四是合理调度资金，保证了全</w:t>
      </w:r>
      <w:r>
        <w:rPr>
          <w:rFonts w:hint="eastAsia" w:ascii="仿宋" w:hAnsi="仿宋" w:eastAsia="仿宋"/>
          <w:sz w:val="32"/>
          <w:szCs w:val="32"/>
          <w:lang w:eastAsia="zh-CN"/>
        </w:rPr>
        <w:t>局事</w:t>
      </w:r>
      <w:r>
        <w:rPr>
          <w:rFonts w:hint="eastAsia" w:ascii="仿宋" w:hAnsi="仿宋" w:eastAsia="仿宋"/>
          <w:sz w:val="32"/>
          <w:szCs w:val="32"/>
        </w:rPr>
        <w:t>业发展的需要。3.加强管理厉行节支。结合我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/>
          <w:sz w:val="32"/>
          <w:szCs w:val="32"/>
        </w:rPr>
        <w:t>实际情况，完善了接</w:t>
      </w:r>
      <w:r>
        <w:rPr>
          <w:rFonts w:hint="eastAsia" w:ascii="仿宋" w:hAnsi="仿宋" w:eastAsia="仿宋"/>
          <w:spacing w:val="-20"/>
          <w:sz w:val="32"/>
          <w:szCs w:val="32"/>
        </w:rPr>
        <w:t>待、出差、会议、培训等制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度和审批程序，规范了公务支出行为。</w:t>
      </w:r>
    </w:p>
    <w:p w14:paraId="4EBC506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绩效自评公开后，由我单位承担公开主体责任，负责解释和说明。</w:t>
      </w:r>
    </w:p>
    <w:p w14:paraId="20850EEC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036BC845">
      <w:pPr>
        <w:spacing w:line="560" w:lineRule="exact"/>
        <w:ind w:firstLine="4800" w:firstLineChars="1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会同县公路建设养护中心</w:t>
      </w:r>
    </w:p>
    <w:p w14:paraId="7D8186EE">
      <w:pPr>
        <w:widowControl/>
        <w:tabs>
          <w:tab w:val="left" w:pos="6120"/>
        </w:tabs>
        <w:spacing w:line="560" w:lineRule="exact"/>
        <w:ind w:firstLine="5264" w:firstLineChars="1645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20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Cs/>
          <w:sz w:val="32"/>
          <w:szCs w:val="32"/>
        </w:rPr>
        <w:t>年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Cs/>
          <w:sz w:val="32"/>
          <w:szCs w:val="32"/>
        </w:rPr>
        <w:t>月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Cs/>
          <w:sz w:val="32"/>
          <w:szCs w:val="32"/>
        </w:rPr>
        <w:t>日</w:t>
      </w:r>
    </w:p>
    <w:p w14:paraId="26FABDB3">
      <w:pPr>
        <w:spacing w:line="560" w:lineRule="exact"/>
        <w:ind w:firstLine="4784" w:firstLineChars="1495"/>
        <w:rPr>
          <w:rFonts w:ascii="仿宋_GB2312" w:eastAsia="仿宋_GB2312"/>
          <w:sz w:val="32"/>
          <w:szCs w:val="32"/>
        </w:rPr>
      </w:pPr>
    </w:p>
    <w:p w14:paraId="0FFC8B42">
      <w:bookmarkStart w:id="0" w:name="_GoBack"/>
      <w:bookmarkEnd w:id="0"/>
    </w:p>
    <w:sectPr>
      <w:footerReference r:id="rId3" w:type="default"/>
      <w:pgSz w:w="11906" w:h="16838"/>
      <w:pgMar w:top="1440" w:right="1417" w:bottom="1440" w:left="1417" w:header="851" w:footer="992" w:gutter="0"/>
      <w:pgNumType w:start="2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9BBF8">
    <w:pPr>
      <w:pStyle w:val="4"/>
      <w:jc w:val="center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60A5938E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25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sz w:val="1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sdt>
                <w:sdtPr>
                  <w:rPr>
                    <w:rFonts w:hint="default"/>
                    <w:lang w:val="en-US"/>
                  </w:rPr>
                  <w:id w:val="2857376"/>
                  <w:docPartObj>
                    <w:docPartGallery w:val="autotext"/>
                  </w:docPartObj>
                </w:sdtPr>
                <w:sdtEndPr>
                  <w:rPr>
                    <w:rFonts w:hint="default"/>
                    <w:lang w:val="en-US"/>
                  </w:rPr>
                </w:sdtEndPr>
                <w:sdtContent>
                  <w:p w14:paraId="293016A4">
                    <w:pPr>
                      <w:pStyle w:val="4"/>
                      <w:jc w:val="center"/>
                      <w:rPr>
                        <w:rFonts w:hint="eastAsia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23</w:t>
                    </w:r>
                  </w:p>
                  <w:p w14:paraId="2066CC96">
                    <w:pPr>
                      <w:pStyle w:val="4"/>
                      <w:jc w:val="center"/>
                    </w:pPr>
                  </w:p>
                </w:sdtContent>
              </w:sdt>
              <w:p w14:paraId="55A52675">
                <w:pPr>
                  <w:pStyle w:val="2"/>
                </w:pPr>
              </w:p>
            </w:txbxContent>
          </v:textbox>
        </v:shape>
      </w:pict>
    </w:r>
  </w:p>
  <w:p w14:paraId="0863690A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mJjZTY1YjY2YmU3NTJiM2FjY2EzMmU1NzQwN2EzMmEifQ=="/>
  </w:docVars>
  <w:rsids>
    <w:rsidRoot w:val="00AA5B48"/>
    <w:rsid w:val="000A15F8"/>
    <w:rsid w:val="001327E6"/>
    <w:rsid w:val="00197B00"/>
    <w:rsid w:val="001C70D7"/>
    <w:rsid w:val="001C7208"/>
    <w:rsid w:val="00351B29"/>
    <w:rsid w:val="00472D40"/>
    <w:rsid w:val="0048158B"/>
    <w:rsid w:val="004C16F9"/>
    <w:rsid w:val="005332A0"/>
    <w:rsid w:val="005E39AC"/>
    <w:rsid w:val="005F667E"/>
    <w:rsid w:val="0064709B"/>
    <w:rsid w:val="00725A6D"/>
    <w:rsid w:val="00783179"/>
    <w:rsid w:val="00874F3E"/>
    <w:rsid w:val="008A63C3"/>
    <w:rsid w:val="008B5C5C"/>
    <w:rsid w:val="00A1091E"/>
    <w:rsid w:val="00A244B9"/>
    <w:rsid w:val="00A67997"/>
    <w:rsid w:val="00AA2FD8"/>
    <w:rsid w:val="00AA5B48"/>
    <w:rsid w:val="00AD7A03"/>
    <w:rsid w:val="00B04A0D"/>
    <w:rsid w:val="00C818A5"/>
    <w:rsid w:val="00CD56D8"/>
    <w:rsid w:val="00D34884"/>
    <w:rsid w:val="00DB1569"/>
    <w:rsid w:val="00E2574A"/>
    <w:rsid w:val="00F13BC2"/>
    <w:rsid w:val="00F37F91"/>
    <w:rsid w:val="00F47226"/>
    <w:rsid w:val="00F57877"/>
    <w:rsid w:val="00F63401"/>
    <w:rsid w:val="00FB72EA"/>
    <w:rsid w:val="00FD7170"/>
    <w:rsid w:val="04A759F6"/>
    <w:rsid w:val="08054417"/>
    <w:rsid w:val="0AA64E0E"/>
    <w:rsid w:val="0D103E70"/>
    <w:rsid w:val="17535BDA"/>
    <w:rsid w:val="1B6726F9"/>
    <w:rsid w:val="2401452D"/>
    <w:rsid w:val="26127ABA"/>
    <w:rsid w:val="269B10AA"/>
    <w:rsid w:val="29A03952"/>
    <w:rsid w:val="2A041003"/>
    <w:rsid w:val="2AB96D97"/>
    <w:rsid w:val="2F4B1E88"/>
    <w:rsid w:val="32C2045E"/>
    <w:rsid w:val="39E315CA"/>
    <w:rsid w:val="39ED6BC5"/>
    <w:rsid w:val="3B0C0A36"/>
    <w:rsid w:val="3BA3051F"/>
    <w:rsid w:val="3CC25C7B"/>
    <w:rsid w:val="3F376A5E"/>
    <w:rsid w:val="3FD22F19"/>
    <w:rsid w:val="444D35DB"/>
    <w:rsid w:val="4B4327C8"/>
    <w:rsid w:val="4BA46191"/>
    <w:rsid w:val="4CCA5909"/>
    <w:rsid w:val="52AD2165"/>
    <w:rsid w:val="53A712D5"/>
    <w:rsid w:val="56E07D38"/>
    <w:rsid w:val="59BF0292"/>
    <w:rsid w:val="5B8076BD"/>
    <w:rsid w:val="60F82677"/>
    <w:rsid w:val="6BB57E27"/>
    <w:rsid w:val="6C9B00E3"/>
    <w:rsid w:val="6CA4373F"/>
    <w:rsid w:val="6DF81021"/>
    <w:rsid w:val="6FDB76F4"/>
    <w:rsid w:val="707062F6"/>
    <w:rsid w:val="71F37B7B"/>
    <w:rsid w:val="723E1274"/>
    <w:rsid w:val="73F83862"/>
    <w:rsid w:val="7492491C"/>
    <w:rsid w:val="7AA036C3"/>
    <w:rsid w:val="7E893EE6"/>
    <w:rsid w:val="7F1B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3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Calibri" w:eastAsia="宋体" w:cs="Times New Roman"/>
      <w:color w:val="000000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  <customShpInfo spid="_x0000_s4098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31B043-729F-429F-A4C0-5D87EF42C2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2013</Words>
  <Characters>2741</Characters>
  <Lines>12</Lines>
  <Paragraphs>3</Paragraphs>
  <TotalTime>0</TotalTime>
  <ScaleCrop>false</ScaleCrop>
  <LinksUpToDate>false</LinksUpToDate>
  <CharactersWithSpaces>2741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2019-09-03T02:53:00Z</dcterms:created>
  <dc:creator>User</dc:creator>
  <cp:lastModifiedBy>qzuser</cp:lastModifiedBy>
  <cp:lastPrinted>2022-06-22T09:26:00Z</cp:lastPrinted>
  <dcterms:modified xsi:type="dcterms:W3CDTF">2024-10-18T00:45:59Z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90CD035F8E3B4A9B8B7E4E75EC58D1A5</vt:lpwstr>
  </property>
</Properties>
</file>