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2A201D">
      <w:pPr>
        <w:pStyle w:val="4"/>
        <w:widowControl/>
        <w:shd w:val="clear" w:color="auto" w:fill="FFFFFF"/>
        <w:spacing w:before="0" w:beforeAutospacing="0" w:after="0" w:afterAutospacing="0" w:line="480" w:lineRule="atLeast"/>
        <w:jc w:val="both"/>
        <w:rPr>
          <w:rFonts w:ascii="仿宋_GB2312" w:hAnsi="仿宋_GB2312"/>
          <w:color w:val="000000"/>
          <w:sz w:val="32"/>
          <w:szCs w:val="32"/>
          <w:shd w:val="clear" w:color="auto" w:fill="FFFFFF"/>
        </w:rPr>
      </w:pPr>
    </w:p>
    <w:p w14:paraId="71C4C231">
      <w:pPr>
        <w:pStyle w:val="4"/>
        <w:widowControl/>
        <w:shd w:val="clear" w:color="auto" w:fill="FFFFFF"/>
        <w:autoSpaceDE w:val="0"/>
        <w:snapToGrid w:val="0"/>
        <w:spacing w:before="0" w:beforeAutospacing="0" w:after="0" w:afterAutospacing="0" w:line="520" w:lineRule="exact"/>
        <w:jc w:val="center"/>
        <w:rPr>
          <w:rFonts w:ascii="仿宋" w:hAnsi="仿宋" w:eastAsia="仿宋"/>
          <w:color w:val="000000"/>
          <w:sz w:val="52"/>
          <w:szCs w:val="52"/>
        </w:rPr>
      </w:pPr>
      <w:r>
        <w:rPr>
          <w:rFonts w:hint="eastAsia" w:ascii="仿宋" w:hAnsi="仿宋" w:eastAsia="仿宋"/>
          <w:color w:val="000000"/>
          <w:sz w:val="52"/>
          <w:szCs w:val="52"/>
          <w:shd w:val="clear" w:color="auto" w:fill="FFFFFF"/>
        </w:rPr>
        <w:t>会同县农村经营服务站</w:t>
      </w:r>
      <w:r>
        <w:rPr>
          <w:rFonts w:ascii="仿宋" w:hAnsi="仿宋" w:eastAsia="仿宋"/>
          <w:color w:val="000000"/>
          <w:sz w:val="52"/>
          <w:szCs w:val="52"/>
          <w:shd w:val="clear" w:color="auto" w:fill="FFFFFF"/>
        </w:rPr>
        <w:t>整体支出绩效自评报告</w:t>
      </w:r>
    </w:p>
    <w:p w14:paraId="06737074">
      <w:pPr>
        <w:pStyle w:val="4"/>
        <w:widowControl/>
        <w:shd w:val="clear" w:color="auto" w:fill="FFFFFF"/>
        <w:autoSpaceDE w:val="0"/>
        <w:snapToGrid w:val="0"/>
        <w:spacing w:before="0" w:beforeAutospacing="0" w:after="0" w:afterAutospacing="0" w:line="520" w:lineRule="exact"/>
        <w:jc w:val="center"/>
        <w:rPr>
          <w:rFonts w:ascii="仿宋" w:hAnsi="仿宋" w:eastAsia="仿宋"/>
          <w:color w:val="000000"/>
          <w:sz w:val="52"/>
          <w:szCs w:val="52"/>
        </w:rPr>
      </w:pPr>
    </w:p>
    <w:p w14:paraId="69659036">
      <w:pPr>
        <w:pStyle w:val="4"/>
        <w:widowControl/>
        <w:shd w:val="clear" w:color="auto" w:fill="FFFFFF"/>
        <w:autoSpaceDE w:val="0"/>
        <w:snapToGrid w:val="0"/>
        <w:spacing w:before="0" w:beforeAutospacing="0" w:after="0" w:afterAutospacing="0" w:line="520" w:lineRule="exact"/>
        <w:jc w:val="center"/>
        <w:rPr>
          <w:rFonts w:ascii="仿宋" w:hAnsi="仿宋" w:eastAsia="仿宋"/>
          <w:color w:val="000000"/>
          <w:sz w:val="36"/>
          <w:szCs w:val="36"/>
        </w:rPr>
      </w:pPr>
      <w:r>
        <w:rPr>
          <w:rFonts w:ascii="仿宋" w:hAnsi="仿宋" w:eastAsia="仿宋"/>
          <w:color w:val="000000"/>
          <w:sz w:val="36"/>
          <w:szCs w:val="36"/>
        </w:rPr>
        <w:t xml:space="preserve"> </w:t>
      </w:r>
    </w:p>
    <w:p w14:paraId="3927EC16">
      <w:pPr>
        <w:pStyle w:val="4"/>
        <w:widowControl/>
        <w:shd w:val="clear" w:color="auto" w:fill="FFFFFF"/>
        <w:autoSpaceDE w:val="0"/>
        <w:snapToGrid w:val="0"/>
        <w:spacing w:before="0" w:beforeAutospacing="0" w:after="0" w:afterAutospacing="0" w:line="520" w:lineRule="exact"/>
        <w:ind w:firstLine="720" w:firstLineChars="200"/>
        <w:rPr>
          <w:rFonts w:ascii="仿宋" w:hAnsi="仿宋" w:eastAsia="仿宋"/>
          <w:color w:val="000000"/>
          <w:sz w:val="36"/>
          <w:szCs w:val="36"/>
        </w:rPr>
      </w:pPr>
      <w:r>
        <w:rPr>
          <w:rFonts w:hint="eastAsia" w:ascii="仿宋" w:hAnsi="仿宋" w:eastAsia="仿宋"/>
          <w:color w:val="000000"/>
          <w:sz w:val="36"/>
          <w:szCs w:val="36"/>
          <w:shd w:val="clear" w:color="auto" w:fill="FFFFFF"/>
        </w:rPr>
        <w:t>一、部门、单位基本情况</w:t>
      </w:r>
    </w:p>
    <w:p w14:paraId="5100AE92">
      <w:pPr>
        <w:pStyle w:val="4"/>
        <w:widowControl/>
        <w:shd w:val="clear" w:color="auto" w:fill="FFFFFF"/>
        <w:autoSpaceDE w:val="0"/>
        <w:snapToGrid w:val="0"/>
        <w:spacing w:before="0" w:beforeAutospacing="0" w:after="0" w:afterAutospacing="0" w:line="520" w:lineRule="exact"/>
        <w:ind w:firstLine="628" w:firstLineChars="200"/>
        <w:rPr>
          <w:rFonts w:hint="eastAsia" w:ascii="仿宋" w:hAnsi="仿宋" w:eastAsia="仿宋"/>
          <w:color w:val="000000"/>
          <w:sz w:val="36"/>
          <w:szCs w:val="36"/>
          <w:shd w:val="clear" w:color="auto" w:fill="FFFFFF"/>
        </w:rPr>
      </w:pPr>
      <w:r>
        <w:rPr>
          <w:rFonts w:ascii="仿宋" w:hAnsi="仿宋" w:eastAsia="仿宋"/>
          <w:color w:val="000000"/>
          <w:spacing w:val="-23"/>
          <w:sz w:val="36"/>
          <w:szCs w:val="36"/>
          <w:shd w:val="clear" w:color="auto" w:fill="FFFFFF"/>
        </w:rPr>
        <w:t>（一）</w:t>
      </w:r>
      <w:r>
        <w:rPr>
          <w:rFonts w:ascii="仿宋" w:hAnsi="仿宋" w:eastAsia="仿宋"/>
          <w:color w:val="000000"/>
          <w:sz w:val="36"/>
          <w:szCs w:val="36"/>
          <w:shd w:val="clear" w:color="auto" w:fill="FFFFFF"/>
        </w:rPr>
        <w:t>机构设置情况</w:t>
      </w:r>
    </w:p>
    <w:p w14:paraId="1ADDA206">
      <w:pPr>
        <w:ind w:firstLine="720" w:firstLineChars="200"/>
        <w:jc w:val="left"/>
        <w:rPr>
          <w:rFonts w:hint="eastAsia" w:ascii="仿宋" w:hAnsi="仿宋" w:eastAsia="仿宋"/>
          <w:color w:val="000000"/>
          <w:sz w:val="36"/>
          <w:szCs w:val="36"/>
        </w:rPr>
      </w:pPr>
      <w:r>
        <w:rPr>
          <w:rFonts w:hint="eastAsia" w:ascii="仿宋" w:hAnsi="仿宋" w:eastAsia="仿宋"/>
          <w:bCs/>
          <w:sz w:val="36"/>
          <w:szCs w:val="36"/>
        </w:rPr>
        <w:t>本单位内设机构5个，为办公室、农村政策法规与改革发展股、农民权益维护和农民负担监督股、农村合作经济指导股、农村宅基地服务股。</w:t>
      </w:r>
    </w:p>
    <w:p w14:paraId="3EDA0D89">
      <w:pPr>
        <w:pStyle w:val="4"/>
        <w:widowControl/>
        <w:shd w:val="clear" w:color="auto" w:fill="FFFFFF"/>
        <w:autoSpaceDE w:val="0"/>
        <w:snapToGrid w:val="0"/>
        <w:spacing w:before="0" w:beforeAutospacing="0" w:after="0" w:afterAutospacing="0" w:line="520" w:lineRule="exact"/>
        <w:ind w:firstLine="628" w:firstLineChars="200"/>
        <w:rPr>
          <w:rFonts w:hint="eastAsia" w:ascii="仿宋" w:hAnsi="仿宋" w:eastAsia="仿宋"/>
          <w:color w:val="000000"/>
          <w:sz w:val="36"/>
          <w:szCs w:val="36"/>
          <w:shd w:val="clear" w:color="auto" w:fill="FFFFFF"/>
        </w:rPr>
      </w:pPr>
      <w:r>
        <w:rPr>
          <w:rFonts w:ascii="仿宋" w:hAnsi="仿宋" w:eastAsia="仿宋"/>
          <w:color w:val="000000"/>
          <w:spacing w:val="-23"/>
          <w:sz w:val="36"/>
          <w:szCs w:val="36"/>
          <w:shd w:val="clear" w:color="auto" w:fill="FFFFFF"/>
        </w:rPr>
        <w:t>（二）</w:t>
      </w:r>
      <w:r>
        <w:rPr>
          <w:rFonts w:ascii="仿宋" w:hAnsi="仿宋" w:eastAsia="仿宋"/>
          <w:color w:val="000000"/>
          <w:sz w:val="36"/>
          <w:szCs w:val="36"/>
          <w:shd w:val="clear" w:color="auto" w:fill="FFFFFF"/>
        </w:rPr>
        <w:t>人员编制情况</w:t>
      </w:r>
    </w:p>
    <w:p w14:paraId="53C6EB54">
      <w:pPr>
        <w:pStyle w:val="4"/>
        <w:widowControl/>
        <w:shd w:val="clear" w:color="auto" w:fill="FFFFFF"/>
        <w:autoSpaceDE w:val="0"/>
        <w:snapToGrid w:val="0"/>
        <w:spacing w:before="0" w:beforeAutospacing="0" w:after="0" w:afterAutospacing="0" w:line="520" w:lineRule="exact"/>
        <w:ind w:firstLine="720" w:firstLineChars="200"/>
        <w:rPr>
          <w:rFonts w:ascii="仿宋" w:hAnsi="仿宋" w:eastAsia="仿宋"/>
          <w:color w:val="000000"/>
          <w:sz w:val="36"/>
          <w:szCs w:val="36"/>
        </w:rPr>
      </w:pPr>
      <w:r>
        <w:rPr>
          <w:rFonts w:hint="eastAsia" w:ascii="仿宋" w:hAnsi="仿宋" w:eastAsia="仿宋"/>
          <w:color w:val="000000"/>
          <w:sz w:val="36"/>
          <w:szCs w:val="36"/>
        </w:rPr>
        <w:t>2023年底有全额拨款事业编制1</w:t>
      </w:r>
      <w:r>
        <w:rPr>
          <w:rFonts w:hint="eastAsia" w:ascii="仿宋" w:hAnsi="仿宋" w:eastAsia="仿宋"/>
          <w:color w:val="000000"/>
          <w:sz w:val="36"/>
          <w:szCs w:val="36"/>
          <w:lang w:val="en-US" w:eastAsia="zh-CN"/>
        </w:rPr>
        <w:t>9</w:t>
      </w:r>
      <w:r>
        <w:rPr>
          <w:rFonts w:hint="eastAsia" w:ascii="仿宋" w:hAnsi="仿宋" w:eastAsia="仿宋"/>
          <w:color w:val="000000"/>
          <w:sz w:val="36"/>
          <w:szCs w:val="36"/>
        </w:rPr>
        <w:t>个，实有在职人数17人，退休人员7人。</w:t>
      </w:r>
    </w:p>
    <w:p w14:paraId="10AE1AEA">
      <w:pPr>
        <w:pStyle w:val="4"/>
        <w:widowControl/>
        <w:shd w:val="clear" w:color="auto" w:fill="FFFFFF"/>
        <w:autoSpaceDE w:val="0"/>
        <w:snapToGrid w:val="0"/>
        <w:spacing w:before="0" w:beforeAutospacing="0" w:after="0" w:afterAutospacing="0" w:line="520" w:lineRule="exact"/>
        <w:ind w:firstLine="628" w:firstLineChars="200"/>
        <w:rPr>
          <w:rFonts w:hint="eastAsia" w:ascii="仿宋" w:hAnsi="仿宋" w:eastAsia="仿宋"/>
          <w:color w:val="000000"/>
          <w:sz w:val="36"/>
          <w:szCs w:val="36"/>
          <w:shd w:val="clear" w:color="auto" w:fill="FFFFFF"/>
        </w:rPr>
      </w:pPr>
      <w:r>
        <w:rPr>
          <w:rFonts w:ascii="仿宋" w:hAnsi="仿宋" w:eastAsia="仿宋"/>
          <w:color w:val="000000"/>
          <w:spacing w:val="-23"/>
          <w:sz w:val="36"/>
          <w:szCs w:val="36"/>
          <w:shd w:val="clear" w:color="auto" w:fill="FFFFFF"/>
        </w:rPr>
        <w:t>（三）</w:t>
      </w:r>
      <w:r>
        <w:rPr>
          <w:rFonts w:ascii="仿宋" w:hAnsi="仿宋" w:eastAsia="仿宋"/>
          <w:color w:val="000000"/>
          <w:sz w:val="36"/>
          <w:szCs w:val="36"/>
          <w:shd w:val="clear" w:color="auto" w:fill="FFFFFF"/>
        </w:rPr>
        <w:t>主要职能职责</w:t>
      </w:r>
    </w:p>
    <w:p w14:paraId="5D4070DC">
      <w:pPr>
        <w:ind w:firstLine="900" w:firstLineChars="250"/>
        <w:jc w:val="left"/>
        <w:rPr>
          <w:rFonts w:ascii="仿宋" w:hAnsi="仿宋" w:eastAsia="仿宋"/>
          <w:sz w:val="36"/>
          <w:szCs w:val="36"/>
        </w:rPr>
      </w:pPr>
      <w:r>
        <w:rPr>
          <w:rFonts w:ascii="仿宋" w:hAnsi="仿宋" w:eastAsia="仿宋"/>
          <w:sz w:val="36"/>
          <w:szCs w:val="36"/>
        </w:rPr>
        <w:t>1、承担稳定和完善农村经营管理体制的相关事务性工作；承担农村土地承包和农村土地承包合同管理的业务指导工作；承担农村土地经营权确权登记颁证的相关事务性工作；指导、管理、协调和服务土地承包经营权流转和农业适度规模经营工作。</w:t>
      </w:r>
    </w:p>
    <w:p w14:paraId="278BEB4F">
      <w:pPr>
        <w:ind w:firstLine="900" w:firstLineChars="250"/>
        <w:jc w:val="left"/>
        <w:rPr>
          <w:rFonts w:ascii="仿宋" w:hAnsi="仿宋" w:eastAsia="仿宋"/>
          <w:sz w:val="36"/>
          <w:szCs w:val="36"/>
        </w:rPr>
      </w:pPr>
      <w:r>
        <w:rPr>
          <w:rFonts w:ascii="仿宋" w:hAnsi="仿宋" w:eastAsia="仿宋"/>
          <w:sz w:val="36"/>
          <w:szCs w:val="36"/>
        </w:rPr>
        <w:t>2、宣传贯彻农村土地承包纠纷调解仲裁的法律法规和相关政策；承担指导、监督农村土地承包纠纷调解仲裁的相关事务性工作。</w:t>
      </w:r>
    </w:p>
    <w:p w14:paraId="23594A3F">
      <w:pPr>
        <w:ind w:firstLine="900" w:firstLineChars="250"/>
        <w:jc w:val="left"/>
        <w:rPr>
          <w:rFonts w:ascii="仿宋" w:hAnsi="仿宋" w:eastAsia="仿宋"/>
          <w:sz w:val="36"/>
          <w:szCs w:val="36"/>
        </w:rPr>
      </w:pPr>
      <w:r>
        <w:rPr>
          <w:rFonts w:ascii="仿宋" w:hAnsi="仿宋" w:eastAsia="仿宋"/>
          <w:sz w:val="36"/>
          <w:szCs w:val="36"/>
        </w:rPr>
        <w:t>3、负责指导村级集体经济发展，指导、扶持专业大户、家庭农场、农民合作社等农村新型经营主体建设与发展，指导、扶持农业社会化服务体系建设与发展的相关事务性工作。</w:t>
      </w:r>
    </w:p>
    <w:p w14:paraId="1CA84434">
      <w:pPr>
        <w:ind w:firstLine="900" w:firstLineChars="250"/>
        <w:jc w:val="left"/>
        <w:rPr>
          <w:rFonts w:ascii="仿宋" w:hAnsi="仿宋" w:eastAsia="仿宋"/>
          <w:sz w:val="36"/>
          <w:szCs w:val="36"/>
        </w:rPr>
      </w:pPr>
      <w:r>
        <w:rPr>
          <w:rFonts w:ascii="仿宋" w:hAnsi="仿宋" w:eastAsia="仿宋"/>
          <w:sz w:val="36"/>
          <w:szCs w:val="36"/>
        </w:rPr>
        <w:t>4、承担指导农村集体经济组织、农民合作社财务会计和审计监督的相关事务性工作。</w:t>
      </w:r>
    </w:p>
    <w:p w14:paraId="43CADA73">
      <w:pPr>
        <w:ind w:firstLine="900" w:firstLineChars="250"/>
        <w:jc w:val="left"/>
        <w:rPr>
          <w:rFonts w:ascii="仿宋" w:hAnsi="仿宋" w:eastAsia="仿宋"/>
          <w:sz w:val="36"/>
          <w:szCs w:val="36"/>
        </w:rPr>
      </w:pPr>
      <w:r>
        <w:rPr>
          <w:rFonts w:ascii="仿宋" w:hAnsi="仿宋" w:eastAsia="仿宋"/>
          <w:sz w:val="36"/>
          <w:szCs w:val="36"/>
        </w:rPr>
        <w:t>5、承担农民权益维护和农民负担监督管理的相关事务性工作；参与审核涉及农民负担的政策文件和收费项目工作；承担监督检查强农惠农政策落实和强农惠农资金管理使用相关事务性工作；承担监督一事一议筹资筹劳的审批、管理和财政奖补资金使用相关事务性工作；参与查处损害农民利益的案件。</w:t>
      </w:r>
    </w:p>
    <w:p w14:paraId="79C1F8CA">
      <w:pPr>
        <w:ind w:firstLine="900" w:firstLineChars="250"/>
        <w:jc w:val="left"/>
        <w:rPr>
          <w:rFonts w:ascii="仿宋" w:hAnsi="仿宋" w:eastAsia="仿宋"/>
          <w:sz w:val="36"/>
          <w:szCs w:val="36"/>
        </w:rPr>
      </w:pPr>
      <w:r>
        <w:rPr>
          <w:rFonts w:ascii="仿宋" w:hAnsi="仿宋" w:eastAsia="仿宋"/>
          <w:sz w:val="36"/>
          <w:szCs w:val="36"/>
        </w:rPr>
        <w:t>6、负责组织开展农村经济收支、农民收入、农民合作社、家庭农场与农村集体经济组织运行情况的监测、调查和统计工作。</w:t>
      </w:r>
    </w:p>
    <w:p w14:paraId="44C84BDF">
      <w:pPr>
        <w:ind w:firstLine="900" w:firstLineChars="250"/>
        <w:jc w:val="left"/>
        <w:rPr>
          <w:rFonts w:ascii="仿宋" w:hAnsi="仿宋" w:eastAsia="仿宋"/>
          <w:sz w:val="36"/>
          <w:szCs w:val="36"/>
        </w:rPr>
      </w:pPr>
      <w:r>
        <w:rPr>
          <w:rFonts w:ascii="仿宋" w:hAnsi="仿宋" w:eastAsia="仿宋"/>
          <w:sz w:val="36"/>
          <w:szCs w:val="36"/>
        </w:rPr>
        <w:t>7、承担农村宅基地改革和管理的相关事务性工作。建立健全宅基地分配、使用、流转等管理制度，完善宅基地用地标准，指导宅基地合理布局、闲置宅基地和闲置农房利用；组织开展农村宅基地现状和需求情况统计调查，及时将农民建房新增建设用地需求通报同级自然资源部门；参与编制国土空间规划和村庄规划。</w:t>
      </w:r>
    </w:p>
    <w:p w14:paraId="5C56BB09">
      <w:pPr>
        <w:ind w:firstLine="900" w:firstLineChars="250"/>
        <w:jc w:val="left"/>
        <w:rPr>
          <w:rFonts w:ascii="仿宋" w:hAnsi="仿宋" w:eastAsia="仿宋"/>
          <w:sz w:val="36"/>
          <w:szCs w:val="36"/>
        </w:rPr>
      </w:pPr>
      <w:r>
        <w:rPr>
          <w:rFonts w:ascii="仿宋" w:hAnsi="仿宋" w:eastAsia="仿宋"/>
          <w:sz w:val="36"/>
          <w:szCs w:val="36"/>
        </w:rPr>
        <w:t>8、为农业社会化服务发展投资项目建设规划提供支持和服务保障，提出相关投资项目需求和财政项目安排建议，并组织实施。</w:t>
      </w:r>
    </w:p>
    <w:p w14:paraId="46330754">
      <w:pPr>
        <w:ind w:firstLine="900" w:firstLineChars="250"/>
        <w:jc w:val="left"/>
        <w:rPr>
          <w:rFonts w:ascii="仿宋" w:hAnsi="仿宋" w:eastAsia="仿宋"/>
          <w:color w:val="000000"/>
          <w:sz w:val="36"/>
          <w:szCs w:val="36"/>
        </w:rPr>
      </w:pPr>
      <w:r>
        <w:rPr>
          <w:rFonts w:ascii="仿宋" w:hAnsi="仿宋" w:eastAsia="仿宋"/>
          <w:sz w:val="36"/>
          <w:szCs w:val="36"/>
        </w:rPr>
        <w:t>9、完成县农业农村局交办的其他工作。</w:t>
      </w:r>
    </w:p>
    <w:p w14:paraId="39617986">
      <w:pPr>
        <w:pStyle w:val="4"/>
        <w:widowControl/>
        <w:shd w:val="clear" w:color="auto" w:fill="FFFFFF"/>
        <w:autoSpaceDE w:val="0"/>
        <w:snapToGrid w:val="0"/>
        <w:spacing w:before="0" w:beforeAutospacing="0" w:after="0" w:afterAutospacing="0" w:line="520" w:lineRule="exact"/>
        <w:ind w:firstLine="628" w:firstLineChars="200"/>
        <w:rPr>
          <w:rFonts w:hint="eastAsia" w:ascii="仿宋" w:hAnsi="仿宋" w:eastAsia="仿宋"/>
          <w:color w:val="000000"/>
          <w:sz w:val="36"/>
          <w:szCs w:val="36"/>
          <w:shd w:val="clear" w:color="auto" w:fill="FFFFFF"/>
        </w:rPr>
      </w:pPr>
      <w:r>
        <w:rPr>
          <w:rFonts w:ascii="仿宋" w:hAnsi="仿宋" w:eastAsia="仿宋"/>
          <w:color w:val="000000"/>
          <w:spacing w:val="-23"/>
          <w:sz w:val="36"/>
          <w:szCs w:val="36"/>
          <w:shd w:val="clear" w:color="auto" w:fill="FFFFFF"/>
        </w:rPr>
        <w:t>（四）</w:t>
      </w:r>
      <w:r>
        <w:rPr>
          <w:rFonts w:ascii="仿宋" w:hAnsi="仿宋" w:eastAsia="仿宋"/>
          <w:color w:val="000000"/>
          <w:sz w:val="36"/>
          <w:szCs w:val="36"/>
          <w:shd w:val="clear" w:color="auto" w:fill="FFFFFF"/>
        </w:rPr>
        <w:t>绩效目标设定情况</w:t>
      </w:r>
    </w:p>
    <w:p w14:paraId="322B88D4">
      <w:pPr>
        <w:pStyle w:val="4"/>
        <w:widowControl/>
        <w:shd w:val="clear" w:color="auto" w:fill="FFFFFF"/>
        <w:autoSpaceDE w:val="0"/>
        <w:snapToGrid w:val="0"/>
        <w:spacing w:before="0" w:beforeAutospacing="0" w:after="0" w:afterAutospacing="0" w:line="520" w:lineRule="exact"/>
        <w:ind w:firstLine="720" w:firstLineChars="200"/>
        <w:rPr>
          <w:rFonts w:ascii="仿宋" w:hAnsi="仿宋" w:eastAsia="仿宋"/>
          <w:color w:val="000000"/>
          <w:sz w:val="36"/>
          <w:szCs w:val="36"/>
        </w:rPr>
      </w:pPr>
      <w:bookmarkStart w:id="0" w:name="OLE_LINK1"/>
      <w:r>
        <w:rPr>
          <w:rFonts w:hint="eastAsia" w:ascii="仿宋" w:hAnsi="仿宋" w:eastAsia="仿宋"/>
          <w:color w:val="000000"/>
          <w:sz w:val="36"/>
          <w:szCs w:val="36"/>
          <w:shd w:val="clear" w:color="auto" w:fill="FFFFFF"/>
        </w:rPr>
        <w:t>按时完成单位各项工作任务</w:t>
      </w:r>
    </w:p>
    <w:bookmarkEnd w:id="0"/>
    <w:p w14:paraId="00CE6F2D">
      <w:pPr>
        <w:autoSpaceDE w:val="0"/>
        <w:snapToGrid w:val="0"/>
        <w:spacing w:line="520" w:lineRule="exact"/>
        <w:ind w:firstLine="720" w:firstLineChars="200"/>
        <w:rPr>
          <w:rFonts w:ascii="仿宋" w:hAnsi="仿宋" w:eastAsia="仿宋"/>
          <w:color w:val="000000"/>
          <w:kern w:val="0"/>
          <w:sz w:val="36"/>
          <w:szCs w:val="36"/>
          <w:shd w:val="clear" w:color="auto" w:fill="FFFFFF"/>
        </w:rPr>
      </w:pPr>
      <w:r>
        <w:rPr>
          <w:rFonts w:hint="eastAsia" w:ascii="仿宋" w:hAnsi="仿宋" w:eastAsia="仿宋"/>
          <w:color w:val="000000"/>
          <w:kern w:val="0"/>
          <w:sz w:val="36"/>
          <w:szCs w:val="36"/>
          <w:shd w:val="clear" w:color="auto" w:fill="FFFFFF"/>
        </w:rPr>
        <w:t>二、部门整体支出管理及使用情况</w:t>
      </w:r>
    </w:p>
    <w:p w14:paraId="5663BD21">
      <w:pPr>
        <w:pStyle w:val="4"/>
        <w:widowControl/>
        <w:shd w:val="clear" w:color="auto" w:fill="FFFFFF"/>
        <w:autoSpaceDE w:val="0"/>
        <w:snapToGrid w:val="0"/>
        <w:spacing w:before="0" w:beforeAutospacing="0" w:after="0" w:afterAutospacing="0" w:line="520" w:lineRule="exact"/>
        <w:ind w:firstLine="628" w:firstLineChars="200"/>
        <w:rPr>
          <w:rFonts w:hint="eastAsia" w:ascii="仿宋" w:hAnsi="仿宋" w:eastAsia="仿宋"/>
          <w:color w:val="000000"/>
          <w:sz w:val="36"/>
          <w:szCs w:val="36"/>
          <w:shd w:val="clear" w:color="auto" w:fill="FFFFFF"/>
        </w:rPr>
      </w:pPr>
      <w:r>
        <w:rPr>
          <w:rFonts w:ascii="仿宋" w:hAnsi="仿宋" w:eastAsia="仿宋"/>
          <w:color w:val="000000"/>
          <w:spacing w:val="-23"/>
          <w:sz w:val="36"/>
          <w:szCs w:val="36"/>
          <w:shd w:val="clear" w:color="auto" w:fill="FFFFFF"/>
        </w:rPr>
        <w:t>（一）</w:t>
      </w:r>
      <w:r>
        <w:rPr>
          <w:rFonts w:ascii="仿宋" w:hAnsi="仿宋" w:eastAsia="仿宋"/>
          <w:color w:val="000000"/>
          <w:sz w:val="36"/>
          <w:szCs w:val="36"/>
          <w:shd w:val="clear" w:color="auto" w:fill="FFFFFF"/>
        </w:rPr>
        <w:t>预算执行、使用、管理总体情况。</w:t>
      </w:r>
    </w:p>
    <w:p w14:paraId="1E0407D6">
      <w:pPr>
        <w:pStyle w:val="4"/>
        <w:widowControl/>
        <w:shd w:val="clear" w:color="auto" w:fill="FFFFFF"/>
        <w:autoSpaceDE w:val="0"/>
        <w:snapToGrid w:val="0"/>
        <w:spacing w:before="0" w:beforeAutospacing="0" w:after="0" w:afterAutospacing="0" w:line="520" w:lineRule="exact"/>
        <w:ind w:firstLine="720" w:firstLineChars="200"/>
        <w:rPr>
          <w:rFonts w:hint="eastAsia" w:ascii="仿宋" w:hAnsi="仿宋" w:eastAsia="仿宋"/>
          <w:color w:val="000000"/>
          <w:sz w:val="36"/>
          <w:szCs w:val="36"/>
        </w:rPr>
      </w:pPr>
      <w:r>
        <w:rPr>
          <w:rFonts w:hint="eastAsia" w:ascii="仿宋" w:hAnsi="仿宋" w:eastAsia="仿宋"/>
          <w:color w:val="000000"/>
          <w:sz w:val="36"/>
          <w:szCs w:val="36"/>
          <w:shd w:val="clear" w:color="auto" w:fill="FFFFFF"/>
        </w:rPr>
        <w:t>预算执行、使用、管理总体情况良好。2023年本单位预算执行总共4884334.78元。</w:t>
      </w:r>
    </w:p>
    <w:p w14:paraId="1EF884A2">
      <w:pPr>
        <w:pStyle w:val="4"/>
        <w:widowControl/>
        <w:shd w:val="clear" w:color="auto" w:fill="FFFFFF"/>
        <w:autoSpaceDE w:val="0"/>
        <w:snapToGrid w:val="0"/>
        <w:spacing w:before="0" w:beforeAutospacing="0" w:after="0" w:afterAutospacing="0" w:line="520" w:lineRule="exact"/>
        <w:ind w:firstLine="628" w:firstLineChars="200"/>
        <w:rPr>
          <w:rFonts w:ascii="仿宋" w:hAnsi="仿宋" w:eastAsia="仿宋"/>
          <w:color w:val="000000"/>
          <w:sz w:val="36"/>
          <w:szCs w:val="36"/>
        </w:rPr>
      </w:pPr>
      <w:r>
        <w:rPr>
          <w:rFonts w:ascii="仿宋" w:hAnsi="仿宋" w:eastAsia="仿宋"/>
          <w:color w:val="000000"/>
          <w:spacing w:val="-23"/>
          <w:sz w:val="36"/>
          <w:szCs w:val="36"/>
          <w:shd w:val="clear" w:color="auto" w:fill="FFFFFF"/>
        </w:rPr>
        <w:t>（二）</w:t>
      </w:r>
      <w:r>
        <w:rPr>
          <w:rFonts w:ascii="仿宋" w:hAnsi="仿宋" w:eastAsia="仿宋"/>
          <w:color w:val="000000"/>
          <w:sz w:val="36"/>
          <w:szCs w:val="36"/>
          <w:shd w:val="clear" w:color="auto" w:fill="FFFFFF"/>
        </w:rPr>
        <w:t>部门预算执行情况</w:t>
      </w:r>
    </w:p>
    <w:p w14:paraId="015640D0">
      <w:pPr>
        <w:pStyle w:val="4"/>
        <w:widowControl/>
        <w:shd w:val="clear" w:color="auto" w:fill="FFFFFF"/>
        <w:autoSpaceDE w:val="0"/>
        <w:snapToGrid w:val="0"/>
        <w:spacing w:before="0" w:beforeAutospacing="0" w:after="0" w:afterAutospacing="0" w:line="520" w:lineRule="exact"/>
        <w:ind w:firstLine="720" w:firstLineChars="200"/>
        <w:rPr>
          <w:rFonts w:hint="eastAsia" w:ascii="仿宋" w:hAnsi="仿宋" w:eastAsia="仿宋"/>
          <w:color w:val="000000"/>
          <w:sz w:val="36"/>
          <w:szCs w:val="36"/>
          <w:shd w:val="clear" w:color="auto" w:fill="FFFFFF"/>
        </w:rPr>
      </w:pPr>
      <w:r>
        <w:rPr>
          <w:rFonts w:ascii="仿宋" w:hAnsi="仿宋" w:eastAsia="仿宋"/>
          <w:color w:val="000000"/>
          <w:sz w:val="36"/>
          <w:szCs w:val="36"/>
          <w:shd w:val="clear" w:color="auto" w:fill="FFFFFF"/>
        </w:rPr>
        <w:t>1.基本支出情况</w:t>
      </w:r>
      <w:r>
        <w:rPr>
          <w:rFonts w:hint="eastAsia" w:ascii="仿宋" w:hAnsi="仿宋" w:eastAsia="仿宋"/>
          <w:color w:val="000000"/>
          <w:sz w:val="36"/>
          <w:szCs w:val="36"/>
          <w:shd w:val="clear" w:color="auto" w:fill="FFFFFF"/>
        </w:rPr>
        <w:t>：</w:t>
      </w:r>
    </w:p>
    <w:p w14:paraId="556354E2">
      <w:pPr>
        <w:jc w:val="left"/>
        <w:rPr>
          <w:rFonts w:ascii="仿宋" w:hAnsi="仿宋" w:eastAsia="仿宋"/>
          <w:color w:val="000000"/>
          <w:sz w:val="36"/>
          <w:szCs w:val="36"/>
        </w:rPr>
      </w:pPr>
      <w:r>
        <w:rPr>
          <w:rFonts w:hint="eastAsia" w:ascii="仿宋" w:hAnsi="仿宋" w:eastAsia="仿宋"/>
          <w:color w:val="000000"/>
          <w:sz w:val="36"/>
          <w:szCs w:val="36"/>
        </w:rPr>
        <w:t>基本支出总共</w:t>
      </w:r>
      <w:r>
        <w:rPr>
          <w:rFonts w:ascii="仿宋" w:hAnsi="仿宋" w:eastAsia="仿宋"/>
          <w:color w:val="000000"/>
          <w:sz w:val="36"/>
          <w:szCs w:val="36"/>
        </w:rPr>
        <w:t>3124213.91</w:t>
      </w:r>
      <w:r>
        <w:rPr>
          <w:rFonts w:hint="eastAsia" w:ascii="仿宋" w:hAnsi="仿宋" w:eastAsia="仿宋"/>
          <w:color w:val="000000"/>
          <w:sz w:val="36"/>
          <w:szCs w:val="36"/>
        </w:rPr>
        <w:t>元，其中工资福利支出</w:t>
      </w:r>
      <w:r>
        <w:rPr>
          <w:rFonts w:ascii="仿宋" w:hAnsi="仿宋" w:eastAsia="仿宋"/>
          <w:color w:val="000000"/>
          <w:sz w:val="36"/>
          <w:szCs w:val="36"/>
        </w:rPr>
        <w:t>2,078,936.40</w:t>
      </w:r>
      <w:r>
        <w:rPr>
          <w:rFonts w:hint="eastAsia" w:ascii="仿宋" w:hAnsi="仿宋" w:eastAsia="仿宋"/>
          <w:color w:val="000000"/>
          <w:sz w:val="36"/>
          <w:szCs w:val="36"/>
        </w:rPr>
        <w:t>（基本工资</w:t>
      </w:r>
      <w:r>
        <w:rPr>
          <w:rFonts w:ascii="仿宋" w:hAnsi="仿宋" w:eastAsia="仿宋"/>
          <w:color w:val="000000"/>
          <w:sz w:val="36"/>
          <w:szCs w:val="36"/>
        </w:rPr>
        <w:t>1,206,568.00</w:t>
      </w:r>
      <w:r>
        <w:rPr>
          <w:rFonts w:hint="eastAsia" w:ascii="仿宋" w:hAnsi="仿宋" w:eastAsia="仿宋"/>
          <w:color w:val="000000"/>
          <w:sz w:val="36"/>
          <w:szCs w:val="36"/>
        </w:rPr>
        <w:t>、津贴补贴</w:t>
      </w:r>
      <w:r>
        <w:rPr>
          <w:rFonts w:ascii="仿宋" w:hAnsi="仿宋" w:eastAsia="仿宋"/>
          <w:color w:val="000000"/>
          <w:sz w:val="36"/>
          <w:szCs w:val="36"/>
        </w:rPr>
        <w:t>1,206,568.00</w:t>
      </w:r>
      <w:r>
        <w:rPr>
          <w:rFonts w:hint="eastAsia" w:ascii="仿宋" w:hAnsi="仿宋" w:eastAsia="仿宋"/>
          <w:color w:val="000000"/>
          <w:sz w:val="36"/>
          <w:szCs w:val="36"/>
        </w:rPr>
        <w:t>、奖金</w:t>
      </w:r>
      <w:r>
        <w:rPr>
          <w:rFonts w:ascii="仿宋" w:hAnsi="仿宋" w:eastAsia="仿宋"/>
          <w:color w:val="000000"/>
          <w:sz w:val="36"/>
          <w:szCs w:val="36"/>
        </w:rPr>
        <w:t>64,150.00</w:t>
      </w:r>
      <w:r>
        <w:rPr>
          <w:rFonts w:hint="eastAsia" w:ascii="仿宋" w:hAnsi="仿宋" w:eastAsia="仿宋"/>
          <w:color w:val="000000"/>
          <w:sz w:val="36"/>
          <w:szCs w:val="36"/>
        </w:rPr>
        <w:t>、伙食补助费</w:t>
      </w:r>
      <w:r>
        <w:rPr>
          <w:rFonts w:ascii="仿宋" w:hAnsi="仿宋" w:eastAsia="仿宋"/>
          <w:color w:val="000000"/>
          <w:sz w:val="36"/>
          <w:szCs w:val="36"/>
        </w:rPr>
        <w:t>38,400.00</w:t>
      </w:r>
      <w:r>
        <w:rPr>
          <w:rFonts w:hint="eastAsia" w:ascii="仿宋" w:hAnsi="仿宋" w:eastAsia="仿宋"/>
          <w:color w:val="000000"/>
          <w:sz w:val="36"/>
          <w:szCs w:val="36"/>
        </w:rPr>
        <w:t>、 机关事业单位基本养老保险缴费</w:t>
      </w:r>
      <w:r>
        <w:rPr>
          <w:rFonts w:ascii="仿宋" w:hAnsi="仿宋" w:eastAsia="仿宋"/>
          <w:color w:val="000000"/>
          <w:sz w:val="36"/>
          <w:szCs w:val="36"/>
        </w:rPr>
        <w:t>241,188.48</w:t>
      </w:r>
      <w:r>
        <w:rPr>
          <w:rFonts w:hint="eastAsia" w:ascii="仿宋" w:hAnsi="仿宋" w:eastAsia="仿宋"/>
          <w:color w:val="000000"/>
          <w:sz w:val="36"/>
          <w:szCs w:val="36"/>
        </w:rPr>
        <w:t>、职工基本医疗保险缴费</w:t>
      </w:r>
      <w:r>
        <w:rPr>
          <w:rFonts w:ascii="仿宋" w:hAnsi="仿宋" w:eastAsia="仿宋"/>
          <w:color w:val="000000"/>
          <w:sz w:val="36"/>
          <w:szCs w:val="36"/>
        </w:rPr>
        <w:t>107,891.08</w:t>
      </w:r>
      <w:r>
        <w:rPr>
          <w:rFonts w:hint="eastAsia" w:ascii="仿宋" w:hAnsi="仿宋" w:eastAsia="仿宋"/>
          <w:color w:val="000000"/>
          <w:sz w:val="36"/>
          <w:szCs w:val="36"/>
        </w:rPr>
        <w:t>、其他社会保障缴费</w:t>
      </w:r>
      <w:r>
        <w:rPr>
          <w:rFonts w:ascii="仿宋" w:hAnsi="仿宋" w:eastAsia="仿宋"/>
          <w:color w:val="000000"/>
          <w:sz w:val="36"/>
          <w:szCs w:val="36"/>
        </w:rPr>
        <w:t>6802.84</w:t>
      </w:r>
      <w:r>
        <w:rPr>
          <w:rFonts w:hint="eastAsia" w:ascii="仿宋" w:hAnsi="仿宋" w:eastAsia="仿宋"/>
          <w:color w:val="000000"/>
          <w:sz w:val="36"/>
          <w:szCs w:val="36"/>
        </w:rPr>
        <w:t>、住房公积金</w:t>
      </w:r>
      <w:r>
        <w:rPr>
          <w:rFonts w:ascii="仿宋" w:hAnsi="仿宋" w:eastAsia="仿宋"/>
          <w:color w:val="000000"/>
          <w:sz w:val="36"/>
          <w:szCs w:val="36"/>
        </w:rPr>
        <w:t>20000</w:t>
      </w:r>
      <w:r>
        <w:rPr>
          <w:rFonts w:hint="eastAsia" w:ascii="仿宋" w:hAnsi="仿宋" w:eastAsia="仿宋"/>
          <w:color w:val="000000"/>
          <w:sz w:val="36"/>
          <w:szCs w:val="36"/>
        </w:rPr>
        <w:t>），商品和服务支出</w:t>
      </w:r>
      <w:r>
        <w:rPr>
          <w:rFonts w:ascii="仿宋" w:hAnsi="仿宋" w:eastAsia="仿宋"/>
          <w:color w:val="000000"/>
          <w:sz w:val="36"/>
          <w:szCs w:val="36"/>
        </w:rPr>
        <w:t>106,025.21</w:t>
      </w:r>
      <w:r>
        <w:rPr>
          <w:rFonts w:hint="eastAsia" w:ascii="仿宋" w:hAnsi="仿宋" w:eastAsia="仿宋"/>
          <w:color w:val="000000"/>
          <w:sz w:val="36"/>
          <w:szCs w:val="36"/>
        </w:rPr>
        <w:t>（办公费</w:t>
      </w:r>
      <w:r>
        <w:rPr>
          <w:rFonts w:ascii="仿宋" w:hAnsi="仿宋" w:eastAsia="仿宋"/>
          <w:color w:val="000000"/>
          <w:sz w:val="36"/>
          <w:szCs w:val="36"/>
        </w:rPr>
        <w:t>8,734.21</w:t>
      </w:r>
      <w:r>
        <w:rPr>
          <w:rFonts w:hint="eastAsia" w:ascii="仿宋" w:hAnsi="仿宋" w:eastAsia="仿宋"/>
          <w:color w:val="000000"/>
          <w:sz w:val="36"/>
          <w:szCs w:val="36"/>
        </w:rPr>
        <w:t>、电费</w:t>
      </w:r>
      <w:r>
        <w:rPr>
          <w:rFonts w:ascii="仿宋" w:hAnsi="仿宋" w:eastAsia="仿宋"/>
          <w:color w:val="000000"/>
          <w:sz w:val="36"/>
          <w:szCs w:val="36"/>
        </w:rPr>
        <w:t>3,954.00</w:t>
      </w:r>
      <w:r>
        <w:rPr>
          <w:rFonts w:hint="eastAsia" w:ascii="仿宋" w:hAnsi="仿宋" w:eastAsia="仿宋"/>
          <w:color w:val="000000"/>
          <w:sz w:val="36"/>
          <w:szCs w:val="36"/>
        </w:rPr>
        <w:t>、邮电费</w:t>
      </w:r>
      <w:r>
        <w:rPr>
          <w:rFonts w:ascii="仿宋" w:hAnsi="仿宋" w:eastAsia="仿宋"/>
          <w:color w:val="000000"/>
          <w:sz w:val="36"/>
          <w:szCs w:val="36"/>
        </w:rPr>
        <w:t>610.00</w:t>
      </w:r>
      <w:r>
        <w:rPr>
          <w:rFonts w:hint="eastAsia" w:ascii="仿宋" w:hAnsi="仿宋" w:eastAsia="仿宋"/>
          <w:color w:val="000000"/>
          <w:sz w:val="36"/>
          <w:szCs w:val="36"/>
        </w:rPr>
        <w:t>、差旅费</w:t>
      </w:r>
      <w:r>
        <w:rPr>
          <w:rFonts w:ascii="仿宋" w:hAnsi="仿宋" w:eastAsia="仿宋"/>
          <w:color w:val="000000"/>
          <w:sz w:val="36"/>
          <w:szCs w:val="36"/>
        </w:rPr>
        <w:t>17,165.00</w:t>
      </w:r>
      <w:r>
        <w:rPr>
          <w:rFonts w:hint="eastAsia" w:ascii="仿宋" w:hAnsi="仿宋" w:eastAsia="仿宋"/>
          <w:color w:val="000000"/>
          <w:sz w:val="36"/>
          <w:szCs w:val="36"/>
        </w:rPr>
        <w:t>、公务接待费</w:t>
      </w:r>
      <w:r>
        <w:rPr>
          <w:rFonts w:ascii="仿宋" w:hAnsi="仿宋" w:eastAsia="仿宋"/>
          <w:color w:val="000000"/>
          <w:sz w:val="36"/>
          <w:szCs w:val="36"/>
        </w:rPr>
        <w:t>1,950.00</w:t>
      </w:r>
      <w:r>
        <w:rPr>
          <w:rFonts w:hint="eastAsia" w:ascii="仿宋" w:hAnsi="仿宋" w:eastAsia="仿宋"/>
          <w:color w:val="000000"/>
          <w:sz w:val="36"/>
          <w:szCs w:val="36"/>
        </w:rPr>
        <w:t>、工会经费</w:t>
      </w:r>
      <w:r>
        <w:rPr>
          <w:rFonts w:ascii="仿宋" w:hAnsi="仿宋" w:eastAsia="仿宋"/>
          <w:color w:val="000000"/>
          <w:sz w:val="36"/>
          <w:szCs w:val="36"/>
        </w:rPr>
        <w:t>62,610.00</w:t>
      </w:r>
      <w:r>
        <w:rPr>
          <w:rFonts w:hint="eastAsia" w:ascii="仿宋" w:hAnsi="仿宋" w:eastAsia="仿宋"/>
          <w:color w:val="000000"/>
          <w:sz w:val="36"/>
          <w:szCs w:val="36"/>
        </w:rPr>
        <w:t>、其他交通费用</w:t>
      </w:r>
      <w:r>
        <w:rPr>
          <w:rFonts w:ascii="仿宋" w:hAnsi="仿宋" w:eastAsia="仿宋"/>
          <w:color w:val="000000"/>
          <w:sz w:val="36"/>
          <w:szCs w:val="36"/>
        </w:rPr>
        <w:t>5,438.00</w:t>
      </w:r>
      <w:r>
        <w:rPr>
          <w:rFonts w:hint="eastAsia" w:ascii="仿宋" w:hAnsi="仿宋" w:eastAsia="仿宋"/>
          <w:color w:val="000000"/>
          <w:sz w:val="36"/>
          <w:szCs w:val="36"/>
        </w:rPr>
        <w:t>、其他商品和服务支出</w:t>
      </w:r>
      <w:r>
        <w:rPr>
          <w:rFonts w:ascii="仿宋" w:hAnsi="仿宋" w:eastAsia="仿宋"/>
          <w:color w:val="000000"/>
          <w:sz w:val="36"/>
          <w:szCs w:val="36"/>
        </w:rPr>
        <w:t>5,564.00</w:t>
      </w:r>
      <w:r>
        <w:rPr>
          <w:rFonts w:hint="eastAsia" w:ascii="仿宋" w:hAnsi="仿宋" w:eastAsia="仿宋"/>
          <w:color w:val="000000"/>
          <w:sz w:val="36"/>
          <w:szCs w:val="36"/>
        </w:rPr>
        <w:t>），对个人和家庭的补助</w:t>
      </w:r>
      <w:r>
        <w:rPr>
          <w:rFonts w:ascii="仿宋" w:hAnsi="仿宋" w:eastAsia="仿宋"/>
          <w:color w:val="000000"/>
          <w:sz w:val="36"/>
          <w:szCs w:val="36"/>
        </w:rPr>
        <w:t>139,154.30</w:t>
      </w:r>
      <w:r>
        <w:rPr>
          <w:rFonts w:hint="eastAsia" w:ascii="仿宋" w:hAnsi="仿宋" w:eastAsia="仿宋"/>
          <w:color w:val="000000"/>
          <w:sz w:val="36"/>
          <w:szCs w:val="36"/>
        </w:rPr>
        <w:t>（生活补助</w:t>
      </w:r>
      <w:r>
        <w:rPr>
          <w:rFonts w:ascii="仿宋" w:hAnsi="仿宋" w:eastAsia="仿宋"/>
          <w:color w:val="000000"/>
          <w:sz w:val="36"/>
          <w:szCs w:val="36"/>
        </w:rPr>
        <w:t>7,906.30</w:t>
      </w:r>
      <w:r>
        <w:rPr>
          <w:rFonts w:hint="eastAsia" w:ascii="仿宋" w:hAnsi="仿宋" w:eastAsia="仿宋"/>
          <w:color w:val="000000"/>
          <w:sz w:val="36"/>
          <w:szCs w:val="36"/>
        </w:rPr>
        <w:t>、奖励金</w:t>
      </w:r>
      <w:r>
        <w:rPr>
          <w:rFonts w:ascii="仿宋" w:hAnsi="仿宋" w:eastAsia="仿宋"/>
          <w:color w:val="000000"/>
          <w:sz w:val="36"/>
          <w:szCs w:val="36"/>
        </w:rPr>
        <w:t>104,288.00</w:t>
      </w:r>
      <w:r>
        <w:rPr>
          <w:rFonts w:hint="eastAsia" w:ascii="仿宋" w:hAnsi="仿宋" w:eastAsia="仿宋"/>
          <w:color w:val="000000"/>
          <w:sz w:val="36"/>
          <w:szCs w:val="36"/>
        </w:rPr>
        <w:t>、其他对个人和家庭的补助26960.00），其他支出</w:t>
      </w:r>
      <w:r>
        <w:rPr>
          <w:rFonts w:ascii="仿宋" w:hAnsi="仿宋" w:eastAsia="仿宋"/>
          <w:color w:val="000000"/>
          <w:sz w:val="36"/>
          <w:szCs w:val="36"/>
        </w:rPr>
        <w:t>800,098.00</w:t>
      </w:r>
      <w:r>
        <w:rPr>
          <w:rFonts w:hint="eastAsia" w:ascii="仿宋" w:hAnsi="仿宋" w:eastAsia="仿宋"/>
          <w:color w:val="000000"/>
          <w:sz w:val="36"/>
          <w:szCs w:val="36"/>
        </w:rPr>
        <w:t>。</w:t>
      </w:r>
    </w:p>
    <w:p w14:paraId="4C89EE04">
      <w:pPr>
        <w:pStyle w:val="4"/>
        <w:widowControl/>
        <w:shd w:val="clear" w:color="auto" w:fill="FFFFFF"/>
        <w:autoSpaceDE w:val="0"/>
        <w:snapToGrid w:val="0"/>
        <w:spacing w:before="0" w:beforeAutospacing="0" w:after="0" w:afterAutospacing="0" w:line="520" w:lineRule="exact"/>
        <w:ind w:left="640"/>
        <w:rPr>
          <w:rFonts w:hint="eastAsia" w:ascii="仿宋" w:hAnsi="仿宋" w:eastAsia="仿宋"/>
          <w:color w:val="000000"/>
          <w:sz w:val="36"/>
          <w:szCs w:val="36"/>
          <w:shd w:val="clear" w:color="auto" w:fill="FFFFFF"/>
        </w:rPr>
      </w:pPr>
      <w:r>
        <w:rPr>
          <w:rFonts w:ascii="仿宋" w:hAnsi="仿宋" w:eastAsia="仿宋"/>
          <w:color w:val="000000"/>
          <w:sz w:val="36"/>
          <w:szCs w:val="36"/>
          <w:shd w:val="clear" w:color="auto" w:fill="FFFFFF"/>
        </w:rPr>
        <w:t>2.项目支出情况</w:t>
      </w:r>
    </w:p>
    <w:p w14:paraId="06C58639">
      <w:pPr>
        <w:pStyle w:val="4"/>
        <w:widowControl/>
        <w:shd w:val="clear" w:color="auto" w:fill="FFFFFF"/>
        <w:autoSpaceDE w:val="0"/>
        <w:snapToGrid w:val="0"/>
        <w:spacing w:before="0" w:beforeAutospacing="0" w:after="0" w:afterAutospacing="0" w:line="520" w:lineRule="exact"/>
        <w:rPr>
          <w:rFonts w:ascii="仿宋" w:hAnsi="仿宋" w:eastAsia="仿宋"/>
          <w:color w:val="000000"/>
          <w:sz w:val="36"/>
          <w:szCs w:val="36"/>
        </w:rPr>
      </w:pPr>
      <w:r>
        <w:rPr>
          <w:rFonts w:hint="eastAsia" w:ascii="仿宋" w:hAnsi="仿宋" w:eastAsia="仿宋"/>
          <w:color w:val="000000"/>
          <w:sz w:val="36"/>
          <w:szCs w:val="36"/>
          <w:shd w:val="clear" w:color="auto" w:fill="FFFFFF"/>
        </w:rPr>
        <w:t>项目支出总共</w:t>
      </w:r>
      <w:r>
        <w:rPr>
          <w:rFonts w:ascii="仿宋" w:hAnsi="仿宋" w:eastAsia="仿宋"/>
          <w:color w:val="000000"/>
          <w:sz w:val="36"/>
          <w:szCs w:val="36"/>
          <w:shd w:val="clear" w:color="auto" w:fill="FFFFFF"/>
        </w:rPr>
        <w:t>1760663.06</w:t>
      </w:r>
      <w:r>
        <w:rPr>
          <w:rFonts w:hint="eastAsia" w:ascii="仿宋" w:hAnsi="仿宋" w:eastAsia="仿宋"/>
          <w:color w:val="000000"/>
          <w:sz w:val="36"/>
          <w:szCs w:val="36"/>
          <w:shd w:val="clear" w:color="auto" w:fill="FFFFFF"/>
        </w:rPr>
        <w:t>元（农村财务及三资管理16000元、农村集体经济产权制度改革16000元、农村土地承包经营纠纷仲裁8000元、农村土地经营权流转8000元、农村新型经营主体建设8000元、农村宅基地管理与改革64000元、农民负担监督管理24000元、新型主体能力提升资金510000元、农业区域社会化服务中心1000000元、农村集体经济“三资”106663.06元）。</w:t>
      </w:r>
    </w:p>
    <w:p w14:paraId="1CCB6D5D">
      <w:pPr>
        <w:pStyle w:val="4"/>
        <w:widowControl/>
        <w:shd w:val="clear" w:color="auto" w:fill="FFFFFF"/>
        <w:autoSpaceDE w:val="0"/>
        <w:snapToGrid w:val="0"/>
        <w:spacing w:before="0" w:beforeAutospacing="0" w:after="0" w:afterAutospacing="0" w:line="520" w:lineRule="exact"/>
        <w:ind w:firstLine="628" w:firstLineChars="200"/>
        <w:rPr>
          <w:rFonts w:hint="eastAsia" w:ascii="仿宋" w:hAnsi="仿宋" w:eastAsia="仿宋"/>
          <w:color w:val="000000"/>
          <w:sz w:val="36"/>
          <w:szCs w:val="36"/>
          <w:shd w:val="clear" w:color="auto" w:fill="FFFFFF"/>
        </w:rPr>
      </w:pPr>
      <w:r>
        <w:rPr>
          <w:rFonts w:ascii="仿宋" w:hAnsi="仿宋" w:eastAsia="仿宋"/>
          <w:color w:val="000000"/>
          <w:spacing w:val="-23"/>
          <w:sz w:val="36"/>
          <w:szCs w:val="36"/>
          <w:shd w:val="clear" w:color="auto" w:fill="FFFFFF"/>
        </w:rPr>
        <w:t>（三）</w:t>
      </w:r>
      <w:r>
        <w:rPr>
          <w:rFonts w:ascii="仿宋" w:hAnsi="仿宋" w:eastAsia="仿宋"/>
          <w:color w:val="000000"/>
          <w:sz w:val="36"/>
          <w:szCs w:val="36"/>
          <w:shd w:val="clear" w:color="auto" w:fill="FFFFFF"/>
        </w:rPr>
        <w:t>"三公"经费使用和管理情况</w:t>
      </w:r>
    </w:p>
    <w:p w14:paraId="4CA947C5">
      <w:pPr>
        <w:pStyle w:val="4"/>
        <w:widowControl/>
        <w:shd w:val="clear" w:color="auto" w:fill="FFFFFF"/>
        <w:autoSpaceDE w:val="0"/>
        <w:snapToGrid w:val="0"/>
        <w:spacing w:before="0" w:beforeAutospacing="0" w:after="0" w:afterAutospacing="0" w:line="520" w:lineRule="exact"/>
        <w:rPr>
          <w:rFonts w:ascii="仿宋" w:hAnsi="仿宋" w:eastAsia="仿宋"/>
          <w:color w:val="000000"/>
          <w:sz w:val="36"/>
          <w:szCs w:val="36"/>
        </w:rPr>
      </w:pPr>
      <w:r>
        <w:rPr>
          <w:rFonts w:hint="eastAsia" w:ascii="仿宋" w:hAnsi="仿宋" w:eastAsia="仿宋"/>
          <w:color w:val="000000"/>
          <w:sz w:val="36"/>
          <w:szCs w:val="36"/>
          <w:shd w:val="clear" w:color="auto" w:fill="FFFFFF"/>
        </w:rPr>
        <w:t>2023年本单位“三公”经费控制情况：没有因公出国（境）人员，公务接待费占年初预算安排数59%，支出0.36万元，公务用车购置及运行维护费占年初预算安排数0%，支出0元，有效的控制了“三公经费”的支出。</w:t>
      </w:r>
    </w:p>
    <w:p w14:paraId="3307B0E6">
      <w:pPr>
        <w:pStyle w:val="4"/>
        <w:widowControl/>
        <w:shd w:val="clear" w:color="auto" w:fill="FFFFFF"/>
        <w:autoSpaceDE w:val="0"/>
        <w:snapToGrid w:val="0"/>
        <w:spacing w:before="0" w:beforeAutospacing="0" w:after="0" w:afterAutospacing="0" w:line="520" w:lineRule="exact"/>
        <w:ind w:firstLine="720" w:firstLineChars="200"/>
        <w:rPr>
          <w:rFonts w:hint="eastAsia" w:ascii="仿宋" w:hAnsi="仿宋" w:eastAsia="仿宋"/>
          <w:color w:val="000000"/>
          <w:sz w:val="36"/>
          <w:szCs w:val="36"/>
          <w:shd w:val="clear" w:color="auto" w:fill="FFFFFF"/>
        </w:rPr>
      </w:pPr>
      <w:r>
        <w:rPr>
          <w:rFonts w:hint="eastAsia" w:ascii="仿宋" w:hAnsi="仿宋" w:eastAsia="仿宋"/>
          <w:color w:val="000000"/>
          <w:sz w:val="36"/>
          <w:szCs w:val="36"/>
          <w:shd w:val="clear" w:color="auto" w:fill="FFFFFF"/>
        </w:rPr>
        <w:t>三、政府性基金预算支出情况</w:t>
      </w:r>
    </w:p>
    <w:p w14:paraId="76A3026F">
      <w:pPr>
        <w:pStyle w:val="4"/>
        <w:widowControl/>
        <w:shd w:val="clear" w:color="auto" w:fill="FFFFFF"/>
        <w:autoSpaceDE w:val="0"/>
        <w:snapToGrid w:val="0"/>
        <w:spacing w:before="0" w:beforeAutospacing="0" w:after="0" w:afterAutospacing="0" w:line="520" w:lineRule="exact"/>
        <w:ind w:firstLine="1570" w:firstLineChars="500"/>
        <w:rPr>
          <w:rFonts w:ascii="仿宋" w:hAnsi="仿宋" w:eastAsia="仿宋"/>
          <w:color w:val="000000"/>
          <w:sz w:val="36"/>
          <w:szCs w:val="36"/>
        </w:rPr>
      </w:pPr>
      <w:r>
        <w:rPr>
          <w:rFonts w:hint="eastAsia" w:ascii="仿宋" w:hAnsi="仿宋" w:eastAsia="仿宋"/>
          <w:color w:val="000000"/>
          <w:spacing w:val="-23"/>
          <w:sz w:val="36"/>
          <w:szCs w:val="36"/>
          <w:shd w:val="clear" w:color="auto" w:fill="FFFFFF"/>
        </w:rPr>
        <w:t>全年通过政府性基金预算支出为0元。</w:t>
      </w:r>
    </w:p>
    <w:p w14:paraId="6DF448E8">
      <w:pPr>
        <w:pStyle w:val="4"/>
        <w:widowControl/>
        <w:shd w:val="clear" w:color="auto" w:fill="FFFFFF"/>
        <w:autoSpaceDE w:val="0"/>
        <w:snapToGrid w:val="0"/>
        <w:spacing w:before="0" w:beforeAutospacing="0" w:after="0" w:afterAutospacing="0" w:line="520" w:lineRule="exact"/>
        <w:ind w:firstLine="720" w:firstLineChars="200"/>
        <w:rPr>
          <w:rFonts w:hint="eastAsia" w:ascii="仿宋" w:hAnsi="仿宋" w:eastAsia="仿宋"/>
          <w:color w:val="000000"/>
          <w:sz w:val="36"/>
          <w:szCs w:val="36"/>
          <w:shd w:val="clear" w:color="auto" w:fill="FFFFFF"/>
        </w:rPr>
      </w:pPr>
      <w:r>
        <w:rPr>
          <w:rFonts w:hint="eastAsia" w:ascii="仿宋" w:hAnsi="仿宋" w:eastAsia="仿宋"/>
          <w:color w:val="000000"/>
          <w:sz w:val="36"/>
          <w:szCs w:val="36"/>
          <w:shd w:val="clear" w:color="auto" w:fill="FFFFFF"/>
        </w:rPr>
        <w:t>四、国有资本经营预算支出情况</w:t>
      </w:r>
    </w:p>
    <w:p w14:paraId="09DFCF5B">
      <w:pPr>
        <w:pStyle w:val="4"/>
        <w:widowControl/>
        <w:shd w:val="clear" w:color="auto" w:fill="FFFFFF"/>
        <w:autoSpaceDE w:val="0"/>
        <w:snapToGrid w:val="0"/>
        <w:spacing w:before="0" w:beforeAutospacing="0" w:after="0" w:afterAutospacing="0" w:line="520" w:lineRule="exact"/>
        <w:ind w:firstLine="720" w:firstLineChars="200"/>
        <w:rPr>
          <w:rFonts w:hint="eastAsia" w:ascii="仿宋" w:hAnsi="仿宋" w:eastAsia="仿宋"/>
          <w:color w:val="000000"/>
          <w:sz w:val="36"/>
          <w:szCs w:val="36"/>
        </w:rPr>
      </w:pPr>
      <w:r>
        <w:rPr>
          <w:rFonts w:hint="eastAsia" w:ascii="仿宋" w:hAnsi="仿宋" w:eastAsia="仿宋"/>
          <w:color w:val="000000"/>
          <w:sz w:val="36"/>
          <w:szCs w:val="36"/>
        </w:rPr>
        <w:t xml:space="preserve">     全年通过国有资本经营预算支出为0元</w:t>
      </w:r>
    </w:p>
    <w:p w14:paraId="3FCD7D91">
      <w:pPr>
        <w:pStyle w:val="4"/>
        <w:widowControl/>
        <w:shd w:val="clear" w:color="auto" w:fill="FFFFFF"/>
        <w:autoSpaceDE w:val="0"/>
        <w:snapToGrid w:val="0"/>
        <w:spacing w:before="0" w:beforeAutospacing="0" w:after="0" w:afterAutospacing="0" w:line="520" w:lineRule="exact"/>
        <w:ind w:firstLine="720" w:firstLineChars="200"/>
        <w:rPr>
          <w:rFonts w:hint="eastAsia" w:ascii="仿宋" w:hAnsi="仿宋" w:eastAsia="仿宋"/>
          <w:color w:val="000000"/>
          <w:sz w:val="36"/>
          <w:szCs w:val="36"/>
          <w:shd w:val="clear" w:color="auto" w:fill="FFFFFF"/>
        </w:rPr>
      </w:pPr>
      <w:r>
        <w:rPr>
          <w:rFonts w:hint="eastAsia" w:ascii="仿宋" w:hAnsi="仿宋" w:eastAsia="仿宋"/>
          <w:color w:val="000000"/>
          <w:sz w:val="36"/>
          <w:szCs w:val="36"/>
          <w:shd w:val="clear" w:color="auto" w:fill="FFFFFF"/>
        </w:rPr>
        <w:t>五、</w:t>
      </w:r>
      <w:bookmarkStart w:id="1" w:name="OLE_LINK3"/>
      <w:bookmarkStart w:id="2" w:name="OLE_LINK4"/>
      <w:r>
        <w:rPr>
          <w:rFonts w:hint="eastAsia" w:ascii="仿宋" w:hAnsi="仿宋" w:eastAsia="仿宋"/>
          <w:color w:val="000000"/>
          <w:sz w:val="36"/>
          <w:szCs w:val="36"/>
          <w:shd w:val="clear" w:color="auto" w:fill="FFFFFF"/>
        </w:rPr>
        <w:t>社会保险基金预算支出</w:t>
      </w:r>
      <w:bookmarkEnd w:id="1"/>
      <w:bookmarkEnd w:id="2"/>
      <w:r>
        <w:rPr>
          <w:rFonts w:hint="eastAsia" w:ascii="仿宋" w:hAnsi="仿宋" w:eastAsia="仿宋"/>
          <w:color w:val="000000"/>
          <w:sz w:val="36"/>
          <w:szCs w:val="36"/>
          <w:shd w:val="clear" w:color="auto" w:fill="FFFFFF"/>
        </w:rPr>
        <w:t>情况</w:t>
      </w:r>
    </w:p>
    <w:p w14:paraId="291450A0">
      <w:pPr>
        <w:pStyle w:val="4"/>
        <w:widowControl/>
        <w:shd w:val="clear" w:color="auto" w:fill="FFFFFF"/>
        <w:autoSpaceDE w:val="0"/>
        <w:snapToGrid w:val="0"/>
        <w:spacing w:before="0" w:beforeAutospacing="0" w:after="0" w:afterAutospacing="0" w:line="520" w:lineRule="exact"/>
        <w:ind w:firstLine="720" w:firstLineChars="200"/>
        <w:rPr>
          <w:rFonts w:hint="eastAsia" w:ascii="仿宋" w:hAnsi="仿宋" w:eastAsia="仿宋"/>
          <w:color w:val="000000"/>
          <w:sz w:val="36"/>
          <w:szCs w:val="36"/>
        </w:rPr>
      </w:pPr>
      <w:r>
        <w:rPr>
          <w:rFonts w:hint="eastAsia" w:ascii="仿宋" w:hAnsi="仿宋" w:eastAsia="仿宋"/>
          <w:color w:val="000000"/>
          <w:sz w:val="36"/>
          <w:szCs w:val="36"/>
          <w:shd w:val="clear" w:color="auto" w:fill="FFFFFF"/>
        </w:rPr>
        <w:t xml:space="preserve">     全年通过社会保险基金预算支出为0元</w:t>
      </w:r>
    </w:p>
    <w:p w14:paraId="29696881">
      <w:pPr>
        <w:pStyle w:val="4"/>
        <w:widowControl/>
        <w:shd w:val="clear" w:color="auto" w:fill="FFFFFF"/>
        <w:autoSpaceDE w:val="0"/>
        <w:snapToGrid w:val="0"/>
        <w:spacing w:before="0" w:beforeAutospacing="0" w:after="0" w:afterAutospacing="0" w:line="520" w:lineRule="exact"/>
        <w:ind w:firstLine="720" w:firstLineChars="200"/>
        <w:rPr>
          <w:rFonts w:hint="eastAsia" w:ascii="仿宋" w:hAnsi="仿宋" w:eastAsia="仿宋"/>
          <w:color w:val="000000"/>
          <w:sz w:val="36"/>
          <w:szCs w:val="36"/>
        </w:rPr>
      </w:pPr>
      <w:r>
        <w:rPr>
          <w:rFonts w:hint="eastAsia" w:ascii="仿宋" w:hAnsi="仿宋" w:eastAsia="仿宋"/>
          <w:color w:val="000000"/>
          <w:sz w:val="36"/>
          <w:szCs w:val="36"/>
          <w:shd w:val="clear" w:color="auto" w:fill="FFFFFF"/>
        </w:rPr>
        <w:t>六、部门整体支出绩效情况</w:t>
      </w:r>
    </w:p>
    <w:p w14:paraId="648CC40C">
      <w:pPr>
        <w:pStyle w:val="4"/>
        <w:widowControl/>
        <w:shd w:val="clear" w:color="auto" w:fill="FFFFFF"/>
        <w:autoSpaceDE w:val="0"/>
        <w:snapToGrid w:val="0"/>
        <w:spacing w:before="0" w:beforeAutospacing="0" w:after="0" w:afterAutospacing="0" w:line="520" w:lineRule="exact"/>
        <w:ind w:firstLine="628" w:firstLineChars="200"/>
        <w:rPr>
          <w:rFonts w:hint="eastAsia" w:ascii="仿宋" w:hAnsi="仿宋" w:eastAsia="仿宋"/>
          <w:color w:val="000000"/>
          <w:sz w:val="36"/>
          <w:szCs w:val="36"/>
          <w:shd w:val="clear" w:color="auto" w:fill="FFFFFF"/>
        </w:rPr>
      </w:pPr>
      <w:r>
        <w:rPr>
          <w:rFonts w:ascii="仿宋" w:hAnsi="仿宋" w:eastAsia="仿宋"/>
          <w:color w:val="000000"/>
          <w:spacing w:val="-23"/>
          <w:sz w:val="36"/>
          <w:szCs w:val="36"/>
          <w:shd w:val="clear" w:color="auto" w:fill="FFFFFF"/>
        </w:rPr>
        <w:t>（一）</w:t>
      </w:r>
      <w:r>
        <w:rPr>
          <w:rFonts w:ascii="仿宋" w:hAnsi="仿宋" w:eastAsia="仿宋"/>
          <w:color w:val="000000"/>
          <w:sz w:val="36"/>
          <w:szCs w:val="36"/>
          <w:shd w:val="clear" w:color="auto" w:fill="FFFFFF"/>
        </w:rPr>
        <w:t>综合评价结论。反映自评得分及评价等级。</w:t>
      </w:r>
    </w:p>
    <w:p w14:paraId="28C541E4">
      <w:pPr>
        <w:pStyle w:val="4"/>
        <w:widowControl/>
        <w:shd w:val="clear" w:color="auto" w:fill="FFFFFF"/>
        <w:autoSpaceDE w:val="0"/>
        <w:snapToGrid w:val="0"/>
        <w:spacing w:line="520" w:lineRule="exact"/>
        <w:ind w:firstLine="360" w:firstLineChars="100"/>
        <w:rPr>
          <w:rFonts w:hint="eastAsia" w:ascii="仿宋" w:hAnsi="仿宋" w:eastAsia="仿宋"/>
          <w:color w:val="000000"/>
          <w:spacing w:val="-23"/>
          <w:sz w:val="36"/>
          <w:szCs w:val="36"/>
          <w:shd w:val="clear" w:color="auto" w:fill="FFFFFF"/>
        </w:rPr>
      </w:pPr>
      <w:r>
        <w:rPr>
          <w:rFonts w:hint="eastAsia" w:ascii="仿宋" w:hAnsi="仿宋" w:eastAsia="仿宋"/>
          <w:color w:val="000000"/>
          <w:sz w:val="36"/>
          <w:szCs w:val="36"/>
          <w:shd w:val="clear" w:color="auto" w:fill="FFFFFF"/>
        </w:rPr>
        <w:t xml:space="preserve">  </w:t>
      </w:r>
      <w:r>
        <w:rPr>
          <w:rFonts w:hint="eastAsia" w:ascii="仿宋" w:hAnsi="仿宋" w:eastAsia="仿宋"/>
          <w:color w:val="000000"/>
          <w:spacing w:val="-23"/>
          <w:sz w:val="36"/>
          <w:szCs w:val="36"/>
          <w:shd w:val="clear" w:color="auto" w:fill="FFFFFF"/>
        </w:rPr>
        <w:t>由于年初预算安排及有目的进行了预算调整，有效的保障了各项业务工作顺利开展，反映良好，主要表现在：</w:t>
      </w:r>
    </w:p>
    <w:p w14:paraId="5DF2B529">
      <w:pPr>
        <w:pStyle w:val="4"/>
        <w:widowControl/>
        <w:shd w:val="clear" w:color="auto" w:fill="FFFFFF"/>
        <w:autoSpaceDE w:val="0"/>
        <w:snapToGrid w:val="0"/>
        <w:spacing w:line="520" w:lineRule="exact"/>
        <w:ind w:firstLine="628" w:firstLineChars="200"/>
        <w:rPr>
          <w:rFonts w:hint="eastAsia" w:ascii="仿宋" w:hAnsi="仿宋" w:eastAsia="仿宋"/>
          <w:color w:val="000000"/>
          <w:spacing w:val="-23"/>
          <w:sz w:val="36"/>
          <w:szCs w:val="36"/>
          <w:shd w:val="clear" w:color="auto" w:fill="FFFFFF"/>
        </w:rPr>
      </w:pPr>
      <w:r>
        <w:rPr>
          <w:rFonts w:hint="eastAsia" w:ascii="仿宋" w:hAnsi="仿宋" w:eastAsia="仿宋"/>
          <w:color w:val="000000"/>
          <w:spacing w:val="-23"/>
          <w:sz w:val="36"/>
          <w:szCs w:val="36"/>
          <w:shd w:val="clear" w:color="auto" w:fill="FFFFFF"/>
        </w:rPr>
        <w:t>（一）</w:t>
      </w:r>
      <w:bookmarkStart w:id="3" w:name="OLE_LINK2"/>
      <w:r>
        <w:rPr>
          <w:rFonts w:hint="eastAsia" w:ascii="仿宋" w:hAnsi="仿宋" w:eastAsia="仿宋"/>
          <w:color w:val="000000"/>
          <w:spacing w:val="-23"/>
          <w:sz w:val="36"/>
          <w:szCs w:val="36"/>
          <w:shd w:val="clear" w:color="auto" w:fill="FFFFFF"/>
        </w:rPr>
        <w:t>持续推进宅基地管理与改革。</w:t>
      </w:r>
      <w:bookmarkEnd w:id="3"/>
      <w:r>
        <w:rPr>
          <w:rFonts w:hint="eastAsia" w:ascii="仿宋" w:hAnsi="仿宋" w:eastAsia="仿宋"/>
          <w:color w:val="000000"/>
          <w:spacing w:val="-23"/>
          <w:sz w:val="36"/>
          <w:szCs w:val="36"/>
          <w:shd w:val="clear" w:color="auto" w:fill="FFFFFF"/>
        </w:rPr>
        <w:t>一是坚持把农村宅基地制度改革管理作为事关发展大局的重点工作来抓，通过建立健全组织保障、责任体系、联办审批、业务培训、法规宣传、巡查监管、部门配合、违法处罚八个工作机制，依法依规稳妥推进农村宅基地改革与管理工作，实现农村村民建房规范有序、一户一宅、户有所居，助力乡村振兴战略实施。2020年7月至2023年11月底，全县18个乡镇共审批宅基地2468宗，确保“户有所居”。二是着力加大源头管理，充分发挥村级协管员作用，做到“早发现，早报告，早制止”，不给任何违法建设行为留存侥幸逃避的空间，把宅基地违法建房消除在萌芽状态。严格执行农宅基地管理与改革相关法规政策，坚决贯彻落实中央和省、市关于农村乱占耕地建房“八不准”要求, 严惩农村乱占耕地建房行为，坚持露头就打，坚决守住保护耕地红线，以零容忍态度严控违法建房，2020年以来，共制止违建行为19起，其中拆除违建9起，确保违建零增长。三是成功举办了一期培训班，及时传达上级最新政策。四是及时化解农村宅基地管理领域的信访问题和图斑核实。</w:t>
      </w:r>
    </w:p>
    <w:p w14:paraId="5F668CF2">
      <w:pPr>
        <w:pStyle w:val="4"/>
        <w:widowControl/>
        <w:shd w:val="clear" w:color="auto" w:fill="FFFFFF"/>
        <w:autoSpaceDE w:val="0"/>
        <w:snapToGrid w:val="0"/>
        <w:spacing w:line="520" w:lineRule="exact"/>
        <w:ind w:firstLine="628" w:firstLineChars="200"/>
        <w:rPr>
          <w:rFonts w:hint="eastAsia" w:ascii="仿宋" w:hAnsi="仿宋" w:eastAsia="仿宋"/>
          <w:color w:val="000000"/>
          <w:spacing w:val="-23"/>
          <w:sz w:val="36"/>
          <w:szCs w:val="36"/>
          <w:shd w:val="clear" w:color="auto" w:fill="FFFFFF"/>
        </w:rPr>
      </w:pPr>
      <w:r>
        <w:rPr>
          <w:rFonts w:hint="eastAsia" w:ascii="仿宋" w:hAnsi="仿宋" w:eastAsia="仿宋"/>
          <w:color w:val="000000"/>
          <w:spacing w:val="-23"/>
          <w:sz w:val="36"/>
          <w:szCs w:val="36"/>
          <w:shd w:val="clear" w:color="auto" w:fill="FFFFFF"/>
        </w:rPr>
        <w:t>（二）</w:t>
      </w:r>
      <w:bookmarkStart w:id="4" w:name="OLE_LINK5"/>
      <w:r>
        <w:rPr>
          <w:rFonts w:hint="eastAsia" w:ascii="仿宋" w:hAnsi="仿宋" w:eastAsia="仿宋"/>
          <w:color w:val="000000"/>
          <w:spacing w:val="-23"/>
          <w:sz w:val="36"/>
          <w:szCs w:val="36"/>
          <w:shd w:val="clear" w:color="auto" w:fill="FFFFFF"/>
        </w:rPr>
        <w:t>深入推进农村“三资管理”突出问题专项治理。</w:t>
      </w:r>
      <w:bookmarkEnd w:id="4"/>
      <w:r>
        <w:rPr>
          <w:rFonts w:hint="eastAsia" w:ascii="仿宋" w:hAnsi="仿宋" w:eastAsia="仿宋"/>
          <w:color w:val="000000"/>
          <w:spacing w:val="-23"/>
          <w:sz w:val="36"/>
          <w:szCs w:val="36"/>
          <w:shd w:val="clear" w:color="auto" w:fill="FFFFFF"/>
        </w:rPr>
        <w:t>配合市检查组在林城镇小寨村“驻场解剖麻雀式”“三资管理”突出问题专项治理检查，共检查出六个方面13个问题，已交办整改11个，移送问题线索2个，向市检查组提交了小寨村驻场检查报告和问题整改报告。我县的“三资管理”突出问题专项治理工作在全市作了先进典型发言，积极配合开展了“三湘护农”专项行动，为维护群众的切身利益，出台了《会同县村级集体经济收益分配管理办法》。认真推进村社分账改革工作，已完成林城镇渡头、步云、棕石塘等三个村试点，摸清全县村级债务余额2840.53万元，负债村达145个，负债村数量占比63.04%。</w:t>
      </w:r>
    </w:p>
    <w:p w14:paraId="27BC0086">
      <w:pPr>
        <w:pStyle w:val="4"/>
        <w:widowControl/>
        <w:shd w:val="clear" w:color="auto" w:fill="FFFFFF"/>
        <w:autoSpaceDE w:val="0"/>
        <w:snapToGrid w:val="0"/>
        <w:spacing w:line="520" w:lineRule="exact"/>
        <w:ind w:firstLine="628" w:firstLineChars="200"/>
        <w:rPr>
          <w:rFonts w:hint="eastAsia" w:ascii="仿宋" w:hAnsi="仿宋" w:eastAsia="仿宋"/>
          <w:color w:val="000000"/>
          <w:spacing w:val="-23"/>
          <w:sz w:val="36"/>
          <w:szCs w:val="36"/>
          <w:shd w:val="clear" w:color="auto" w:fill="FFFFFF"/>
        </w:rPr>
      </w:pPr>
      <w:r>
        <w:rPr>
          <w:rFonts w:hint="eastAsia" w:ascii="仿宋" w:hAnsi="仿宋" w:eastAsia="仿宋"/>
          <w:color w:val="000000"/>
          <w:spacing w:val="-23"/>
          <w:sz w:val="36"/>
          <w:szCs w:val="36"/>
          <w:shd w:val="clear" w:color="auto" w:fill="FFFFFF"/>
        </w:rPr>
        <w:t>（三）</w:t>
      </w:r>
      <w:bookmarkStart w:id="5" w:name="OLE_LINK6"/>
      <w:r>
        <w:rPr>
          <w:rFonts w:hint="eastAsia" w:ascii="仿宋" w:hAnsi="仿宋" w:eastAsia="仿宋"/>
          <w:color w:val="000000"/>
          <w:spacing w:val="-23"/>
          <w:sz w:val="36"/>
          <w:szCs w:val="36"/>
          <w:shd w:val="clear" w:color="auto" w:fill="FFFFFF"/>
        </w:rPr>
        <w:t>新型农业经营主体建设进一步发展</w:t>
      </w:r>
      <w:bookmarkEnd w:id="5"/>
      <w:r>
        <w:rPr>
          <w:rFonts w:hint="eastAsia" w:ascii="仿宋" w:hAnsi="仿宋" w:eastAsia="仿宋"/>
          <w:color w:val="000000"/>
          <w:spacing w:val="-23"/>
          <w:sz w:val="36"/>
          <w:szCs w:val="36"/>
          <w:shd w:val="clear" w:color="auto" w:fill="FFFFFF"/>
        </w:rPr>
        <w:t>。目前我县在市场监管部门依法注册登记的农民专业合作社、家庭农场分别为490家、547家。一是开展了2023年度农民专业合作社示范社、家庭农场示范场创建活动，以示范引领新型农业经营主体高质量发展。申报省级示范农民合作社1家，重点支持合作社1家，省级示范家庭农场2家。二是新培育农民专业合作社10家，家庭农场33家。但受自建房证明的影响，导致注册新型经营主体积极性不高。同时对国家级示范合作社、省级示范合作社、示范家庭农场进行了监测和绩效评价，推动新型经营主体规范化健康发展，为做大做强我县的现代农业打下了基础。全面完成社会化服务任务9000亩，指导家庭农场“赋码通”注册221户。</w:t>
      </w:r>
    </w:p>
    <w:p w14:paraId="3FCFDC32">
      <w:pPr>
        <w:pStyle w:val="4"/>
        <w:widowControl/>
        <w:shd w:val="clear" w:color="auto" w:fill="FFFFFF"/>
        <w:autoSpaceDE w:val="0"/>
        <w:snapToGrid w:val="0"/>
        <w:spacing w:line="520" w:lineRule="exact"/>
        <w:ind w:firstLine="628" w:firstLineChars="200"/>
        <w:rPr>
          <w:rFonts w:hint="eastAsia" w:ascii="仿宋" w:hAnsi="仿宋" w:eastAsia="仿宋"/>
          <w:color w:val="000000"/>
          <w:spacing w:val="-23"/>
          <w:sz w:val="36"/>
          <w:szCs w:val="36"/>
          <w:shd w:val="clear" w:color="auto" w:fill="FFFFFF"/>
        </w:rPr>
      </w:pPr>
      <w:r>
        <w:rPr>
          <w:rFonts w:hint="eastAsia" w:ascii="仿宋" w:hAnsi="仿宋" w:eastAsia="仿宋"/>
          <w:color w:val="000000"/>
          <w:spacing w:val="-23"/>
          <w:sz w:val="36"/>
          <w:szCs w:val="36"/>
          <w:shd w:val="clear" w:color="auto" w:fill="FFFFFF"/>
        </w:rPr>
        <w:t>（四</w:t>
      </w:r>
      <w:bookmarkStart w:id="6" w:name="OLE_LINK7"/>
      <w:r>
        <w:rPr>
          <w:rFonts w:hint="eastAsia" w:ascii="仿宋" w:hAnsi="仿宋" w:eastAsia="仿宋"/>
          <w:color w:val="000000"/>
          <w:spacing w:val="-23"/>
          <w:sz w:val="36"/>
          <w:szCs w:val="36"/>
          <w:shd w:val="clear" w:color="auto" w:fill="FFFFFF"/>
        </w:rPr>
        <w:t>）村级集体经济发展进一步加强</w:t>
      </w:r>
      <w:bookmarkEnd w:id="6"/>
      <w:r>
        <w:rPr>
          <w:rFonts w:hint="eastAsia" w:ascii="仿宋" w:hAnsi="仿宋" w:eastAsia="仿宋"/>
          <w:color w:val="000000"/>
          <w:spacing w:val="-23"/>
          <w:sz w:val="36"/>
          <w:szCs w:val="36"/>
          <w:shd w:val="clear" w:color="auto" w:fill="FFFFFF"/>
        </w:rPr>
        <w:t>。一是用好林权抵押贷款和乡村振兴共享贷金融扶持政策，健全完善“企业+合作社+农户”利益联结机制，推动了县农村产权交易中心建设，全年建行发放乡村振兴共享贷16笔，金额4290万元，会同农村商业银行发放乡村振兴“共富贷”2笔100万元。二是持续发展壮大村集体经济。消除集体经济薄弱村、发展新型农村集体经济，认真落实湘办发〔2021〕18号、会办发〔2022〕13号、会组〔2023〕14号文件，对集体经济边缘村建立“五联机制”体系，开展集体经济示范带创建，大力发展新型集体经济“八种”模式，创新发展“1+N”模式，助力集体经济发展；制定《会同县奖励村干部发展壮大村级集体经济暂行办法》，激发村干部发展集体经济的主观能动性和积极性拓展增收渠道。在金融政策助推集体经济发展引领下，全县集体经济经营性收入得到了明显增长，其中：5-10万的村有100个，10-20万元的村有85个，20-30万元的村有14个，30-50万元的村有24个，50万以上的村有31个，园满实现了年初示范村达到10%以上的目标，高标准建设了5个以上示范效果明显、帮扶带动能力强的中心村。</w:t>
      </w:r>
    </w:p>
    <w:p w14:paraId="03384C3C">
      <w:pPr>
        <w:pStyle w:val="4"/>
        <w:widowControl/>
        <w:shd w:val="clear" w:color="auto" w:fill="FFFFFF"/>
        <w:autoSpaceDE w:val="0"/>
        <w:snapToGrid w:val="0"/>
        <w:spacing w:line="520" w:lineRule="exact"/>
        <w:ind w:firstLine="628" w:firstLineChars="200"/>
        <w:rPr>
          <w:rFonts w:hint="eastAsia" w:ascii="仿宋" w:hAnsi="仿宋" w:eastAsia="仿宋"/>
          <w:color w:val="000000"/>
          <w:spacing w:val="-23"/>
          <w:sz w:val="36"/>
          <w:szCs w:val="36"/>
          <w:shd w:val="clear" w:color="auto" w:fill="FFFFFF"/>
        </w:rPr>
      </w:pPr>
      <w:r>
        <w:rPr>
          <w:rFonts w:hint="eastAsia" w:ascii="仿宋" w:hAnsi="仿宋" w:eastAsia="仿宋"/>
          <w:color w:val="000000"/>
          <w:spacing w:val="-23"/>
          <w:sz w:val="36"/>
          <w:szCs w:val="36"/>
          <w:shd w:val="clear" w:color="auto" w:fill="FFFFFF"/>
        </w:rPr>
        <w:t>（五</w:t>
      </w:r>
      <w:bookmarkStart w:id="7" w:name="OLE_LINK8"/>
      <w:r>
        <w:rPr>
          <w:rFonts w:hint="eastAsia" w:ascii="仿宋" w:hAnsi="仿宋" w:eastAsia="仿宋"/>
          <w:color w:val="000000"/>
          <w:spacing w:val="-23"/>
          <w:sz w:val="36"/>
          <w:szCs w:val="36"/>
          <w:shd w:val="clear" w:color="auto" w:fill="FFFFFF"/>
        </w:rPr>
        <w:t>）稳步推进农村土地承包管理工作。</w:t>
      </w:r>
      <w:bookmarkEnd w:id="7"/>
      <w:r>
        <w:rPr>
          <w:rFonts w:hint="eastAsia" w:ascii="仿宋" w:hAnsi="仿宋" w:eastAsia="仿宋"/>
          <w:color w:val="000000"/>
          <w:spacing w:val="-23"/>
          <w:sz w:val="36"/>
          <w:szCs w:val="36"/>
          <w:shd w:val="clear" w:color="auto" w:fill="FFFFFF"/>
        </w:rPr>
        <w:t>一是大力推进农村土地流转。2023年完成省下达的农业社会服务化面积0.9万亩，服务小农户1.42万户；全县耕地流转面积累计达13.25万亩，占承包耕地总面积的36.51%，适度规模经营得到了较好发展；二是土地仲裁工作取得新成效，连山乡宝照村土地纠纷仲裁园满完成，为化解土地矛盾纠纷、维护群众权益提供了法律保障。三是协助自然资源局成功发放了我县农村承包地第一本不动产登记证。</w:t>
      </w:r>
    </w:p>
    <w:p w14:paraId="1EBDCDC8">
      <w:pPr>
        <w:pStyle w:val="4"/>
        <w:widowControl/>
        <w:shd w:val="clear" w:color="auto" w:fill="FFFFFF"/>
        <w:autoSpaceDE w:val="0"/>
        <w:snapToGrid w:val="0"/>
        <w:spacing w:line="520" w:lineRule="exact"/>
        <w:ind w:firstLine="628" w:firstLineChars="200"/>
        <w:rPr>
          <w:rFonts w:hint="eastAsia" w:ascii="仿宋" w:hAnsi="仿宋" w:eastAsia="仿宋"/>
          <w:color w:val="000000"/>
          <w:spacing w:val="-23"/>
          <w:sz w:val="36"/>
          <w:szCs w:val="36"/>
          <w:shd w:val="clear" w:color="auto" w:fill="FFFFFF"/>
        </w:rPr>
      </w:pPr>
      <w:r>
        <w:rPr>
          <w:rFonts w:hint="eastAsia" w:ascii="仿宋" w:hAnsi="仿宋" w:eastAsia="仿宋"/>
          <w:color w:val="000000"/>
          <w:spacing w:val="-23"/>
          <w:sz w:val="36"/>
          <w:szCs w:val="36"/>
          <w:shd w:val="clear" w:color="auto" w:fill="FFFFFF"/>
        </w:rPr>
        <w:t>通过对会同县农村经营服务站2023年总体支出进行分析和评估，支出项目合理、规范。最大限度的发挥了财政资金效能，有效的推动我县农村农经各项事业发展。自我评分94分，定为优等。</w:t>
      </w:r>
    </w:p>
    <w:p w14:paraId="03123F76">
      <w:pPr>
        <w:pStyle w:val="4"/>
        <w:widowControl/>
        <w:shd w:val="clear" w:color="auto" w:fill="FFFFFF"/>
        <w:autoSpaceDE w:val="0"/>
        <w:snapToGrid w:val="0"/>
        <w:spacing w:line="520" w:lineRule="exact"/>
        <w:ind w:firstLine="628" w:firstLineChars="200"/>
        <w:rPr>
          <w:rFonts w:ascii="仿宋" w:hAnsi="仿宋" w:eastAsia="仿宋"/>
          <w:color w:val="000000"/>
          <w:sz w:val="36"/>
          <w:szCs w:val="36"/>
        </w:rPr>
      </w:pPr>
      <w:r>
        <w:rPr>
          <w:rFonts w:hint="eastAsia" w:ascii="仿宋" w:hAnsi="仿宋" w:eastAsia="仿宋"/>
          <w:color w:val="000000"/>
          <w:spacing w:val="-23"/>
          <w:sz w:val="36"/>
          <w:szCs w:val="36"/>
          <w:shd w:val="clear" w:color="auto" w:fill="FFFFFF"/>
        </w:rPr>
        <w:t>财务管理方面：会同县农村经营服务站认真履行部门“三定”方案确定的职责。没有存在截留、挤占、挪用、虚列支出等情况；基础数据信息和会计信息资料真实、完整、准确。并按规定内容公开预、决算信息。对有关财务方面文件及时掌握，对财务管理、绩效管理、决算组织、编报、审核情况等情况安排了专门的人员负责，对本单位决算及绩效信息及时在政府网站进行公开，接受社会监督。</w:t>
      </w:r>
    </w:p>
    <w:p w14:paraId="7452B665">
      <w:pPr>
        <w:pStyle w:val="4"/>
        <w:widowControl/>
        <w:shd w:val="clear" w:color="auto" w:fill="FFFFFF"/>
        <w:autoSpaceDE w:val="0"/>
        <w:snapToGrid w:val="0"/>
        <w:spacing w:before="0" w:beforeAutospacing="0" w:after="0" w:afterAutospacing="0" w:line="520" w:lineRule="exact"/>
        <w:ind w:firstLine="720" w:firstLineChars="200"/>
        <w:rPr>
          <w:rFonts w:ascii="仿宋" w:hAnsi="仿宋" w:eastAsia="仿宋"/>
          <w:color w:val="000000"/>
          <w:sz w:val="36"/>
          <w:szCs w:val="36"/>
        </w:rPr>
      </w:pPr>
      <w:r>
        <w:rPr>
          <w:rFonts w:hint="eastAsia" w:ascii="仿宋" w:hAnsi="仿宋" w:eastAsia="仿宋"/>
          <w:color w:val="000000"/>
          <w:sz w:val="36"/>
          <w:szCs w:val="36"/>
          <w:shd w:val="clear" w:color="auto" w:fill="FFFFFF"/>
        </w:rPr>
        <w:t>七、存在的问题及原因分析</w:t>
      </w:r>
    </w:p>
    <w:p w14:paraId="42792AB3">
      <w:pPr>
        <w:pStyle w:val="4"/>
        <w:widowControl/>
        <w:shd w:val="clear" w:color="auto" w:fill="FFFFFF"/>
        <w:autoSpaceDE w:val="0"/>
        <w:snapToGrid w:val="0"/>
        <w:spacing w:before="0" w:beforeAutospacing="0" w:after="0" w:afterAutospacing="0" w:line="520" w:lineRule="exact"/>
        <w:rPr>
          <w:rFonts w:hint="eastAsia" w:ascii="仿宋" w:hAnsi="仿宋" w:eastAsia="仿宋"/>
          <w:color w:val="000000"/>
          <w:sz w:val="36"/>
          <w:szCs w:val="36"/>
          <w:shd w:val="clear" w:color="auto" w:fill="FFFFFF"/>
        </w:rPr>
      </w:pPr>
      <w:r>
        <w:rPr>
          <w:rFonts w:hint="eastAsia" w:ascii="仿宋" w:hAnsi="仿宋" w:eastAsia="仿宋"/>
          <w:color w:val="000000"/>
          <w:sz w:val="36"/>
          <w:szCs w:val="36"/>
          <w:shd w:val="clear" w:color="auto" w:fill="FFFFFF"/>
        </w:rPr>
        <w:t>进一步完善财务管理体制和运行机制、建立科学化、精细化的预算管理机制、建立绩效评价制度、加快财务监管体系建设、提高经费使用效益、强化财务风险管理。提高预算编制的科学性、准确性，按照“量入为出，统筹兼顾、保证重点、收支平衡”的原则，科学合理编制预算，强化预算执行，提高预算执行效率，实行了预算、决算在政府网站公开。</w:t>
      </w:r>
    </w:p>
    <w:p w14:paraId="5DA6A9B1">
      <w:pPr>
        <w:pStyle w:val="4"/>
        <w:widowControl/>
        <w:shd w:val="clear" w:color="auto" w:fill="FFFFFF"/>
        <w:autoSpaceDE w:val="0"/>
        <w:snapToGrid w:val="0"/>
        <w:spacing w:before="0" w:beforeAutospacing="0" w:after="0" w:afterAutospacing="0" w:line="520" w:lineRule="exact"/>
        <w:ind w:firstLine="720" w:firstLineChars="200"/>
        <w:rPr>
          <w:rFonts w:hint="eastAsia" w:ascii="仿宋" w:hAnsi="仿宋" w:eastAsia="仿宋"/>
          <w:color w:val="000000"/>
          <w:sz w:val="36"/>
          <w:szCs w:val="36"/>
          <w:shd w:val="clear" w:color="auto" w:fill="FFFFFF"/>
        </w:rPr>
      </w:pPr>
      <w:r>
        <w:rPr>
          <w:rFonts w:hint="eastAsia" w:ascii="仿宋" w:hAnsi="仿宋" w:eastAsia="仿宋"/>
          <w:color w:val="000000"/>
          <w:sz w:val="36"/>
          <w:szCs w:val="36"/>
          <w:shd w:val="clear" w:color="auto" w:fill="FFFFFF"/>
        </w:rPr>
        <w:t>八、下一步改进措施</w:t>
      </w:r>
    </w:p>
    <w:p w14:paraId="192B5CF0">
      <w:pPr>
        <w:pStyle w:val="4"/>
        <w:widowControl/>
        <w:shd w:val="clear" w:color="auto" w:fill="FFFFFF"/>
        <w:autoSpaceDE w:val="0"/>
        <w:snapToGrid w:val="0"/>
        <w:spacing w:before="0" w:beforeAutospacing="0" w:after="0" w:afterAutospacing="0" w:line="520" w:lineRule="exact"/>
        <w:ind w:firstLine="720" w:firstLineChars="200"/>
        <w:rPr>
          <w:rFonts w:hint="eastAsia" w:ascii="仿宋" w:hAnsi="仿宋" w:eastAsia="仿宋"/>
          <w:color w:val="000000"/>
          <w:sz w:val="36"/>
          <w:szCs w:val="36"/>
          <w:shd w:val="clear" w:color="auto" w:fill="FFFFFF"/>
        </w:rPr>
      </w:pPr>
      <w:bookmarkStart w:id="9" w:name="_GoBack"/>
      <w:bookmarkStart w:id="8" w:name="OLE_LINK9"/>
      <w:r>
        <w:rPr>
          <w:rFonts w:hint="eastAsia" w:ascii="仿宋" w:hAnsi="仿宋" w:eastAsia="仿宋"/>
          <w:color w:val="000000"/>
          <w:sz w:val="36"/>
          <w:szCs w:val="36"/>
          <w:shd w:val="clear" w:color="auto" w:fill="FFFFFF"/>
        </w:rPr>
        <w:t>为保证专项资金规范使用，我</w:t>
      </w:r>
      <w:r>
        <w:rPr>
          <w:rFonts w:hint="eastAsia" w:ascii="仿宋" w:hAnsi="仿宋" w:eastAsia="仿宋"/>
          <w:color w:val="000000"/>
          <w:sz w:val="36"/>
          <w:szCs w:val="36"/>
          <w:shd w:val="clear" w:color="auto" w:fill="FFFFFF"/>
          <w:lang w:eastAsia="zh-CN"/>
        </w:rPr>
        <w:t>单们</w:t>
      </w:r>
      <w:r>
        <w:rPr>
          <w:rFonts w:hint="eastAsia" w:ascii="仿宋" w:hAnsi="仿宋" w:eastAsia="仿宋"/>
          <w:color w:val="000000"/>
          <w:sz w:val="36"/>
          <w:szCs w:val="36"/>
          <w:shd w:val="clear" w:color="auto" w:fill="FFFFFF"/>
        </w:rPr>
        <w:t>将根据预算资金的总量、方向及实际专项工作情况，对批复到位的专项资金做好精细核算，切实做到专款专用，实现资金使用效率最优化，具体做到：一是强化制度保障。完善单位《财务管理制度》及《经费管理办法》，将</w:t>
      </w:r>
      <w:r>
        <w:rPr>
          <w:rFonts w:hint="eastAsia" w:ascii="仿宋" w:hAnsi="仿宋" w:eastAsia="仿宋"/>
          <w:color w:val="000000"/>
          <w:sz w:val="36"/>
          <w:szCs w:val="36"/>
          <w:shd w:val="clear" w:color="auto" w:fill="FFFFFF"/>
          <w:lang w:eastAsia="zh-CN"/>
        </w:rPr>
        <w:t>农村宅基地</w:t>
      </w:r>
      <w:r>
        <w:rPr>
          <w:rFonts w:hint="eastAsia" w:ascii="仿宋" w:hAnsi="仿宋" w:eastAsia="仿宋"/>
          <w:color w:val="000000"/>
          <w:sz w:val="36"/>
          <w:szCs w:val="36"/>
          <w:shd w:val="clear" w:color="auto" w:fill="FFFFFF"/>
        </w:rPr>
        <w:t>经费、</w:t>
      </w:r>
      <w:r>
        <w:rPr>
          <w:rFonts w:hint="eastAsia" w:ascii="仿宋" w:hAnsi="仿宋" w:eastAsia="仿宋"/>
          <w:color w:val="000000"/>
          <w:sz w:val="36"/>
          <w:szCs w:val="36"/>
          <w:shd w:val="clear" w:color="auto" w:fill="FFFFFF"/>
          <w:lang w:eastAsia="zh-CN"/>
        </w:rPr>
        <w:t>农村“三资”管理</w:t>
      </w:r>
      <w:r>
        <w:rPr>
          <w:rFonts w:hint="eastAsia" w:ascii="仿宋" w:hAnsi="仿宋" w:eastAsia="仿宋"/>
          <w:color w:val="000000"/>
          <w:sz w:val="36"/>
          <w:szCs w:val="36"/>
          <w:shd w:val="clear" w:color="auto" w:fill="FFFFFF"/>
        </w:rPr>
        <w:t>经费、</w:t>
      </w:r>
      <w:r>
        <w:rPr>
          <w:rFonts w:hint="eastAsia" w:ascii="仿宋" w:hAnsi="仿宋" w:eastAsia="仿宋"/>
          <w:color w:val="000000"/>
          <w:sz w:val="36"/>
          <w:szCs w:val="36"/>
          <w:shd w:val="clear" w:color="auto" w:fill="FFFFFF"/>
          <w:lang w:eastAsia="zh-CN"/>
        </w:rPr>
        <w:t>农民负担与监督</w:t>
      </w:r>
      <w:r>
        <w:rPr>
          <w:rFonts w:hint="eastAsia" w:ascii="仿宋" w:hAnsi="仿宋" w:eastAsia="仿宋"/>
          <w:color w:val="000000"/>
          <w:sz w:val="36"/>
          <w:szCs w:val="36"/>
          <w:shd w:val="clear" w:color="auto" w:fill="FFFFFF"/>
        </w:rPr>
        <w:t>经费等专项经费单列出来并要求足额拨付，为专项资金的使用管理提供制度保障。二是强化绩效与经费挂钩。为保障专项资金用到实处，实行专项绩效与经费挂钩办法，除了拨付基本的专项经费外，对绩效目标明确、完成情况好的单位实行专项经费的再倾斜。</w:t>
      </w:r>
      <w:bookmarkEnd w:id="9"/>
    </w:p>
    <w:bookmarkEnd w:id="8"/>
    <w:p w14:paraId="5CE2E6FD">
      <w:pPr>
        <w:pStyle w:val="4"/>
        <w:widowControl/>
        <w:shd w:val="clear" w:color="auto" w:fill="FFFFFF"/>
        <w:autoSpaceDE w:val="0"/>
        <w:snapToGrid w:val="0"/>
        <w:spacing w:before="0" w:beforeAutospacing="0" w:after="0" w:afterAutospacing="0" w:line="520" w:lineRule="exact"/>
        <w:ind w:firstLine="720" w:firstLineChars="200"/>
        <w:rPr>
          <w:rFonts w:ascii="仿宋" w:hAnsi="仿宋" w:eastAsia="仿宋"/>
          <w:color w:val="000000"/>
          <w:sz w:val="36"/>
          <w:szCs w:val="36"/>
        </w:rPr>
      </w:pPr>
      <w:r>
        <w:rPr>
          <w:rFonts w:hint="eastAsia" w:ascii="仿宋" w:hAnsi="仿宋" w:eastAsia="仿宋"/>
          <w:color w:val="000000"/>
          <w:sz w:val="36"/>
          <w:szCs w:val="36"/>
        </w:rPr>
        <w:t xml:space="preserve"> </w:t>
      </w:r>
    </w:p>
    <w:p w14:paraId="4ED16510">
      <w:pPr>
        <w:pStyle w:val="4"/>
        <w:widowControl/>
        <w:shd w:val="clear" w:color="auto" w:fill="FFFFFF"/>
        <w:autoSpaceDE w:val="0"/>
        <w:snapToGrid w:val="0"/>
        <w:spacing w:before="0" w:beforeAutospacing="0" w:after="0" w:afterAutospacing="0" w:line="520" w:lineRule="exact"/>
        <w:ind w:firstLine="720" w:firstLineChars="200"/>
        <w:rPr>
          <w:rFonts w:hint="eastAsia" w:ascii="仿宋" w:hAnsi="仿宋" w:eastAsia="仿宋"/>
          <w:color w:val="000000"/>
          <w:sz w:val="36"/>
          <w:szCs w:val="36"/>
        </w:rPr>
      </w:pPr>
      <w:r>
        <w:rPr>
          <w:rFonts w:hint="eastAsia" w:ascii="仿宋" w:hAnsi="仿宋" w:eastAsia="仿宋"/>
          <w:color w:val="000000"/>
          <w:sz w:val="36"/>
          <w:szCs w:val="36"/>
          <w:shd w:val="clear" w:color="auto" w:fill="FFFFFF"/>
        </w:rPr>
        <w:t>九、其他需要说明的情况</w:t>
      </w:r>
    </w:p>
    <w:p w14:paraId="4A056170">
      <w:pPr>
        <w:pStyle w:val="4"/>
        <w:widowControl/>
        <w:shd w:val="clear" w:color="auto" w:fill="FFFFFF"/>
        <w:autoSpaceDE w:val="0"/>
        <w:snapToGrid w:val="0"/>
        <w:spacing w:before="0" w:beforeAutospacing="0" w:after="0" w:afterAutospacing="0" w:line="520" w:lineRule="exact"/>
        <w:rPr>
          <w:rFonts w:hint="eastAsia" w:ascii="仿宋" w:hAnsi="仿宋" w:eastAsia="仿宋"/>
          <w:color w:val="000000"/>
          <w:sz w:val="36"/>
          <w:szCs w:val="36"/>
        </w:rPr>
      </w:pPr>
      <w:r>
        <w:rPr>
          <w:rFonts w:ascii="仿宋" w:hAnsi="仿宋" w:eastAsia="仿宋"/>
          <w:color w:val="000000"/>
          <w:sz w:val="36"/>
          <w:szCs w:val="36"/>
        </w:rPr>
        <w:t xml:space="preserve"> </w:t>
      </w:r>
      <w:r>
        <w:rPr>
          <w:rFonts w:hint="eastAsia" w:ascii="仿宋" w:hAnsi="仿宋" w:eastAsia="仿宋"/>
          <w:color w:val="000000"/>
          <w:sz w:val="36"/>
          <w:szCs w:val="36"/>
        </w:rPr>
        <w:t xml:space="preserve">          无</w:t>
      </w:r>
    </w:p>
    <w:p w14:paraId="7D4404B3">
      <w:pPr>
        <w:pStyle w:val="4"/>
        <w:widowControl/>
        <w:shd w:val="clear" w:color="auto" w:fill="FFFFFF"/>
        <w:autoSpaceDE w:val="0"/>
        <w:snapToGrid w:val="0"/>
        <w:spacing w:before="0" w:beforeAutospacing="0" w:after="0" w:afterAutospacing="0" w:line="520" w:lineRule="exact"/>
        <w:ind w:firstLine="720" w:firstLineChars="200"/>
        <w:rPr>
          <w:rFonts w:ascii="仿宋" w:hAnsi="仿宋" w:eastAsia="仿宋"/>
          <w:color w:val="000000"/>
          <w:sz w:val="36"/>
          <w:szCs w:val="36"/>
          <w:shd w:val="clear" w:color="auto" w:fill="FFFFFF"/>
        </w:rPr>
      </w:pPr>
      <w:r>
        <w:rPr>
          <w:rFonts w:ascii="仿宋" w:hAnsi="仿宋" w:eastAsia="仿宋"/>
          <w:color w:val="000000"/>
          <w:sz w:val="36"/>
          <w:szCs w:val="36"/>
          <w:shd w:val="clear" w:color="auto" w:fill="FFFFFF"/>
        </w:rPr>
        <w:t>报告应包括以下附件：</w:t>
      </w:r>
    </w:p>
    <w:p w14:paraId="4BF2D12D">
      <w:pPr>
        <w:pStyle w:val="4"/>
        <w:widowControl/>
        <w:shd w:val="clear" w:color="auto" w:fill="FFFFFF"/>
        <w:autoSpaceDE w:val="0"/>
        <w:snapToGrid w:val="0"/>
        <w:spacing w:before="0" w:beforeAutospacing="0" w:after="0" w:afterAutospacing="0" w:line="520" w:lineRule="exact"/>
        <w:ind w:firstLine="720" w:firstLineChars="200"/>
        <w:rPr>
          <w:rFonts w:ascii="仿宋" w:hAnsi="仿宋" w:eastAsia="仿宋"/>
          <w:color w:val="000000"/>
          <w:sz w:val="36"/>
          <w:szCs w:val="36"/>
          <w:shd w:val="clear" w:color="auto" w:fill="FFFFFF"/>
        </w:rPr>
      </w:pPr>
      <w:r>
        <w:rPr>
          <w:rFonts w:ascii="仿宋" w:hAnsi="仿宋" w:eastAsia="仿宋"/>
          <w:color w:val="000000"/>
          <w:sz w:val="36"/>
          <w:szCs w:val="36"/>
          <w:shd w:val="clear" w:color="auto" w:fill="FFFFFF"/>
        </w:rPr>
        <w:t xml:space="preserve">1.部门整体支出绩效评价基础数据表  </w:t>
      </w:r>
    </w:p>
    <w:p w14:paraId="5FC4A787">
      <w:pPr>
        <w:pStyle w:val="4"/>
        <w:widowControl/>
        <w:shd w:val="clear" w:color="auto" w:fill="FFFFFF"/>
        <w:autoSpaceDE w:val="0"/>
        <w:snapToGrid w:val="0"/>
        <w:spacing w:before="0" w:beforeAutospacing="0" w:after="0" w:afterAutospacing="0" w:line="520" w:lineRule="exact"/>
        <w:ind w:firstLine="720" w:firstLineChars="200"/>
        <w:rPr>
          <w:rFonts w:ascii="仿宋" w:hAnsi="仿宋" w:eastAsia="仿宋"/>
          <w:color w:val="000000"/>
          <w:sz w:val="36"/>
          <w:szCs w:val="36"/>
          <w:shd w:val="clear" w:color="auto" w:fill="FFFFFF"/>
        </w:rPr>
      </w:pPr>
      <w:r>
        <w:rPr>
          <w:rFonts w:ascii="仿宋" w:hAnsi="仿宋" w:eastAsia="仿宋"/>
          <w:color w:val="000000"/>
          <w:sz w:val="36"/>
          <w:szCs w:val="36"/>
          <w:shd w:val="clear" w:color="auto" w:fill="FFFFFF"/>
        </w:rPr>
        <w:t>2.部门整体支出绩效自评表</w:t>
      </w:r>
    </w:p>
    <w:p w14:paraId="3EA75CE3">
      <w:pPr>
        <w:pStyle w:val="4"/>
        <w:widowControl/>
        <w:shd w:val="clear" w:color="auto" w:fill="FFFFFF"/>
        <w:spacing w:before="0" w:beforeAutospacing="0" w:after="0" w:afterAutospacing="0" w:line="480" w:lineRule="atLeast"/>
        <w:jc w:val="both"/>
        <w:rPr>
          <w:rFonts w:ascii="仿宋" w:hAnsi="仿宋" w:eastAsia="仿宋"/>
          <w:color w:val="000000"/>
          <w:sz w:val="36"/>
          <w:szCs w:val="36"/>
        </w:rPr>
      </w:pPr>
      <w:r>
        <w:rPr>
          <w:rFonts w:ascii="仿宋" w:hAnsi="仿宋" w:eastAsia="仿宋"/>
          <w:color w:val="000000"/>
          <w:sz w:val="36"/>
          <w:szCs w:val="36"/>
        </w:rPr>
        <w:t xml:space="preserve"> </w:t>
      </w:r>
    </w:p>
    <w:p w14:paraId="7C7895AF">
      <w:pPr>
        <w:pStyle w:val="4"/>
        <w:widowControl/>
        <w:shd w:val="clear" w:color="auto" w:fill="FFFFFF"/>
        <w:spacing w:before="0" w:beforeAutospacing="0" w:after="0" w:afterAutospacing="0" w:line="480" w:lineRule="atLeast"/>
        <w:jc w:val="both"/>
        <w:rPr>
          <w:rFonts w:ascii="仿宋" w:hAnsi="仿宋" w:eastAsia="仿宋"/>
          <w:color w:val="000000"/>
          <w:sz w:val="36"/>
          <w:szCs w:val="36"/>
        </w:rPr>
      </w:pPr>
      <w:r>
        <w:rPr>
          <w:rFonts w:ascii="仿宋" w:hAnsi="仿宋" w:eastAsia="仿宋"/>
          <w:color w:val="000000"/>
          <w:sz w:val="36"/>
          <w:szCs w:val="36"/>
        </w:rPr>
        <w:t xml:space="preserve"> </w:t>
      </w:r>
    </w:p>
    <w:p w14:paraId="05E08D3D">
      <w:pPr>
        <w:pStyle w:val="4"/>
        <w:widowControl/>
        <w:shd w:val="clear" w:color="auto" w:fill="FFFFFF"/>
        <w:spacing w:before="0" w:beforeAutospacing="0" w:after="0" w:afterAutospacing="0" w:line="480" w:lineRule="atLeast"/>
        <w:jc w:val="both"/>
        <w:rPr>
          <w:rFonts w:ascii="仿宋" w:hAnsi="仿宋" w:eastAsia="仿宋"/>
          <w:color w:val="000000"/>
          <w:sz w:val="36"/>
          <w:szCs w:val="36"/>
        </w:rPr>
      </w:pPr>
      <w:r>
        <w:rPr>
          <w:rFonts w:ascii="仿宋" w:hAnsi="仿宋" w:eastAsia="仿宋"/>
          <w:color w:val="000000"/>
          <w:sz w:val="36"/>
          <w:szCs w:val="36"/>
        </w:rPr>
        <w:t xml:space="preserve"> </w:t>
      </w:r>
    </w:p>
    <w:p w14:paraId="5C73D117">
      <w:pPr>
        <w:pStyle w:val="4"/>
        <w:widowControl/>
        <w:shd w:val="clear" w:color="auto" w:fill="FFFFFF"/>
        <w:autoSpaceDE w:val="0"/>
        <w:snapToGrid w:val="0"/>
        <w:spacing w:line="520" w:lineRule="exact"/>
        <w:ind w:firstLine="4082" w:firstLineChars="1300"/>
        <w:rPr>
          <w:rFonts w:hint="eastAsia" w:ascii="仿宋" w:hAnsi="仿宋" w:eastAsia="仿宋"/>
          <w:color w:val="000000"/>
          <w:spacing w:val="-23"/>
          <w:sz w:val="36"/>
          <w:szCs w:val="36"/>
          <w:shd w:val="clear" w:color="auto" w:fill="FFFFFF"/>
        </w:rPr>
      </w:pPr>
      <w:r>
        <w:rPr>
          <w:rFonts w:hint="eastAsia" w:ascii="仿宋" w:hAnsi="仿宋" w:eastAsia="仿宋"/>
          <w:color w:val="000000"/>
          <w:spacing w:val="-23"/>
          <w:sz w:val="36"/>
          <w:szCs w:val="36"/>
          <w:shd w:val="clear" w:color="auto" w:fill="FFFFFF"/>
        </w:rPr>
        <w:t>会同县农村经营服务站</w:t>
      </w:r>
    </w:p>
    <w:p w14:paraId="1373299B">
      <w:pPr>
        <w:pStyle w:val="4"/>
        <w:widowControl/>
        <w:shd w:val="clear" w:color="auto" w:fill="FFFFFF"/>
        <w:autoSpaceDE w:val="0"/>
        <w:snapToGrid w:val="0"/>
        <w:spacing w:line="520" w:lineRule="exact"/>
        <w:ind w:firstLine="4239" w:firstLineChars="1350"/>
        <w:rPr>
          <w:rFonts w:hint="eastAsia" w:ascii="仿宋" w:hAnsi="仿宋" w:eastAsia="仿宋"/>
          <w:color w:val="000000"/>
          <w:spacing w:val="-23"/>
          <w:sz w:val="36"/>
          <w:szCs w:val="36"/>
          <w:shd w:val="clear" w:color="auto" w:fill="FFFFFF"/>
        </w:rPr>
      </w:pPr>
      <w:r>
        <w:rPr>
          <w:rFonts w:hint="eastAsia" w:ascii="仿宋" w:hAnsi="仿宋" w:eastAsia="仿宋"/>
          <w:color w:val="000000"/>
          <w:spacing w:val="-23"/>
          <w:sz w:val="36"/>
          <w:szCs w:val="36"/>
          <w:shd w:val="clear" w:color="auto" w:fill="FFFFFF"/>
        </w:rPr>
        <w:t>2024年7月29日</w:t>
      </w:r>
      <w:r>
        <w:rPr>
          <w:rFonts w:hint="eastAsia" w:ascii="仿宋" w:hAnsi="仿宋" w:eastAsia="仿宋"/>
          <w:color w:val="000000"/>
          <w:spacing w:val="-23"/>
          <w:sz w:val="36"/>
          <w:szCs w:val="36"/>
          <w:shd w:val="clear" w:color="auto" w:fill="FFFFFF"/>
        </w:rPr>
        <w:tab/>
      </w:r>
      <w:r>
        <w:rPr>
          <w:rFonts w:hint="eastAsia" w:ascii="仿宋" w:hAnsi="仿宋" w:eastAsia="仿宋"/>
          <w:color w:val="000000"/>
          <w:spacing w:val="-23"/>
          <w:sz w:val="36"/>
          <w:szCs w:val="36"/>
          <w:shd w:val="clear" w:color="auto" w:fill="FFFFFF"/>
        </w:rPr>
        <w:t xml:space="preserve"> </w:t>
      </w:r>
    </w:p>
    <w:p w14:paraId="46AF7926">
      <w:pPr>
        <w:pStyle w:val="4"/>
        <w:widowControl/>
        <w:shd w:val="clear" w:color="auto" w:fill="FFFFFF"/>
        <w:autoSpaceDE w:val="0"/>
        <w:snapToGrid w:val="0"/>
        <w:spacing w:before="0" w:beforeAutospacing="0" w:after="0" w:afterAutospacing="0" w:line="520" w:lineRule="exact"/>
        <w:ind w:firstLine="628" w:firstLineChars="200"/>
        <w:rPr>
          <w:rFonts w:hint="eastAsia" w:ascii="仿宋" w:hAnsi="仿宋" w:eastAsia="仿宋"/>
          <w:color w:val="000000"/>
          <w:spacing w:val="-23"/>
          <w:sz w:val="36"/>
          <w:szCs w:val="36"/>
          <w:shd w:val="clear" w:color="auto" w:fill="FFFFFF"/>
        </w:rPr>
      </w:pPr>
      <w:r>
        <w:rPr>
          <w:rFonts w:ascii="仿宋" w:hAnsi="仿宋" w:eastAsia="仿宋"/>
          <w:color w:val="000000"/>
          <w:spacing w:val="-23"/>
          <w:sz w:val="36"/>
          <w:szCs w:val="36"/>
          <w:shd w:val="clear" w:color="auto" w:fill="FFFFFF"/>
        </w:rPr>
        <w:t xml:space="preserve">       </w:t>
      </w:r>
    </w:p>
    <w:p w14:paraId="1265EBC8">
      <w:pPr>
        <w:pStyle w:val="4"/>
        <w:widowControl/>
        <w:shd w:val="clear" w:color="auto" w:fill="FFFFFF"/>
        <w:autoSpaceDE w:val="0"/>
        <w:snapToGrid w:val="0"/>
        <w:spacing w:before="0" w:beforeAutospacing="0" w:after="0" w:afterAutospacing="0" w:line="520" w:lineRule="exact"/>
        <w:ind w:firstLine="628" w:firstLineChars="200"/>
        <w:rPr>
          <w:rFonts w:hint="eastAsia" w:ascii="仿宋" w:hAnsi="仿宋" w:eastAsia="仿宋"/>
          <w:color w:val="000000"/>
          <w:spacing w:val="-23"/>
          <w:sz w:val="36"/>
          <w:szCs w:val="36"/>
          <w:shd w:val="clear" w:color="auto" w:fill="FFFFFF"/>
        </w:rPr>
      </w:pPr>
    </w:p>
    <w:p w14:paraId="7AD83F6D">
      <w:pPr>
        <w:pStyle w:val="4"/>
        <w:widowControl/>
        <w:shd w:val="clear" w:color="auto" w:fill="FFFFFF"/>
        <w:spacing w:before="0" w:beforeAutospacing="0" w:after="0" w:afterAutospacing="0" w:line="480" w:lineRule="atLeast"/>
        <w:jc w:val="both"/>
        <w:rPr>
          <w:rFonts w:ascii="仿宋" w:hAnsi="仿宋" w:eastAsia="仿宋"/>
          <w:color w:val="000000"/>
          <w:sz w:val="36"/>
          <w:szCs w:val="36"/>
        </w:rPr>
      </w:pPr>
    </w:p>
    <w:p w14:paraId="0170FCAF">
      <w:pPr>
        <w:pStyle w:val="4"/>
        <w:widowControl/>
        <w:shd w:val="clear" w:color="auto" w:fill="FFFFFF"/>
        <w:spacing w:before="0" w:beforeAutospacing="0" w:after="0" w:afterAutospacing="0" w:line="480" w:lineRule="atLeast"/>
        <w:jc w:val="both"/>
        <w:rPr>
          <w:rFonts w:ascii="仿宋" w:hAnsi="仿宋" w:eastAsia="仿宋"/>
          <w:color w:val="000000"/>
          <w:sz w:val="36"/>
          <w:szCs w:val="36"/>
        </w:rPr>
      </w:pPr>
      <w:r>
        <w:rPr>
          <w:rFonts w:ascii="仿宋" w:hAnsi="仿宋" w:eastAsia="仿宋"/>
          <w:color w:val="000000"/>
          <w:sz w:val="36"/>
          <w:szCs w:val="36"/>
        </w:rPr>
        <w:t xml:space="preserve"> </w:t>
      </w:r>
    </w:p>
    <w:p w14:paraId="32206406">
      <w:pPr>
        <w:pStyle w:val="4"/>
        <w:widowControl/>
        <w:shd w:val="clear" w:color="auto" w:fill="FFFFFF"/>
        <w:spacing w:before="0" w:beforeAutospacing="0" w:after="0" w:afterAutospacing="0" w:line="480" w:lineRule="atLeast"/>
        <w:jc w:val="both"/>
        <w:rPr>
          <w:rFonts w:ascii="仿宋" w:hAnsi="仿宋" w:eastAsia="仿宋"/>
          <w:color w:val="000000"/>
          <w:sz w:val="36"/>
          <w:szCs w:val="36"/>
        </w:rPr>
      </w:pPr>
      <w:r>
        <w:rPr>
          <w:rFonts w:ascii="仿宋" w:hAnsi="仿宋" w:eastAsia="仿宋"/>
          <w:color w:val="000000"/>
          <w:sz w:val="36"/>
          <w:szCs w:val="36"/>
        </w:rPr>
        <w:t xml:space="preserve"> </w:t>
      </w:r>
    </w:p>
    <w:p w14:paraId="44BA9E0A">
      <w:pPr>
        <w:pStyle w:val="4"/>
        <w:widowControl/>
        <w:shd w:val="clear" w:color="auto" w:fill="FFFFFF"/>
        <w:spacing w:before="0" w:beforeAutospacing="0" w:after="0" w:afterAutospacing="0" w:line="480" w:lineRule="atLeast"/>
        <w:jc w:val="both"/>
        <w:rPr>
          <w:rFonts w:ascii="仿宋" w:hAnsi="仿宋" w:eastAsia="仿宋"/>
          <w:color w:val="000000"/>
          <w:sz w:val="36"/>
          <w:szCs w:val="36"/>
        </w:rPr>
      </w:pPr>
      <w:r>
        <w:rPr>
          <w:rFonts w:ascii="仿宋" w:hAnsi="仿宋" w:eastAsia="仿宋"/>
          <w:color w:val="000000"/>
          <w:sz w:val="36"/>
          <w:szCs w:val="36"/>
        </w:rPr>
        <w:t xml:space="preserve"> </w:t>
      </w:r>
    </w:p>
    <w:p w14:paraId="1497BB4D">
      <w:pPr>
        <w:pStyle w:val="4"/>
        <w:widowControl/>
        <w:shd w:val="clear" w:color="auto" w:fill="FFFFFF"/>
        <w:spacing w:before="0" w:beforeAutospacing="0" w:after="0" w:afterAutospacing="0" w:line="480" w:lineRule="atLeast"/>
        <w:jc w:val="both"/>
        <w:rPr>
          <w:rFonts w:ascii="仿宋" w:hAnsi="仿宋" w:eastAsia="仿宋"/>
          <w:color w:val="000000"/>
          <w:sz w:val="36"/>
          <w:szCs w:val="36"/>
        </w:rPr>
      </w:pPr>
      <w:r>
        <w:rPr>
          <w:rFonts w:ascii="仿宋" w:hAnsi="仿宋" w:eastAsia="仿宋"/>
          <w:color w:val="000000"/>
          <w:sz w:val="36"/>
          <w:szCs w:val="36"/>
        </w:rPr>
        <w:t xml:space="preserve"> </w:t>
      </w:r>
    </w:p>
    <w:p w14:paraId="57A96C2A">
      <w:pPr>
        <w:pStyle w:val="4"/>
        <w:widowControl/>
        <w:shd w:val="clear" w:color="auto" w:fill="FFFFFF"/>
        <w:spacing w:before="0" w:beforeAutospacing="0" w:after="0" w:afterAutospacing="0" w:line="480" w:lineRule="atLeast"/>
        <w:jc w:val="both"/>
        <w:rPr>
          <w:rFonts w:ascii="仿宋" w:hAnsi="仿宋" w:eastAsia="仿宋"/>
          <w:color w:val="000000"/>
          <w:sz w:val="36"/>
          <w:szCs w:val="36"/>
        </w:rPr>
      </w:pPr>
      <w:r>
        <w:rPr>
          <w:rFonts w:ascii="仿宋" w:hAnsi="仿宋" w:eastAsia="仿宋"/>
          <w:color w:val="000000"/>
          <w:sz w:val="36"/>
          <w:szCs w:val="36"/>
        </w:rPr>
        <w:t xml:space="preserve"> </w:t>
      </w:r>
    </w:p>
    <w:p w14:paraId="29C52A62">
      <w:pPr>
        <w:pStyle w:val="4"/>
        <w:widowControl/>
        <w:shd w:val="clear" w:color="auto" w:fill="FFFFFF"/>
        <w:spacing w:before="0" w:beforeAutospacing="0" w:after="0" w:afterAutospacing="0" w:line="480" w:lineRule="atLeast"/>
        <w:jc w:val="both"/>
        <w:rPr>
          <w:rFonts w:ascii="仿宋" w:hAnsi="仿宋" w:eastAsia="仿宋"/>
          <w:color w:val="000000"/>
          <w:sz w:val="36"/>
          <w:szCs w:val="36"/>
        </w:rPr>
      </w:pPr>
      <w:r>
        <w:rPr>
          <w:rFonts w:ascii="仿宋" w:hAnsi="仿宋" w:eastAsia="仿宋"/>
          <w:color w:val="000000"/>
          <w:sz w:val="36"/>
          <w:szCs w:val="36"/>
        </w:rPr>
        <w:t xml:space="preserve"> </w:t>
      </w:r>
    </w:p>
    <w:p w14:paraId="2D4455C7">
      <w:pPr>
        <w:pStyle w:val="4"/>
        <w:widowControl/>
        <w:shd w:val="clear" w:color="auto" w:fill="FFFFFF"/>
        <w:spacing w:before="0" w:beforeAutospacing="0" w:after="0" w:afterAutospacing="0" w:line="480" w:lineRule="atLeast"/>
        <w:jc w:val="both"/>
        <w:rPr>
          <w:rFonts w:ascii="仿宋" w:hAnsi="仿宋" w:eastAsia="仿宋"/>
          <w:color w:val="000000"/>
          <w:sz w:val="36"/>
          <w:szCs w:val="36"/>
        </w:rPr>
      </w:pPr>
      <w:r>
        <w:rPr>
          <w:rFonts w:ascii="仿宋" w:hAnsi="仿宋" w:eastAsia="仿宋"/>
          <w:color w:val="000000"/>
          <w:sz w:val="36"/>
          <w:szCs w:val="36"/>
        </w:rPr>
        <w:t xml:space="preserve"> </w:t>
      </w:r>
    </w:p>
    <w:p w14:paraId="19136ADF">
      <w:pPr>
        <w:pStyle w:val="4"/>
        <w:widowControl/>
        <w:shd w:val="clear" w:color="auto" w:fill="FFFFFF"/>
        <w:spacing w:before="0" w:beforeAutospacing="0" w:after="0" w:afterAutospacing="0" w:line="480" w:lineRule="atLeast"/>
        <w:jc w:val="both"/>
        <w:rPr>
          <w:rFonts w:ascii="仿宋" w:hAnsi="仿宋" w:eastAsia="仿宋"/>
          <w:color w:val="000000"/>
          <w:sz w:val="36"/>
          <w:szCs w:val="36"/>
        </w:rPr>
      </w:pPr>
      <w:r>
        <w:rPr>
          <w:rFonts w:ascii="仿宋" w:hAnsi="仿宋" w:eastAsia="仿宋"/>
          <w:color w:val="000000"/>
          <w:sz w:val="36"/>
          <w:szCs w:val="36"/>
        </w:rPr>
        <w:t xml:space="preserve"> </w:t>
      </w:r>
    </w:p>
    <w:p w14:paraId="1ED587B0">
      <w:pPr>
        <w:pStyle w:val="4"/>
        <w:widowControl/>
        <w:shd w:val="clear" w:color="auto" w:fill="FFFFFF"/>
        <w:spacing w:before="0" w:beforeAutospacing="0" w:after="0" w:afterAutospacing="0" w:line="480" w:lineRule="atLeast"/>
        <w:jc w:val="both"/>
        <w:rPr>
          <w:rFonts w:ascii="仿宋" w:hAnsi="仿宋" w:eastAsia="仿宋"/>
          <w:color w:val="000000"/>
          <w:sz w:val="36"/>
          <w:szCs w:val="36"/>
        </w:rPr>
      </w:pPr>
      <w:r>
        <w:rPr>
          <w:rFonts w:ascii="仿宋" w:hAnsi="仿宋" w:eastAsia="仿宋"/>
          <w:color w:val="000000"/>
          <w:sz w:val="36"/>
          <w:szCs w:val="36"/>
        </w:rPr>
        <w:t xml:space="preserve"> </w:t>
      </w:r>
    </w:p>
    <w:p w14:paraId="486EB5E8">
      <w:pPr>
        <w:pStyle w:val="4"/>
        <w:widowControl/>
        <w:shd w:val="clear" w:color="auto" w:fill="FFFFFF"/>
        <w:autoSpaceDE w:val="0"/>
        <w:spacing w:before="0" w:beforeAutospacing="0" w:after="0" w:afterAutospacing="0" w:line="480" w:lineRule="exact"/>
        <w:jc w:val="both"/>
        <w:rPr>
          <w:rFonts w:ascii="仿宋" w:hAnsi="仿宋" w:eastAsia="仿宋"/>
          <w:color w:val="000000"/>
          <w:sz w:val="36"/>
          <w:szCs w:val="36"/>
          <w:shd w:val="clear" w:color="auto" w:fill="FFFFFF"/>
        </w:rPr>
      </w:pPr>
      <w:r>
        <w:rPr>
          <w:rFonts w:ascii="仿宋" w:hAnsi="仿宋" w:eastAsia="仿宋"/>
          <w:color w:val="000000"/>
          <w:sz w:val="36"/>
          <w:szCs w:val="36"/>
          <w:shd w:val="clear" w:color="auto" w:fill="FFFFFF"/>
        </w:rPr>
        <w:t xml:space="preserve"> </w:t>
      </w:r>
    </w:p>
    <w:p w14:paraId="3A21F557">
      <w:pPr>
        <w:pStyle w:val="4"/>
        <w:widowControl/>
        <w:shd w:val="clear" w:color="auto" w:fill="FFFFFF"/>
        <w:autoSpaceDE w:val="0"/>
        <w:spacing w:before="0" w:beforeAutospacing="0" w:after="0" w:afterAutospacing="0" w:line="480" w:lineRule="exact"/>
        <w:jc w:val="both"/>
        <w:rPr>
          <w:rFonts w:ascii="仿宋" w:hAnsi="仿宋" w:eastAsia="仿宋"/>
          <w:color w:val="000000"/>
          <w:sz w:val="36"/>
          <w:szCs w:val="36"/>
          <w:shd w:val="clear" w:color="auto" w:fill="FFFFFF"/>
        </w:rPr>
      </w:pPr>
      <w:r>
        <w:rPr>
          <w:rFonts w:ascii="仿宋" w:hAnsi="仿宋" w:eastAsia="仿宋"/>
          <w:color w:val="000000"/>
          <w:sz w:val="36"/>
          <w:szCs w:val="36"/>
          <w:shd w:val="clear" w:color="auto" w:fill="FFFFFF"/>
        </w:rPr>
        <w:t xml:space="preserve"> </w:t>
      </w:r>
    </w:p>
    <w:p w14:paraId="78369844">
      <w:pPr>
        <w:rPr>
          <w:rFonts w:ascii="仿宋" w:hAnsi="仿宋" w:eastAsia="仿宋"/>
          <w:sz w:val="36"/>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gzNmFlZTM3ODQ0MjY5YTcxN2ZjY2FmN2ZhZDcxMGUifQ=="/>
  </w:docVars>
  <w:rsids>
    <w:rsidRoot w:val="00C1047A"/>
    <w:rsid w:val="000417D8"/>
    <w:rsid w:val="00066331"/>
    <w:rsid w:val="002F6593"/>
    <w:rsid w:val="002F7E08"/>
    <w:rsid w:val="003A6DB2"/>
    <w:rsid w:val="005A14C6"/>
    <w:rsid w:val="005B78F4"/>
    <w:rsid w:val="0062774B"/>
    <w:rsid w:val="00640327"/>
    <w:rsid w:val="006D158E"/>
    <w:rsid w:val="00A310EE"/>
    <w:rsid w:val="00A31822"/>
    <w:rsid w:val="00A3260A"/>
    <w:rsid w:val="00BB6E12"/>
    <w:rsid w:val="00C1047A"/>
    <w:rsid w:val="00CD35EF"/>
    <w:rsid w:val="00D57686"/>
    <w:rsid w:val="00F2482E"/>
    <w:rsid w:val="1CCC1659"/>
    <w:rsid w:val="1E0A0678"/>
    <w:rsid w:val="33026D4E"/>
    <w:rsid w:val="4F440D42"/>
    <w:rsid w:val="5E0D0C6C"/>
    <w:rsid w:val="699D48F4"/>
    <w:rsid w:val="70495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customStyle="1" w:styleId="2">
    <w:name w:val="BodyText1I2"/>
    <w:basedOn w:val="3"/>
    <w:next w:val="1"/>
    <w:unhideWhenUsed/>
    <w:qFormat/>
    <w:uiPriority w:val="0"/>
    <w:pPr>
      <w:ind w:firstLine="200" w:firstLineChars="200"/>
    </w:pPr>
    <w:rPr>
      <w:rFonts w:hint="default" w:ascii="Calibri" w:hAnsi="Calibri" w:eastAsia="仿宋_GB2312"/>
      <w:sz w:val="36"/>
    </w:rPr>
  </w:style>
  <w:style w:type="paragraph" w:customStyle="1" w:styleId="3">
    <w:name w:val="BodyTextIndent"/>
    <w:basedOn w:val="1"/>
    <w:unhideWhenUsed/>
    <w:qFormat/>
    <w:uiPriority w:val="0"/>
    <w:pPr>
      <w:spacing w:after="120"/>
      <w:ind w:left="420" w:leftChars="200"/>
      <w:textAlignment w:val="baseline"/>
    </w:pPr>
    <w:rPr>
      <w:rFonts w:hint="eastAsia"/>
      <w:sz w:val="21"/>
      <w:lang w:val="en-US" w:eastAsia="zh-CN"/>
    </w:rPr>
  </w:style>
  <w:style w:type="paragraph" w:styleId="4">
    <w:name w:val="Normal (Web)"/>
    <w:basedOn w:val="1"/>
    <w:unhideWhenUsed/>
    <w:qFormat/>
    <w:uiPriority w:val="99"/>
    <w:pPr>
      <w:spacing w:before="100" w:beforeAutospacing="1" w:after="100" w:afterAutospacing="1"/>
      <w:jc w:val="left"/>
    </w:pPr>
    <w:rPr>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3947</Words>
  <Characters>4335</Characters>
  <Lines>29</Lines>
  <Paragraphs>8</Paragraphs>
  <TotalTime>2</TotalTime>
  <ScaleCrop>false</ScaleCrop>
  <LinksUpToDate>false</LinksUpToDate>
  <CharactersWithSpaces>4387</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2024-08-21T01:32:00Z</dcterms:created>
  <dc:creator>Windows 用户</dc:creator>
  <cp:lastModifiedBy>Administrator</cp:lastModifiedBy>
  <dcterms:modified xsi:type="dcterms:W3CDTF">2024-09-11T01:01:33Z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97FA2CF776514350A45E6C0B6F8F8957_12</vt:lpwstr>
  </property>
</Properties>
</file>