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B61F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附件1-2</w:t>
      </w:r>
    </w:p>
    <w:p w14:paraId="61D375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  <w:t>整体支出绩效自评表</w:t>
      </w:r>
    </w:p>
    <w:tbl>
      <w:tblPr>
        <w:tblStyle w:val="3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927"/>
        <w:gridCol w:w="1091"/>
        <w:gridCol w:w="1454"/>
        <w:gridCol w:w="95"/>
        <w:gridCol w:w="1200"/>
        <w:gridCol w:w="1134"/>
        <w:gridCol w:w="709"/>
        <w:gridCol w:w="460"/>
        <w:gridCol w:w="1193"/>
      </w:tblGrid>
      <w:tr w14:paraId="05B55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999" w:type="dxa"/>
            <w:noWrap w:val="0"/>
            <w:vAlign w:val="center"/>
          </w:tcPr>
          <w:p w14:paraId="0FDAC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8263" w:type="dxa"/>
            <w:gridSpan w:val="9"/>
            <w:noWrap w:val="0"/>
            <w:vAlign w:val="center"/>
          </w:tcPr>
          <w:p w14:paraId="0F03E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eastAsia="zh-CN"/>
              </w:rPr>
              <w:t>会同县统计局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7BD0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99" w:type="dxa"/>
            <w:vMerge w:val="restart"/>
            <w:noWrap w:val="0"/>
            <w:vAlign w:val="center"/>
          </w:tcPr>
          <w:p w14:paraId="4C57E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年度预</w:t>
            </w:r>
          </w:p>
          <w:p w14:paraId="283EE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018" w:type="dxa"/>
            <w:gridSpan w:val="2"/>
            <w:noWrap w:val="0"/>
            <w:vAlign w:val="center"/>
          </w:tcPr>
          <w:p w14:paraId="40479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27AE6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年初</w:t>
            </w:r>
          </w:p>
          <w:p w14:paraId="789DCE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预算数</w:t>
            </w:r>
          </w:p>
        </w:tc>
        <w:tc>
          <w:tcPr>
            <w:tcW w:w="1295" w:type="dxa"/>
            <w:gridSpan w:val="2"/>
            <w:noWrap w:val="0"/>
            <w:vAlign w:val="center"/>
          </w:tcPr>
          <w:p w14:paraId="706AE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全年预算数</w:t>
            </w:r>
          </w:p>
        </w:tc>
        <w:tc>
          <w:tcPr>
            <w:tcW w:w="1134" w:type="dxa"/>
            <w:noWrap w:val="0"/>
            <w:vAlign w:val="center"/>
          </w:tcPr>
          <w:p w14:paraId="2F721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2AADD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709" w:type="dxa"/>
            <w:noWrap w:val="0"/>
            <w:vAlign w:val="center"/>
          </w:tcPr>
          <w:p w14:paraId="34B18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460" w:type="dxa"/>
            <w:noWrap w:val="0"/>
            <w:vAlign w:val="center"/>
          </w:tcPr>
          <w:p w14:paraId="1D0FB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193" w:type="dxa"/>
            <w:noWrap w:val="0"/>
            <w:vAlign w:val="center"/>
          </w:tcPr>
          <w:p w14:paraId="5ED91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61498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72F80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noWrap w:val="0"/>
            <w:vAlign w:val="center"/>
          </w:tcPr>
          <w:p w14:paraId="71F69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454" w:type="dxa"/>
            <w:noWrap w:val="0"/>
            <w:vAlign w:val="center"/>
          </w:tcPr>
          <w:p w14:paraId="110D8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sz w:val="20"/>
                <w:szCs w:val="20"/>
                <w:lang w:val="en-US" w:eastAsia="zh-CN"/>
              </w:rPr>
              <w:t>298.17</w:t>
            </w:r>
          </w:p>
        </w:tc>
        <w:tc>
          <w:tcPr>
            <w:tcW w:w="1295" w:type="dxa"/>
            <w:gridSpan w:val="2"/>
            <w:noWrap w:val="0"/>
            <w:vAlign w:val="center"/>
          </w:tcPr>
          <w:p w14:paraId="76828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sz w:val="20"/>
                <w:szCs w:val="20"/>
                <w:lang w:val="en-US" w:eastAsia="zh-CN"/>
              </w:rPr>
              <w:t>934.44</w:t>
            </w:r>
          </w:p>
        </w:tc>
        <w:tc>
          <w:tcPr>
            <w:tcW w:w="1134" w:type="dxa"/>
            <w:noWrap w:val="0"/>
            <w:vAlign w:val="center"/>
          </w:tcPr>
          <w:p w14:paraId="1E7737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sz w:val="20"/>
                <w:szCs w:val="20"/>
                <w:lang w:val="en-US" w:eastAsia="zh-CN"/>
              </w:rPr>
              <w:t>934.44</w:t>
            </w:r>
          </w:p>
        </w:tc>
        <w:tc>
          <w:tcPr>
            <w:tcW w:w="709" w:type="dxa"/>
            <w:noWrap w:val="0"/>
            <w:vAlign w:val="center"/>
          </w:tcPr>
          <w:p w14:paraId="29421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460" w:type="dxa"/>
            <w:noWrap w:val="0"/>
            <w:vAlign w:val="center"/>
          </w:tcPr>
          <w:p w14:paraId="35286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3" w:type="dxa"/>
            <w:noWrap w:val="0"/>
            <w:vAlign w:val="center"/>
          </w:tcPr>
          <w:p w14:paraId="7FEBF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sz w:val="20"/>
                <w:szCs w:val="20"/>
                <w:lang w:val="en-US" w:eastAsia="zh-CN"/>
              </w:rPr>
              <w:t>10</w:t>
            </w:r>
          </w:p>
        </w:tc>
      </w:tr>
      <w:tr w14:paraId="7E5B1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44AFE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noWrap w:val="0"/>
            <w:vAlign w:val="center"/>
          </w:tcPr>
          <w:p w14:paraId="0D093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按收入性质分：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934.44</w:t>
            </w:r>
          </w:p>
        </w:tc>
        <w:tc>
          <w:tcPr>
            <w:tcW w:w="3496" w:type="dxa"/>
            <w:gridSpan w:val="4"/>
            <w:noWrap w:val="0"/>
            <w:vAlign w:val="center"/>
          </w:tcPr>
          <w:p w14:paraId="09E22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按支出性质分：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934.44</w:t>
            </w:r>
          </w:p>
        </w:tc>
      </w:tr>
      <w:tr w14:paraId="4A03B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2210B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noWrap w:val="0"/>
            <w:vAlign w:val="center"/>
          </w:tcPr>
          <w:p w14:paraId="5ABAB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934.44</w:t>
            </w:r>
          </w:p>
        </w:tc>
        <w:tc>
          <w:tcPr>
            <w:tcW w:w="3496" w:type="dxa"/>
            <w:gridSpan w:val="4"/>
            <w:noWrap w:val="0"/>
            <w:vAlign w:val="center"/>
          </w:tcPr>
          <w:p w14:paraId="1E9E1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其中：基本支出：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296.52</w:t>
            </w:r>
          </w:p>
        </w:tc>
      </w:tr>
      <w:tr w14:paraId="20A1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112D7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noWrap w:val="0"/>
            <w:vAlign w:val="center"/>
          </w:tcPr>
          <w:p w14:paraId="1B8C26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708" w:firstLineChars="4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政府性基金拨款：</w:t>
            </w:r>
          </w:p>
        </w:tc>
        <w:tc>
          <w:tcPr>
            <w:tcW w:w="3496" w:type="dxa"/>
            <w:gridSpan w:val="4"/>
            <w:noWrap w:val="0"/>
            <w:vAlign w:val="center"/>
          </w:tcPr>
          <w:p w14:paraId="1417C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531" w:firstLineChars="3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项目支出：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637.92</w:t>
            </w:r>
          </w:p>
        </w:tc>
      </w:tr>
      <w:tr w14:paraId="30087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1C0AD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noWrap w:val="0"/>
            <w:vAlign w:val="center"/>
          </w:tcPr>
          <w:p w14:paraId="665F6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3496" w:type="dxa"/>
            <w:gridSpan w:val="4"/>
            <w:noWrap w:val="0"/>
            <w:vAlign w:val="center"/>
          </w:tcPr>
          <w:p w14:paraId="46C8B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295C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3292F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noWrap w:val="0"/>
            <w:vAlign w:val="center"/>
          </w:tcPr>
          <w:p w14:paraId="1BC32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239" w:firstLineChars="7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其他资金：</w:t>
            </w:r>
          </w:p>
        </w:tc>
        <w:tc>
          <w:tcPr>
            <w:tcW w:w="3496" w:type="dxa"/>
            <w:gridSpan w:val="4"/>
            <w:noWrap w:val="0"/>
            <w:vAlign w:val="center"/>
          </w:tcPr>
          <w:p w14:paraId="7FE88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4.17</w:t>
            </w:r>
          </w:p>
        </w:tc>
      </w:tr>
      <w:tr w14:paraId="6A30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9" w:type="dxa"/>
            <w:vMerge w:val="restart"/>
            <w:noWrap w:val="0"/>
            <w:vAlign w:val="center"/>
          </w:tcPr>
          <w:p w14:paraId="38CAD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767" w:type="dxa"/>
            <w:gridSpan w:val="5"/>
            <w:noWrap w:val="0"/>
            <w:vAlign w:val="center"/>
          </w:tcPr>
          <w:p w14:paraId="1EC4B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496" w:type="dxa"/>
            <w:gridSpan w:val="4"/>
            <w:noWrap w:val="0"/>
            <w:vAlign w:val="center"/>
          </w:tcPr>
          <w:p w14:paraId="75EDF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14ADC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0DC14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noWrap w:val="0"/>
            <w:vAlign w:val="center"/>
          </w:tcPr>
          <w:p w14:paraId="257DB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3496" w:type="dxa"/>
            <w:gridSpan w:val="4"/>
            <w:noWrap w:val="0"/>
            <w:vAlign w:val="center"/>
          </w:tcPr>
          <w:p w14:paraId="2DF40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08EE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99" w:type="dxa"/>
            <w:vMerge w:val="restart"/>
            <w:noWrap w:val="0"/>
            <w:vAlign w:val="center"/>
          </w:tcPr>
          <w:p w14:paraId="0DBCF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7F1D0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63C03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3EEA0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927" w:type="dxa"/>
            <w:noWrap w:val="0"/>
            <w:vAlign w:val="center"/>
          </w:tcPr>
          <w:p w14:paraId="777AC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91" w:type="dxa"/>
            <w:noWrap w:val="0"/>
            <w:vAlign w:val="center"/>
          </w:tcPr>
          <w:p w14:paraId="73E07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549" w:type="dxa"/>
            <w:gridSpan w:val="2"/>
            <w:noWrap w:val="0"/>
            <w:vAlign w:val="center"/>
          </w:tcPr>
          <w:p w14:paraId="34790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0" w:type="dxa"/>
            <w:noWrap w:val="0"/>
            <w:vAlign w:val="center"/>
          </w:tcPr>
          <w:p w14:paraId="061AC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64AEA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4D595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57DEE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709" w:type="dxa"/>
            <w:noWrap w:val="0"/>
            <w:vAlign w:val="center"/>
          </w:tcPr>
          <w:p w14:paraId="7DAC75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60" w:type="dxa"/>
            <w:noWrap w:val="0"/>
            <w:vAlign w:val="center"/>
          </w:tcPr>
          <w:p w14:paraId="7D994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93" w:type="dxa"/>
            <w:noWrap w:val="0"/>
            <w:vAlign w:val="top"/>
          </w:tcPr>
          <w:p w14:paraId="0F939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E1C0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156E6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6815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1B388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restart"/>
            <w:noWrap w:val="0"/>
            <w:vAlign w:val="center"/>
          </w:tcPr>
          <w:p w14:paraId="3C573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302A4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50分)</w:t>
            </w:r>
          </w:p>
        </w:tc>
        <w:tc>
          <w:tcPr>
            <w:tcW w:w="1091" w:type="dxa"/>
            <w:vMerge w:val="restart"/>
            <w:noWrap w:val="0"/>
            <w:vAlign w:val="center"/>
          </w:tcPr>
          <w:p w14:paraId="636879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</w:t>
            </w:r>
          </w:p>
          <w:p w14:paraId="4B814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549" w:type="dxa"/>
            <w:gridSpan w:val="2"/>
            <w:shd w:val="clear"/>
            <w:noWrap w:val="0"/>
            <w:vAlign w:val="center"/>
          </w:tcPr>
          <w:p w14:paraId="2970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eastAsia="仿宋" w:asciiTheme="minorEastAsia" w:hAnsiTheme="minorEastAsia" w:cstheme="minorEastAsia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5"/>
                <w:szCs w:val="15"/>
              </w:rPr>
              <w:t>保证工资支出和正常运转，完成统计各项管理工作任务。</w:t>
            </w:r>
          </w:p>
        </w:tc>
        <w:tc>
          <w:tcPr>
            <w:tcW w:w="1200" w:type="dxa"/>
            <w:shd w:val="clear"/>
            <w:noWrap w:val="0"/>
            <w:vAlign w:val="center"/>
          </w:tcPr>
          <w:p w14:paraId="7DCF041D">
            <w:pPr>
              <w:jc w:val="center"/>
              <w:rPr>
                <w:rFonts w:hint="eastAsia" w:ascii="仿宋" w:hAnsi="仿宋" w:eastAsia="仿宋" w:cstheme="minorBidi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0"/>
                <w:sz w:val="13"/>
                <w:szCs w:val="13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14A3F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9" w:type="dxa"/>
            <w:noWrap w:val="0"/>
            <w:vAlign w:val="center"/>
          </w:tcPr>
          <w:p w14:paraId="033AA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2B690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noWrap w:val="0"/>
            <w:vAlign w:val="center"/>
          </w:tcPr>
          <w:p w14:paraId="1ACB1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92DC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6051C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64AB73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vMerge w:val="continue"/>
            <w:noWrap w:val="0"/>
            <w:vAlign w:val="center"/>
          </w:tcPr>
          <w:p w14:paraId="4BFB3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shd w:val="clear"/>
            <w:noWrap w:val="0"/>
            <w:vAlign w:val="center"/>
          </w:tcPr>
          <w:p w14:paraId="475A4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eastAsia="仿宋" w:asciiTheme="minorEastAsia" w:hAnsiTheme="minorEastAsia" w:cstheme="minorEastAsia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 xml:space="preserve"> 202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年统计基础工作、怀化统计年鉴</w:t>
            </w:r>
            <w:r>
              <w:rPr>
                <w:rFonts w:hint="eastAsia" w:cs="新宋体" w:asciiTheme="minorEastAsia" w:hAnsiTheme="minorEastAsia"/>
                <w:color w:val="000000" w:themeColor="text1"/>
                <w:kern w:val="0"/>
                <w:sz w:val="15"/>
                <w:szCs w:val="15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工作、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专项统计考核工作任务、专项统计普查工作。</w:t>
            </w:r>
          </w:p>
        </w:tc>
        <w:tc>
          <w:tcPr>
            <w:tcW w:w="1200" w:type="dxa"/>
            <w:shd w:val="clear"/>
            <w:noWrap w:val="0"/>
            <w:vAlign w:val="center"/>
          </w:tcPr>
          <w:p w14:paraId="213E4BB6">
            <w:pPr>
              <w:jc w:val="center"/>
              <w:rPr>
                <w:rFonts w:hint="eastAsia" w:ascii="仿宋" w:hAnsi="仿宋" w:eastAsia="仿宋" w:cstheme="minorBidi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0"/>
                <w:sz w:val="13"/>
                <w:szCs w:val="13"/>
              </w:rPr>
              <w:t>98%</w:t>
            </w:r>
          </w:p>
        </w:tc>
        <w:tc>
          <w:tcPr>
            <w:tcW w:w="1134" w:type="dxa"/>
            <w:noWrap w:val="0"/>
            <w:vAlign w:val="center"/>
          </w:tcPr>
          <w:p w14:paraId="03282B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709" w:type="dxa"/>
            <w:noWrap w:val="0"/>
            <w:vAlign w:val="center"/>
          </w:tcPr>
          <w:p w14:paraId="1F8F4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76940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noWrap w:val="0"/>
            <w:vAlign w:val="center"/>
          </w:tcPr>
          <w:p w14:paraId="39CD6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4F8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18002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5437A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vMerge w:val="restart"/>
            <w:noWrap w:val="0"/>
            <w:vAlign w:val="center"/>
          </w:tcPr>
          <w:p w14:paraId="1BEED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</w:t>
            </w:r>
          </w:p>
          <w:p w14:paraId="57AB4C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549" w:type="dxa"/>
            <w:gridSpan w:val="2"/>
            <w:shd w:val="clear"/>
            <w:noWrap w:val="0"/>
            <w:vAlign w:val="center"/>
          </w:tcPr>
          <w:p w14:paraId="65B68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保证工资支出和正常运转，确保财政资金规范使用。</w:t>
            </w:r>
          </w:p>
        </w:tc>
        <w:tc>
          <w:tcPr>
            <w:tcW w:w="1200" w:type="dxa"/>
            <w:noWrap w:val="0"/>
            <w:vAlign w:val="center"/>
          </w:tcPr>
          <w:p w14:paraId="75B85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6AABE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9" w:type="dxa"/>
            <w:noWrap w:val="0"/>
            <w:vAlign w:val="center"/>
          </w:tcPr>
          <w:p w14:paraId="3AF06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13A3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11C9E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2ECF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tcBorders/>
            <w:noWrap w:val="0"/>
            <w:vAlign w:val="center"/>
          </w:tcPr>
          <w:p w14:paraId="2A313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E072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B701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3D320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37390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vMerge w:val="restart"/>
            <w:noWrap w:val="0"/>
            <w:vAlign w:val="center"/>
          </w:tcPr>
          <w:p w14:paraId="110F4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</w:t>
            </w:r>
          </w:p>
          <w:p w14:paraId="22127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549" w:type="dxa"/>
            <w:gridSpan w:val="2"/>
            <w:shd w:val="clear"/>
            <w:noWrap w:val="0"/>
            <w:vAlign w:val="center"/>
          </w:tcPr>
          <w:p w14:paraId="4A6AA16D">
            <w:pPr>
              <w:rPr>
                <w:rFonts w:hint="eastAsia" w:eastAsia="仿宋" w:asciiTheme="minorEastAsia" w:hAnsiTheme="minorEastAsia" w:cstheme="minorEastAsia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5"/>
                <w:szCs w:val="15"/>
                <w:lang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15"/>
                <w:szCs w:val="15"/>
              </w:rPr>
              <w:t>年12月完成。</w:t>
            </w:r>
          </w:p>
        </w:tc>
        <w:tc>
          <w:tcPr>
            <w:tcW w:w="1200" w:type="dxa"/>
            <w:noWrap w:val="0"/>
            <w:vAlign w:val="center"/>
          </w:tcPr>
          <w:p w14:paraId="6016C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5A4EC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9" w:type="dxa"/>
            <w:noWrap w:val="0"/>
            <w:vAlign w:val="center"/>
          </w:tcPr>
          <w:p w14:paraId="0EEB7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C477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55DE9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A51A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tcBorders/>
            <w:noWrap w:val="0"/>
            <w:vAlign w:val="center"/>
          </w:tcPr>
          <w:p w14:paraId="43531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1A76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C12D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787DB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7532B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vMerge w:val="restart"/>
            <w:noWrap w:val="0"/>
            <w:vAlign w:val="center"/>
          </w:tcPr>
          <w:p w14:paraId="673F7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  <w:p w14:paraId="4A6F7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549" w:type="dxa"/>
            <w:gridSpan w:val="2"/>
            <w:shd w:val="clear"/>
            <w:noWrap w:val="0"/>
            <w:vAlign w:val="center"/>
          </w:tcPr>
          <w:p w14:paraId="0D8F1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基本支出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  <w:t>296.52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万元，其中工资福利支出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  <w:t>263.03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万元、商品和服务支出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  <w:t>33.49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万元（公务接待费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  <w:t>1.5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万元、公车经费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  <w:t>2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万元）。</w:t>
            </w:r>
          </w:p>
        </w:tc>
        <w:tc>
          <w:tcPr>
            <w:tcW w:w="1200" w:type="dxa"/>
            <w:shd w:val="clear"/>
            <w:noWrap w:val="0"/>
            <w:vAlign w:val="center"/>
          </w:tcPr>
          <w:p w14:paraId="450738CE">
            <w:pPr>
              <w:jc w:val="center"/>
              <w:rPr>
                <w:rFonts w:hint="eastAsia" w:ascii="仿宋" w:hAnsi="仿宋" w:eastAsia="仿宋" w:cstheme="minorBidi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0"/>
                <w:sz w:val="13"/>
                <w:szCs w:val="13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17BB9E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9" w:type="dxa"/>
            <w:noWrap w:val="0"/>
            <w:vAlign w:val="center"/>
          </w:tcPr>
          <w:p w14:paraId="7CB23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22A75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noWrap w:val="0"/>
            <w:vAlign w:val="center"/>
          </w:tcPr>
          <w:p w14:paraId="43DFE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134E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5EC5B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35DE5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vMerge w:val="continue"/>
            <w:noWrap w:val="0"/>
            <w:vAlign w:val="center"/>
          </w:tcPr>
          <w:p w14:paraId="0D6F8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shd w:val="clear"/>
            <w:noWrap w:val="0"/>
            <w:vAlign w:val="center"/>
          </w:tcPr>
          <w:p w14:paraId="0D3A1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 xml:space="preserve"> 项目支出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  <w:t>92.8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万元（经常性补助48万元、统计年鉴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万元、专项统计考核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  <w:t>26.8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万元、统计抽样调查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  <w:t>12</w:t>
            </w: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万元））。</w:t>
            </w:r>
          </w:p>
        </w:tc>
        <w:tc>
          <w:tcPr>
            <w:tcW w:w="1200" w:type="dxa"/>
            <w:shd w:val="clear"/>
            <w:noWrap w:val="0"/>
            <w:vAlign w:val="center"/>
          </w:tcPr>
          <w:p w14:paraId="484F4B7B">
            <w:pPr>
              <w:jc w:val="center"/>
              <w:rPr>
                <w:rFonts w:hint="eastAsia" w:ascii="仿宋" w:hAnsi="仿宋" w:eastAsia="仿宋" w:cstheme="minorBidi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0"/>
                <w:sz w:val="13"/>
                <w:szCs w:val="13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5F7C4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9" w:type="dxa"/>
            <w:noWrap w:val="0"/>
            <w:vAlign w:val="center"/>
          </w:tcPr>
          <w:p w14:paraId="78D9A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2F497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noWrap w:val="0"/>
            <w:vAlign w:val="center"/>
          </w:tcPr>
          <w:p w14:paraId="6E484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417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1087A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restart"/>
            <w:noWrap w:val="0"/>
            <w:vAlign w:val="center"/>
          </w:tcPr>
          <w:p w14:paraId="0D6C4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04503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1091" w:type="dxa"/>
            <w:vMerge w:val="restart"/>
            <w:noWrap w:val="0"/>
            <w:vAlign w:val="center"/>
          </w:tcPr>
          <w:p w14:paraId="1A2D2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2BE07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49" w:type="dxa"/>
            <w:gridSpan w:val="2"/>
            <w:noWrap w:val="0"/>
            <w:vAlign w:val="center"/>
          </w:tcPr>
          <w:p w14:paraId="707B95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6585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8A0B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2E57A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15B5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09" w:type="dxa"/>
            <w:noWrap w:val="0"/>
            <w:vAlign w:val="center"/>
          </w:tcPr>
          <w:p w14:paraId="2EC9C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A334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0ABE85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2E06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tcBorders/>
            <w:noWrap w:val="0"/>
            <w:vAlign w:val="center"/>
          </w:tcPr>
          <w:p w14:paraId="118CF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6EF0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703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72256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73BCE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vMerge w:val="restart"/>
            <w:noWrap w:val="0"/>
            <w:vAlign w:val="center"/>
          </w:tcPr>
          <w:p w14:paraId="56180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4458C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49" w:type="dxa"/>
            <w:gridSpan w:val="2"/>
            <w:shd w:val="clear"/>
            <w:noWrap w:val="0"/>
            <w:vAlign w:val="center"/>
          </w:tcPr>
          <w:p w14:paraId="56F21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提供统计信息和咨询。促进社会和谐发展。</w:t>
            </w:r>
          </w:p>
        </w:tc>
        <w:tc>
          <w:tcPr>
            <w:tcW w:w="1200" w:type="dxa"/>
            <w:shd w:val="clear"/>
            <w:noWrap w:val="0"/>
            <w:vAlign w:val="center"/>
          </w:tcPr>
          <w:p w14:paraId="10C56CD7">
            <w:pPr>
              <w:jc w:val="center"/>
              <w:rPr>
                <w:rFonts w:hint="eastAsia" w:ascii="仿宋" w:hAnsi="仿宋" w:eastAsia="仿宋" w:cstheme="minorBidi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0"/>
                <w:sz w:val="13"/>
                <w:szCs w:val="13"/>
              </w:rPr>
              <w:t>98%</w:t>
            </w:r>
          </w:p>
        </w:tc>
        <w:tc>
          <w:tcPr>
            <w:tcW w:w="1134" w:type="dxa"/>
            <w:noWrap w:val="0"/>
            <w:vAlign w:val="center"/>
          </w:tcPr>
          <w:p w14:paraId="16550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709" w:type="dxa"/>
            <w:noWrap w:val="0"/>
            <w:vAlign w:val="center"/>
          </w:tcPr>
          <w:p w14:paraId="02617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579C6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noWrap w:val="0"/>
            <w:vAlign w:val="center"/>
          </w:tcPr>
          <w:p w14:paraId="54B77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0069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4E43DE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44E3A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vMerge w:val="continue"/>
            <w:noWrap w:val="0"/>
            <w:vAlign w:val="center"/>
          </w:tcPr>
          <w:p w14:paraId="26E70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shd w:val="clear"/>
            <w:noWrap w:val="0"/>
            <w:vAlign w:val="center"/>
          </w:tcPr>
          <w:p w14:paraId="24EF0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进行统计分析、统计预测和统计监督。</w:t>
            </w:r>
          </w:p>
        </w:tc>
        <w:tc>
          <w:tcPr>
            <w:tcW w:w="1200" w:type="dxa"/>
            <w:shd w:val="clear"/>
            <w:noWrap w:val="0"/>
            <w:vAlign w:val="center"/>
          </w:tcPr>
          <w:p w14:paraId="59BC2467">
            <w:pPr>
              <w:jc w:val="center"/>
              <w:rPr>
                <w:rFonts w:hint="eastAsia" w:ascii="仿宋" w:hAnsi="仿宋" w:eastAsia="仿宋" w:cstheme="minorBidi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0"/>
                <w:sz w:val="13"/>
                <w:szCs w:val="13"/>
              </w:rPr>
              <w:t>98%</w:t>
            </w:r>
          </w:p>
        </w:tc>
        <w:tc>
          <w:tcPr>
            <w:tcW w:w="1134" w:type="dxa"/>
            <w:noWrap w:val="0"/>
            <w:vAlign w:val="center"/>
          </w:tcPr>
          <w:p w14:paraId="67881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709" w:type="dxa"/>
            <w:noWrap w:val="0"/>
            <w:vAlign w:val="center"/>
          </w:tcPr>
          <w:p w14:paraId="35ACA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2FB98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noWrap w:val="0"/>
            <w:vAlign w:val="center"/>
          </w:tcPr>
          <w:p w14:paraId="6E57F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D630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3B904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74340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vMerge w:val="restart"/>
            <w:noWrap w:val="0"/>
            <w:vAlign w:val="center"/>
          </w:tcPr>
          <w:p w14:paraId="500D5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1D9D1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49" w:type="dxa"/>
            <w:gridSpan w:val="2"/>
            <w:noWrap w:val="0"/>
            <w:vAlign w:val="center"/>
          </w:tcPr>
          <w:p w14:paraId="10478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7799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747E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6376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3AB1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09" w:type="dxa"/>
            <w:noWrap w:val="0"/>
            <w:vAlign w:val="center"/>
          </w:tcPr>
          <w:p w14:paraId="769DD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9054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1E30B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0D35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tcBorders/>
            <w:noWrap w:val="0"/>
            <w:vAlign w:val="center"/>
          </w:tcPr>
          <w:p w14:paraId="5BFC2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E8FD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CD51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2C49E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53ADD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vMerge w:val="restart"/>
            <w:noWrap w:val="0"/>
            <w:vAlign w:val="center"/>
          </w:tcPr>
          <w:p w14:paraId="58B359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549" w:type="dxa"/>
            <w:gridSpan w:val="2"/>
            <w:shd w:val="clear"/>
            <w:noWrap w:val="0"/>
            <w:vAlign w:val="center"/>
          </w:tcPr>
          <w:p w14:paraId="3422F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>可持续影响数年以上. 促进社会和谐发展。</w:t>
            </w:r>
          </w:p>
        </w:tc>
        <w:tc>
          <w:tcPr>
            <w:tcW w:w="1200" w:type="dxa"/>
            <w:shd w:val="clear"/>
            <w:noWrap w:val="0"/>
            <w:vAlign w:val="center"/>
          </w:tcPr>
          <w:p w14:paraId="51111410">
            <w:pPr>
              <w:jc w:val="center"/>
              <w:rPr>
                <w:rFonts w:hint="eastAsia" w:ascii="仿宋" w:hAnsi="仿宋" w:eastAsia="仿宋" w:cstheme="minorBidi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0"/>
                <w:sz w:val="13"/>
                <w:szCs w:val="13"/>
              </w:rPr>
              <w:t>98%</w:t>
            </w:r>
          </w:p>
        </w:tc>
        <w:tc>
          <w:tcPr>
            <w:tcW w:w="1134" w:type="dxa"/>
            <w:noWrap w:val="0"/>
            <w:vAlign w:val="center"/>
          </w:tcPr>
          <w:p w14:paraId="70E64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709" w:type="dxa"/>
            <w:noWrap w:val="0"/>
            <w:vAlign w:val="center"/>
          </w:tcPr>
          <w:p w14:paraId="6FCF6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199F9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6F1ED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789A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tcBorders/>
            <w:noWrap w:val="0"/>
            <w:vAlign w:val="center"/>
          </w:tcPr>
          <w:p w14:paraId="6A81C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43FC1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7395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99" w:type="dxa"/>
            <w:vMerge w:val="continue"/>
            <w:noWrap w:val="0"/>
            <w:vAlign w:val="center"/>
          </w:tcPr>
          <w:p w14:paraId="53F68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noWrap w:val="0"/>
            <w:vAlign w:val="center"/>
          </w:tcPr>
          <w:p w14:paraId="3E074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FDC4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240F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91" w:type="dxa"/>
            <w:noWrap w:val="0"/>
            <w:vAlign w:val="center"/>
          </w:tcPr>
          <w:p w14:paraId="7917F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549" w:type="dxa"/>
            <w:gridSpan w:val="2"/>
            <w:shd w:val="clear"/>
            <w:noWrap w:val="0"/>
            <w:vAlign w:val="center"/>
          </w:tcPr>
          <w:p w14:paraId="4F27F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color w:val="000000"/>
                <w:kern w:val="0"/>
                <w:sz w:val="15"/>
                <w:szCs w:val="15"/>
              </w:rPr>
              <w:t xml:space="preserve">   为社会公众或服务对象提供统计信息和咨询，不断提高社会公众或服务对象对统计工作的 满意度。</w:t>
            </w:r>
          </w:p>
        </w:tc>
        <w:tc>
          <w:tcPr>
            <w:tcW w:w="1200" w:type="dxa"/>
            <w:shd w:val="clear"/>
            <w:noWrap w:val="0"/>
            <w:vAlign w:val="center"/>
          </w:tcPr>
          <w:p w14:paraId="5D461675">
            <w:pPr>
              <w:jc w:val="center"/>
              <w:rPr>
                <w:rFonts w:hint="eastAsia" w:ascii="仿宋" w:hAnsi="仿宋" w:eastAsia="仿宋" w:cstheme="minorBidi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0"/>
                <w:sz w:val="13"/>
                <w:szCs w:val="13"/>
              </w:rPr>
              <w:t>98%</w:t>
            </w:r>
          </w:p>
        </w:tc>
        <w:tc>
          <w:tcPr>
            <w:tcW w:w="1134" w:type="dxa"/>
            <w:noWrap w:val="0"/>
            <w:vAlign w:val="center"/>
          </w:tcPr>
          <w:p w14:paraId="5D8FA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709" w:type="dxa"/>
            <w:noWrap w:val="0"/>
            <w:vAlign w:val="center"/>
          </w:tcPr>
          <w:p w14:paraId="05102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1DF2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60" w:type="dxa"/>
            <w:noWrap w:val="0"/>
            <w:vAlign w:val="center"/>
          </w:tcPr>
          <w:p w14:paraId="6CEF0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2B831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tcBorders/>
            <w:noWrap w:val="0"/>
            <w:vAlign w:val="center"/>
          </w:tcPr>
          <w:p w14:paraId="06511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352502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78AF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00" w:type="dxa"/>
            <w:gridSpan w:val="7"/>
            <w:noWrap w:val="0"/>
            <w:vAlign w:val="center"/>
          </w:tcPr>
          <w:p w14:paraId="19BCB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709" w:type="dxa"/>
            <w:noWrap w:val="0"/>
            <w:vAlign w:val="center"/>
          </w:tcPr>
          <w:p w14:paraId="53B59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460" w:type="dxa"/>
            <w:noWrap w:val="0"/>
            <w:vAlign w:val="center"/>
          </w:tcPr>
          <w:p w14:paraId="22587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0"/>
                <w:szCs w:val="20"/>
                <w:lang w:val="en-US" w:eastAsia="zh-CN"/>
              </w:rPr>
              <w:t>92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93" w:type="dxa"/>
            <w:noWrap w:val="0"/>
            <w:vAlign w:val="center"/>
          </w:tcPr>
          <w:p w14:paraId="443E8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1A839E71">
      <w:pPr>
        <w:widowControl/>
        <w:tabs>
          <w:tab w:val="left" w:pos="1333"/>
          <w:tab w:val="left" w:pos="3793"/>
          <w:tab w:val="left" w:pos="5853"/>
        </w:tabs>
        <w:jc w:val="left"/>
      </w:pPr>
      <w:r>
        <w:rPr>
          <w:rFonts w:hint="eastAsia" w:asciiTheme="minorEastAsia" w:hAnsiTheme="minorEastAsia"/>
          <w:kern w:val="0"/>
          <w:sz w:val="15"/>
          <w:szCs w:val="15"/>
        </w:rPr>
        <w:t xml:space="preserve">单位负责人：    </w:t>
      </w:r>
      <w:r>
        <w:rPr>
          <w:rFonts w:hint="eastAsia" w:ascii="仿宋" w:hAnsi="仿宋" w:eastAsia="仿宋"/>
          <w:kern w:val="0"/>
          <w:sz w:val="15"/>
          <w:szCs w:val="15"/>
        </w:rPr>
        <w:t xml:space="preserve">                </w:t>
      </w:r>
      <w:r>
        <w:rPr>
          <w:rFonts w:hint="eastAsia" w:asciiTheme="minorEastAsia" w:hAnsiTheme="minorEastAsia"/>
          <w:kern w:val="0"/>
          <w:sz w:val="15"/>
          <w:szCs w:val="15"/>
        </w:rPr>
        <w:t>填表人：</w:t>
      </w:r>
      <w:r>
        <w:rPr>
          <w:rFonts w:hint="eastAsia" w:asciiTheme="minorEastAsia" w:hAnsiTheme="minorEastAsia"/>
          <w:kern w:val="0"/>
          <w:sz w:val="15"/>
          <w:szCs w:val="15"/>
          <w:lang w:eastAsia="zh-CN"/>
        </w:rPr>
        <w:t>粟勇</w:t>
      </w:r>
      <w:r>
        <w:rPr>
          <w:rFonts w:hint="eastAsia" w:ascii="仿宋" w:hAnsi="仿宋" w:eastAsia="仿宋"/>
          <w:kern w:val="0"/>
          <w:sz w:val="15"/>
          <w:szCs w:val="15"/>
        </w:rPr>
        <w:t xml:space="preserve">         </w:t>
      </w:r>
      <w:r>
        <w:rPr>
          <w:rFonts w:hint="eastAsia" w:asciiTheme="minorEastAsia" w:hAnsiTheme="minorEastAsia"/>
          <w:kern w:val="0"/>
          <w:sz w:val="15"/>
          <w:szCs w:val="15"/>
        </w:rPr>
        <w:t xml:space="preserve">联系电话：8822833 </w:t>
      </w:r>
      <w:r>
        <w:rPr>
          <w:rFonts w:hint="eastAsia" w:ascii="仿宋" w:hAnsi="仿宋" w:eastAsia="仿宋"/>
          <w:kern w:val="0"/>
          <w:sz w:val="15"/>
          <w:szCs w:val="15"/>
        </w:rPr>
        <w:t xml:space="preserve">           </w:t>
      </w:r>
      <w:r>
        <w:rPr>
          <w:rFonts w:hint="eastAsia" w:asciiTheme="minorEastAsia" w:hAnsiTheme="minorEastAsia"/>
          <w:kern w:val="0"/>
          <w:sz w:val="15"/>
          <w:szCs w:val="15"/>
        </w:rPr>
        <w:t>填报日期：202</w:t>
      </w:r>
      <w:r>
        <w:rPr>
          <w:rFonts w:hint="eastAsia" w:asciiTheme="minorEastAsia" w:hAnsiTheme="minorEastAsia"/>
          <w:kern w:val="0"/>
          <w:sz w:val="15"/>
          <w:szCs w:val="15"/>
          <w:lang w:val="en-US" w:eastAsia="zh-CN"/>
        </w:rPr>
        <w:t>2</w:t>
      </w:r>
      <w:r>
        <w:rPr>
          <w:rFonts w:hint="eastAsia" w:asciiTheme="minorEastAsia" w:hAnsiTheme="minorEastAsia"/>
          <w:kern w:val="0"/>
          <w:sz w:val="15"/>
          <w:szCs w:val="15"/>
        </w:rPr>
        <w:t>年</w:t>
      </w:r>
      <w:r>
        <w:rPr>
          <w:rFonts w:hint="eastAsia" w:asciiTheme="minorEastAsia" w:hAnsiTheme="minorEastAsia"/>
          <w:kern w:val="0"/>
          <w:sz w:val="15"/>
          <w:szCs w:val="15"/>
          <w:lang w:val="en-US" w:eastAsia="zh-CN"/>
        </w:rPr>
        <w:t>3</w:t>
      </w:r>
      <w:r>
        <w:rPr>
          <w:rFonts w:hint="eastAsia" w:asciiTheme="minorEastAsia" w:hAnsiTheme="minorEastAsia"/>
          <w:kern w:val="0"/>
          <w:sz w:val="15"/>
          <w:szCs w:val="15"/>
        </w:rPr>
        <w:t xml:space="preserve">月14日 </w:t>
      </w:r>
    </w:p>
    <w:sectPr>
      <w:pgSz w:w="11906" w:h="16838"/>
      <w:pgMar w:top="1160" w:right="1800" w:bottom="838" w:left="1800" w:header="851" w:footer="992" w:gutter="0"/>
      <w:paperSrc/>
      <w:cols w:space="0" w:num="1"/>
      <w:rtlGutter w:val="0"/>
      <w:docGrid w:type="linesAndChars" w:linePitch="436" w:charSpace="-47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48"/>
  <w:drawingGridVerticalSpacing w:val="218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1MGZhOWY1MzkyYTY0MGY2YWMwYmFkYTEwOGFmZWYifQ=="/>
  </w:docVars>
  <w:rsids>
    <w:rsidRoot w:val="23B3245C"/>
    <w:rsid w:val="09EE1557"/>
    <w:rsid w:val="0D196C1A"/>
    <w:rsid w:val="173F5BF6"/>
    <w:rsid w:val="1DE1421F"/>
    <w:rsid w:val="23B3245C"/>
    <w:rsid w:val="30E54344"/>
    <w:rsid w:val="3A96278C"/>
    <w:rsid w:val="413304D0"/>
    <w:rsid w:val="507932D2"/>
    <w:rsid w:val="5B3239BC"/>
    <w:rsid w:val="7661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2024-09-10T07:13:00Z</dcterms:created>
  <dc:creator>WPS_1667892344</dc:creator>
  <cp:lastModifiedBy>WPS_1667892344</cp:lastModifiedBy>
  <dcterms:modified xsi:type="dcterms:W3CDTF">2024-09-10T08:05:00Z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BC072E1FB2244D489860ABC5358DAE8D_11</vt:lpwstr>
  </property>
</Properties>
</file>