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highlight w:val="none"/>
        </w:rPr>
      </w:pPr>
      <w:r>
        <w:rPr>
          <w:rFonts w:hint="eastAsia" w:ascii="方正小标宋简体" w:hAnsi="方正小标宋简体" w:eastAsia="方正小标宋简体" w:cs="方正小标宋简体"/>
          <w:i w:val="0"/>
          <w:iCs w:val="0"/>
          <w:caps w:val="0"/>
          <w:color w:val="000000"/>
          <w:spacing w:val="0"/>
          <w:sz w:val="44"/>
          <w:szCs w:val="44"/>
          <w:highlight w:val="none"/>
          <w:shd w:val="clear" w:color="auto" w:fill="FFFFFF"/>
        </w:rPr>
        <w:t>项目支出绩效自评报告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highlight w:val="none"/>
        </w:rPr>
      </w:pPr>
      <w:r>
        <w:rPr>
          <w:rFonts w:hint="eastAsia" w:ascii="方正小标宋_GBK" w:hAnsi="方正小标宋_GBK" w:eastAsia="方正小标宋_GBK" w:cs="方正小标宋_GBK"/>
          <w:i w:val="0"/>
          <w:iCs w:val="0"/>
          <w:caps w:val="0"/>
          <w:color w:val="000000"/>
          <w:spacing w:val="0"/>
          <w:sz w:val="32"/>
          <w:szCs w:val="32"/>
          <w:highlight w:val="none"/>
          <w:shd w:val="clear" w:color="auto" w:fill="FFFFFF"/>
        </w:rPr>
        <w:t> </w:t>
      </w:r>
      <w:r>
        <w:rPr>
          <w:rFonts w:hint="eastAsia" w:ascii="黑体" w:hAnsi="黑体" w:eastAsia="黑体" w:cs="黑体"/>
          <w:i w:val="0"/>
          <w:iCs w:val="0"/>
          <w:caps w:val="0"/>
          <w:color w:val="000000"/>
          <w:spacing w:val="0"/>
          <w:sz w:val="32"/>
          <w:szCs w:val="32"/>
          <w:highlight w:val="none"/>
          <w:shd w:val="clear" w:color="auto" w:fill="FFFFFF"/>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1.项目决策背景</w:t>
      </w:r>
    </w:p>
    <w:p>
      <w:pPr>
        <w:ind w:firstLine="720" w:firstLineChars="225"/>
        <w:rPr>
          <w:rFonts w:hint="eastAsia" w:ascii="仿宋_GB2312" w:hAnsi="宋体" w:eastAsia="仿宋_GB2312"/>
          <w:sz w:val="32"/>
          <w:szCs w:val="32"/>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湖南</w:t>
      </w:r>
      <w:r>
        <w:rPr>
          <w:rFonts w:hint="eastAsia" w:ascii="仿宋_GB2312" w:hAnsi="宋体" w:eastAsia="仿宋_GB2312"/>
          <w:sz w:val="32"/>
          <w:szCs w:val="32"/>
        </w:rPr>
        <w:t>会同渠水国家湿地公园</w:t>
      </w:r>
      <w:r>
        <w:rPr>
          <w:rFonts w:hint="eastAsia" w:ascii="仿宋_GB2312" w:hAnsi="宋体" w:eastAsia="仿宋_GB2312"/>
          <w:sz w:val="32"/>
          <w:szCs w:val="32"/>
          <w:lang w:eastAsia="zh-CN"/>
        </w:rPr>
        <w:t>范围</w:t>
      </w:r>
      <w:bookmarkStart w:id="28" w:name="_GoBack"/>
      <w:bookmarkEnd w:id="28"/>
      <w:r>
        <w:rPr>
          <w:rFonts w:hint="eastAsia" w:ascii="仿宋_GB2312" w:hAnsi="宋体" w:eastAsia="仿宋_GB2312"/>
          <w:sz w:val="32"/>
          <w:szCs w:val="32"/>
        </w:rPr>
        <w:t>主要</w:t>
      </w:r>
      <w:r>
        <w:rPr>
          <w:rFonts w:hint="eastAsia" w:ascii="仿宋_GB2312" w:hAnsi="宋体" w:eastAsia="仿宋_GB2312"/>
          <w:sz w:val="32"/>
          <w:szCs w:val="32"/>
          <w:lang w:eastAsia="zh-CN"/>
        </w:rPr>
        <w:t>包括</w:t>
      </w:r>
      <w:r>
        <w:rPr>
          <w:rFonts w:hint="eastAsia" w:ascii="仿宋_GB2312" w:hAnsi="宋体" w:eastAsia="仿宋_GB2312"/>
          <w:sz w:val="32"/>
          <w:szCs w:val="32"/>
        </w:rPr>
        <w:t>从朗江电站坝址沿河向上至靖州县交界处的渠水河和两岸部分林地，涉及青朗侗族苗族自治乡、林城镇、广坪镇和连山乡。总面积1319公顷，其中湿地面积1014.4公顷，湿地率76.9</w:t>
      </w:r>
      <w:r>
        <w:rPr>
          <w:rFonts w:hint="eastAsia" w:ascii="仿宋_GB2312" w:hAnsi="宋体" w:eastAsia="仿宋_GB2312"/>
          <w:sz w:val="32"/>
          <w:szCs w:val="32"/>
          <w:lang w:val="en-US" w:eastAsia="zh-CN"/>
        </w:rPr>
        <w:t>1</w:t>
      </w:r>
      <w:r>
        <w:rPr>
          <w:rFonts w:hint="eastAsia" w:ascii="仿宋_GB2312" w:hAnsi="宋体" w:eastAsia="仿宋_GB2312"/>
          <w:sz w:val="32"/>
          <w:szCs w:val="32"/>
        </w:rPr>
        <w:t>%。分</w:t>
      </w:r>
      <w:r>
        <w:rPr>
          <w:rFonts w:hint="eastAsia" w:ascii="仿宋_GB2312" w:hAnsi="宋体" w:eastAsia="仿宋_GB2312"/>
          <w:sz w:val="32"/>
          <w:szCs w:val="32"/>
          <w:lang w:eastAsia="zh-CN"/>
        </w:rPr>
        <w:t>别有</w:t>
      </w:r>
      <w:r>
        <w:rPr>
          <w:rFonts w:hint="eastAsia" w:ascii="仿宋_GB2312" w:hAnsi="宋体" w:eastAsia="仿宋_GB2312"/>
          <w:sz w:val="32"/>
          <w:szCs w:val="32"/>
        </w:rPr>
        <w:t>五个功能区</w:t>
      </w:r>
      <w:r>
        <w:rPr>
          <w:rFonts w:hint="eastAsia" w:ascii="仿宋_GB2312" w:hAnsi="宋体" w:eastAsia="仿宋_GB2312"/>
          <w:sz w:val="32"/>
          <w:szCs w:val="32"/>
          <w:lang w:eastAsia="zh-CN"/>
        </w:rPr>
        <w:t>：</w:t>
      </w:r>
      <w:r>
        <w:rPr>
          <w:rFonts w:hint="eastAsia" w:ascii="仿宋_GB2312" w:hAnsi="宋体" w:eastAsia="仿宋_GB2312"/>
          <w:sz w:val="32"/>
          <w:szCs w:val="32"/>
        </w:rPr>
        <w:t>保护保育区、恢复重建区、宣教展示区、合理利用区和管理服务区。</w:t>
      </w:r>
    </w:p>
    <w:p>
      <w:pPr>
        <w:ind w:firstLine="640" w:firstLineChars="200"/>
        <w:rPr>
          <w:rFonts w:hint="eastAsia" w:ascii="仿宋_GB2312" w:hAnsi="宋体" w:eastAsia="仿宋_GB2312"/>
          <w:sz w:val="32"/>
          <w:szCs w:val="32"/>
          <w:lang w:eastAsia="zh-CN"/>
        </w:rPr>
      </w:pPr>
      <w:r>
        <w:rPr>
          <w:rFonts w:hint="eastAsia" w:ascii="仿宋_GB2312" w:eastAsia="仿宋_GB2312"/>
          <w:sz w:val="32"/>
          <w:szCs w:val="32"/>
        </w:rPr>
        <w:t>湿地</w:t>
      </w:r>
      <w:r>
        <w:rPr>
          <w:rFonts w:hint="eastAsia" w:ascii="仿宋_GB2312" w:eastAsia="仿宋_GB2312"/>
          <w:sz w:val="32"/>
          <w:szCs w:val="32"/>
          <w:lang w:eastAsia="zh-CN"/>
        </w:rPr>
        <w:t>保护</w:t>
      </w:r>
      <w:r>
        <w:rPr>
          <w:rFonts w:hint="eastAsia" w:ascii="仿宋_GB2312" w:eastAsia="仿宋_GB2312"/>
          <w:sz w:val="32"/>
          <w:szCs w:val="32"/>
        </w:rPr>
        <w:t>与教育专项资金项目的设定是根据《</w:t>
      </w:r>
      <w:r>
        <w:rPr>
          <w:rFonts w:hint="eastAsia" w:ascii="仿宋_GB2312" w:eastAsia="仿宋_GB2312"/>
          <w:sz w:val="32"/>
          <w:szCs w:val="32"/>
          <w:lang w:eastAsia="zh-CN"/>
        </w:rPr>
        <w:t>中华人民共和国</w:t>
      </w:r>
      <w:r>
        <w:rPr>
          <w:rFonts w:hint="eastAsia" w:ascii="仿宋_GB2312" w:eastAsia="仿宋_GB2312"/>
          <w:sz w:val="32"/>
          <w:szCs w:val="32"/>
        </w:rPr>
        <w:t>湿地保护</w:t>
      </w:r>
      <w:r>
        <w:rPr>
          <w:rFonts w:hint="eastAsia" w:ascii="仿宋_GB2312" w:eastAsia="仿宋_GB2312"/>
          <w:sz w:val="32"/>
          <w:szCs w:val="32"/>
          <w:lang w:eastAsia="zh-CN"/>
        </w:rPr>
        <w:t>法</w:t>
      </w:r>
      <w:r>
        <w:rPr>
          <w:rFonts w:hint="eastAsia" w:ascii="仿宋_GB2312" w:eastAsia="仿宋_GB2312"/>
          <w:sz w:val="32"/>
          <w:szCs w:val="32"/>
        </w:rPr>
        <w:t>》、《湖南省湿地保护条例》和《湖南会同湿地公园管理办法》规定</w:t>
      </w:r>
      <w:r>
        <w:rPr>
          <w:rFonts w:hint="eastAsia" w:ascii="仿宋_GB2312" w:eastAsia="仿宋_GB2312"/>
          <w:sz w:val="32"/>
          <w:szCs w:val="32"/>
          <w:lang w:eastAsia="zh-CN"/>
        </w:rPr>
        <w:t>设定。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1280" w:firstLineChars="4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2.项目主要内容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湿地保护与宣传项目9.6万元，用于湿地保护、湿地宣传和教育、动植物监测三个方面开展工作。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3.项目组织管理机构</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Times New Roman" w:eastAsia="仿宋_GB2312" w:cs="Times New Roman"/>
          <w:kern w:val="2"/>
          <w:sz w:val="32"/>
          <w:szCs w:val="32"/>
          <w:highlight w:val="none"/>
          <w:lang w:val="en-US" w:eastAsia="zh-CN" w:bidi="ar-SA"/>
        </w:rPr>
        <w:t xml:space="preserve">  成立预算管理领导小组，负责组织、监控部门预算编制与执行，协调预算编制、预算执行，做好单位预算管理工作。预算管理领导小组由领导班子成员、财务负责人、科室负责人组成。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（二）预算资金使用管理情况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1.预算资金安排及管理情况</w:t>
      </w:r>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（1）资金来源及拨付流程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年县财政预算安排</w:t>
      </w:r>
      <w:r>
        <w:rPr>
          <w:rFonts w:hint="eastAsia" w:ascii="仿宋_GB2312" w:eastAsia="仿宋_GB2312" w:cs="Times New Roman"/>
          <w:kern w:val="2"/>
          <w:sz w:val="32"/>
          <w:szCs w:val="32"/>
          <w:highlight w:val="none"/>
          <w:lang w:val="en-US" w:eastAsia="zh-CN" w:bidi="ar-SA"/>
        </w:rPr>
        <w:t>9.6</w:t>
      </w:r>
      <w:r>
        <w:rPr>
          <w:rFonts w:hint="eastAsia" w:ascii="仿宋_GB2312" w:hAnsi="Times New Roman" w:eastAsia="仿宋_GB2312" w:cs="Times New Roman"/>
          <w:kern w:val="2"/>
          <w:sz w:val="32"/>
          <w:szCs w:val="32"/>
          <w:highlight w:val="none"/>
          <w:lang w:val="en-US" w:eastAsia="zh-CN" w:bidi="ar-SA"/>
        </w:rPr>
        <w:t>万元用于</w:t>
      </w:r>
      <w:r>
        <w:rPr>
          <w:rFonts w:hint="eastAsia" w:ascii="仿宋_GB2312" w:eastAsia="仿宋_GB2312" w:cs="Times New Roman"/>
          <w:kern w:val="2"/>
          <w:sz w:val="32"/>
          <w:szCs w:val="32"/>
          <w:highlight w:val="none"/>
          <w:lang w:val="en-US" w:eastAsia="zh-CN" w:bidi="ar-SA"/>
        </w:rPr>
        <w:t>湿地保护与宣传项目</w:t>
      </w:r>
      <w:r>
        <w:rPr>
          <w:rFonts w:hint="eastAsia" w:ascii="仿宋_GB2312" w:hAnsi="Times New Roman" w:eastAsia="仿宋_GB2312" w:cs="Times New Roman"/>
          <w:kern w:val="2"/>
          <w:sz w:val="32"/>
          <w:szCs w:val="32"/>
          <w:highlight w:val="none"/>
          <w:lang w:val="en-US" w:eastAsia="zh-CN" w:bidi="ar-SA"/>
        </w:rPr>
        <w:t>，资金一次性拨付到</w:t>
      </w:r>
      <w:r>
        <w:rPr>
          <w:rFonts w:hint="eastAsia" w:ascii="仿宋_GB2312" w:eastAsia="仿宋_GB2312" w:cs="Times New Roman"/>
          <w:kern w:val="2"/>
          <w:sz w:val="32"/>
          <w:szCs w:val="32"/>
          <w:highlight w:val="none"/>
          <w:lang w:val="en-US" w:eastAsia="zh-CN" w:bidi="ar-SA"/>
        </w:rPr>
        <w:t>湿地公园管理局</w:t>
      </w:r>
      <w:r>
        <w:rPr>
          <w:rFonts w:hint="eastAsia" w:ascii="仿宋_GB2312" w:hAnsi="Times New Roman" w:eastAsia="仿宋_GB2312" w:cs="Times New Roman"/>
          <w:kern w:val="2"/>
          <w:sz w:val="32"/>
          <w:szCs w:val="32"/>
          <w:highlight w:val="none"/>
          <w:lang w:val="en-US" w:eastAsia="zh-CN" w:bidi="ar-SA"/>
        </w:rPr>
        <w:t>，</w:t>
      </w:r>
      <w:r>
        <w:rPr>
          <w:rFonts w:hint="eastAsia" w:ascii="仿宋_GB2312" w:eastAsia="仿宋_GB2312" w:cs="Times New Roman"/>
          <w:kern w:val="2"/>
          <w:sz w:val="32"/>
          <w:szCs w:val="32"/>
          <w:highlight w:val="none"/>
          <w:lang w:val="en-US" w:eastAsia="zh-CN" w:bidi="ar-SA"/>
        </w:rPr>
        <w:t>我局</w:t>
      </w:r>
      <w:r>
        <w:rPr>
          <w:rFonts w:hint="eastAsia" w:ascii="仿宋_GB2312" w:hAnsi="Times New Roman" w:eastAsia="仿宋_GB2312" w:cs="Times New Roman"/>
          <w:kern w:val="2"/>
          <w:sz w:val="32"/>
          <w:szCs w:val="32"/>
          <w:highlight w:val="none"/>
          <w:lang w:val="en-US" w:eastAsia="zh-CN" w:bidi="ar-SA"/>
        </w:rPr>
        <w:t>按各项工作完成的进度支付。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w:t>
      </w:r>
      <w:r>
        <w:rPr>
          <w:rFonts w:hint="default" w:ascii="仿宋_GB2312" w:hAnsi="Times New Roman" w:eastAsia="仿宋_GB2312" w:cs="Times New Roman"/>
          <w:kern w:val="2"/>
          <w:sz w:val="32"/>
          <w:szCs w:val="32"/>
          <w:highlight w:val="none"/>
          <w:lang w:val="en-US" w:eastAsia="zh-CN" w:bidi="ar-SA"/>
        </w:rPr>
        <w:t>资金到位情况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资金到位及时率100%</w:t>
      </w:r>
      <w:r>
        <w:rPr>
          <w:rFonts w:hint="default" w:ascii="仿宋_GB2312" w:hAnsi="Times New Roman" w:eastAsia="仿宋_GB2312" w:cs="Times New Roman"/>
          <w:kern w:val="2"/>
          <w:sz w:val="32"/>
          <w:szCs w:val="32"/>
          <w:highlight w:val="none"/>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w:t>
      </w:r>
      <w:r>
        <w:rPr>
          <w:rFonts w:hint="default" w:ascii="仿宋_GB2312" w:hAnsi="Times New Roman" w:eastAsia="仿宋_GB2312" w:cs="Times New Roman"/>
          <w:kern w:val="2"/>
          <w:sz w:val="32"/>
          <w:szCs w:val="32"/>
          <w:highlight w:val="none"/>
          <w:lang w:val="en-US" w:eastAsia="zh-CN" w:bidi="ar-SA"/>
        </w:rPr>
        <w:t>资金使用情况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 xml:space="preserve">  </w:t>
      </w:r>
      <w:r>
        <w:rPr>
          <w:rFonts w:hint="eastAsia" w:ascii="仿宋_GB2312" w:hAnsi="Times New Roman" w:eastAsia="仿宋_GB2312" w:cs="Times New Roman"/>
          <w:kern w:val="2"/>
          <w:sz w:val="32"/>
          <w:szCs w:val="32"/>
          <w:highlight w:val="none"/>
          <w:lang w:val="en-US" w:eastAsia="zh-CN" w:bidi="ar-SA"/>
        </w:rPr>
        <w:t>2023年财政拨付</w:t>
      </w:r>
      <w:r>
        <w:rPr>
          <w:rFonts w:hint="eastAsia" w:ascii="仿宋_GB2312" w:eastAsia="仿宋_GB2312" w:cs="Times New Roman"/>
          <w:kern w:val="2"/>
          <w:sz w:val="32"/>
          <w:szCs w:val="32"/>
          <w:highlight w:val="none"/>
          <w:lang w:val="en-US" w:eastAsia="zh-CN" w:bidi="ar-SA"/>
        </w:rPr>
        <w:t>湿地保护与宣传</w:t>
      </w:r>
      <w:r>
        <w:rPr>
          <w:rFonts w:hint="eastAsia" w:ascii="仿宋_GB2312" w:hAnsi="Times New Roman" w:eastAsia="仿宋_GB2312" w:cs="Times New Roman"/>
          <w:kern w:val="2"/>
          <w:sz w:val="32"/>
          <w:szCs w:val="32"/>
          <w:highlight w:val="none"/>
          <w:lang w:val="en-US" w:eastAsia="zh-CN" w:bidi="ar-SA"/>
        </w:rPr>
        <w:t>经费</w:t>
      </w:r>
      <w:r>
        <w:rPr>
          <w:rFonts w:hint="eastAsia" w:ascii="仿宋_GB2312" w:eastAsia="仿宋_GB2312" w:cs="Times New Roman"/>
          <w:kern w:val="2"/>
          <w:sz w:val="32"/>
          <w:szCs w:val="32"/>
          <w:highlight w:val="none"/>
          <w:lang w:val="en-US" w:eastAsia="zh-CN" w:bidi="ar-SA"/>
        </w:rPr>
        <w:t>9.6</w:t>
      </w:r>
      <w:r>
        <w:rPr>
          <w:rFonts w:hint="eastAsia" w:ascii="仿宋_GB2312" w:hAnsi="Times New Roman" w:eastAsia="仿宋_GB2312" w:cs="Times New Roman"/>
          <w:kern w:val="2"/>
          <w:sz w:val="32"/>
          <w:szCs w:val="32"/>
          <w:highlight w:val="none"/>
          <w:lang w:val="en-US" w:eastAsia="zh-CN" w:bidi="ar-SA"/>
        </w:rPr>
        <w:t>万元，实际完成</w:t>
      </w:r>
      <w:r>
        <w:rPr>
          <w:rFonts w:hint="eastAsia" w:ascii="仿宋_GB2312" w:eastAsia="仿宋_GB2312" w:cs="Times New Roman"/>
          <w:kern w:val="2"/>
          <w:sz w:val="32"/>
          <w:szCs w:val="32"/>
          <w:highlight w:val="none"/>
          <w:lang w:val="en-US" w:eastAsia="zh-CN" w:bidi="ar-SA"/>
        </w:rPr>
        <w:t>9.54</w:t>
      </w:r>
      <w:r>
        <w:rPr>
          <w:rFonts w:hint="eastAsia" w:ascii="仿宋_GB2312" w:hAnsi="Times New Roman" w:eastAsia="仿宋_GB2312" w:cs="Times New Roman"/>
          <w:kern w:val="2"/>
          <w:sz w:val="32"/>
          <w:szCs w:val="32"/>
          <w:highlight w:val="none"/>
          <w:lang w:val="en-US" w:eastAsia="zh-CN" w:bidi="ar-SA"/>
        </w:rPr>
        <w:t>万元，完成率</w:t>
      </w:r>
      <w:r>
        <w:rPr>
          <w:rFonts w:hint="eastAsia" w:ascii="仿宋_GB2312" w:eastAsia="仿宋_GB2312" w:cs="Times New Roman"/>
          <w:kern w:val="2"/>
          <w:sz w:val="32"/>
          <w:szCs w:val="32"/>
          <w:highlight w:val="none"/>
          <w:lang w:val="en-US" w:eastAsia="zh-CN" w:bidi="ar-SA"/>
        </w:rPr>
        <w:t>99.37</w:t>
      </w:r>
      <w:r>
        <w:rPr>
          <w:rFonts w:hint="eastAsia" w:ascii="仿宋_GB2312" w:hAnsi="Times New Roman" w:eastAsia="仿宋_GB2312" w:cs="Times New Roman"/>
          <w:kern w:val="2"/>
          <w:sz w:val="32"/>
          <w:szCs w:val="32"/>
          <w:highlight w:val="none"/>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4</w:t>
      </w:r>
      <w:r>
        <w:rPr>
          <w:rFonts w:hint="default" w:ascii="仿宋_GB2312" w:hAnsi="Times New Roman" w:eastAsia="仿宋_GB2312" w:cs="Times New Roman"/>
          <w:kern w:val="2"/>
          <w:sz w:val="32"/>
          <w:szCs w:val="32"/>
          <w:highlight w:val="none"/>
          <w:lang w:val="en-US" w:eastAsia="zh-CN" w:bidi="ar-SA"/>
        </w:rPr>
        <w:t>）资金管理制度及执行情况</w:t>
      </w:r>
    </w:p>
    <w:p>
      <w:pPr>
        <w:ind w:firstLine="640" w:firstLineChars="200"/>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eastAsia="仿宋_GB2312" w:cs="Times New Roman"/>
          <w:sz w:val="32"/>
          <w:szCs w:val="32"/>
          <w:highlight w:val="none"/>
          <w:lang w:val="en-US" w:eastAsia="zh-CN"/>
        </w:rPr>
        <w:t>1、</w:t>
      </w:r>
      <w:r>
        <w:rPr>
          <w:rFonts w:hint="eastAsia" w:ascii="仿宋_GB2312" w:eastAsia="仿宋_GB2312"/>
          <w:sz w:val="32"/>
          <w:szCs w:val="32"/>
          <w:highlight w:val="none"/>
          <w:lang w:val="en-US" w:eastAsia="zh-CN"/>
        </w:rPr>
        <w:t>建立健全了各项规章制度，资金严格的按照新《预算法》《会计法》的要求拨付，不定期接受纪检监察、审计部门的监督与检查，保障资金的使用安全。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2、项目资金严格按照预算批复的科目、项目、数额执行，科学合理安排支出，在一体化系统支付，层层审核支付。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eastAsia="仿宋_GB2312" w:cs="Times New Roman"/>
          <w:kern w:val="2"/>
          <w:sz w:val="32"/>
          <w:szCs w:val="32"/>
          <w:highlight w:val="none"/>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3、项目实施单独核算、专项管理、专款专用。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（三）预算绩效目标情况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1.绩效目标</w:t>
      </w:r>
    </w:p>
    <w:p>
      <w:pPr>
        <w:ind w:firstLine="640" w:firstLineChars="200"/>
        <w:rPr>
          <w:rFonts w:hint="eastAsia" w:ascii="仿宋_GB2312" w:hAnsi="Times New Roman" w:eastAsia="仿宋_GB2312" w:cs="Times New Roman"/>
          <w:sz w:val="32"/>
          <w:szCs w:val="32"/>
          <w:highlight w:val="none"/>
          <w:lang w:val="en-US" w:eastAsia="zh-CN"/>
        </w:rPr>
      </w:pPr>
      <w:r>
        <w:rPr>
          <w:rFonts w:hint="default"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lang w:val="en-US" w:eastAsia="zh-CN"/>
        </w:rPr>
        <w:t>202</w:t>
      </w:r>
      <w:r>
        <w:rPr>
          <w:rFonts w:hint="default"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lang w:val="en-US" w:eastAsia="zh-CN"/>
        </w:rPr>
        <w:t>年度，</w:t>
      </w:r>
      <w:r>
        <w:rPr>
          <w:rFonts w:hint="eastAsia" w:ascii="仿宋_GB2312" w:eastAsia="仿宋_GB2312" w:cs="Times New Roman"/>
          <w:sz w:val="32"/>
          <w:szCs w:val="32"/>
          <w:highlight w:val="none"/>
          <w:lang w:val="en-US" w:eastAsia="zh-CN"/>
        </w:rPr>
        <w:t>湿地保护与宣传绩效目标：一是</w:t>
      </w:r>
      <w:r>
        <w:rPr>
          <w:rFonts w:hint="eastAsia" w:ascii="仿宋_GB2312" w:hAnsi="仿宋_GB2312" w:eastAsia="仿宋_GB2312" w:cs="仿宋_GB2312"/>
          <w:color w:val="auto"/>
          <w:kern w:val="2"/>
          <w:sz w:val="32"/>
          <w:szCs w:val="32"/>
          <w:highlight w:val="none"/>
          <w:lang w:val="en-US" w:eastAsia="zh-CN" w:bidi="ar-SA"/>
        </w:rPr>
        <w:t>认真履行湿地保护管理各项职能，加强湿地公园内日常巡护，有效保护湿地生态环境；二是</w:t>
      </w:r>
      <w:r>
        <w:rPr>
          <w:rFonts w:hint="eastAsia" w:ascii="仿宋_GB2312" w:eastAsia="仿宋_GB2312" w:cs="Times New Roman"/>
          <w:sz w:val="32"/>
          <w:szCs w:val="32"/>
          <w:highlight w:val="none"/>
          <w:lang w:val="en-US" w:eastAsia="zh-CN"/>
        </w:rPr>
        <w:t>加强</w:t>
      </w:r>
      <w:r>
        <w:rPr>
          <w:rFonts w:hint="eastAsia" w:ascii="仿宋_GB2312" w:hAnsi="仿宋_GB2312" w:eastAsia="仿宋_GB2312" w:cs="仿宋_GB2312"/>
          <w:color w:val="auto"/>
          <w:kern w:val="2"/>
          <w:sz w:val="32"/>
          <w:szCs w:val="32"/>
          <w:highlight w:val="none"/>
          <w:lang w:val="en-US" w:eastAsia="zh-CN" w:bidi="ar-SA"/>
        </w:rPr>
        <w:t>建立常态化调查监测体系，通过实地巡护巡查、高清视频实时监控方式，及时了解和发现湿地公园动植物种类数量的变化，三是加强湿地宣传与教育，开展湿地生态保护宣传教育活动，营造人人参与保护湿地良好氛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2.绩效指标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（1）数量指标：应完成</w:t>
      </w:r>
      <w:r>
        <w:rPr>
          <w:rFonts w:hint="eastAsia" w:ascii="仿宋_GB2312" w:eastAsia="仿宋_GB2312" w:cs="Times New Roman"/>
          <w:kern w:val="2"/>
          <w:sz w:val="32"/>
          <w:szCs w:val="32"/>
          <w:highlight w:val="none"/>
          <w:lang w:val="en-US" w:eastAsia="zh-CN" w:bidi="ar-SA"/>
        </w:rPr>
        <w:t>9.6</w:t>
      </w:r>
      <w:r>
        <w:rPr>
          <w:rFonts w:hint="eastAsia" w:ascii="仿宋_GB2312" w:hAnsi="Times New Roman" w:eastAsia="仿宋_GB2312" w:cs="Times New Roman"/>
          <w:kern w:val="2"/>
          <w:sz w:val="32"/>
          <w:szCs w:val="32"/>
          <w:highlight w:val="none"/>
          <w:lang w:val="en-US" w:eastAsia="zh-CN" w:bidi="ar-SA"/>
        </w:rPr>
        <w:t>万，实际支出</w:t>
      </w:r>
      <w:r>
        <w:rPr>
          <w:rFonts w:hint="eastAsia" w:ascii="仿宋_GB2312" w:eastAsia="仿宋_GB2312" w:cs="Times New Roman"/>
          <w:kern w:val="2"/>
          <w:sz w:val="32"/>
          <w:szCs w:val="32"/>
          <w:highlight w:val="none"/>
          <w:lang w:val="en-US" w:eastAsia="zh-CN" w:bidi="ar-SA"/>
        </w:rPr>
        <w:t>9.54</w:t>
      </w:r>
      <w:r>
        <w:rPr>
          <w:rFonts w:hint="eastAsia" w:ascii="仿宋_GB2312" w:hAnsi="Times New Roman" w:eastAsia="仿宋_GB2312" w:cs="Times New Roman"/>
          <w:kern w:val="2"/>
          <w:sz w:val="32"/>
          <w:szCs w:val="32"/>
          <w:highlight w:val="none"/>
          <w:lang w:val="en-US" w:eastAsia="zh-CN" w:bidi="ar-SA"/>
        </w:rPr>
        <w:t>万，完成率</w:t>
      </w:r>
      <w:r>
        <w:rPr>
          <w:rFonts w:hint="eastAsia" w:ascii="仿宋_GB2312" w:eastAsia="仿宋_GB2312" w:cs="Times New Roman"/>
          <w:kern w:val="2"/>
          <w:sz w:val="32"/>
          <w:szCs w:val="32"/>
          <w:highlight w:val="none"/>
          <w:lang w:val="en-US" w:eastAsia="zh-CN" w:bidi="ar-SA"/>
        </w:rPr>
        <w:t>99.37</w:t>
      </w:r>
      <w:r>
        <w:rPr>
          <w:rFonts w:hint="eastAsia" w:ascii="仿宋_GB2312" w:hAnsi="Times New Roman" w:eastAsia="仿宋_GB2312" w:cs="Times New Roman"/>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（2）进度指标：202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年12月已完成各项工作任务，任务及时率100%。</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（3）质量指标：保障了各项工作圆满完成，得到了省市县各级的肯定。</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hAnsi="Times New Roman" w:eastAsia="仿宋_GB2312" w:cs="Times New Roman"/>
          <w:kern w:val="2"/>
          <w:sz w:val="32"/>
          <w:szCs w:val="32"/>
          <w:highlight w:val="none"/>
          <w:lang w:val="en-US" w:eastAsia="zh-CN" w:bidi="ar-SA"/>
        </w:rPr>
        <w:t>（4）成本指标：项目经费合计</w:t>
      </w:r>
      <w:r>
        <w:rPr>
          <w:rFonts w:hint="eastAsia" w:ascii="仿宋_GB2312" w:eastAsia="仿宋_GB2312" w:cs="Times New Roman"/>
          <w:kern w:val="2"/>
          <w:sz w:val="32"/>
          <w:szCs w:val="32"/>
          <w:highlight w:val="none"/>
          <w:lang w:val="en-US" w:eastAsia="zh-CN" w:bidi="ar-SA"/>
        </w:rPr>
        <w:t>9.6</w:t>
      </w:r>
      <w:r>
        <w:rPr>
          <w:rFonts w:hint="eastAsia" w:ascii="仿宋_GB2312" w:hAnsi="Times New Roman" w:eastAsia="仿宋_GB2312" w:cs="Times New Roman"/>
          <w:kern w:val="2"/>
          <w:sz w:val="32"/>
          <w:szCs w:val="32"/>
          <w:highlight w:val="none"/>
          <w:lang w:val="en-US" w:eastAsia="zh-CN" w:bidi="ar-SA"/>
        </w:rPr>
        <w:t>元，没有超出预算范围。</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绩效评价目的</w:t>
      </w:r>
    </w:p>
    <w:p>
      <w:pPr>
        <w:pStyle w:val="4"/>
        <w:rPr>
          <w:rFonts w:hint="default"/>
          <w:highlight w:val="none"/>
          <w:lang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为</w:t>
      </w:r>
      <w:r>
        <w:rPr>
          <w:rFonts w:hint="eastAsia" w:ascii="仿宋_GB2312" w:hAnsi="仿宋_GB2312" w:eastAsia="仿宋_GB2312" w:cs="仿宋_GB2312"/>
          <w:color w:val="auto"/>
          <w:sz w:val="32"/>
          <w:szCs w:val="32"/>
          <w:highlight w:val="none"/>
          <w:lang w:val="en-US" w:eastAsia="zh-CN"/>
        </w:rPr>
        <w:t>进一步规范财政资金管理，强化财政支出绩效理念和责任意识，切实提高财政资金使用效益</w:t>
      </w:r>
      <w:r>
        <w:rPr>
          <w:rFonts w:hint="default"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被评价单位、绩效评价范围与时段</w:t>
      </w:r>
      <w:bookmarkEnd w:id="1"/>
    </w:p>
    <w:p>
      <w:pPr>
        <w:pStyle w:val="4"/>
        <w:rPr>
          <w:rFonts w:hint="default" w:ascii="仿宋_GB2312" w:hAnsi="仿宋_GB2312" w:eastAsia="仿宋_GB2312" w:cs="仿宋_GB2312"/>
          <w:color w:val="auto"/>
          <w:sz w:val="32"/>
          <w:szCs w:val="32"/>
          <w:highlight w:val="none"/>
          <w:lang w:val="en-US"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湖南会同渠水国家湿地公园管理局开展支出绩效自评。评价范围为2023年度县财政安排给县直预算部门、单位（含所属单位）的所有预算支出，包括一般公共预算支出、政府性基金预算支出、国有资本经营预算支出和社会保险基金预算支出。</w:t>
      </w:r>
    </w:p>
    <w:p>
      <w:pPr>
        <w:keepNext w:val="0"/>
        <w:keepLines w:val="0"/>
        <w:pageBreakBefore w:val="0"/>
        <w:widowControl w:val="0"/>
        <w:numPr>
          <w:ilvl w:val="0"/>
          <w:numId w:val="1"/>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绩效评价原则、评价指标体系、评价方法</w:t>
      </w:r>
      <w:bookmarkEnd w:id="2"/>
    </w:p>
    <w:p>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default"/>
          <w:highlight w:val="none"/>
          <w:lang w:eastAsia="zh-CN"/>
        </w:rPr>
        <w:t xml:space="preserve">   </w:t>
      </w:r>
      <w:r>
        <w:rPr>
          <w:rFonts w:hint="default" w:ascii="仿宋_GB2312" w:hAnsi="仿宋_GB2312" w:eastAsia="仿宋_GB2312" w:cs="仿宋_GB2312"/>
          <w:color w:val="auto"/>
          <w:kern w:val="2"/>
          <w:sz w:val="32"/>
          <w:szCs w:val="32"/>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围绕2023年度预算绩效目标和评价指标开展自评，主要包括预算支出总体绩效目标、各项绩效指标完成情况以及预算执行情况。对未完成绩效目标或偏离绩效目标较大的预算支出要分析并说明原因，研究提出改进措施。</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三、主要绩效及评价结论</w:t>
      </w:r>
      <w:bookmarkEnd w:id="3"/>
      <w:bookmarkEnd w:id="4"/>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（一）社会效益</w:t>
      </w:r>
    </w:p>
    <w:p>
      <w:pPr>
        <w:keepNext w:val="0"/>
        <w:keepLines w:val="0"/>
        <w:pageBreakBefore w:val="0"/>
        <w:widowControl w:val="0"/>
        <w:kinsoku/>
        <w:wordWrap/>
        <w:overflowPunct/>
        <w:topLinePunct w:val="0"/>
        <w:autoSpaceDE/>
        <w:autoSpaceDN/>
        <w:bidi w:val="0"/>
        <w:adjustRightInd/>
        <w:snapToGrid w:val="0"/>
        <w:spacing w:line="560" w:lineRule="exact"/>
        <w:ind w:left="638" w:leftChars="304" w:firstLine="0" w:firstLineChars="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仿宋_GB2312" w:hAnsi="仿宋_GB2312" w:eastAsia="仿宋_GB2312" w:cs="仿宋_GB2312"/>
          <w:color w:val="auto"/>
          <w:kern w:val="2"/>
          <w:sz w:val="32"/>
          <w:szCs w:val="32"/>
          <w:highlight w:val="none"/>
          <w:lang w:val="en-US" w:eastAsia="zh-CN" w:bidi="ar-SA"/>
        </w:rPr>
        <w:t xml:space="preserve"> 渠水湿地范围内动植物同比增加,水质达到2级以上。</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（二）生态效益</w:t>
      </w:r>
    </w:p>
    <w:p>
      <w:pPr>
        <w:pStyle w:val="4"/>
        <w:numPr>
          <w:ilvl w:val="0"/>
          <w:numId w:val="0"/>
        </w:numPr>
        <w:rPr>
          <w:rFonts w:hint="default" w:ascii="仿宋_GB2312" w:hAnsi="仿宋_GB2312" w:eastAsia="仿宋_GB2312" w:cs="仿宋_GB2312"/>
          <w:color w:val="auto"/>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湿地环境改善，生态得到保护。</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可持续影响</w:t>
      </w:r>
    </w:p>
    <w:p>
      <w:pPr>
        <w:pStyle w:val="4"/>
        <w:numPr>
          <w:ilvl w:val="0"/>
          <w:numId w:val="0"/>
        </w:numPr>
        <w:ind w:leftChars="200"/>
        <w:rPr>
          <w:rFonts w:hint="default" w:ascii="仿宋_GB2312" w:hAnsi="仿宋_GB2312" w:eastAsia="仿宋_GB2312" w:cs="仿宋_GB2312"/>
          <w:color w:val="auto"/>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 xml:space="preserve">  湿地生态系统保持可持续</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满意度情况</w:t>
      </w:r>
    </w:p>
    <w:p>
      <w:pPr>
        <w:pStyle w:val="4"/>
        <w:numPr>
          <w:ilvl w:val="0"/>
          <w:numId w:val="0"/>
        </w:numPr>
        <w:ind w:leftChars="200"/>
        <w:rPr>
          <w:rFonts w:hint="default" w:eastAsia="仿宋"/>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满意度指标：提升人民群众满意率,社会满意度达90%以上。</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评价结论</w:t>
      </w:r>
    </w:p>
    <w:p>
      <w:pPr>
        <w:pStyle w:val="4"/>
        <w:numPr>
          <w:ilvl w:val="0"/>
          <w:numId w:val="0"/>
        </w:numPr>
        <w:ind w:leftChars="200"/>
        <w:rPr>
          <w:rFonts w:hint="default" w:ascii="Times New Roman" w:hAnsi="Times New Roman" w:eastAsia="宋体" w:cs="Times New Roman"/>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通过评价，湿地保护与宣传得分96分，评价等级为“优”。</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5" w:name="_Toc16332"/>
      <w:bookmarkStart w:id="6" w:name="_Toc27541"/>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四、绩效评价指标分析</w:t>
      </w:r>
      <w:bookmarkEnd w:id="5"/>
      <w:bookmarkEnd w:id="6"/>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（一）项目决策情况</w:t>
      </w:r>
      <w:bookmarkEnd w:id="7"/>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1.项目立项规范性：项目按照规定的程序申请设立，所提交的文件、材料齐全，事前经过必要的可行性研究、专家论证、风险评估、集体决策等。</w:t>
      </w:r>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2.绩效目标合理性：符合国家相关法律法规，国民经济发展规划和党委政府决策，与项目实施单位或委托单位职责密切相关，项目为促进事业发展所必需，项目顸期产出效益和效果符合正常的业绩水平。</w:t>
      </w:r>
    </w:p>
    <w:p>
      <w:pPr>
        <w:pStyle w:val="4"/>
        <w:rPr>
          <w:rFonts w:hint="default"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仿宋_GB2312" w:hAnsi="仿宋_GB2312" w:eastAsia="仿宋_GB2312" w:cs="仿宋_GB2312"/>
          <w:color w:val="auto"/>
          <w:kern w:val="2"/>
          <w:sz w:val="32"/>
          <w:szCs w:val="32"/>
          <w:highlight w:val="none"/>
          <w:lang w:val="en-US" w:eastAsia="zh-CN" w:bidi="ar-SA"/>
        </w:rPr>
        <w:t>3.绩效指标明确性：将项目绩效目标细化分解为具体的绩效指标，通过清晰、可衡量的指标值予以体现，与项目年度任务数或计划数相对应，与预算确定的项目投资额或资金量相匹配。</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项目过程情况</w:t>
      </w:r>
      <w:bookmarkEnd w:id="8"/>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9" w:name="_Toc10140"/>
      <w:r>
        <w:rPr>
          <w:rFonts w:hint="eastAsia" w:ascii="仿宋_GB2312" w:hAnsi="仿宋_GB2312" w:eastAsia="仿宋_GB2312" w:cs="仿宋_GB2312"/>
          <w:color w:val="auto"/>
          <w:kern w:val="2"/>
          <w:sz w:val="32"/>
          <w:szCs w:val="32"/>
          <w:highlight w:val="none"/>
          <w:lang w:val="en-US" w:eastAsia="zh-CN" w:bidi="ar-SA"/>
        </w:rPr>
        <w:t>1.资金管理</w:t>
      </w:r>
      <w:bookmarkEnd w:id="9"/>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符合国家财经法规和财务管理以及有关专项资金管理办法的规定，资金的拨付有完整的审批程序和手续，项目的重大开支经过评估论证，符合项目预算批复或合同规定的用途，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10" w:name="_Toc1210"/>
      <w:r>
        <w:rPr>
          <w:rFonts w:hint="eastAsia" w:ascii="仿宋_GB2312" w:hAnsi="仿宋_GB2312" w:eastAsia="仿宋_GB2312" w:cs="仿宋_GB2312"/>
          <w:color w:val="auto"/>
          <w:kern w:val="2"/>
          <w:sz w:val="32"/>
          <w:szCs w:val="32"/>
          <w:highlight w:val="none"/>
          <w:lang w:val="en-US" w:eastAsia="zh-CN" w:bidi="ar-SA"/>
        </w:rPr>
        <w:t>2.项目实施</w:t>
      </w:r>
      <w:bookmarkEnd w:id="10"/>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（1）管理制度健全性：制定或具有相应的业务管理制度，业务管理制度合法、合规、完整。</w:t>
      </w:r>
    </w:p>
    <w:p>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w:t>
      </w:r>
      <w:r>
        <w:rPr>
          <w:rFonts w:hint="default" w:ascii="仿宋_GB2312" w:hAnsi="仿宋_GB2312" w:eastAsia="仿宋_GB2312" w:cs="仿宋_GB2312"/>
          <w:color w:val="auto"/>
          <w:kern w:val="2"/>
          <w:sz w:val="32"/>
          <w:szCs w:val="32"/>
          <w:highlight w:val="none"/>
          <w:lang w:val="en-US" w:eastAsia="zh-CN" w:bidi="ar-SA"/>
        </w:rPr>
        <w:t>制度执行有效性</w:t>
      </w:r>
      <w:r>
        <w:rPr>
          <w:rFonts w:hint="eastAsia" w:ascii="仿宋_GB2312" w:hAnsi="仿宋_GB2312" w:eastAsia="仿宋_GB2312" w:cs="仿宋_GB2312"/>
          <w:color w:val="auto"/>
          <w:kern w:val="2"/>
          <w:sz w:val="32"/>
          <w:szCs w:val="32"/>
          <w:highlight w:val="none"/>
          <w:lang w:val="en-US" w:eastAsia="zh-CN" w:bidi="ar-SA"/>
        </w:rPr>
        <w:t>：遵守相关法律法规和业务管理规定，项目调整及支出调整手续完备，项目合同书、验收报告、技术务定等资料齐全并及时归档。</w:t>
      </w:r>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w:t>
      </w:r>
      <w:r>
        <w:rPr>
          <w:rFonts w:hint="default" w:ascii="仿宋_GB2312" w:hAnsi="仿宋_GB2312" w:eastAsia="仿宋_GB2312" w:cs="仿宋_GB2312"/>
          <w:color w:val="auto"/>
          <w:kern w:val="2"/>
          <w:sz w:val="32"/>
          <w:szCs w:val="32"/>
          <w:highlight w:val="none"/>
          <w:lang w:val="en-US" w:eastAsia="zh-CN" w:bidi="ar-SA"/>
        </w:rPr>
        <w:t>项目质量可控性</w:t>
      </w:r>
      <w:r>
        <w:rPr>
          <w:rFonts w:hint="eastAsia" w:ascii="仿宋_GB2312" w:hAnsi="仿宋_GB2312" w:eastAsia="仿宋_GB2312" w:cs="仿宋_GB2312"/>
          <w:color w:val="auto"/>
          <w:kern w:val="2"/>
          <w:sz w:val="32"/>
          <w:szCs w:val="32"/>
          <w:highlight w:val="none"/>
          <w:lang w:val="en-US" w:eastAsia="zh-CN" w:bidi="ar-SA"/>
        </w:rPr>
        <w:t>：制定或其有相应的项目质量要求或标准，采取相应的项目质量检查、验收等必需的控制措施或手段。</w:t>
      </w:r>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default" w:ascii="仿宋_GB2312" w:hAnsi="仿宋_GB2312" w:eastAsia="仿宋_GB2312" w:cs="仿宋_GB2312"/>
          <w:color w:val="auto"/>
          <w:kern w:val="2"/>
          <w:sz w:val="32"/>
          <w:szCs w:val="32"/>
          <w:highlight w:val="none"/>
          <w:lang w:val="en-US" w:eastAsia="zh-CN" w:bidi="ar-SA"/>
        </w:rPr>
        <w:t>管理制度健全性</w:t>
      </w:r>
      <w:r>
        <w:rPr>
          <w:rFonts w:hint="eastAsia" w:ascii="仿宋_GB2312" w:hAnsi="仿宋_GB2312" w:eastAsia="仿宋_GB2312" w:cs="仿宋_GB2312"/>
          <w:color w:val="auto"/>
          <w:kern w:val="2"/>
          <w:sz w:val="32"/>
          <w:szCs w:val="32"/>
          <w:highlight w:val="none"/>
          <w:lang w:val="en-US" w:eastAsia="zh-CN" w:bidi="ar-SA"/>
        </w:rPr>
        <w:t>：制定或具有相应的项目资金管理办法，项目资金管理办法符合相关财务会计制度的规定。</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项目产出情况</w:t>
      </w:r>
      <w:bookmarkEnd w:id="11"/>
    </w:p>
    <w:p>
      <w:pPr>
        <w:pStyle w:val="4"/>
        <w:rPr>
          <w:rFonts w:hint="eastAsia" w:ascii="仿宋_GB2312" w:hAnsi="仿宋_GB2312" w:eastAsia="仿宋_GB2312" w:cs="仿宋_GB2312"/>
          <w:color w:val="auto"/>
          <w:kern w:val="2"/>
          <w:sz w:val="32"/>
          <w:szCs w:val="32"/>
          <w:highlight w:val="none"/>
          <w:lang w:val="en-US" w:eastAsia="zh-CN" w:bidi="ar-SA"/>
        </w:rPr>
      </w:pPr>
      <w:bookmarkStart w:id="12" w:name="_Toc20742"/>
      <w:r>
        <w:rPr>
          <w:rFonts w:hint="eastAsia" w:ascii="仿宋_GB2312" w:hAnsi="仿宋_GB2312" w:eastAsia="仿宋_GB2312" w:cs="仿宋_GB2312"/>
          <w:color w:val="auto"/>
          <w:kern w:val="2"/>
          <w:sz w:val="32"/>
          <w:szCs w:val="32"/>
          <w:highlight w:val="none"/>
          <w:lang w:val="en-US" w:eastAsia="zh-CN" w:bidi="ar-SA"/>
        </w:rPr>
        <w:t>1.产出数量</w:t>
      </w:r>
      <w:bookmarkEnd w:id="12"/>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主要对项目实际完成率进行考察，足额发放到位计15分。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3" w:name="_Toc5372"/>
      <w:r>
        <w:rPr>
          <w:rFonts w:hint="eastAsia" w:ascii="仿宋_GB2312" w:hAnsi="仿宋_GB2312" w:eastAsia="仿宋_GB2312" w:cs="仿宋_GB2312"/>
          <w:color w:val="auto"/>
          <w:kern w:val="2"/>
          <w:sz w:val="32"/>
          <w:szCs w:val="32"/>
          <w:highlight w:val="none"/>
          <w:lang w:val="en-US" w:eastAsia="zh-CN" w:bidi="ar-SA"/>
        </w:rPr>
        <w:t>2.产出质量</w:t>
      </w:r>
      <w:bookmarkEnd w:id="13"/>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主要对项目质量达标率进行考察，任务完成质量基本达到预期计13分。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4" w:name="_Toc25948"/>
      <w:r>
        <w:rPr>
          <w:rFonts w:hint="eastAsia" w:ascii="仿宋_GB2312" w:hAnsi="仿宋_GB2312" w:eastAsia="仿宋_GB2312" w:cs="仿宋_GB2312"/>
          <w:color w:val="auto"/>
          <w:kern w:val="2"/>
          <w:sz w:val="32"/>
          <w:szCs w:val="32"/>
          <w:highlight w:val="none"/>
          <w:lang w:val="en-US" w:eastAsia="zh-CN" w:bidi="ar-SA"/>
        </w:rPr>
        <w:t>3.产出成本</w:t>
      </w:r>
      <w:bookmarkEnd w:id="14"/>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主要对项目成本节约率进行考察，没有超出预算计10分。</w:t>
      </w:r>
    </w:p>
    <w:p>
      <w:pPr>
        <w:pStyle w:val="4"/>
        <w:rPr>
          <w:rFonts w:hint="eastAsia" w:ascii="仿宋_GB2312" w:hAnsi="仿宋_GB2312" w:eastAsia="仿宋_GB2312" w:cs="仿宋_GB2312"/>
          <w:color w:val="auto"/>
          <w:kern w:val="2"/>
          <w:sz w:val="32"/>
          <w:szCs w:val="32"/>
          <w:highlight w:val="none"/>
          <w:lang w:val="en-US" w:eastAsia="zh-CN" w:bidi="ar-SA"/>
        </w:rPr>
      </w:pPr>
      <w:bookmarkStart w:id="15" w:name="_Toc21477"/>
      <w:r>
        <w:rPr>
          <w:rFonts w:hint="eastAsia" w:ascii="仿宋_GB2312" w:hAnsi="仿宋_GB2312" w:eastAsia="仿宋_GB2312" w:cs="仿宋_GB2312"/>
          <w:color w:val="auto"/>
          <w:kern w:val="2"/>
          <w:sz w:val="32"/>
          <w:szCs w:val="32"/>
          <w:highlight w:val="none"/>
          <w:lang w:val="en-US" w:eastAsia="zh-CN" w:bidi="ar-SA"/>
        </w:rPr>
        <w:t>4.产出时效</w:t>
      </w:r>
      <w:bookmarkEnd w:id="15"/>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主要对项目完成及时率进行考察，工作按进度完成计10分。</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（四）项目效益情况</w:t>
      </w:r>
      <w:bookmarkEnd w:id="16"/>
      <w:bookmarkEnd w:id="17"/>
    </w:p>
    <w:p>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该项目实施后,年初制订的项目绩效目标得以实现，湿地资源得到有效保护,湿地公园湿地科研监测工作、科普宣教活动规范开展,群众满意率达95%。</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18" w:name="_Toc390267055"/>
      <w:bookmarkStart w:id="19" w:name="_Toc390096931"/>
      <w:bookmarkStart w:id="20" w:name="_Toc12414"/>
      <w:bookmarkStart w:id="21" w:name="_Toc24241"/>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及建议</w:t>
      </w:r>
      <w:bookmarkEnd w:id="20"/>
      <w:bookmarkEnd w:id="21"/>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及做法</w:t>
      </w:r>
      <w:bookmarkEnd w:id="23"/>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highlight w:val="none"/>
          <w:lang w:val="en-US" w:eastAsia="zh-CN"/>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我单位根据文件要求,立即组织了相关人员对2023年度专项资金实施绩效评价工作，通过实地抽查与核实，查阅资料，收集评价相关资料，逐一对照考评内容和指标，整理、统计，如实填报考评表格，进行了综合分析评价，完成了自评工作。</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存在的问题</w:t>
      </w:r>
      <w:bookmarkEnd w:id="24"/>
      <w:bookmarkEnd w:id="25"/>
    </w:p>
    <w:p>
      <w:pPr>
        <w:pStyle w:val="4"/>
        <w:numPr>
          <w:ilvl w:val="0"/>
          <w:numId w:val="4"/>
        </w:numPr>
        <w:ind w:left="800" w:leftChars="0" w:firstLine="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财会人员对会计基础业务不够熟练；</w:t>
      </w:r>
    </w:p>
    <w:p>
      <w:pPr>
        <w:pStyle w:val="4"/>
        <w:numPr>
          <w:ilvl w:val="0"/>
          <w:numId w:val="4"/>
        </w:numPr>
        <w:ind w:left="800" w:leftChars="0" w:firstLine="0" w:firstLineChars="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随着湿地保护与宣传工作进一步推进，工作开展的经费明显紧张。。</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6" w:name="_Toc29278"/>
      <w:bookmarkStart w:id="27" w:name="_Toc16271"/>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有关建议</w:t>
      </w:r>
      <w:bookmarkEnd w:id="26"/>
      <w:bookmarkEnd w:id="27"/>
    </w:p>
    <w:p>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1.加强会计基础工作。确定财会人员专门核算，加大对财会人员的专业技术培训。</w:t>
      </w:r>
    </w:p>
    <w:p>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2.建议适当增加湿地保护与宣传工作经费，确保项目顺利开展。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165C42"/>
    <w:multiLevelType w:val="singleLevel"/>
    <w:tmpl w:val="F3165C42"/>
    <w:lvl w:ilvl="0" w:tentative="0">
      <w:start w:val="2"/>
      <w:numFmt w:val="chineseCounting"/>
      <w:suff w:val="nothing"/>
      <w:lvlText w:val="（%1）"/>
      <w:lvlJc w:val="left"/>
      <w:rPr>
        <w:rFonts w:hint="eastAsia"/>
      </w:rPr>
    </w:lvl>
  </w:abstractNum>
  <w:abstractNum w:abstractNumId="1">
    <w:nsid w:val="3B544434"/>
    <w:multiLevelType w:val="singleLevel"/>
    <w:tmpl w:val="3B544434"/>
    <w:lvl w:ilvl="0" w:tentative="0">
      <w:start w:val="2"/>
      <w:numFmt w:val="chineseCounting"/>
      <w:suff w:val="nothing"/>
      <w:lvlText w:val="（%1）"/>
      <w:lvlJc w:val="left"/>
      <w:rPr>
        <w:rFonts w:hint="eastAsia"/>
      </w:rPr>
    </w:lvl>
  </w:abstractNum>
  <w:abstractNum w:abstractNumId="2">
    <w:nsid w:val="468BB0D1"/>
    <w:multiLevelType w:val="singleLevel"/>
    <w:tmpl w:val="468BB0D1"/>
    <w:lvl w:ilvl="0" w:tentative="0">
      <w:start w:val="2"/>
      <w:numFmt w:val="chineseCounting"/>
      <w:suff w:val="nothing"/>
      <w:lvlText w:val="（%1）"/>
      <w:lvlJc w:val="left"/>
      <w:rPr>
        <w:rFonts w:hint="eastAsia"/>
      </w:rPr>
    </w:lvl>
  </w:abstractNum>
  <w:abstractNum w:abstractNumId="3">
    <w:nsid w:val="5BA1ACAF"/>
    <w:multiLevelType w:val="singleLevel"/>
    <w:tmpl w:val="5BA1ACAF"/>
    <w:lvl w:ilvl="0" w:tentative="0">
      <w:start w:val="1"/>
      <w:numFmt w:val="decimal"/>
      <w:lvlText w:val="%1."/>
      <w:lvlJc w:val="left"/>
      <w:pPr>
        <w:tabs>
          <w:tab w:val="left" w:pos="312"/>
        </w:tabs>
        <w:ind w:left="80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DI4NWIwZjlmMjFkOGE3NGIxYmVkYTI2MTY3ZDEifQ=="/>
    <w:docVar w:name="KSO_WPS_MARK_KEY" w:val="36bea041-2735-4b05-accd-13d5606384c2"/>
  </w:docVars>
  <w:rsids>
    <w:rsidRoot w:val="66857966"/>
    <w:rsid w:val="04357608"/>
    <w:rsid w:val="056D25F5"/>
    <w:rsid w:val="077C3BC6"/>
    <w:rsid w:val="0BF2311D"/>
    <w:rsid w:val="0CD619C5"/>
    <w:rsid w:val="0ECC26AE"/>
    <w:rsid w:val="0F311082"/>
    <w:rsid w:val="150177FB"/>
    <w:rsid w:val="1D9F5ABE"/>
    <w:rsid w:val="1DF502E6"/>
    <w:rsid w:val="2E536F48"/>
    <w:rsid w:val="37AD1572"/>
    <w:rsid w:val="385E6B8E"/>
    <w:rsid w:val="3A9769E9"/>
    <w:rsid w:val="3C5F76CF"/>
    <w:rsid w:val="3D4C2B62"/>
    <w:rsid w:val="41630D72"/>
    <w:rsid w:val="46B35554"/>
    <w:rsid w:val="47F646ED"/>
    <w:rsid w:val="4DE244FC"/>
    <w:rsid w:val="4E561673"/>
    <w:rsid w:val="5144296E"/>
    <w:rsid w:val="52741030"/>
    <w:rsid w:val="52ED2B91"/>
    <w:rsid w:val="56F2401A"/>
    <w:rsid w:val="5A621A8C"/>
    <w:rsid w:val="5DED14DF"/>
    <w:rsid w:val="5F832F83"/>
    <w:rsid w:val="66857966"/>
    <w:rsid w:val="71A30B93"/>
    <w:rsid w:val="77AB6579"/>
    <w:rsid w:val="7B3B54DE"/>
    <w:rsid w:val="7ED22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2513</Words>
  <Characters>2623</Characters>
  <Lines>0</Lines>
  <Paragraphs>0</Paragraphs>
  <TotalTime>2</TotalTime>
  <ScaleCrop>false</ScaleCrop>
  <LinksUpToDate>false</LinksUpToDate>
  <CharactersWithSpaces>2694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2024-08-30T04:27:00Z</dcterms:created>
  <dc:creator>杨姣</dc:creator>
  <cp:lastModifiedBy>心蕊</cp:lastModifiedBy>
  <dcterms:modified xsi:type="dcterms:W3CDTF">2024-09-25T01:25:50Z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BDC715CF53B143BFBF05F021E133346D_13</vt:lpwstr>
  </property>
</Properties>
</file>