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76DC61">
      <w:pPr>
        <w:jc w:val="center"/>
        <w:rPr>
          <w:rFonts w:hint="eastAsia" w:ascii="宋体" w:hAnsi="宋体" w:eastAsia="宋体"/>
          <w:b/>
          <w:sz w:val="44"/>
          <w:szCs w:val="44"/>
          <w:lang w:eastAsia="zh-CN"/>
        </w:rPr>
      </w:pPr>
      <w:r>
        <w:rPr>
          <w:rFonts w:hint="eastAsia" w:ascii="宋体" w:hAnsi="宋体"/>
          <w:b/>
          <w:sz w:val="44"/>
          <w:szCs w:val="44"/>
          <w:lang w:eastAsia="zh-CN"/>
        </w:rPr>
        <w:t>会同县计划生育协会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2023</w:t>
      </w:r>
      <w:r>
        <w:rPr>
          <w:rFonts w:hint="eastAsia" w:ascii="宋体" w:hAnsi="宋体"/>
          <w:b/>
          <w:sz w:val="44"/>
          <w:szCs w:val="44"/>
        </w:rPr>
        <w:t>年</w:t>
      </w:r>
      <w:r>
        <w:rPr>
          <w:rFonts w:hint="eastAsia" w:ascii="宋体" w:hAnsi="宋体"/>
          <w:b/>
          <w:sz w:val="44"/>
          <w:szCs w:val="44"/>
          <w:lang w:eastAsia="zh-CN"/>
        </w:rPr>
        <w:t>度整体绩效</w:t>
      </w:r>
      <w:r>
        <w:rPr>
          <w:rFonts w:hint="eastAsia" w:ascii="宋体" w:hAnsi="宋体"/>
          <w:b/>
          <w:sz w:val="44"/>
          <w:szCs w:val="44"/>
        </w:rPr>
        <w:t>和</w:t>
      </w:r>
      <w:r>
        <w:rPr>
          <w:rFonts w:hint="eastAsia" w:ascii="宋体" w:hAnsi="宋体"/>
          <w:b/>
          <w:sz w:val="44"/>
          <w:szCs w:val="44"/>
          <w:lang w:eastAsia="zh-CN"/>
        </w:rPr>
        <w:t>项目绩效自评情况公开</w:t>
      </w:r>
    </w:p>
    <w:p w14:paraId="144E46A6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根据《关于开展202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年度本级财政资金绩效自评工作的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通知</w:t>
      </w:r>
      <w:r>
        <w:rPr>
          <w:rFonts w:hint="eastAsia" w:ascii="仿宋" w:hAnsi="仿宋" w:eastAsia="仿宋" w:cs="仿宋"/>
          <w:sz w:val="32"/>
          <w:szCs w:val="32"/>
        </w:rPr>
        <w:t>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（会绩效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[2023］11号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我单位拟公开20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度一般公共支出整体绩效和专项资金预算绩效情况，公开如下：</w:t>
      </w:r>
    </w:p>
    <w:p w14:paraId="62A0E919">
      <w:pPr>
        <w:spacing w:line="360" w:lineRule="auto"/>
        <w:ind w:firstLine="594" w:firstLineChars="185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一、基本情况</w:t>
      </w:r>
    </w:p>
    <w:p w14:paraId="7652C816">
      <w:pPr>
        <w:spacing w:line="360" w:lineRule="auto"/>
        <w:ind w:firstLine="592" w:firstLineChars="185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计划生育协会目前编制人数3人，其中全额拨款事业编人数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人，实有工作人员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人，退休人员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人。在职人数与编制人数不相符，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增加工作人员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1个，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确保计生协工作的正常开展。</w:t>
      </w:r>
    </w:p>
    <w:p w14:paraId="69BC38A8">
      <w:pPr>
        <w:spacing w:line="360" w:lineRule="auto"/>
        <w:ind w:firstLine="594" w:firstLineChars="185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二、年初预算安排情况</w:t>
      </w:r>
    </w:p>
    <w:p w14:paraId="6E519B4B">
      <w:pPr>
        <w:spacing w:line="360" w:lineRule="auto"/>
        <w:ind w:firstLine="592" w:firstLineChars="185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20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年度县本级安排县计划生育协会预算收入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30.85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元，其中工资性支出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21.79万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元，公用经费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4.68万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元，对个人和家庭的补助支出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0.19万元。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基本支出占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预算总额比例为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86.39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%，项目支出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元（其中基层计划生育协会能力建设补助1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万元，生育关怀计生困难家庭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救助1.6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万元，协会会长专项经费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），项目支出占预算总额比例为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13.61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%，主要围绕计生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能力建设、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生育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关怀、计划生育困难家庭救助工作进行安排，基本能够保障县计划生育协会履行主要工作职责。</w:t>
      </w:r>
    </w:p>
    <w:p w14:paraId="271F4F9C">
      <w:pPr>
        <w:spacing w:line="360" w:lineRule="auto"/>
        <w:ind w:firstLine="594" w:firstLineChars="185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三、本年预算执行情况</w:t>
      </w:r>
    </w:p>
    <w:p w14:paraId="17B48A84">
      <w:pPr>
        <w:spacing w:line="560" w:lineRule="exact"/>
        <w:ind w:firstLine="643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收入方面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：在实际执行中，县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计划生育协会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全年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总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收入为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62.16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万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元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具体如下：</w:t>
      </w:r>
    </w:p>
    <w:p w14:paraId="77533C6F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县本级年初预算拨款收入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 xml:space="preserve">25.07万元，其中基本支出收入23.75万（工资福利收入21.98万元、公用经费收入1.77万元）；项目收入1.32万元（工资福利支出收入0.93万元、公用经费收入0.39万元）。 </w:t>
      </w:r>
    </w:p>
    <w:p w14:paraId="46389128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预算调整收入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25.68万元 ，其中基本支出收入25.68万元（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工资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福利收入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调增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25.68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万元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。）</w:t>
      </w:r>
    </w:p>
    <w:p w14:paraId="02711873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3、专项资金收入11.41万元（其中项目支出收入11.41万元（工资和福利收入2.49万元、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公用经费收入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8.92万元）。</w:t>
      </w:r>
    </w:p>
    <w:p w14:paraId="3D3DE346">
      <w:pPr>
        <w:spacing w:line="560" w:lineRule="exact"/>
        <w:ind w:firstLine="643" w:firstLineChars="200"/>
        <w:rPr>
          <w:rFonts w:hint="eastAsia" w:ascii="仿宋" w:hAnsi="仿宋" w:eastAsia="仿宋" w:cs="仿宋"/>
          <w:sz w:val="32"/>
          <w:szCs w:val="32"/>
          <w:highlight w:val="green"/>
          <w:lang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支出方面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：全年实际支出为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62.16万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元，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占全年收入的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100%，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财政均按实际支出进度予以拨付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。</w:t>
      </w:r>
    </w:p>
    <w:p w14:paraId="08DB91A3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yellow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（一）基本支出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49.43万元，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占全年收入的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79.52%，其中年中预算调整收入支出25.68万元，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占全年收入的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41.31%。</w:t>
      </w:r>
    </w:p>
    <w:p w14:paraId="59EC8682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green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工资福利性支出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47.66万元，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占全年收入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76.67%，其中基本工资8.84万元、津贴补贴6.77万元、奖金2.36万元、伙食补助0.38万元、绩效工资3.05万元、机关事业单位养老保险缴费2.76万元、职工医疗保险缴费1.2万元、其他社会保障缴费0.06万元、住房公积金0.12万元、医疗费补助4.69万元、奖励金10.23万元、代缴社会保险费7.2万元。</w:t>
      </w:r>
    </w:p>
    <w:p w14:paraId="7C9379DD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2、公用经费支出1.77万元，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占全年收入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2.85%，其中办公费0.02万元、电费0.09万元、邮电费0.03万元、差旅费0.45万元、公务接0.16万元、劳务费0.05万元、工会经费0.8万元、福利费0.05万元、其他交通费0.12万元。</w:t>
      </w:r>
    </w:p>
    <w:p w14:paraId="06D1E245">
      <w:pPr>
        <w:numPr>
          <w:ilvl w:val="0"/>
          <w:numId w:val="0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（二）项目支出12.73万元，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占全年收入的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20.48%。</w:t>
      </w:r>
    </w:p>
    <w:p w14:paraId="0E86831B">
      <w:pPr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县本级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项目支付1.32万元，占全年收入的2.12%，其中：</w:t>
      </w:r>
    </w:p>
    <w:p w14:paraId="253CC2CC">
      <w:pPr>
        <w:ind w:firstLine="640" w:firstLineChars="200"/>
        <w:rPr>
          <w:rFonts w:hint="eastAsia" w:ascii="仿宋" w:hAnsi="仿宋" w:eastAsia="仿宋" w:cs="仿宋"/>
          <w:bCs/>
          <w:sz w:val="32"/>
          <w:szCs w:val="32"/>
          <w:highlight w:val="green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（1）基层计划生育协会能力建设补助0.56万元，用于保障基层计划生育协会能力建设，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其中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其他社会保障缴费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0.23</w:t>
      </w:r>
      <w:r>
        <w:rPr>
          <w:rFonts w:hint="eastAsia" w:ascii="仿宋" w:hAnsi="仿宋" w:eastAsia="仿宋" w:cs="仿宋"/>
          <w:bCs/>
          <w:sz w:val="32"/>
          <w:szCs w:val="32"/>
          <w:highlight w:val="none"/>
          <w:lang w:val="en-US" w:eastAsia="zh-CN"/>
        </w:rPr>
        <w:t>万元、差旅费0.17万元、培训费0.16万元。</w:t>
      </w:r>
    </w:p>
    <w:p w14:paraId="238EACD7">
      <w:pPr>
        <w:spacing w:line="60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（2）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</w:rPr>
        <w:t>生育关怀计划生育困难家庭救助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0.06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。其中</w:t>
      </w:r>
      <w:r>
        <w:rPr>
          <w:rFonts w:hint="eastAsia" w:ascii="仿宋" w:hAnsi="仿宋" w:eastAsia="仿宋" w:cs="仿宋"/>
          <w:bCs/>
          <w:sz w:val="32"/>
          <w:szCs w:val="32"/>
          <w:highlight w:val="none"/>
          <w:lang w:val="en-US" w:eastAsia="zh-CN"/>
        </w:rPr>
        <w:t>其他商品和服务支出0.06万元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。</w:t>
      </w:r>
    </w:p>
    <w:p w14:paraId="2E3FA750">
      <w:pPr>
        <w:pStyle w:val="2"/>
        <w:rPr>
          <w:rFonts w:hint="default" w:eastAsia="仿宋"/>
          <w:lang w:val="en-US" w:eastAsia="zh-CN"/>
        </w:rPr>
      </w:pPr>
      <w:r>
        <w:rPr>
          <w:rFonts w:hint="eastAsia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（3）协会会长专项经费0.7万元，其中</w:t>
      </w:r>
      <w:r>
        <w:rPr>
          <w:rFonts w:hint="eastAsia" w:ascii="仿宋" w:hAnsi="仿宋" w:eastAsia="仿宋" w:cs="仿宋"/>
          <w:bCs/>
          <w:sz w:val="32"/>
          <w:szCs w:val="32"/>
          <w:highlight w:val="none"/>
          <w:lang w:val="en-US" w:eastAsia="zh-CN"/>
        </w:rPr>
        <w:t>其他工资福利支出0.7万元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。</w:t>
      </w:r>
    </w:p>
    <w:p w14:paraId="227EC0F7">
      <w:pPr>
        <w:pStyle w:val="11"/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2、专项资金支出11.41万元，占全年收入的18.36%，其中奖金2.1万元、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其他社会保障缴费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0.01万元、住房公积金0.13万元、其他工资福利支出0.25万元、办公费0.03万元、电费0.02万元、邮电费0.01万元、差旅费0.21万元、会议费7.52万元、委托业务费0.5万元、福利费0.28万元、其他交通费0.05万元、税金及附加0.3万元。</w:t>
      </w:r>
    </w:p>
    <w:p w14:paraId="54486C53">
      <w:pPr>
        <w:spacing w:line="360" w:lineRule="auto"/>
        <w:ind w:firstLine="592" w:firstLineChars="185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绩效自评</w:t>
      </w:r>
      <w:r>
        <w:rPr>
          <w:rFonts w:hint="eastAsia" w:ascii="仿宋" w:hAnsi="仿宋" w:eastAsia="仿宋" w:cs="仿宋"/>
          <w:sz w:val="32"/>
          <w:szCs w:val="32"/>
        </w:rPr>
        <w:t>公开后，由我单位承担公开主体责任，负责解释和说明。</w:t>
      </w:r>
    </w:p>
    <w:p w14:paraId="2AEE8D32">
      <w:pPr>
        <w:jc w:val="center"/>
        <w:rPr>
          <w:rFonts w:hint="eastAsia" w:ascii="仿宋_GB2312" w:hAnsi="宋体" w:eastAsia="仿宋_GB2312"/>
          <w:b/>
          <w:sz w:val="32"/>
          <w:szCs w:val="32"/>
        </w:rPr>
      </w:pPr>
    </w:p>
    <w:p w14:paraId="0F8EBEA6">
      <w:pPr>
        <w:spacing w:line="360" w:lineRule="auto"/>
        <w:rPr>
          <w:rFonts w:hint="eastAsia" w:ascii="仿宋" w:hAnsi="仿宋" w:eastAsia="仿宋" w:cs="仿宋"/>
          <w:sz w:val="32"/>
          <w:szCs w:val="32"/>
        </w:rPr>
      </w:pPr>
    </w:p>
    <w:p w14:paraId="1E95D63F">
      <w:pPr>
        <w:spacing w:line="360" w:lineRule="auto"/>
        <w:ind w:firstLine="592" w:firstLineChars="185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会同县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计划生育协会</w:t>
      </w:r>
    </w:p>
    <w:p w14:paraId="65298D52">
      <w:pPr>
        <w:spacing w:line="360" w:lineRule="auto"/>
        <w:ind w:firstLine="592" w:firstLineChars="185"/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日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36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38E09E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41AE72D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41AE72D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EA8AC5"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0ZDRlMDc0N2E4NTg2MjdjZTBmNDY3MGExZTA0ZmEifQ=="/>
  </w:docVars>
  <w:rsids>
    <w:rsidRoot w:val="00000000"/>
    <w:rsid w:val="039D12B3"/>
    <w:rsid w:val="05407F42"/>
    <w:rsid w:val="16435C54"/>
    <w:rsid w:val="166B65E5"/>
    <w:rsid w:val="200E0CA2"/>
    <w:rsid w:val="27127D10"/>
    <w:rsid w:val="29BF67BF"/>
    <w:rsid w:val="32717D7E"/>
    <w:rsid w:val="4A7330E1"/>
    <w:rsid w:val="4BDB2B82"/>
    <w:rsid w:val="50E84339"/>
    <w:rsid w:val="532A2DB9"/>
    <w:rsid w:val="57E00990"/>
    <w:rsid w:val="650C6B12"/>
    <w:rsid w:val="66360B65"/>
    <w:rsid w:val="665678AF"/>
    <w:rsid w:val="693B5981"/>
    <w:rsid w:val="6E1C33FD"/>
    <w:rsid w:val="71F531D1"/>
    <w:rsid w:val="74CC21B7"/>
    <w:rsid w:val="7EAE756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</w:style>
  <w:style w:type="paragraph" w:styleId="3">
    <w:name w:val="toc 5"/>
    <w:basedOn w:val="1"/>
    <w:next w:val="1"/>
    <w:autoRedefine/>
    <w:qFormat/>
    <w:uiPriority w:val="0"/>
    <w:pPr>
      <w:ind w:left="1680" w:leftChars="800"/>
    </w:pPr>
    <w:rPr>
      <w:rFonts w:ascii="Times New Roman" w:hAnsi="Times New Roman"/>
    </w:rPr>
  </w:style>
  <w:style w:type="paragraph" w:styleId="4">
    <w:name w:val="Body Text Indent"/>
    <w:basedOn w:val="1"/>
    <w:next w:val="5"/>
    <w:autoRedefine/>
    <w:qFormat/>
    <w:uiPriority w:val="0"/>
    <w:pPr>
      <w:widowControl/>
      <w:spacing w:beforeAutospacing="1" w:afterAutospacing="1"/>
      <w:jc w:val="left"/>
    </w:pPr>
    <w:rPr>
      <w:rFonts w:ascii="宋体" w:hAnsi="宋体"/>
      <w:kern w:val="0"/>
      <w:sz w:val="24"/>
    </w:rPr>
  </w:style>
  <w:style w:type="paragraph" w:styleId="5">
    <w:name w:val="Body Text First Indent 2"/>
    <w:basedOn w:val="4"/>
    <w:next w:val="1"/>
    <w:autoRedefine/>
    <w:unhideWhenUsed/>
    <w:qFormat/>
    <w:uiPriority w:val="99"/>
    <w:pPr>
      <w:spacing w:after="0"/>
      <w:ind w:firstLine="420" w:firstLineChars="200"/>
    </w:pPr>
    <w:rPr>
      <w:szCs w:val="21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widowControl w:val="0"/>
      <w:spacing w:before="100" w:beforeAutospacing="1" w:after="100" w:afterAutospacing="1"/>
    </w:pPr>
    <w:rPr>
      <w:rFonts w:ascii="宋体" w:eastAsia="宋体"/>
      <w:kern w:val="2"/>
      <w:sz w:val="24"/>
      <w:lang w:val="en-US" w:eastAsia="zh-CN" w:bidi="ar-SA"/>
    </w:rPr>
  </w:style>
  <w:style w:type="paragraph" w:customStyle="1" w:styleId="11">
    <w:name w:val="BodyText1I2"/>
    <w:basedOn w:val="12"/>
    <w:next w:val="1"/>
    <w:autoRedefine/>
    <w:unhideWhenUsed/>
    <w:qFormat/>
    <w:uiPriority w:val="0"/>
    <w:pPr>
      <w:ind w:firstLine="200" w:firstLineChars="200"/>
    </w:pPr>
    <w:rPr>
      <w:rFonts w:hint="default" w:ascii="Calibri" w:hAnsi="Calibri" w:eastAsia="仿宋_GB2312"/>
      <w:sz w:val="36"/>
    </w:rPr>
  </w:style>
  <w:style w:type="paragraph" w:customStyle="1" w:styleId="12">
    <w:name w:val="BodyTextIndent"/>
    <w:basedOn w:val="1"/>
    <w:autoRedefine/>
    <w:unhideWhenUsed/>
    <w:qFormat/>
    <w:uiPriority w:val="0"/>
    <w:pPr>
      <w:spacing w:after="120"/>
      <w:ind w:left="420" w:leftChars="200"/>
      <w:textAlignment w:val="baseline"/>
    </w:pPr>
    <w:rPr>
      <w:rFonts w:hint="eastAsia"/>
      <w:sz w:val="21"/>
      <w:lang w:val="en-US" w:eastAsia="zh-CN"/>
    </w:rPr>
  </w:style>
  <w:style w:type="paragraph" w:customStyle="1" w:styleId="13">
    <w:name w:val="paragraph text-align-type-justify pap-line-15pt pap-line-rule-exact pap-spacing-before-2pt pap-spacing-after-0pt pap-firstline-indent-26pt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1254</Words>
  <Characters>1544</Characters>
  <Lines>0</Lines>
  <Paragraphs>0</Paragraphs>
  <TotalTime>8</TotalTime>
  <ScaleCrop>false</ScaleCrop>
  <LinksUpToDate>false</LinksUpToDate>
  <CharactersWithSpaces>1595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WPS_1701393849</cp:lastModifiedBy>
  <dcterms:modified xsi:type="dcterms:W3CDTF">2024-09-24T09:06:10Z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9276B558750442A8852657E794D76916</vt:lpwstr>
  </property>
</Properties>
</file>