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A15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0" w:firstLineChars="100"/>
        <w:jc w:val="both"/>
        <w:textAlignment w:val="auto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</w:rPr>
        <w:t>非税收入征收成本项目支出绩效评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价报告</w:t>
      </w:r>
    </w:p>
    <w:p w14:paraId="49A992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 w14:paraId="0EB142C3">
      <w:pPr>
        <w:keepNext w:val="0"/>
        <w:keepLines w:val="0"/>
        <w:pageBreakBefore w:val="0"/>
        <w:widowControl w:val="0"/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66" w:leftChars="194" w:firstLine="156" w:firstLineChars="49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一、项目概况</w:t>
      </w:r>
    </w:p>
    <w:p w14:paraId="21E2895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4" w:firstLineChars="200"/>
        <w:textAlignment w:val="auto"/>
        <w:rPr>
          <w:rFonts w:hint="default" w:ascii="仿宋_GB2312" w:hAnsi="仿宋_GB2312" w:eastAsia="仿宋_GB2312" w:cs="仿宋_GB2312"/>
          <w:color w:val="333333"/>
          <w:spacing w:val="1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spacing w:val="1"/>
          <w:kern w:val="0"/>
          <w:sz w:val="32"/>
          <w:szCs w:val="32"/>
          <w:lang w:val="en-US" w:eastAsia="zh-CN" w:bidi="ar-SA"/>
        </w:rPr>
        <w:t xml:space="preserve">2023年非税收入征收成本专项资金0.7万元。资金用于缴纳了2023年度非税收入及征收成本0.7万元。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仿宋_GB2312" w:hAnsi="仿宋_GB2312" w:eastAsia="仿宋_GB2312" w:cs="仿宋_GB2312"/>
          <w:color w:val="333333"/>
          <w:spacing w:val="1"/>
          <w:kern w:val="0"/>
          <w:sz w:val="32"/>
          <w:szCs w:val="32"/>
          <w:lang w:val="en-US" w:eastAsia="zh-CN" w:bidi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7A10EE8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二、项目资金使用及管理情况</w:t>
      </w:r>
    </w:p>
    <w:p w14:paraId="7673A1BD">
      <w:pPr>
        <w:pStyle w:val="7"/>
        <w:keepNext w:val="0"/>
        <w:keepLines w:val="0"/>
        <w:pageBreakBefore w:val="0"/>
        <w:widowControl w:val="0"/>
        <w:tabs>
          <w:tab w:val="left" w:pos="1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spacing w:val="1"/>
          <w:kern w:val="0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/>
          <w:sz w:val="32"/>
          <w:szCs w:val="32"/>
        </w:rPr>
        <w:t>（一）</w:t>
      </w:r>
      <w:r>
        <w:rPr>
          <w:rFonts w:hint="eastAsia" w:ascii="方正楷体_GBK" w:hAnsi="方正楷体_GBK" w:eastAsia="方正楷体_GBK" w:cs="方正楷体_GBK"/>
          <w:color w:val="333333"/>
          <w:spacing w:val="1"/>
          <w:kern w:val="0"/>
          <w:sz w:val="32"/>
          <w:szCs w:val="32"/>
          <w:lang w:val="en-US" w:eastAsia="zh-CN" w:bidi="ar-SA"/>
        </w:rPr>
        <w:t>项目资金到位及使用情况。</w:t>
      </w:r>
    </w:p>
    <w:p w14:paraId="533D6E5F">
      <w:pPr>
        <w:pStyle w:val="7"/>
        <w:keepNext w:val="0"/>
        <w:keepLines w:val="0"/>
        <w:pageBreakBefore w:val="0"/>
        <w:widowControl w:val="0"/>
        <w:tabs>
          <w:tab w:val="left" w:pos="1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4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pacing w:val="1"/>
          <w:kern w:val="0"/>
          <w:sz w:val="32"/>
          <w:szCs w:val="32"/>
          <w:lang w:val="en-US" w:eastAsia="zh-CN" w:bidi="ar-SA"/>
        </w:rPr>
        <w:t>2023年，县财政下达我局非税收入征收成本项目专项资金共计0.7万元，到位资金0.7万元，到位率100%。</w:t>
      </w:r>
    </w:p>
    <w:p w14:paraId="0274B21A"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644" w:firstLineChars="200"/>
        <w:textAlignment w:val="auto"/>
        <w:rPr>
          <w:rFonts w:hint="eastAsia" w:ascii="方正楷体_GBK" w:hAnsi="方正楷体_GBK" w:eastAsia="方正楷体_GBK" w:cs="方正楷体_GBK"/>
          <w:color w:val="333333"/>
          <w:spacing w:val="1"/>
          <w:kern w:val="0"/>
          <w:sz w:val="32"/>
          <w:szCs w:val="32"/>
          <w:lang w:val="en-US" w:eastAsia="zh-CN" w:bidi="ar-SA"/>
        </w:rPr>
      </w:pPr>
      <w:r>
        <w:rPr>
          <w:rFonts w:hint="eastAsia" w:ascii="方正楷体_GBK" w:hAnsi="方正楷体_GBK" w:eastAsia="方正楷体_GBK" w:cs="方正楷体_GBK"/>
          <w:color w:val="333333"/>
          <w:spacing w:val="1"/>
          <w:kern w:val="0"/>
          <w:sz w:val="32"/>
          <w:szCs w:val="32"/>
          <w:lang w:val="en-US" w:eastAsia="zh-CN" w:bidi="ar-SA"/>
        </w:rPr>
        <w:t>项目资金管理情况。</w:t>
      </w:r>
    </w:p>
    <w:p w14:paraId="72216E3B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200" w:firstLine="644" w:firstLineChars="200"/>
        <w:textAlignment w:val="auto"/>
        <w:rPr>
          <w:rFonts w:hint="eastAsia" w:ascii="仿宋_GB2312" w:hAnsi="仿宋_GB2312" w:eastAsia="仿宋_GB2312" w:cs="仿宋_GB2312"/>
          <w:color w:val="333333"/>
          <w:spacing w:val="1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spacing w:val="1"/>
          <w:kern w:val="0"/>
          <w:sz w:val="32"/>
          <w:szCs w:val="32"/>
          <w:lang w:val="en-US" w:eastAsia="zh-CN" w:bidi="ar-SA"/>
        </w:rPr>
        <w:t>一是制定《会同县民政局行政管理制度》相关管理措施，对各实施项目进行规范管理。项目资金实行专账管理、分项核算的管理模式，做到专款专用，无挤占、挪用、串用的现象。二是规范项目资金发放程序，对各项目资金使用情况进行公示。</w:t>
      </w:r>
    </w:p>
    <w:p w14:paraId="5A442AC9">
      <w:pPr>
        <w:pStyle w:val="7"/>
        <w:keepNext w:val="0"/>
        <w:keepLines w:val="0"/>
        <w:pageBreakBefore w:val="0"/>
        <w:widowControl w:val="0"/>
        <w:tabs>
          <w:tab w:val="left" w:pos="1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</w:t>
      </w:r>
      <w:r>
        <w:rPr>
          <w:rFonts w:hint="eastAsia" w:ascii="黑体" w:hAnsi="黑体" w:eastAsia="黑体"/>
          <w:sz w:val="32"/>
          <w:szCs w:val="32"/>
        </w:rPr>
        <w:tab/>
      </w:r>
      <w:r>
        <w:rPr>
          <w:rFonts w:hint="eastAsia" w:ascii="黑体" w:hAnsi="黑体" w:eastAsia="黑体"/>
          <w:sz w:val="32"/>
          <w:szCs w:val="32"/>
        </w:rPr>
        <w:t>、项目组织实施情况</w:t>
      </w:r>
    </w:p>
    <w:p w14:paraId="3CA789BA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30"/>
        <w:textAlignment w:val="auto"/>
        <w:outlineLvl w:val="0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项目组织实施及管理情况。</w:t>
      </w:r>
    </w:p>
    <w:p w14:paraId="3F55D90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4" w:firstLineChars="200"/>
        <w:textAlignment w:val="auto"/>
        <w:outlineLvl w:val="0"/>
        <w:rPr>
          <w:rFonts w:hint="eastAsia" w:ascii="仿宋_GB2312" w:hAnsi="仿宋_GB2312" w:eastAsia="仿宋_GB2312" w:cs="仿宋_GB2312"/>
          <w:color w:val="333333"/>
          <w:spacing w:val="1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spacing w:val="1"/>
          <w:kern w:val="0"/>
          <w:sz w:val="32"/>
          <w:szCs w:val="32"/>
          <w:lang w:val="en-US" w:eastAsia="zh-CN" w:bidi="ar-SA"/>
        </w:rPr>
        <w:t>一是加强组织领导，成立项目实施领导小组，促进项目顺利实施。二是严格按照项目批复、作业设计和实施方案组织项目实施。</w:t>
      </w:r>
    </w:p>
    <w:p w14:paraId="441183BD"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30" w:firstLineChars="0"/>
        <w:textAlignment w:val="auto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项目完成情况。</w:t>
      </w:r>
    </w:p>
    <w:p w14:paraId="7A5C6F1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4" w:firstLineChars="200"/>
        <w:textAlignment w:val="auto"/>
        <w:outlineLvl w:val="0"/>
        <w:rPr>
          <w:rFonts w:hint="eastAsia" w:ascii="仿宋_GB2312" w:hAnsi="仿宋_GB2312" w:eastAsia="仿宋_GB2312" w:cs="仿宋_GB2312"/>
          <w:color w:val="333333"/>
          <w:spacing w:val="1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spacing w:val="1"/>
          <w:kern w:val="0"/>
          <w:sz w:val="32"/>
          <w:szCs w:val="32"/>
          <w:lang w:val="en-US" w:eastAsia="zh-CN" w:bidi="ar-SA"/>
        </w:rPr>
        <w:t>2023年应征收国有资产收入3.8万元，全年非税收入征收成本支出0.7万元，全部用于征收成本和税金缴纳。</w:t>
      </w:r>
    </w:p>
    <w:p w14:paraId="2CD6934F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firstLine="627" w:firstLineChars="196"/>
        <w:jc w:val="left"/>
        <w:textAlignment w:val="auto"/>
        <w:rPr>
          <w:rFonts w:hint="eastAsia" w:ascii="黑体" w:hAnsi="黑体" w:eastAsia="黑体" w:cs="宋体"/>
          <w:b w:val="0"/>
        </w:rPr>
      </w:pPr>
    </w:p>
    <w:p w14:paraId="59874FF7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firstLine="627" w:firstLineChars="196"/>
        <w:jc w:val="left"/>
        <w:textAlignment w:val="auto"/>
        <w:rPr>
          <w:rFonts w:hint="eastAsia" w:ascii="黑体" w:hAnsi="黑体" w:eastAsia="黑体" w:cs="宋体"/>
          <w:b w:val="0"/>
        </w:rPr>
      </w:pPr>
    </w:p>
    <w:p w14:paraId="57C08877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firstLine="627" w:firstLineChars="196"/>
        <w:jc w:val="left"/>
        <w:textAlignment w:val="auto"/>
        <w:rPr>
          <w:rFonts w:hint="eastAsia" w:ascii="黑体" w:hAnsi="黑体" w:eastAsia="黑体"/>
          <w:b w:val="0"/>
        </w:rPr>
      </w:pPr>
      <w:r>
        <w:rPr>
          <w:rFonts w:hint="eastAsia" w:ascii="黑体" w:hAnsi="黑体" w:eastAsia="黑体" w:cs="宋体"/>
          <w:b w:val="0"/>
        </w:rPr>
        <w:t>四、项目绩效情况</w:t>
      </w:r>
      <w:r>
        <w:rPr>
          <w:rFonts w:hint="eastAsia" w:ascii="黑体" w:hAnsi="黑体" w:eastAsia="黑体"/>
          <w:b w:val="0"/>
        </w:rPr>
        <w:tab/>
      </w:r>
    </w:p>
    <w:p w14:paraId="7AFE76D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4" w:firstLineChars="200"/>
        <w:textAlignment w:val="auto"/>
        <w:outlineLvl w:val="0"/>
        <w:rPr>
          <w:rFonts w:hint="eastAsia" w:ascii="仿宋_GB2312" w:hAnsi="仿宋_GB2312" w:eastAsia="仿宋_GB2312" w:cs="仿宋_GB2312"/>
          <w:color w:val="333333"/>
          <w:spacing w:val="1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spacing w:val="1"/>
          <w:kern w:val="0"/>
          <w:sz w:val="32"/>
          <w:szCs w:val="32"/>
          <w:lang w:val="en-US" w:eastAsia="zh-CN" w:bidi="ar-SA"/>
        </w:rPr>
        <w:t>政府非税收入是财政收入的重要组成部分，近年来对地方经济和社会发展起到了越来越重要的作用。项目实施后，解决了我局非税收入征收成本经费不足的问题，促进了非税收入的征收，为非税收入的征收提供了保障，较好地促进了县域经济发展。</w:t>
      </w:r>
    </w:p>
    <w:p w14:paraId="2B5D5A45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五、其他需要说明的问题</w:t>
      </w:r>
    </w:p>
    <w:p w14:paraId="1B0EE7C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4" w:firstLineChars="200"/>
        <w:textAlignment w:val="auto"/>
        <w:outlineLvl w:val="0"/>
        <w:rPr>
          <w:rFonts w:hint="eastAsia" w:ascii="仿宋_GB2312" w:hAnsi="仿宋_GB2312" w:eastAsia="仿宋_GB2312" w:cs="仿宋_GB2312"/>
          <w:color w:val="333333"/>
          <w:spacing w:val="1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spacing w:val="1"/>
          <w:kern w:val="0"/>
          <w:sz w:val="32"/>
          <w:szCs w:val="32"/>
          <w:lang w:val="en-US" w:eastAsia="zh-CN" w:bidi="ar-SA"/>
        </w:rPr>
        <w:t>严格按照项目作业规划设计和实施方案，继续抓好项目后期管理工作。同时进一步完善各项管理制度，确保今后的项目工程高标准、高质量完成。</w:t>
      </w:r>
    </w:p>
    <w:p w14:paraId="38E420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六、项目评价工作情况</w:t>
      </w:r>
    </w:p>
    <w:p w14:paraId="47889BD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4" w:firstLineChars="200"/>
        <w:textAlignment w:val="auto"/>
        <w:outlineLvl w:val="0"/>
        <w:rPr>
          <w:rFonts w:hint="eastAsia" w:ascii="仿宋_GB2312" w:hAnsi="仿宋_GB2312" w:eastAsia="仿宋_GB2312" w:cs="仿宋_GB2312"/>
          <w:color w:val="333333"/>
          <w:spacing w:val="1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spacing w:val="1"/>
          <w:kern w:val="0"/>
          <w:sz w:val="32"/>
          <w:szCs w:val="32"/>
          <w:lang w:val="en-US" w:eastAsia="zh-CN" w:bidi="ar-SA"/>
        </w:rPr>
        <w:t>我局根据文件要求,立即组织了相关人员对2023年度专项资金实施绩效评价工作，通过实地抽查与核实，查阅资料，收集评价相关资料，逐一对照考评内容和指标，整理、统计相关资料汇总数据，如实填报考评表格，进行了综合分析评价，完成了自评工作。</w:t>
      </w:r>
    </w:p>
    <w:p w14:paraId="2616C52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4" w:firstLineChars="200"/>
        <w:textAlignment w:val="auto"/>
        <w:outlineLvl w:val="0"/>
        <w:rPr>
          <w:rFonts w:hint="eastAsia" w:ascii="仿宋_GB2312" w:hAnsi="仿宋_GB2312" w:eastAsia="仿宋_GB2312" w:cs="仿宋_GB2312"/>
          <w:color w:val="333333"/>
          <w:spacing w:val="1"/>
          <w:kern w:val="0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color w:val="333333"/>
          <w:spacing w:val="1"/>
          <w:kern w:val="0"/>
          <w:sz w:val="32"/>
          <w:szCs w:val="32"/>
          <w:lang w:val="en-US" w:eastAsia="zh-CN" w:bidi="ar-SA"/>
        </w:rPr>
        <w:t>根据《</w:t>
      </w:r>
      <w:r>
        <w:rPr>
          <w:rFonts w:hint="eastAsia" w:ascii="仿宋_GB2312" w:hAnsi="仿宋_GB2312" w:eastAsia="仿宋_GB2312" w:cs="仿宋_GB2312"/>
          <w:color w:val="333333"/>
          <w:spacing w:val="1"/>
          <w:kern w:val="0"/>
          <w:sz w:val="32"/>
          <w:szCs w:val="32"/>
          <w:lang w:val="en-US" w:eastAsia="zh-CN" w:bidi="ar-SA"/>
        </w:rPr>
        <w:t>项目支出绩效评价共性指标体系</w:t>
      </w:r>
      <w:r>
        <w:rPr>
          <w:rFonts w:hint="default" w:ascii="仿宋_GB2312" w:hAnsi="仿宋_GB2312" w:eastAsia="仿宋_GB2312" w:cs="仿宋_GB2312"/>
          <w:color w:val="333333"/>
          <w:spacing w:val="1"/>
          <w:kern w:val="0"/>
          <w:sz w:val="32"/>
          <w:szCs w:val="32"/>
          <w:lang w:val="en-US" w:eastAsia="zh-CN" w:bidi="ar-SA"/>
        </w:rPr>
        <w:t>》评分，</w:t>
      </w:r>
      <w:r>
        <w:rPr>
          <w:rFonts w:hint="eastAsia" w:ascii="仿宋_GB2312" w:hAnsi="仿宋_GB2312" w:eastAsia="仿宋_GB2312" w:cs="仿宋_GB2312"/>
          <w:color w:val="333333"/>
          <w:spacing w:val="1"/>
          <w:kern w:val="0"/>
          <w:sz w:val="32"/>
          <w:szCs w:val="32"/>
          <w:lang w:val="en-US" w:eastAsia="zh-CN" w:bidi="ar-SA"/>
        </w:rPr>
        <w:t>会同县民政局非税收入征收成本项目得分100</w:t>
      </w:r>
      <w:bookmarkStart w:id="0" w:name="_GoBack"/>
      <w:bookmarkEnd w:id="0"/>
      <w:r>
        <w:rPr>
          <w:rFonts w:hint="default" w:ascii="仿宋_GB2312" w:hAnsi="仿宋_GB2312" w:eastAsia="仿宋_GB2312" w:cs="仿宋_GB2312"/>
          <w:color w:val="333333"/>
          <w:spacing w:val="1"/>
          <w:kern w:val="0"/>
          <w:sz w:val="32"/>
          <w:szCs w:val="32"/>
          <w:lang w:val="en-US" w:eastAsia="zh-CN" w:bidi="ar-SA"/>
        </w:rPr>
        <w:t>分，</w:t>
      </w:r>
      <w:r>
        <w:rPr>
          <w:rFonts w:hint="eastAsia" w:ascii="仿宋_GB2312" w:hAnsi="仿宋_GB2312" w:eastAsia="仿宋_GB2312" w:cs="仿宋_GB2312"/>
          <w:color w:val="333333"/>
          <w:spacing w:val="1"/>
          <w:kern w:val="0"/>
          <w:sz w:val="32"/>
          <w:szCs w:val="32"/>
          <w:lang w:val="en-US" w:eastAsia="zh-CN" w:bidi="ar-SA"/>
        </w:rPr>
        <w:t>项</w:t>
      </w:r>
      <w:r>
        <w:rPr>
          <w:rFonts w:hint="default" w:ascii="仿宋_GB2312" w:hAnsi="仿宋_GB2312" w:eastAsia="仿宋_GB2312" w:cs="仿宋_GB2312"/>
          <w:color w:val="333333"/>
          <w:spacing w:val="1"/>
          <w:kern w:val="0"/>
          <w:sz w:val="32"/>
          <w:szCs w:val="32"/>
          <w:lang w:val="en-US" w:eastAsia="zh-CN" w:bidi="ar-SA"/>
        </w:rPr>
        <w:t>目评价结论是</w:t>
      </w:r>
      <w:r>
        <w:rPr>
          <w:rFonts w:hint="eastAsia" w:ascii="仿宋_GB2312" w:hAnsi="仿宋_GB2312" w:eastAsia="仿宋_GB2312" w:cs="仿宋_GB2312"/>
          <w:color w:val="333333"/>
          <w:spacing w:val="1"/>
          <w:kern w:val="0"/>
          <w:sz w:val="32"/>
          <w:szCs w:val="32"/>
          <w:lang w:val="en-US" w:eastAsia="zh-CN" w:bidi="ar-SA"/>
        </w:rPr>
        <w:t>：会同县民政局非税收入征收成本项目</w:t>
      </w:r>
      <w:r>
        <w:rPr>
          <w:rFonts w:hint="default" w:ascii="仿宋_GB2312" w:hAnsi="仿宋_GB2312" w:eastAsia="仿宋_GB2312" w:cs="仿宋_GB2312"/>
          <w:color w:val="333333"/>
          <w:spacing w:val="1"/>
          <w:kern w:val="0"/>
          <w:sz w:val="32"/>
          <w:szCs w:val="32"/>
          <w:lang w:val="en-US" w:eastAsia="zh-CN" w:bidi="ar-SA"/>
        </w:rPr>
        <w:t>完成了绩效目标任务，发挥了政府为民办实事和公共财政应有的绩效作用</w:t>
      </w:r>
      <w:r>
        <w:rPr>
          <w:rFonts w:hint="eastAsia" w:ascii="仿宋_GB2312" w:hAnsi="仿宋_GB2312" w:eastAsia="仿宋_GB2312" w:cs="仿宋_GB2312"/>
          <w:color w:val="333333"/>
          <w:spacing w:val="1"/>
          <w:kern w:val="0"/>
          <w:sz w:val="32"/>
          <w:szCs w:val="32"/>
          <w:lang w:val="en-US" w:eastAsia="zh-CN" w:bidi="ar-SA"/>
        </w:rPr>
        <w:t>。</w:t>
      </w:r>
    </w:p>
    <w:p w14:paraId="4E510E5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4" w:firstLineChars="200"/>
        <w:textAlignment w:val="auto"/>
        <w:outlineLvl w:val="0"/>
        <w:rPr>
          <w:rFonts w:hint="eastAsia" w:ascii="仿宋_GB2312" w:hAnsi="仿宋_GB2312" w:eastAsia="仿宋_GB2312" w:cs="仿宋_GB2312"/>
          <w:color w:val="333333"/>
          <w:spacing w:val="1"/>
          <w:kern w:val="0"/>
          <w:sz w:val="32"/>
          <w:szCs w:val="32"/>
          <w:lang w:val="en-US" w:eastAsia="zh-CN" w:bidi="ar-SA"/>
        </w:rPr>
      </w:pPr>
    </w:p>
    <w:p w14:paraId="3B2F79B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4" w:firstLineChars="200"/>
        <w:textAlignment w:val="auto"/>
        <w:outlineLvl w:val="0"/>
        <w:rPr>
          <w:rFonts w:hint="default" w:ascii="仿宋_GB2312" w:hAnsi="仿宋_GB2312" w:eastAsia="仿宋_GB2312" w:cs="仿宋_GB2312"/>
          <w:color w:val="333333"/>
          <w:spacing w:val="1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spacing w:val="1"/>
          <w:kern w:val="0"/>
          <w:sz w:val="32"/>
          <w:szCs w:val="32"/>
          <w:lang w:val="en-US" w:eastAsia="zh-CN" w:bidi="ar-SA"/>
        </w:rPr>
        <w:t xml:space="preserve">                               会同县民政局</w:t>
      </w:r>
    </w:p>
    <w:p w14:paraId="79F4F03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4" w:firstLineChars="200"/>
        <w:textAlignment w:val="auto"/>
        <w:outlineLvl w:val="0"/>
        <w:rPr>
          <w:rFonts w:hint="default" w:ascii="仿宋_GB2312" w:hAnsi="仿宋_GB2312" w:eastAsia="仿宋_GB2312" w:cs="仿宋_GB2312"/>
          <w:color w:val="333333"/>
          <w:spacing w:val="1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spacing w:val="1"/>
          <w:kern w:val="0"/>
          <w:sz w:val="32"/>
          <w:szCs w:val="32"/>
          <w:lang w:val="en-US" w:eastAsia="zh-CN" w:bidi="ar-SA"/>
        </w:rPr>
        <w:t xml:space="preserve">                               2024年9月1日</w:t>
      </w:r>
    </w:p>
    <w:p w14:paraId="66172DA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4" w:firstLineChars="200"/>
        <w:textAlignment w:val="auto"/>
        <w:outlineLvl w:val="0"/>
        <w:rPr>
          <w:rFonts w:hint="eastAsia" w:ascii="仿宋_GB2312" w:hAnsi="仿宋_GB2312" w:eastAsia="仿宋_GB2312" w:cs="仿宋_GB2312"/>
          <w:color w:val="333333"/>
          <w:spacing w:val="1"/>
          <w:kern w:val="0"/>
          <w:sz w:val="32"/>
          <w:szCs w:val="32"/>
          <w:lang w:val="en-US" w:eastAsia="zh-CN" w:bidi="ar-SA"/>
        </w:rPr>
      </w:pPr>
    </w:p>
    <w:p w14:paraId="19C466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58"/>
        <w:textAlignment w:val="auto"/>
        <w:rPr>
          <w:rFonts w:hint="eastAsia" w:ascii="仿宋_GB2312" w:eastAsia="仿宋_GB2312"/>
          <w:sz w:val="32"/>
          <w:szCs w:val="32"/>
        </w:rPr>
      </w:pPr>
    </w:p>
    <w:p w14:paraId="0AFD69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58"/>
        <w:textAlignment w:val="auto"/>
        <w:rPr>
          <w:rFonts w:hint="eastAsia" w:ascii="仿宋_GB2312" w:eastAsia="仿宋_GB2312"/>
          <w:sz w:val="32"/>
          <w:szCs w:val="32"/>
        </w:rPr>
      </w:pPr>
    </w:p>
    <w:p w14:paraId="658DF2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58"/>
        <w:textAlignment w:val="auto"/>
        <w:rPr>
          <w:rFonts w:hint="eastAsia" w:ascii="仿宋_GB2312" w:eastAsia="仿宋_GB2312"/>
          <w:sz w:val="32"/>
          <w:szCs w:val="32"/>
        </w:rPr>
      </w:pPr>
    </w:p>
    <w:p w14:paraId="1DED349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 w14:paraId="086326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</w:p>
    <w:sectPr>
      <w:footerReference r:id="rId3" w:type="default"/>
      <w:pgSz w:w="11906" w:h="16838"/>
      <w:pgMar w:top="1757" w:right="1474" w:bottom="1440" w:left="1587" w:header="851" w:footer="992" w:gutter="0"/>
      <w:cols w:space="0" w:num="1"/>
      <w:rtlGutter w:val="0"/>
      <w:docGrid w:type="lines" w:linePitch="33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EE75C1">
    <w:pPr>
      <w:pStyle w:val="2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95725D">
                          <w:pPr>
                            <w:pStyle w:val="2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395725D">
                    <w:pPr>
                      <w:pStyle w:val="2"/>
                      <w:jc w:val="center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610167FC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4BFFF4"/>
    <w:multiLevelType w:val="singleLevel"/>
    <w:tmpl w:val="BD4BFFF4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9F5267C"/>
    <w:multiLevelType w:val="singleLevel"/>
    <w:tmpl w:val="E9F5267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66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2MzY5OWVmYjdmODE5ZWNmNzZmZDdmMjM3ZDBjZmUifQ=="/>
  </w:docVars>
  <w:rsids>
    <w:rsidRoot w:val="00000000"/>
    <w:rsid w:val="05636D2F"/>
    <w:rsid w:val="0C354366"/>
    <w:rsid w:val="157F13FB"/>
    <w:rsid w:val="228076BA"/>
    <w:rsid w:val="22F537AC"/>
    <w:rsid w:val="238B3C7F"/>
    <w:rsid w:val="257A28FD"/>
    <w:rsid w:val="264A3C73"/>
    <w:rsid w:val="28206F23"/>
    <w:rsid w:val="282A2B1C"/>
    <w:rsid w:val="2F31428E"/>
    <w:rsid w:val="334B3D66"/>
    <w:rsid w:val="393668EF"/>
    <w:rsid w:val="44777058"/>
    <w:rsid w:val="58343CE3"/>
    <w:rsid w:val="58D832F9"/>
    <w:rsid w:val="62174976"/>
    <w:rsid w:val="64610968"/>
    <w:rsid w:val="6C224921"/>
    <w:rsid w:val="6D4368EB"/>
    <w:rsid w:val="6D657F22"/>
    <w:rsid w:val="776B68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Times New Roman" w:cs="Times New Roman"/>
      <w:b/>
      <w:bCs/>
      <w:sz w:val="32"/>
      <w:szCs w:val="32"/>
    </w:rPr>
  </w:style>
  <w:style w:type="paragraph" w:customStyle="1" w:styleId="7">
    <w:name w:val="p0"/>
    <w:basedOn w:val="1"/>
    <w:qFormat/>
    <w:uiPriority w:val="0"/>
    <w:pPr>
      <w:spacing w:line="365" w:lineRule="atLeast"/>
      <w:ind w:left="1"/>
      <w:jc w:val="both"/>
    </w:pPr>
    <w:rPr>
      <w:rFonts w:ascii="Times New Roman" w:hAnsi="Times New Roman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807</Words>
  <Characters>841</Characters>
  <Lines>0</Lines>
  <Paragraphs>0</Paragraphs>
  <TotalTime>6</TotalTime>
  <ScaleCrop>false</ScaleCrop>
  <LinksUpToDate>false</LinksUpToDate>
  <CharactersWithSpaces>8884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2024-10-18T07:41:47Z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D4D5BB24EB784D858ED7B917A5093C9F</vt:lpwstr>
  </property>
</Properties>
</file>