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2C83D">
      <w:pPr>
        <w:pStyle w:val="5"/>
        <w:widowControl/>
        <w:shd w:val="clear" w:color="auto" w:fill="FFFFFF"/>
        <w:spacing w:before="0" w:beforeAutospacing="0" w:after="0" w:afterAutospacing="0" w:line="480" w:lineRule="atLeast"/>
        <w:jc w:val="center"/>
        <w:rPr>
          <w:rFonts w:ascii="仿宋" w:hAnsi="仿宋" w:eastAsia="仿宋" w:cs="仿宋"/>
          <w:b/>
          <w:sz w:val="44"/>
          <w:szCs w:val="44"/>
        </w:rPr>
      </w:pPr>
      <w:r>
        <w:rPr>
          <w:rFonts w:hint="eastAsia" w:ascii="仿宋" w:hAnsi="仿宋" w:eastAsia="仿宋" w:cs="仿宋"/>
          <w:b/>
          <w:sz w:val="44"/>
          <w:szCs w:val="44"/>
        </w:rPr>
        <w:t>会同县图书馆2023年非税执收成本</w:t>
      </w:r>
    </w:p>
    <w:p w14:paraId="2525E570">
      <w:pPr>
        <w:pStyle w:val="5"/>
        <w:widowControl/>
        <w:shd w:val="clear" w:color="auto" w:fill="FFFFFF"/>
        <w:spacing w:before="0" w:beforeAutospacing="0" w:after="0" w:afterAutospacing="0" w:line="480" w:lineRule="atLeast"/>
        <w:jc w:val="center"/>
        <w:rPr>
          <w:rFonts w:ascii="仿宋" w:hAnsi="仿宋" w:eastAsia="仿宋" w:cs="方正小标宋简体"/>
          <w:b/>
          <w:color w:val="000000"/>
          <w:sz w:val="44"/>
          <w:szCs w:val="44"/>
        </w:rPr>
      </w:pPr>
      <w:r>
        <w:rPr>
          <w:rFonts w:hint="eastAsia" w:ascii="仿宋" w:hAnsi="仿宋" w:eastAsia="仿宋" w:cs="方正小标宋简体"/>
          <w:b/>
          <w:color w:val="000000"/>
          <w:sz w:val="44"/>
          <w:szCs w:val="44"/>
          <w:shd w:val="clear" w:color="auto" w:fill="FFFFFF"/>
        </w:rPr>
        <w:t>项目支出绩效自评报告</w:t>
      </w:r>
    </w:p>
    <w:p w14:paraId="4532564D">
      <w:pPr>
        <w:pStyle w:val="5"/>
        <w:widowControl/>
        <w:shd w:val="clear" w:color="auto" w:fill="FFFFFF"/>
        <w:snapToGrid w:val="0"/>
        <w:spacing w:before="0" w:beforeAutospacing="0" w:after="0" w:afterAutospacing="0" w:line="520" w:lineRule="exact"/>
        <w:ind w:firstLine="640" w:firstLineChars="200"/>
        <w:jc w:val="both"/>
        <w:rPr>
          <w:rFonts w:ascii="黑体" w:hAnsi="黑体" w:eastAsia="黑体" w:cs="黑体"/>
          <w:color w:val="000000"/>
          <w:sz w:val="32"/>
          <w:szCs w:val="32"/>
        </w:rPr>
      </w:pPr>
      <w:r>
        <w:rPr>
          <w:rFonts w:hint="eastAsia" w:ascii="方正小标宋_GBK" w:hAnsi="方正小标宋_GBK" w:eastAsia="方正小标宋_GBK" w:cs="方正小标宋_GBK"/>
          <w:color w:val="000000"/>
          <w:sz w:val="32"/>
          <w:szCs w:val="32"/>
          <w:shd w:val="clear" w:color="auto" w:fill="FFFFFF"/>
        </w:rPr>
        <w:t> </w:t>
      </w:r>
      <w:r>
        <w:rPr>
          <w:rFonts w:hint="eastAsia" w:ascii="黑体" w:hAnsi="黑体" w:eastAsia="黑体" w:cs="黑体"/>
          <w:color w:val="000000"/>
          <w:sz w:val="32"/>
          <w:szCs w:val="32"/>
          <w:shd w:val="clear" w:color="auto" w:fill="FFFFFF"/>
        </w:rPr>
        <w:t>一、项目基本情况</w:t>
      </w:r>
    </w:p>
    <w:p w14:paraId="551AB540">
      <w:pPr>
        <w:pStyle w:val="5"/>
        <w:widowControl/>
        <w:shd w:val="clear" w:color="auto" w:fill="FFFFFF"/>
        <w:snapToGrid w:val="0"/>
        <w:spacing w:before="0" w:beforeAutospacing="0" w:after="0" w:afterAutospacing="0" w:line="520" w:lineRule="exact"/>
        <w:ind w:firstLine="548" w:firstLineChars="200"/>
        <w:jc w:val="both"/>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pacing w:val="-23"/>
          <w:sz w:val="32"/>
          <w:szCs w:val="32"/>
          <w:shd w:val="clear" w:color="auto" w:fill="FFFFFF"/>
        </w:rPr>
        <w:t>（一）</w:t>
      </w:r>
      <w:r>
        <w:rPr>
          <w:rFonts w:hint="eastAsia" w:ascii="楷体_GB2312" w:hAnsi="楷体_GB2312" w:eastAsia="楷体_GB2312" w:cs="楷体_GB2312"/>
          <w:color w:val="000000"/>
          <w:sz w:val="32"/>
          <w:szCs w:val="32"/>
          <w:shd w:val="clear" w:color="auto" w:fill="FFFFFF"/>
        </w:rPr>
        <w:t>项目概况</w:t>
      </w:r>
    </w:p>
    <w:p w14:paraId="78823D4E">
      <w:pPr>
        <w:widowControl/>
        <w:spacing w:line="520" w:lineRule="exact"/>
        <w:ind w:firstLine="548" w:firstLineChars="196"/>
        <w:jc w:val="left"/>
        <w:rPr>
          <w:rFonts w:ascii="仿宋" w:hAnsi="仿宋" w:eastAsia="仿宋" w:cs="仿宋"/>
          <w:sz w:val="28"/>
          <w:szCs w:val="28"/>
        </w:rPr>
      </w:pPr>
      <w:r>
        <w:rPr>
          <w:rFonts w:hint="eastAsia" w:ascii="仿宋" w:hAnsi="仿宋" w:eastAsia="仿宋" w:cs="仿宋"/>
          <w:sz w:val="28"/>
          <w:szCs w:val="28"/>
        </w:rPr>
        <w:t>1、项目决策背景：非税收入征收成本项目纳入2023年度部门预算范围，经人大会议通过，县财政下达批复文件，包括该项目资金申报、批复符合资金管理办法等相关规定，会同县图书馆非税收入征收任务为完成国有资产有偿使用收入7万元。</w:t>
      </w:r>
    </w:p>
    <w:p w14:paraId="14BA2F0B">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2、项目主要内容：我馆年初非税执收成本预算1.5万，非税收入征收本主要用于图书馆日常办公及免费开放工作顺利开展等费用。</w:t>
      </w:r>
    </w:p>
    <w:p w14:paraId="6D55A59E">
      <w:pPr>
        <w:pStyle w:val="5"/>
        <w:widowControl/>
        <w:shd w:val="clear" w:color="auto" w:fill="FFFFFF"/>
        <w:snapToGrid w:val="0"/>
        <w:spacing w:before="0" w:beforeAutospacing="0" w:after="0" w:afterAutospacing="0" w:line="520" w:lineRule="exact"/>
        <w:ind w:firstLine="560" w:firstLineChars="200"/>
        <w:jc w:val="both"/>
        <w:rPr>
          <w:rFonts w:ascii="仿宋" w:hAnsi="仿宋" w:eastAsia="仿宋" w:cs="仿宋_GB2312"/>
          <w:color w:val="000000"/>
          <w:sz w:val="28"/>
          <w:szCs w:val="28"/>
          <w:shd w:val="clear" w:color="auto" w:fill="FFFFFF"/>
        </w:rPr>
      </w:pPr>
      <w:r>
        <w:rPr>
          <w:rFonts w:hint="eastAsia" w:ascii="仿宋" w:hAnsi="仿宋" w:eastAsia="仿宋" w:cs="仿宋_GB2312"/>
          <w:color w:val="000000"/>
          <w:sz w:val="28"/>
          <w:szCs w:val="28"/>
          <w:shd w:val="clear" w:color="auto" w:fill="FFFFFF"/>
        </w:rPr>
        <w:t>3.项目组织管理机构</w:t>
      </w:r>
    </w:p>
    <w:p w14:paraId="2A32D3A8">
      <w:pPr>
        <w:autoSpaceDN w:val="0"/>
        <w:spacing w:line="520" w:lineRule="exact"/>
        <w:ind w:firstLine="560" w:firstLineChars="200"/>
        <w:rPr>
          <w:rFonts w:ascii="仿宋" w:hAnsi="仿宋" w:eastAsia="仿宋"/>
          <w:sz w:val="28"/>
          <w:szCs w:val="28"/>
        </w:rPr>
      </w:pPr>
      <w:r>
        <w:rPr>
          <w:rFonts w:hint="eastAsia" w:ascii="仿宋" w:hAnsi="仿宋" w:eastAsia="仿宋" w:cs="仿宋"/>
          <w:sz w:val="28"/>
          <w:szCs w:val="28"/>
        </w:rPr>
        <w:t>会同县图书馆现有行政编制人员0个，全额拨款事业编制6个，自收自支事业编0个，实有在职人数6人，退休人员5人。有车辆1台，</w:t>
      </w:r>
      <w:r>
        <w:rPr>
          <w:rFonts w:hint="eastAsia" w:ascii="仿宋" w:hAnsi="仿宋" w:eastAsia="仿宋" w:cs="仿宋"/>
          <w:color w:val="333333"/>
          <w:sz w:val="28"/>
          <w:szCs w:val="28"/>
        </w:rPr>
        <w:t>实有在职人数与编制数相符。</w:t>
      </w:r>
    </w:p>
    <w:p w14:paraId="521DC786">
      <w:pPr>
        <w:pStyle w:val="5"/>
        <w:widowControl/>
        <w:shd w:val="clear" w:color="auto" w:fill="FFFFFF"/>
        <w:snapToGrid w:val="0"/>
        <w:spacing w:before="0" w:beforeAutospacing="0" w:after="0" w:afterAutospacing="0" w:line="520" w:lineRule="exact"/>
        <w:ind w:firstLine="548" w:firstLineChars="200"/>
        <w:jc w:val="both"/>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pacing w:val="-23"/>
          <w:sz w:val="32"/>
          <w:szCs w:val="32"/>
          <w:shd w:val="clear" w:color="auto" w:fill="FFFFFF"/>
        </w:rPr>
        <w:t>（二）</w:t>
      </w:r>
      <w:r>
        <w:rPr>
          <w:rFonts w:hint="eastAsia" w:ascii="楷体_GB2312" w:hAnsi="楷体_GB2312" w:eastAsia="楷体_GB2312" w:cs="楷体_GB2312"/>
          <w:color w:val="000000"/>
          <w:sz w:val="32"/>
          <w:szCs w:val="32"/>
          <w:shd w:val="clear" w:color="auto" w:fill="FFFFFF"/>
        </w:rPr>
        <w:t>预算资金使用管理情况</w:t>
      </w:r>
    </w:p>
    <w:p w14:paraId="4CD1ED43">
      <w:pPr>
        <w:snapToGrid w:val="0"/>
        <w:spacing w:line="520" w:lineRule="exact"/>
        <w:ind w:firstLine="560" w:firstLineChars="200"/>
        <w:outlineLvl w:val="1"/>
        <w:rPr>
          <w:rFonts w:ascii="仿宋" w:hAnsi="仿宋" w:eastAsia="仿宋" w:cs="仿宋_GB2312"/>
          <w:color w:val="000000"/>
          <w:kern w:val="0"/>
          <w:sz w:val="28"/>
          <w:szCs w:val="28"/>
          <w:shd w:val="clear" w:color="auto" w:fill="FFFFFF"/>
        </w:rPr>
      </w:pPr>
      <w:bookmarkStart w:id="0" w:name="_Toc10810"/>
      <w:r>
        <w:rPr>
          <w:rFonts w:hint="eastAsia" w:ascii="仿宋" w:hAnsi="仿宋" w:eastAsia="仿宋" w:cs="仿宋_GB2312"/>
          <w:color w:val="000000"/>
          <w:kern w:val="0"/>
          <w:sz w:val="28"/>
          <w:szCs w:val="28"/>
          <w:shd w:val="clear" w:color="auto" w:fill="FFFFFF"/>
        </w:rPr>
        <w:t>1.预算资金安排及管理情况</w:t>
      </w:r>
      <w:bookmarkEnd w:id="0"/>
    </w:p>
    <w:p w14:paraId="1C967F70">
      <w:pPr>
        <w:pStyle w:val="5"/>
        <w:widowControl/>
        <w:shd w:val="clear" w:color="auto" w:fill="FFFFFF"/>
        <w:snapToGrid w:val="0"/>
        <w:spacing w:before="0" w:beforeAutospacing="0" w:after="0" w:afterAutospacing="0" w:line="520" w:lineRule="exact"/>
        <w:ind w:firstLine="468" w:firstLineChars="200"/>
        <w:jc w:val="both"/>
        <w:rPr>
          <w:rFonts w:ascii="仿宋" w:hAnsi="仿宋" w:eastAsia="仿宋" w:cs="仿宋_GB2312"/>
          <w:color w:val="000000"/>
          <w:sz w:val="28"/>
          <w:szCs w:val="28"/>
          <w:shd w:val="clear" w:color="auto" w:fill="FFFFFF"/>
        </w:rPr>
      </w:pPr>
      <w:r>
        <w:rPr>
          <w:rFonts w:ascii="仿宋" w:hAnsi="仿宋" w:eastAsia="仿宋" w:cs="仿宋_GB2312"/>
          <w:color w:val="000000"/>
          <w:spacing w:val="-23"/>
          <w:sz w:val="28"/>
          <w:szCs w:val="28"/>
          <w:shd w:val="clear" w:color="auto" w:fill="FFFFFF"/>
        </w:rPr>
        <w:t>（1）</w:t>
      </w:r>
      <w:r>
        <w:rPr>
          <w:rFonts w:ascii="仿宋" w:hAnsi="仿宋" w:eastAsia="仿宋" w:cs="仿宋_GB2312"/>
          <w:color w:val="000000"/>
          <w:sz w:val="28"/>
          <w:szCs w:val="28"/>
          <w:shd w:val="clear" w:color="auto" w:fill="FFFFFF"/>
        </w:rPr>
        <w:t>资金来源及拨付流程</w:t>
      </w:r>
    </w:p>
    <w:p w14:paraId="24187ACD">
      <w:pPr>
        <w:pStyle w:val="5"/>
        <w:widowControl/>
        <w:shd w:val="clear" w:color="auto" w:fill="FFFFFF"/>
        <w:snapToGrid w:val="0"/>
        <w:spacing w:before="0" w:beforeAutospacing="0" w:after="0" w:afterAutospacing="0" w:line="520" w:lineRule="exact"/>
        <w:ind w:firstLine="560" w:firstLineChars="200"/>
        <w:jc w:val="both"/>
        <w:rPr>
          <w:rFonts w:ascii="仿宋" w:hAnsi="仿宋" w:eastAsia="仿宋" w:cs="仿宋"/>
          <w:sz w:val="28"/>
          <w:szCs w:val="28"/>
        </w:rPr>
      </w:pPr>
      <w:r>
        <w:rPr>
          <w:rFonts w:hint="eastAsia" w:ascii="仿宋" w:hAnsi="仿宋" w:eastAsia="仿宋" w:cs="仿宋"/>
          <w:sz w:val="28"/>
          <w:szCs w:val="28"/>
        </w:rPr>
        <w:t>资金主要来源为年初财政一般公共预算拨款。项目实施单位根据年初预算批复按工作任务完成情况向财政履行请款手续，单位按财政规定的资金用途使用项目资金。</w:t>
      </w:r>
    </w:p>
    <w:p w14:paraId="629DBD92">
      <w:pPr>
        <w:pStyle w:val="5"/>
        <w:widowControl/>
        <w:shd w:val="clear" w:color="auto" w:fill="FFFFFF"/>
        <w:snapToGrid w:val="0"/>
        <w:spacing w:before="0" w:beforeAutospacing="0" w:after="0" w:afterAutospacing="0" w:line="520" w:lineRule="exact"/>
        <w:ind w:firstLine="468" w:firstLineChars="200"/>
        <w:jc w:val="both"/>
        <w:rPr>
          <w:rFonts w:ascii="仿宋" w:hAnsi="仿宋" w:eastAsia="仿宋" w:cs="仿宋_GB2312"/>
          <w:color w:val="000000"/>
          <w:sz w:val="28"/>
          <w:szCs w:val="28"/>
          <w:shd w:val="clear" w:color="auto" w:fill="FFFFFF"/>
        </w:rPr>
      </w:pPr>
      <w:r>
        <w:rPr>
          <w:rFonts w:ascii="仿宋" w:hAnsi="仿宋" w:eastAsia="仿宋" w:cs="仿宋_GB2312"/>
          <w:color w:val="000000"/>
          <w:spacing w:val="-23"/>
          <w:sz w:val="28"/>
          <w:szCs w:val="28"/>
          <w:shd w:val="clear" w:color="auto" w:fill="FFFFFF"/>
        </w:rPr>
        <w:t>（2）</w:t>
      </w:r>
      <w:r>
        <w:rPr>
          <w:rFonts w:ascii="仿宋" w:hAnsi="仿宋" w:eastAsia="仿宋" w:cs="仿宋_GB2312"/>
          <w:color w:val="000000"/>
          <w:sz w:val="28"/>
          <w:szCs w:val="28"/>
          <w:shd w:val="clear" w:color="auto" w:fill="FFFFFF"/>
        </w:rPr>
        <w:t>资金到位情况</w:t>
      </w:r>
    </w:p>
    <w:p w14:paraId="72FDAB1C">
      <w:pPr>
        <w:pStyle w:val="5"/>
        <w:widowControl/>
        <w:shd w:val="clear" w:color="auto" w:fill="FFFFFF"/>
        <w:snapToGrid w:val="0"/>
        <w:spacing w:before="0" w:beforeAutospacing="0" w:after="0" w:afterAutospacing="0" w:line="520" w:lineRule="exact"/>
        <w:ind w:firstLine="560" w:firstLineChars="200"/>
        <w:jc w:val="both"/>
        <w:rPr>
          <w:rFonts w:ascii="仿宋" w:hAnsi="仿宋" w:eastAsia="仿宋" w:cs="仿宋"/>
          <w:sz w:val="28"/>
          <w:szCs w:val="28"/>
        </w:rPr>
      </w:pPr>
      <w:r>
        <w:rPr>
          <w:rFonts w:hint="eastAsia" w:ascii="仿宋" w:hAnsi="仿宋" w:eastAsia="仿宋" w:cs="仿宋"/>
          <w:sz w:val="28"/>
          <w:szCs w:val="28"/>
        </w:rPr>
        <w:t>2023年财政年初预算安排经费1.5万元，截2023年实际到位1.5万元，资金到位率100%。</w:t>
      </w:r>
    </w:p>
    <w:p w14:paraId="3633B162">
      <w:pPr>
        <w:pStyle w:val="5"/>
        <w:widowControl/>
        <w:shd w:val="clear" w:color="auto" w:fill="FFFFFF"/>
        <w:snapToGrid w:val="0"/>
        <w:spacing w:before="0" w:beforeAutospacing="0" w:after="0" w:afterAutospacing="0" w:line="520" w:lineRule="exact"/>
        <w:ind w:firstLine="468" w:firstLineChars="200"/>
        <w:jc w:val="both"/>
        <w:rPr>
          <w:rFonts w:ascii="仿宋" w:hAnsi="仿宋" w:eastAsia="仿宋" w:cs="仿宋_GB2312"/>
          <w:color w:val="000000"/>
          <w:sz w:val="28"/>
          <w:szCs w:val="28"/>
          <w:shd w:val="clear" w:color="auto" w:fill="FFFFFF"/>
        </w:rPr>
      </w:pPr>
      <w:r>
        <w:rPr>
          <w:rFonts w:ascii="仿宋" w:hAnsi="仿宋" w:eastAsia="仿宋" w:cs="仿宋_GB2312"/>
          <w:color w:val="000000"/>
          <w:spacing w:val="-23"/>
          <w:sz w:val="28"/>
          <w:szCs w:val="28"/>
          <w:shd w:val="clear" w:color="auto" w:fill="FFFFFF"/>
        </w:rPr>
        <w:t>（</w:t>
      </w:r>
      <w:r>
        <w:rPr>
          <w:rFonts w:hint="eastAsia" w:ascii="仿宋" w:hAnsi="仿宋" w:eastAsia="仿宋" w:cs="仿宋_GB2312"/>
          <w:color w:val="000000"/>
          <w:spacing w:val="-23"/>
          <w:sz w:val="28"/>
          <w:szCs w:val="28"/>
          <w:shd w:val="clear" w:color="auto" w:fill="FFFFFF"/>
        </w:rPr>
        <w:t>3</w:t>
      </w:r>
      <w:r>
        <w:rPr>
          <w:rFonts w:ascii="仿宋" w:hAnsi="仿宋" w:eastAsia="仿宋" w:cs="仿宋_GB2312"/>
          <w:color w:val="000000"/>
          <w:spacing w:val="-23"/>
          <w:sz w:val="28"/>
          <w:szCs w:val="28"/>
          <w:shd w:val="clear" w:color="auto" w:fill="FFFFFF"/>
        </w:rPr>
        <w:t>）</w:t>
      </w:r>
      <w:r>
        <w:rPr>
          <w:rFonts w:ascii="仿宋" w:hAnsi="仿宋" w:eastAsia="仿宋" w:cs="仿宋_GB2312"/>
          <w:color w:val="000000"/>
          <w:sz w:val="28"/>
          <w:szCs w:val="28"/>
          <w:shd w:val="clear" w:color="auto" w:fill="FFFFFF"/>
        </w:rPr>
        <w:t>资金使用情况</w:t>
      </w:r>
    </w:p>
    <w:p w14:paraId="75FA74FA">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此项目资金的实际支出1.5万元，资金开支范围、标准及支付进度等均与项目批复一致，支付依据合规合法，资金支付与预算相符。2023年非税收入征收成本主要用于支付商品与服务支出。</w:t>
      </w:r>
    </w:p>
    <w:p w14:paraId="1F01B07D">
      <w:pPr>
        <w:pStyle w:val="5"/>
        <w:widowControl/>
        <w:shd w:val="clear" w:color="auto" w:fill="FFFFFF"/>
        <w:snapToGrid w:val="0"/>
        <w:spacing w:before="0" w:beforeAutospacing="0" w:after="0" w:afterAutospacing="0" w:line="520" w:lineRule="exact"/>
        <w:ind w:firstLine="468" w:firstLineChars="200"/>
        <w:jc w:val="both"/>
        <w:rPr>
          <w:rFonts w:ascii="仿宋" w:hAnsi="仿宋" w:eastAsia="仿宋" w:cs="仿宋_GB2312"/>
          <w:color w:val="000000"/>
          <w:sz w:val="28"/>
          <w:szCs w:val="28"/>
          <w:shd w:val="clear" w:color="auto" w:fill="FFFFFF"/>
        </w:rPr>
      </w:pPr>
      <w:r>
        <w:rPr>
          <w:rFonts w:ascii="仿宋" w:hAnsi="仿宋" w:eastAsia="仿宋" w:cs="仿宋_GB2312"/>
          <w:color w:val="000000"/>
          <w:spacing w:val="-23"/>
          <w:sz w:val="28"/>
          <w:szCs w:val="28"/>
          <w:shd w:val="clear" w:color="auto" w:fill="FFFFFF"/>
        </w:rPr>
        <w:t>（</w:t>
      </w:r>
      <w:r>
        <w:rPr>
          <w:rFonts w:hint="eastAsia" w:ascii="仿宋" w:hAnsi="仿宋" w:eastAsia="仿宋" w:cs="仿宋_GB2312"/>
          <w:color w:val="000000"/>
          <w:spacing w:val="-23"/>
          <w:sz w:val="28"/>
          <w:szCs w:val="28"/>
          <w:shd w:val="clear" w:color="auto" w:fill="FFFFFF"/>
        </w:rPr>
        <w:t>4</w:t>
      </w:r>
      <w:r>
        <w:rPr>
          <w:rFonts w:ascii="仿宋" w:hAnsi="仿宋" w:eastAsia="仿宋" w:cs="仿宋_GB2312"/>
          <w:color w:val="000000"/>
          <w:spacing w:val="-23"/>
          <w:sz w:val="28"/>
          <w:szCs w:val="28"/>
          <w:shd w:val="clear" w:color="auto" w:fill="FFFFFF"/>
        </w:rPr>
        <w:t>）</w:t>
      </w:r>
      <w:r>
        <w:rPr>
          <w:rFonts w:ascii="仿宋" w:hAnsi="仿宋" w:eastAsia="仿宋" w:cs="仿宋_GB2312"/>
          <w:color w:val="000000"/>
          <w:sz w:val="28"/>
          <w:szCs w:val="28"/>
          <w:shd w:val="clear" w:color="auto" w:fill="FFFFFF"/>
        </w:rPr>
        <w:t>资金管理制度及执行情况</w:t>
      </w:r>
    </w:p>
    <w:p w14:paraId="4FCFBDE4">
      <w:pPr>
        <w:pStyle w:val="5"/>
        <w:widowControl/>
        <w:shd w:val="clear" w:color="auto" w:fill="FFFFFF"/>
        <w:snapToGrid w:val="0"/>
        <w:spacing w:before="0" w:beforeAutospacing="0" w:after="0" w:afterAutospacing="0" w:line="520" w:lineRule="exact"/>
        <w:ind w:firstLine="560" w:firstLineChars="200"/>
        <w:jc w:val="both"/>
        <w:rPr>
          <w:rFonts w:ascii="仿宋" w:hAnsi="仿宋" w:eastAsia="仿宋" w:cs="仿宋_GB2312"/>
          <w:color w:val="000000"/>
          <w:sz w:val="28"/>
          <w:szCs w:val="28"/>
          <w:shd w:val="clear" w:color="auto" w:fill="FFFFFF"/>
        </w:rPr>
      </w:pPr>
      <w:r>
        <w:rPr>
          <w:rFonts w:hint="eastAsia" w:ascii="仿宋" w:hAnsi="仿宋" w:eastAsia="仿宋" w:cs="宋体"/>
          <w:color w:val="000000"/>
          <w:sz w:val="28"/>
          <w:szCs w:val="28"/>
        </w:rPr>
        <w:t>在财政下拨的项目经费中，我馆按照相关的文件精神，建立健全专项资金各项管理制度，实施内部监督，</w:t>
      </w:r>
      <w:r>
        <w:rPr>
          <w:rFonts w:hint="eastAsia" w:ascii="仿宋" w:hAnsi="仿宋" w:eastAsia="仿宋"/>
          <w:sz w:val="28"/>
          <w:szCs w:val="28"/>
        </w:rPr>
        <w:t>认真落实经办人、经费使用单位分管领导及主要负责人的责任，为项目依法管理营造了良好的组织管理环境。</w:t>
      </w:r>
      <w:r>
        <w:rPr>
          <w:rFonts w:hint="eastAsia" w:ascii="仿宋" w:hAnsi="仿宋" w:eastAsia="仿宋" w:cs="宋体"/>
          <w:color w:val="000000"/>
          <w:sz w:val="28"/>
          <w:szCs w:val="28"/>
        </w:rPr>
        <w:t>同时严格按照专项资金支出范围编制使用方案和年初工作计划，做到了专款专用。</w:t>
      </w:r>
    </w:p>
    <w:p w14:paraId="10CA6C44">
      <w:pPr>
        <w:pStyle w:val="5"/>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2</w:t>
      </w:r>
      <w:r>
        <w:rPr>
          <w:rFonts w:ascii="仿宋_GB2312" w:hAnsi="Calibri" w:eastAsia="仿宋_GB2312" w:cs="仿宋_GB2312"/>
          <w:color w:val="000000"/>
          <w:sz w:val="32"/>
          <w:szCs w:val="32"/>
          <w:shd w:val="clear" w:color="auto" w:fill="FFFFFF"/>
        </w:rPr>
        <w:t>.项目组织实施管理情况</w:t>
      </w:r>
    </w:p>
    <w:p w14:paraId="65833EFE">
      <w:pPr>
        <w:pStyle w:val="5"/>
        <w:widowControl/>
        <w:shd w:val="clear" w:color="auto" w:fill="FFFFFF"/>
        <w:snapToGrid w:val="0"/>
        <w:spacing w:before="0" w:beforeAutospacing="0" w:after="0" w:afterAutospacing="0" w:line="520" w:lineRule="exact"/>
        <w:ind w:firstLine="560" w:firstLineChars="200"/>
        <w:jc w:val="both"/>
        <w:rPr>
          <w:rFonts w:ascii="仿宋" w:hAnsi="仿宋" w:eastAsia="仿宋" w:cs="仿宋_GB2312"/>
          <w:color w:val="000000"/>
          <w:sz w:val="28"/>
          <w:szCs w:val="28"/>
          <w:shd w:val="clear" w:color="auto" w:fill="FFFFFF"/>
        </w:rPr>
      </w:pPr>
      <w:r>
        <w:rPr>
          <w:rFonts w:hint="eastAsia" w:ascii="仿宋" w:hAnsi="仿宋" w:eastAsia="仿宋" w:cs="仿宋"/>
          <w:sz w:val="28"/>
          <w:szCs w:val="28"/>
        </w:rPr>
        <w:t>加强预算管理，规范财务行为而制定的管理制度健全完整，制定内部控制制度并成立内控领导小组，制定了《专项资金管理办法》，按照《会计法》，资金专款专用。</w:t>
      </w:r>
    </w:p>
    <w:p w14:paraId="4133E879">
      <w:pPr>
        <w:pStyle w:val="5"/>
        <w:widowControl/>
        <w:shd w:val="clear" w:color="auto" w:fill="FFFFFF"/>
        <w:snapToGrid w:val="0"/>
        <w:spacing w:before="0" w:beforeAutospacing="0" w:after="0" w:afterAutospacing="0" w:line="520" w:lineRule="exact"/>
        <w:ind w:firstLine="551" w:firstLineChars="200"/>
        <w:jc w:val="both"/>
        <w:rPr>
          <w:rFonts w:ascii="楷体_GB2312" w:hAnsi="楷体_GB2312" w:eastAsia="楷体_GB2312" w:cs="楷体_GB2312"/>
          <w:b/>
          <w:bCs/>
          <w:color w:val="000000"/>
          <w:sz w:val="32"/>
          <w:szCs w:val="32"/>
          <w:shd w:val="clear" w:color="auto" w:fill="FFFFFF"/>
        </w:rPr>
      </w:pPr>
      <w:r>
        <w:rPr>
          <w:rFonts w:hint="eastAsia" w:ascii="楷体_GB2312" w:hAnsi="楷体_GB2312" w:eastAsia="楷体_GB2312" w:cs="楷体_GB2312"/>
          <w:b/>
          <w:bCs/>
          <w:color w:val="000000"/>
          <w:spacing w:val="-23"/>
          <w:sz w:val="32"/>
          <w:szCs w:val="32"/>
          <w:shd w:val="clear" w:color="auto" w:fill="FFFFFF"/>
        </w:rPr>
        <w:t>（三）</w:t>
      </w:r>
      <w:r>
        <w:rPr>
          <w:rFonts w:hint="eastAsia" w:ascii="楷体_GB2312" w:hAnsi="楷体_GB2312" w:eastAsia="楷体_GB2312" w:cs="楷体_GB2312"/>
          <w:b/>
          <w:bCs/>
          <w:color w:val="000000"/>
          <w:sz w:val="32"/>
          <w:szCs w:val="32"/>
          <w:shd w:val="clear" w:color="auto" w:fill="FFFFFF"/>
        </w:rPr>
        <w:t>预算绩效目标情况</w:t>
      </w:r>
    </w:p>
    <w:p w14:paraId="45DDA89B">
      <w:pPr>
        <w:pStyle w:val="5"/>
        <w:widowControl/>
        <w:shd w:val="clear" w:color="auto" w:fill="FFFFFF"/>
        <w:snapToGrid w:val="0"/>
        <w:spacing w:before="0" w:beforeAutospacing="0" w:after="0" w:afterAutospacing="0" w:line="520" w:lineRule="exact"/>
        <w:ind w:firstLine="560" w:firstLineChars="200"/>
        <w:jc w:val="both"/>
        <w:rPr>
          <w:rFonts w:ascii="仿宋" w:hAnsi="仿宋" w:eastAsia="仿宋" w:cs="仿宋_GB2312"/>
          <w:color w:val="000000"/>
          <w:sz w:val="28"/>
          <w:szCs w:val="28"/>
          <w:shd w:val="clear" w:color="auto" w:fill="FFFFFF"/>
        </w:rPr>
      </w:pPr>
      <w:r>
        <w:rPr>
          <w:rFonts w:hint="eastAsia" w:ascii="仿宋" w:hAnsi="仿宋" w:eastAsia="仿宋" w:cs="仿宋_GB2312"/>
          <w:color w:val="000000"/>
          <w:sz w:val="28"/>
          <w:szCs w:val="28"/>
          <w:shd w:val="clear" w:color="auto" w:fill="FFFFFF"/>
        </w:rPr>
        <w:t>1.绩效目标：</w:t>
      </w:r>
      <w:r>
        <w:rPr>
          <w:rFonts w:ascii="仿宋" w:hAnsi="仿宋" w:eastAsia="仿宋" w:cs="宋体"/>
          <w:sz w:val="28"/>
          <w:szCs w:val="28"/>
        </w:rPr>
        <w:t>1、</w:t>
      </w:r>
      <w:r>
        <w:rPr>
          <w:rFonts w:hint="eastAsia" w:ascii="仿宋" w:hAnsi="仿宋" w:eastAsia="仿宋" w:cs="仿宋_GB2312"/>
          <w:sz w:val="28"/>
          <w:szCs w:val="28"/>
        </w:rPr>
        <w:t>提高非税收入资金的入库率、专户率。</w:t>
      </w:r>
      <w:r>
        <w:rPr>
          <w:rFonts w:hint="eastAsia" w:ascii="仿宋" w:hAnsi="仿宋" w:eastAsia="仿宋" w:cs="宋体"/>
          <w:sz w:val="28"/>
          <w:szCs w:val="28"/>
        </w:rPr>
        <w:t>2、创造更多的税收收入，促进全县精神文明建设，推动全县社会政治、经济、文化教育和科学的发展满意率。3、基本保证非税收入资金应收尽收，较好地完成了财政收入任务。也弥补了单位财政拨款的不足。</w:t>
      </w:r>
    </w:p>
    <w:p w14:paraId="167072F6">
      <w:pPr>
        <w:pStyle w:val="5"/>
        <w:widowControl/>
        <w:shd w:val="clear" w:color="auto" w:fill="FFFFFF"/>
        <w:snapToGrid w:val="0"/>
        <w:spacing w:before="0" w:beforeAutospacing="0" w:after="0" w:afterAutospacing="0" w:line="520" w:lineRule="exact"/>
        <w:ind w:firstLine="560" w:firstLineChars="200"/>
        <w:jc w:val="both"/>
        <w:rPr>
          <w:rFonts w:ascii="仿宋" w:hAnsi="仿宋" w:eastAsia="仿宋" w:cs="仿宋_GB2312"/>
          <w:color w:val="000000"/>
          <w:sz w:val="28"/>
          <w:szCs w:val="28"/>
          <w:shd w:val="clear" w:color="auto" w:fill="FFFFFF"/>
        </w:rPr>
      </w:pPr>
      <w:r>
        <w:rPr>
          <w:rFonts w:hint="eastAsia" w:ascii="仿宋" w:hAnsi="仿宋" w:eastAsia="仿宋" w:cs="仿宋_GB2312"/>
          <w:color w:val="000000"/>
          <w:sz w:val="28"/>
          <w:szCs w:val="28"/>
          <w:shd w:val="clear" w:color="auto" w:fill="FFFFFF"/>
        </w:rPr>
        <w:t>2.绩效指标：</w:t>
      </w:r>
      <w:r>
        <w:rPr>
          <w:rFonts w:hint="eastAsia" w:ascii="仿宋" w:hAnsi="仿宋" w:eastAsia="仿宋" w:cs="仿宋"/>
          <w:sz w:val="28"/>
          <w:szCs w:val="28"/>
        </w:rPr>
        <w:t>3个一级指标，9个二级指标，10个三级指标按时间截点较好的完成。</w:t>
      </w:r>
    </w:p>
    <w:p w14:paraId="0809C8E7">
      <w:pPr>
        <w:pStyle w:val="6"/>
        <w:snapToGrid w:val="0"/>
        <w:spacing w:line="520" w:lineRule="exact"/>
        <w:ind w:firstLine="640"/>
        <w:rPr>
          <w:rFonts w:ascii="黑体" w:hAnsi="黑体" w:eastAsia="黑体" w:cs="黑体"/>
          <w:color w:val="000000"/>
          <w:kern w:val="0"/>
          <w:szCs w:val="32"/>
          <w:shd w:val="clear" w:color="auto" w:fill="FFFFFF"/>
        </w:rPr>
      </w:pPr>
      <w:r>
        <w:rPr>
          <w:rFonts w:hint="eastAsia" w:ascii="黑体" w:hAnsi="黑体" w:eastAsia="黑体" w:cs="黑体"/>
          <w:color w:val="000000"/>
          <w:kern w:val="0"/>
          <w:szCs w:val="32"/>
          <w:shd w:val="clear" w:color="auto" w:fill="FFFFFF"/>
        </w:rPr>
        <w:t>二、绩效评价工作情况</w:t>
      </w:r>
    </w:p>
    <w:p w14:paraId="0C6C610F">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绩效评价目的</w:t>
      </w:r>
    </w:p>
    <w:p w14:paraId="3D81DD1C">
      <w:pPr>
        <w:spacing w:line="520" w:lineRule="exact"/>
        <w:ind w:firstLine="560" w:firstLineChars="200"/>
        <w:rPr>
          <w:rFonts w:ascii="仿宋" w:hAnsi="仿宋" w:eastAsia="仿宋" w:cs="仿宋"/>
          <w:sz w:val="32"/>
          <w:szCs w:val="32"/>
        </w:rPr>
      </w:pPr>
      <w:r>
        <w:rPr>
          <w:rFonts w:hint="eastAsia" w:ascii="仿宋" w:hAnsi="仿宋" w:eastAsia="仿宋" w:cs="仿宋"/>
          <w:sz w:val="28"/>
          <w:szCs w:val="28"/>
        </w:rPr>
        <w:t>有效地发挥资金效益，按规定依法依规使用资金</w:t>
      </w:r>
      <w:r>
        <w:rPr>
          <w:rFonts w:hint="eastAsia" w:ascii="仿宋" w:hAnsi="仿宋" w:eastAsia="仿宋" w:cs="仿宋"/>
          <w:sz w:val="32"/>
          <w:szCs w:val="32"/>
        </w:rPr>
        <w:t>。</w:t>
      </w:r>
    </w:p>
    <w:p w14:paraId="6F0993CB">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1" w:name="_Toc11844"/>
      <w:r>
        <w:rPr>
          <w:rFonts w:hint="eastAsia" w:ascii="楷体_GB2312" w:hAnsi="楷体_GB2312" w:eastAsia="楷体_GB2312" w:cs="楷体_GB2312"/>
          <w:color w:val="000000"/>
          <w:spacing w:val="-23"/>
          <w:kern w:val="0"/>
          <w:sz w:val="32"/>
          <w:szCs w:val="32"/>
          <w:shd w:val="clear" w:color="auto" w:fill="FFFFFF"/>
        </w:rPr>
        <w:t>（二）</w:t>
      </w:r>
      <w:r>
        <w:rPr>
          <w:rFonts w:hint="eastAsia" w:ascii="楷体_GB2312" w:hAnsi="楷体_GB2312" w:eastAsia="楷体_GB2312" w:cs="楷体_GB2312"/>
          <w:color w:val="000000"/>
          <w:kern w:val="0"/>
          <w:sz w:val="32"/>
          <w:szCs w:val="32"/>
          <w:shd w:val="clear" w:color="auto" w:fill="FFFFFF"/>
        </w:rPr>
        <w:t>被评价单位、绩效评价范围与时段</w:t>
      </w:r>
      <w:bookmarkEnd w:id="1"/>
    </w:p>
    <w:p w14:paraId="38D90540">
      <w:pPr>
        <w:snapToGrid w:val="0"/>
        <w:spacing w:line="520" w:lineRule="exact"/>
        <w:ind w:firstLine="560" w:firstLineChars="200"/>
        <w:rPr>
          <w:rFonts w:ascii="楷体_GB2312" w:hAnsi="楷体_GB2312" w:eastAsia="楷体_GB2312" w:cs="楷体_GB2312"/>
          <w:color w:val="000000"/>
          <w:kern w:val="0"/>
          <w:sz w:val="28"/>
          <w:szCs w:val="28"/>
          <w:shd w:val="clear" w:color="auto" w:fill="FFFFFF"/>
        </w:rPr>
      </w:pPr>
      <w:r>
        <w:rPr>
          <w:rFonts w:hint="eastAsia" w:ascii="仿宋" w:hAnsi="仿宋" w:eastAsia="仿宋" w:cs="仿宋"/>
          <w:sz w:val="28"/>
          <w:szCs w:val="28"/>
        </w:rPr>
        <w:t>会同县图书馆2023年度非税收入征收成本评价。</w:t>
      </w:r>
    </w:p>
    <w:p w14:paraId="708313ED">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2" w:name="_Toc31835"/>
      <w:r>
        <w:rPr>
          <w:rFonts w:hint="eastAsia" w:ascii="楷体_GB2312" w:hAnsi="楷体_GB2312" w:eastAsia="楷体_GB2312" w:cs="楷体_GB2312"/>
          <w:color w:val="000000"/>
          <w:spacing w:val="-23"/>
          <w:kern w:val="0"/>
          <w:sz w:val="32"/>
          <w:szCs w:val="32"/>
          <w:shd w:val="clear" w:color="auto" w:fill="FFFFFF"/>
        </w:rPr>
        <w:t>（三）</w:t>
      </w:r>
      <w:r>
        <w:rPr>
          <w:rFonts w:hint="eastAsia" w:ascii="楷体_GB2312" w:hAnsi="楷体_GB2312" w:eastAsia="楷体_GB2312" w:cs="楷体_GB2312"/>
          <w:color w:val="000000"/>
          <w:kern w:val="0"/>
          <w:sz w:val="32"/>
          <w:szCs w:val="32"/>
          <w:shd w:val="clear" w:color="auto" w:fill="FFFFFF"/>
        </w:rPr>
        <w:t>绩效评价原则、评价指标体系、评价方法</w:t>
      </w:r>
      <w:bookmarkEnd w:id="2"/>
    </w:p>
    <w:p w14:paraId="1291065A">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评价原则采用相关性原则、重要性原则、可比性原则、系统性原则等</w:t>
      </w:r>
    </w:p>
    <w:p w14:paraId="19D1E65A">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评价指标体系根据评价对象设置共性指标（决策管理、投入、项目实施及社会效益、经济效益等）和个性指标（经济效益指标、社会效益指标、生态效益指标及可持续影响指标），定量指标和定性指标。</w:t>
      </w:r>
    </w:p>
    <w:p w14:paraId="4F5B28E0">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绩效评价方法主要采用计划标准、行业标准和历史标准。</w:t>
      </w:r>
    </w:p>
    <w:p w14:paraId="6C512A07">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3" w:name="_Toc7615"/>
      <w:bookmarkStart w:id="4" w:name="_Toc32076"/>
      <w:r>
        <w:rPr>
          <w:rFonts w:hint="eastAsia" w:ascii="黑体" w:hAnsi="黑体" w:eastAsia="黑体" w:cs="黑体"/>
          <w:color w:val="000000"/>
          <w:kern w:val="0"/>
          <w:sz w:val="32"/>
          <w:szCs w:val="32"/>
          <w:shd w:val="clear" w:color="auto" w:fill="FFFFFF"/>
        </w:rPr>
        <w:t>三、主要绩效及评价结论</w:t>
      </w:r>
      <w:bookmarkEnd w:id="3"/>
      <w:bookmarkEnd w:id="4"/>
    </w:p>
    <w:p w14:paraId="419F9A4F">
      <w:pPr>
        <w:snapToGrid w:val="0"/>
        <w:spacing w:line="520" w:lineRule="exact"/>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 xml:space="preserve">     （一）</w:t>
      </w:r>
      <w:r>
        <w:rPr>
          <w:rFonts w:hint="eastAsia" w:ascii="楷体_GB2312" w:hAnsi="楷体_GB2312" w:eastAsia="楷体_GB2312" w:cs="楷体_GB2312"/>
          <w:color w:val="000000"/>
          <w:kern w:val="0"/>
          <w:sz w:val="32"/>
          <w:szCs w:val="32"/>
          <w:shd w:val="clear" w:color="auto" w:fill="FFFFFF"/>
        </w:rPr>
        <w:t>社会效益</w:t>
      </w:r>
    </w:p>
    <w:p w14:paraId="2817BC94">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kern w:val="0"/>
          <w:sz w:val="28"/>
          <w:szCs w:val="28"/>
          <w:shd w:val="clear" w:color="auto" w:fill="FFFFFF"/>
        </w:rPr>
        <w:t>专项经费的安排有效地保障了图书馆的日常工作顺利开展，图书馆的日常环境维护得到保障、满足了广大读者对阅读环境的需求。</w:t>
      </w:r>
    </w:p>
    <w:p w14:paraId="4F5BA237">
      <w:pPr>
        <w:snapToGrid w:val="0"/>
        <w:spacing w:line="520" w:lineRule="exact"/>
        <w:rPr>
          <w:rFonts w:ascii="仿宋" w:hAnsi="仿宋" w:eastAsia="仿宋" w:cs="仿宋"/>
          <w:sz w:val="28"/>
          <w:szCs w:val="28"/>
        </w:rPr>
      </w:pPr>
      <w:r>
        <w:rPr>
          <w:rFonts w:hint="eastAsia" w:ascii="楷体_GB2312" w:hAnsi="楷体_GB2312" w:eastAsia="楷体_GB2312" w:cs="楷体_GB2312"/>
          <w:color w:val="000000"/>
          <w:spacing w:val="-23"/>
          <w:kern w:val="0"/>
          <w:sz w:val="32"/>
          <w:szCs w:val="32"/>
          <w:shd w:val="clear" w:color="auto" w:fill="FFFFFF"/>
        </w:rPr>
        <w:t xml:space="preserve">     （二）</w:t>
      </w:r>
      <w:r>
        <w:rPr>
          <w:rFonts w:hint="eastAsia" w:ascii="楷体_GB2312" w:hAnsi="楷体_GB2312" w:eastAsia="楷体_GB2312" w:cs="楷体_GB2312"/>
          <w:color w:val="000000"/>
          <w:kern w:val="0"/>
          <w:sz w:val="32"/>
          <w:szCs w:val="32"/>
          <w:shd w:val="clear" w:color="auto" w:fill="FFFFFF"/>
        </w:rPr>
        <w:t>生态效益</w:t>
      </w:r>
      <w:r>
        <w:rPr>
          <w:rFonts w:hint="eastAsia" w:ascii="仿宋" w:hAnsi="仿宋" w:eastAsia="仿宋" w:cs="仿宋"/>
          <w:sz w:val="28"/>
          <w:szCs w:val="28"/>
        </w:rPr>
        <w:t>：</w:t>
      </w:r>
    </w:p>
    <w:p w14:paraId="48820E7B">
      <w:pPr>
        <w:snapToGrid w:val="0"/>
        <w:spacing w:line="520" w:lineRule="exact"/>
        <w:rPr>
          <w:rFonts w:ascii="楷体_GB2312" w:hAnsi="楷体_GB2312" w:eastAsia="楷体_GB2312" w:cs="楷体_GB2312"/>
          <w:color w:val="000000"/>
          <w:kern w:val="0"/>
          <w:sz w:val="32"/>
          <w:szCs w:val="32"/>
          <w:shd w:val="clear" w:color="auto" w:fill="FFFFFF"/>
        </w:rPr>
      </w:pPr>
      <w:r>
        <w:rPr>
          <w:rFonts w:hint="eastAsia" w:ascii="仿宋" w:hAnsi="仿宋" w:eastAsia="仿宋" w:cs="仿宋"/>
          <w:sz w:val="28"/>
          <w:szCs w:val="28"/>
        </w:rPr>
        <w:t xml:space="preserve">    生态效益效果明显</w:t>
      </w:r>
    </w:p>
    <w:p w14:paraId="4DF83B44">
      <w:pPr>
        <w:snapToGrid w:val="0"/>
        <w:spacing w:line="520" w:lineRule="exact"/>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 xml:space="preserve">     （三）</w:t>
      </w:r>
      <w:r>
        <w:rPr>
          <w:rFonts w:hint="eastAsia" w:ascii="楷体_GB2312" w:hAnsi="楷体_GB2312" w:eastAsia="楷体_GB2312" w:cs="楷体_GB2312"/>
          <w:color w:val="000000"/>
          <w:kern w:val="0"/>
          <w:sz w:val="32"/>
          <w:szCs w:val="32"/>
          <w:shd w:val="clear" w:color="auto" w:fill="FFFFFF"/>
        </w:rPr>
        <w:t>可持续影响</w:t>
      </w:r>
    </w:p>
    <w:p w14:paraId="19EA0FF0">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kern w:val="0"/>
          <w:sz w:val="28"/>
          <w:szCs w:val="28"/>
          <w:shd w:val="clear" w:color="auto" w:fill="FFFFFF"/>
        </w:rPr>
        <w:t>2023年我单位项目效果开展取得了社会的一致认可，提高了服务质量，满足了读者的阅读需求。</w:t>
      </w:r>
    </w:p>
    <w:p w14:paraId="564BCA16">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（三）</w:t>
      </w:r>
      <w:r>
        <w:rPr>
          <w:rFonts w:hint="eastAsia" w:ascii="楷体_GB2312" w:hAnsi="楷体_GB2312" w:eastAsia="楷体_GB2312" w:cs="楷体_GB2312"/>
          <w:color w:val="000000"/>
          <w:kern w:val="0"/>
          <w:sz w:val="32"/>
          <w:szCs w:val="32"/>
          <w:shd w:val="clear" w:color="auto" w:fill="FFFFFF"/>
        </w:rPr>
        <w:t>满意度情况</w:t>
      </w:r>
    </w:p>
    <w:p w14:paraId="4E737261">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kern w:val="0"/>
          <w:sz w:val="28"/>
          <w:szCs w:val="28"/>
          <w:shd w:val="clear" w:color="auto" w:fill="FFFFFF"/>
        </w:rPr>
        <w:t>对读者进行的访问，读者对环境和服务的满意率达到了90%以上</w:t>
      </w:r>
    </w:p>
    <w:p w14:paraId="3E60C269">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（四）</w:t>
      </w:r>
      <w:r>
        <w:rPr>
          <w:rFonts w:hint="eastAsia" w:ascii="楷体_GB2312" w:hAnsi="楷体_GB2312" w:eastAsia="楷体_GB2312" w:cs="楷体_GB2312"/>
          <w:color w:val="000000"/>
          <w:kern w:val="0"/>
          <w:sz w:val="32"/>
          <w:szCs w:val="32"/>
          <w:shd w:val="clear" w:color="auto" w:fill="FFFFFF"/>
        </w:rPr>
        <w:t>评价结论</w:t>
      </w:r>
    </w:p>
    <w:p w14:paraId="06F753A3">
      <w:pPr>
        <w:snapToGrid w:val="0"/>
        <w:spacing w:line="520" w:lineRule="exact"/>
        <w:ind w:firstLine="468"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spacing w:val="-23"/>
          <w:kern w:val="0"/>
          <w:sz w:val="28"/>
          <w:szCs w:val="28"/>
          <w:shd w:val="clear" w:color="auto" w:fill="FFFFFF"/>
        </w:rPr>
        <w:t>经自评，项目已基本按照方案实施，项目支出达到预期绩效目标。根据对会同县图书馆专项资金项目绩效评价共性指标体系自检自评结果统计，2023年我单位专项资金项目绩效自评为“优”，自查评分为90分</w:t>
      </w:r>
    </w:p>
    <w:p w14:paraId="0CB77E52">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5" w:name="_Toc27541"/>
      <w:bookmarkStart w:id="6" w:name="_Toc16332"/>
      <w:r>
        <w:rPr>
          <w:rFonts w:hint="eastAsia" w:ascii="黑体" w:hAnsi="黑体" w:eastAsia="黑体" w:cs="黑体"/>
          <w:color w:val="000000"/>
          <w:kern w:val="0"/>
          <w:sz w:val="32"/>
          <w:szCs w:val="32"/>
          <w:shd w:val="clear" w:color="auto" w:fill="FFFFFF"/>
        </w:rPr>
        <w:t>四、绩效评价指标分析</w:t>
      </w:r>
      <w:bookmarkEnd w:id="5"/>
      <w:bookmarkEnd w:id="6"/>
    </w:p>
    <w:p w14:paraId="2F0474E3">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7" w:name="_Toc17679"/>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项目决策情况</w:t>
      </w:r>
      <w:bookmarkEnd w:id="7"/>
    </w:p>
    <w:p w14:paraId="3A74BCFD">
      <w:pPr>
        <w:snapToGrid w:val="0"/>
        <w:spacing w:line="520" w:lineRule="exact"/>
        <w:ind w:firstLine="560" w:firstLineChars="200"/>
        <w:rPr>
          <w:rFonts w:ascii="楷体_GB2312" w:hAnsi="楷体_GB2312" w:eastAsia="楷体_GB2312" w:cs="楷体_GB2312"/>
          <w:color w:val="000000"/>
          <w:kern w:val="0"/>
          <w:sz w:val="28"/>
          <w:szCs w:val="28"/>
          <w:shd w:val="clear" w:color="auto" w:fill="FFFFFF"/>
        </w:rPr>
      </w:pPr>
      <w:r>
        <w:rPr>
          <w:rFonts w:hint="eastAsia" w:ascii="仿宋" w:hAnsi="仿宋" w:eastAsia="仿宋" w:cs="仿宋"/>
          <w:sz w:val="28"/>
          <w:szCs w:val="28"/>
        </w:rPr>
        <w:t>多部门协作共同参与绩效目标的制定，确保目标的合理性和可行性</w:t>
      </w:r>
      <w:r>
        <w:rPr>
          <w:rFonts w:hint="eastAsia" w:ascii="仿宋" w:hAnsi="仿宋" w:eastAsia="仿宋" w:cs="仿宋"/>
          <w:color w:val="333333"/>
          <w:sz w:val="28"/>
          <w:szCs w:val="28"/>
          <w:shd w:val="clear" w:color="auto" w:fill="FFFFFF"/>
        </w:rPr>
        <w:t>根据项目的阶段和内容，确定哪些方面的决策需要被记录和总结，包括目标、资源、进度、风险等方面。梳理并整理决策信息：收集和整理涉及到的各种决策信息，包括决策的时间、主要内容、影响因素和决策结果等方面。分析和评价决策效果：对每一项决策进行分析和评价，考察其是否符合预期目标，产生积极的效果，以及存在的问题和不足之处等。</w:t>
      </w:r>
    </w:p>
    <w:p w14:paraId="2F33FB58">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8" w:name="_Toc28411"/>
      <w:r>
        <w:rPr>
          <w:rFonts w:hint="eastAsia" w:ascii="楷体_GB2312" w:hAnsi="楷体_GB2312" w:eastAsia="楷体_GB2312" w:cs="楷体_GB2312"/>
          <w:color w:val="000000"/>
          <w:spacing w:val="-23"/>
          <w:kern w:val="0"/>
          <w:sz w:val="32"/>
          <w:szCs w:val="32"/>
          <w:shd w:val="clear" w:color="auto" w:fill="FFFFFF"/>
        </w:rPr>
        <w:t>（二）</w:t>
      </w:r>
      <w:r>
        <w:rPr>
          <w:rFonts w:hint="eastAsia" w:ascii="楷体_GB2312" w:hAnsi="楷体_GB2312" w:eastAsia="楷体_GB2312" w:cs="楷体_GB2312"/>
          <w:color w:val="000000"/>
          <w:kern w:val="0"/>
          <w:sz w:val="32"/>
          <w:szCs w:val="32"/>
          <w:shd w:val="clear" w:color="auto" w:fill="FFFFFF"/>
        </w:rPr>
        <w:t>项目过程情况</w:t>
      </w:r>
      <w:bookmarkEnd w:id="8"/>
    </w:p>
    <w:p w14:paraId="1AEFA73A">
      <w:pPr>
        <w:snapToGrid w:val="0"/>
        <w:spacing w:line="520" w:lineRule="exact"/>
        <w:ind w:firstLine="640" w:firstLineChars="200"/>
        <w:outlineLvl w:val="2"/>
        <w:rPr>
          <w:rFonts w:ascii="仿宋_GB2312" w:hAnsi="Calibri" w:eastAsia="仿宋_GB2312" w:cs="仿宋_GB2312"/>
          <w:color w:val="000000"/>
          <w:kern w:val="0"/>
          <w:sz w:val="32"/>
          <w:szCs w:val="32"/>
          <w:shd w:val="clear" w:color="auto" w:fill="FFFFFF"/>
        </w:rPr>
      </w:pPr>
      <w:bookmarkStart w:id="9" w:name="_Toc10140"/>
      <w:r>
        <w:rPr>
          <w:rFonts w:hint="eastAsia" w:ascii="仿宋_GB2312" w:hAnsi="Calibri" w:eastAsia="仿宋_GB2312" w:cs="仿宋_GB2312"/>
          <w:color w:val="000000"/>
          <w:kern w:val="0"/>
          <w:sz w:val="32"/>
          <w:szCs w:val="32"/>
          <w:shd w:val="clear" w:color="auto" w:fill="FFFFFF"/>
        </w:rPr>
        <w:t>1.资金管理</w:t>
      </w:r>
      <w:bookmarkEnd w:id="9"/>
    </w:p>
    <w:p w14:paraId="72089FDD">
      <w:pPr>
        <w:snapToGrid w:val="0"/>
        <w:spacing w:line="520" w:lineRule="exact"/>
        <w:ind w:firstLine="560" w:firstLineChars="200"/>
        <w:outlineLvl w:val="2"/>
        <w:rPr>
          <w:rFonts w:ascii="仿宋_GB2312" w:hAnsi="Calibri" w:eastAsia="仿宋_GB2312" w:cs="仿宋_GB2312"/>
          <w:color w:val="000000"/>
          <w:kern w:val="0"/>
          <w:sz w:val="28"/>
          <w:szCs w:val="28"/>
          <w:shd w:val="clear" w:color="auto" w:fill="FFFFFF"/>
        </w:rPr>
      </w:pPr>
      <w:r>
        <w:rPr>
          <w:rFonts w:hint="eastAsia" w:ascii="仿宋" w:hAnsi="仿宋" w:eastAsia="仿宋" w:cs="仿宋"/>
          <w:sz w:val="28"/>
          <w:szCs w:val="28"/>
        </w:rPr>
        <w:t>制定了《专项资金管理办法》，按照《会计法》，资金专款专用，由业务股室制订项目资金使用计划，分管领导审核，交馆务会议研究批准，走政府采购、招标程序，按项目进度拨款，重大项目必须经过全馆会议讨论，并上报局党组，再交予财政审核，完工结算经过财政评审、文旅局验收才能进行项目完工结算。无截留、挤占、挪用、虚列开支，支出时依据合理合规，无虚列套取。</w:t>
      </w:r>
    </w:p>
    <w:p w14:paraId="479FC550">
      <w:pPr>
        <w:snapToGrid w:val="0"/>
        <w:spacing w:line="520" w:lineRule="exact"/>
        <w:ind w:firstLine="640" w:firstLineChars="200"/>
        <w:outlineLvl w:val="2"/>
        <w:rPr>
          <w:rFonts w:ascii="仿宋_GB2312" w:hAnsi="Calibri" w:eastAsia="仿宋_GB2312" w:cs="仿宋_GB2312"/>
          <w:color w:val="000000"/>
          <w:kern w:val="0"/>
          <w:sz w:val="32"/>
          <w:szCs w:val="32"/>
          <w:shd w:val="clear" w:color="auto" w:fill="FFFFFF"/>
        </w:rPr>
      </w:pPr>
      <w:bookmarkStart w:id="10" w:name="_Toc1210"/>
      <w:r>
        <w:rPr>
          <w:rFonts w:hint="eastAsia" w:ascii="仿宋_GB2312" w:hAnsi="Calibri" w:eastAsia="仿宋_GB2312" w:cs="仿宋_GB2312"/>
          <w:color w:val="000000"/>
          <w:kern w:val="0"/>
          <w:sz w:val="32"/>
          <w:szCs w:val="32"/>
          <w:shd w:val="clear" w:color="auto" w:fill="FFFFFF"/>
        </w:rPr>
        <w:t>2.项目实施</w:t>
      </w:r>
      <w:bookmarkEnd w:id="10"/>
    </w:p>
    <w:p w14:paraId="393B8510">
      <w:pPr>
        <w:spacing w:line="520" w:lineRule="exact"/>
        <w:rPr>
          <w:rFonts w:ascii="仿宋" w:hAnsi="仿宋" w:eastAsia="仿宋" w:cs="仿宋"/>
          <w:b/>
          <w:bCs/>
          <w:sz w:val="28"/>
          <w:szCs w:val="28"/>
        </w:rPr>
      </w:pPr>
      <w:r>
        <w:rPr>
          <w:rFonts w:hint="eastAsia" w:ascii="仿宋" w:hAnsi="仿宋" w:eastAsia="仿宋" w:cs="仿宋"/>
          <w:color w:val="555555"/>
          <w:sz w:val="28"/>
          <w:szCs w:val="28"/>
          <w:shd w:val="clear" w:color="auto" w:fill="FFFFFF"/>
        </w:rPr>
        <w:t xml:space="preserve">    我馆制定了一系列规章制度，如《财务管理制度》、《经费管理办法》、《专项资金管理制度》等，建立了“有章可依、有章必循、违章必究”的管理机制，成立了工作领导小组，严格财务程序，强化报销环节管理，认真落实经办人、经费使用单位分管领导及主要负责人的责任，为项目依法管理营造了良好的组织管理环境。</w:t>
      </w:r>
    </w:p>
    <w:p w14:paraId="3932B6D9">
      <w:pPr>
        <w:pStyle w:val="6"/>
        <w:snapToGrid w:val="0"/>
        <w:spacing w:line="520" w:lineRule="exact"/>
        <w:ind w:firstLine="548"/>
        <w:outlineLvl w:val="1"/>
        <w:rPr>
          <w:rFonts w:ascii="楷体_GB2312" w:hAnsi="楷体_GB2312" w:eastAsia="楷体_GB2312" w:cs="楷体_GB2312"/>
          <w:color w:val="000000"/>
          <w:kern w:val="0"/>
          <w:szCs w:val="32"/>
          <w:shd w:val="clear" w:color="auto" w:fill="FFFFFF"/>
        </w:rPr>
      </w:pPr>
      <w:bookmarkStart w:id="11" w:name="_Toc6604"/>
      <w:r>
        <w:rPr>
          <w:rFonts w:hint="eastAsia" w:ascii="楷体_GB2312" w:hAnsi="楷体_GB2312" w:eastAsia="楷体_GB2312" w:cs="楷体_GB2312"/>
          <w:color w:val="000000"/>
          <w:spacing w:val="-23"/>
          <w:kern w:val="0"/>
          <w:szCs w:val="32"/>
          <w:shd w:val="clear" w:color="auto" w:fill="FFFFFF"/>
        </w:rPr>
        <w:t>（三）</w:t>
      </w:r>
      <w:r>
        <w:rPr>
          <w:rFonts w:hint="eastAsia" w:ascii="楷体_GB2312" w:hAnsi="楷体_GB2312" w:eastAsia="楷体_GB2312" w:cs="楷体_GB2312"/>
          <w:color w:val="000000"/>
          <w:kern w:val="0"/>
          <w:szCs w:val="32"/>
          <w:shd w:val="clear" w:color="auto" w:fill="FFFFFF"/>
        </w:rPr>
        <w:t>项目产出情况</w:t>
      </w:r>
      <w:bookmarkEnd w:id="11"/>
    </w:p>
    <w:p w14:paraId="4874E106">
      <w:pPr>
        <w:pStyle w:val="6"/>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2" w:name="_Toc20742"/>
      <w:r>
        <w:rPr>
          <w:rFonts w:hint="eastAsia" w:ascii="仿宋_GB2312" w:hAnsi="Calibri" w:eastAsia="仿宋_GB2312" w:cs="仿宋_GB2312"/>
          <w:color w:val="000000"/>
          <w:kern w:val="0"/>
          <w:szCs w:val="32"/>
          <w:shd w:val="clear" w:color="auto" w:fill="FFFFFF"/>
        </w:rPr>
        <w:t>1.产出数量</w:t>
      </w:r>
      <w:bookmarkEnd w:id="12"/>
    </w:p>
    <w:p w14:paraId="1065B0D5">
      <w:pPr>
        <w:pStyle w:val="6"/>
        <w:snapToGrid w:val="0"/>
        <w:spacing w:line="520" w:lineRule="exact"/>
        <w:ind w:firstLine="560"/>
        <w:outlineLvl w:val="2"/>
        <w:rPr>
          <w:rFonts w:ascii="仿宋_GB2312" w:hAnsi="Calibri" w:eastAsia="仿宋_GB2312" w:cs="仿宋_GB2312"/>
          <w:color w:val="000000"/>
          <w:kern w:val="0"/>
          <w:szCs w:val="32"/>
          <w:shd w:val="clear" w:color="auto" w:fill="FFFFFF"/>
        </w:rPr>
      </w:pPr>
      <w:r>
        <w:rPr>
          <w:rFonts w:hint="eastAsia" w:ascii="仿宋" w:hAnsi="仿宋" w:eastAsia="仿宋" w:cs="仿宋"/>
          <w:sz w:val="28"/>
          <w:szCs w:val="28"/>
        </w:rPr>
        <w:t>完成国有资产有偿使用收入4.14万</w:t>
      </w:r>
    </w:p>
    <w:p w14:paraId="277D6AC5">
      <w:pPr>
        <w:pStyle w:val="6"/>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3" w:name="_Toc5372"/>
      <w:r>
        <w:rPr>
          <w:rFonts w:hint="eastAsia" w:ascii="仿宋_GB2312" w:hAnsi="Calibri" w:eastAsia="仿宋_GB2312" w:cs="仿宋_GB2312"/>
          <w:color w:val="000000"/>
          <w:kern w:val="0"/>
          <w:szCs w:val="32"/>
          <w:shd w:val="clear" w:color="auto" w:fill="FFFFFF"/>
        </w:rPr>
        <w:t>2.产出质量</w:t>
      </w:r>
      <w:bookmarkEnd w:id="13"/>
    </w:p>
    <w:p w14:paraId="2CE103F7">
      <w:pPr>
        <w:pStyle w:val="6"/>
        <w:snapToGrid w:val="0"/>
        <w:spacing w:line="520" w:lineRule="exact"/>
        <w:ind w:firstLine="560"/>
        <w:outlineLvl w:val="2"/>
        <w:rPr>
          <w:rFonts w:ascii="仿宋_GB2312" w:hAnsi="Calibri" w:eastAsia="仿宋_GB2312" w:cs="仿宋_GB2312"/>
          <w:color w:val="000000"/>
          <w:kern w:val="0"/>
          <w:sz w:val="28"/>
          <w:szCs w:val="28"/>
          <w:shd w:val="clear" w:color="auto" w:fill="FFFFFF"/>
        </w:rPr>
      </w:pPr>
      <w:r>
        <w:rPr>
          <w:rFonts w:hint="eastAsia" w:ascii="仿宋" w:hAnsi="仿宋" w:eastAsia="仿宋" w:cs="仿宋"/>
          <w:sz w:val="28"/>
          <w:szCs w:val="28"/>
        </w:rPr>
        <w:t>国有资产有偿使用收入入库率59%</w:t>
      </w:r>
    </w:p>
    <w:p w14:paraId="44F50CE9">
      <w:pPr>
        <w:pStyle w:val="6"/>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4" w:name="_Toc25948"/>
      <w:r>
        <w:rPr>
          <w:rFonts w:hint="eastAsia" w:ascii="仿宋_GB2312" w:hAnsi="Calibri" w:eastAsia="仿宋_GB2312" w:cs="仿宋_GB2312"/>
          <w:color w:val="000000"/>
          <w:kern w:val="0"/>
          <w:szCs w:val="32"/>
          <w:shd w:val="clear" w:color="auto" w:fill="FFFFFF"/>
        </w:rPr>
        <w:t>3.产出成本</w:t>
      </w:r>
      <w:bookmarkEnd w:id="14"/>
    </w:p>
    <w:p w14:paraId="5571E77A">
      <w:pPr>
        <w:pStyle w:val="6"/>
        <w:snapToGrid w:val="0"/>
        <w:spacing w:line="520" w:lineRule="exact"/>
        <w:ind w:firstLine="560"/>
        <w:outlineLvl w:val="2"/>
        <w:rPr>
          <w:rFonts w:ascii="仿宋_GB2312" w:hAnsi="Calibri" w:eastAsia="仿宋_GB2312" w:cs="仿宋_GB2312"/>
          <w:color w:val="000000"/>
          <w:kern w:val="0"/>
          <w:szCs w:val="32"/>
          <w:shd w:val="clear" w:color="auto" w:fill="FFFFFF"/>
        </w:rPr>
      </w:pPr>
      <w:r>
        <w:rPr>
          <w:rFonts w:hint="eastAsia" w:ascii="仿宋" w:hAnsi="仿宋" w:eastAsia="仿宋" w:cs="仿宋"/>
          <w:sz w:val="28"/>
          <w:szCs w:val="28"/>
        </w:rPr>
        <w:t>非税收入征收成本1.5万。</w:t>
      </w:r>
    </w:p>
    <w:p w14:paraId="43FEE091">
      <w:pPr>
        <w:pStyle w:val="6"/>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5" w:name="_Toc21477"/>
      <w:r>
        <w:rPr>
          <w:rFonts w:hint="eastAsia" w:ascii="仿宋_GB2312" w:hAnsi="Calibri" w:eastAsia="仿宋_GB2312" w:cs="仿宋_GB2312"/>
          <w:color w:val="000000"/>
          <w:kern w:val="0"/>
          <w:szCs w:val="32"/>
          <w:shd w:val="clear" w:color="auto" w:fill="FFFFFF"/>
        </w:rPr>
        <w:t>4.产出时效</w:t>
      </w:r>
      <w:bookmarkEnd w:id="15"/>
    </w:p>
    <w:p w14:paraId="6F958D0E">
      <w:pPr>
        <w:pStyle w:val="6"/>
        <w:snapToGrid w:val="0"/>
        <w:spacing w:line="520" w:lineRule="exact"/>
        <w:ind w:firstLine="560"/>
        <w:outlineLvl w:val="2"/>
        <w:rPr>
          <w:rFonts w:ascii="仿宋_GB2312" w:hAnsi="Calibri" w:eastAsia="仿宋_GB2312" w:cs="仿宋_GB2312"/>
          <w:color w:val="000000"/>
          <w:kern w:val="0"/>
          <w:szCs w:val="32"/>
          <w:shd w:val="clear" w:color="auto" w:fill="FFFFFF"/>
        </w:rPr>
      </w:pPr>
      <w:r>
        <w:rPr>
          <w:rFonts w:hint="eastAsia" w:ascii="仿宋" w:hAnsi="仿宋" w:eastAsia="仿宋" w:cs="仿宋"/>
          <w:sz w:val="28"/>
          <w:szCs w:val="28"/>
        </w:rPr>
        <w:t>工作任务2023年12月31日前完成。</w:t>
      </w:r>
    </w:p>
    <w:p w14:paraId="2567958C">
      <w:pPr>
        <w:pStyle w:val="6"/>
        <w:snapToGrid w:val="0"/>
        <w:spacing w:line="520" w:lineRule="exact"/>
        <w:ind w:firstLine="548"/>
        <w:outlineLvl w:val="1"/>
        <w:rPr>
          <w:rFonts w:ascii="楷体_GB2312" w:hAnsi="楷体_GB2312" w:eastAsia="楷体_GB2312" w:cs="楷体_GB2312"/>
          <w:color w:val="000000"/>
          <w:kern w:val="0"/>
          <w:szCs w:val="32"/>
          <w:shd w:val="clear" w:color="auto" w:fill="FFFFFF"/>
        </w:rPr>
      </w:pPr>
      <w:bookmarkStart w:id="16" w:name="_Toc12690"/>
      <w:bookmarkStart w:id="17" w:name="_Toc3072"/>
      <w:r>
        <w:rPr>
          <w:rFonts w:hint="eastAsia" w:ascii="楷体_GB2312" w:hAnsi="楷体_GB2312" w:eastAsia="楷体_GB2312" w:cs="楷体_GB2312"/>
          <w:color w:val="000000"/>
          <w:spacing w:val="-23"/>
          <w:kern w:val="0"/>
          <w:szCs w:val="32"/>
          <w:shd w:val="clear" w:color="auto" w:fill="FFFFFF"/>
        </w:rPr>
        <w:t>(四)</w:t>
      </w:r>
      <w:r>
        <w:rPr>
          <w:rFonts w:hint="eastAsia" w:ascii="楷体_GB2312" w:hAnsi="楷体_GB2312" w:eastAsia="楷体_GB2312" w:cs="楷体_GB2312"/>
          <w:color w:val="000000"/>
          <w:kern w:val="0"/>
          <w:szCs w:val="32"/>
          <w:shd w:val="clear" w:color="auto" w:fill="FFFFFF"/>
        </w:rPr>
        <w:t>项目效益情况</w:t>
      </w:r>
      <w:bookmarkEnd w:id="16"/>
      <w:bookmarkEnd w:id="17"/>
    </w:p>
    <w:p w14:paraId="67BE80BC">
      <w:pPr>
        <w:spacing w:line="520" w:lineRule="exact"/>
        <w:ind w:firstLine="560" w:firstLineChars="200"/>
        <w:rPr>
          <w:rFonts w:ascii="仿宋" w:hAnsi="仿宋" w:eastAsia="仿宋" w:cs="仿宋"/>
          <w:sz w:val="32"/>
          <w:szCs w:val="32"/>
        </w:rPr>
      </w:pPr>
      <w:r>
        <w:rPr>
          <w:rFonts w:hint="eastAsia" w:ascii="仿宋" w:hAnsi="仿宋" w:eastAsia="仿宋" w:cs="仿宋"/>
          <w:sz w:val="28"/>
          <w:szCs w:val="28"/>
        </w:rPr>
        <w:t>2023年完成国有资产有偿使用收入4.14万，既提高了财政收入，也满足了图书馆日常工作的支出，从而更好地满足了读者的阅读需求，对提高全县人民的文化素质提升做出了贡献。</w:t>
      </w:r>
    </w:p>
    <w:p w14:paraId="373438A7">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18" w:name="_Toc390267055"/>
      <w:bookmarkStart w:id="19" w:name="_Toc390096931"/>
      <w:bookmarkStart w:id="20" w:name="_Toc12414"/>
      <w:bookmarkStart w:id="21" w:name="_Toc24241"/>
      <w:r>
        <w:rPr>
          <w:rFonts w:hint="eastAsia" w:ascii="黑体" w:hAnsi="黑体" w:eastAsia="黑体" w:cs="黑体"/>
          <w:color w:val="000000"/>
          <w:kern w:val="0"/>
          <w:sz w:val="32"/>
          <w:szCs w:val="32"/>
          <w:shd w:val="clear" w:color="auto" w:fill="FFFFFF"/>
        </w:rPr>
        <w:t>五、项目主要经验、存在的问题</w:t>
      </w:r>
      <w:bookmarkEnd w:id="18"/>
      <w:bookmarkEnd w:id="19"/>
      <w:r>
        <w:rPr>
          <w:rFonts w:hint="eastAsia" w:ascii="黑体" w:hAnsi="黑体" w:eastAsia="黑体" w:cs="黑体"/>
          <w:color w:val="000000"/>
          <w:kern w:val="0"/>
          <w:sz w:val="32"/>
          <w:szCs w:val="32"/>
          <w:shd w:val="clear" w:color="auto" w:fill="FFFFFF"/>
        </w:rPr>
        <w:t>及建议</w:t>
      </w:r>
      <w:bookmarkEnd w:id="20"/>
      <w:bookmarkEnd w:id="21"/>
    </w:p>
    <w:p w14:paraId="5E84F334">
      <w:pPr>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bookmarkStart w:id="22" w:name="_Toc23434"/>
      <w:bookmarkStart w:id="23" w:name="_Toc5316"/>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项目主要经验</w:t>
      </w:r>
      <w:bookmarkEnd w:id="22"/>
      <w:r>
        <w:rPr>
          <w:rFonts w:hint="eastAsia" w:ascii="楷体_GB2312" w:hAnsi="楷体_GB2312" w:eastAsia="楷体_GB2312" w:cs="楷体_GB2312"/>
          <w:color w:val="000000"/>
          <w:kern w:val="0"/>
          <w:sz w:val="32"/>
          <w:szCs w:val="32"/>
          <w:shd w:val="clear" w:color="auto" w:fill="FFFFFF"/>
        </w:rPr>
        <w:t>及做法</w:t>
      </w:r>
      <w:bookmarkEnd w:id="23"/>
    </w:p>
    <w:p w14:paraId="31EBF1ED">
      <w:pPr>
        <w:pStyle w:val="5"/>
        <w:widowControl/>
        <w:spacing w:before="0" w:beforeAutospacing="0" w:after="0" w:afterAutospacing="0" w:line="520" w:lineRule="exac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1、领导高度重视。国有资产有偿使用收入预算下发后，领导高度重视，立即召开会议进行布置安排，制订了工作计划，明确了时限要求，落实了责任分工，确保了各项专项工作顺利进行和整治成效。</w:t>
      </w:r>
    </w:p>
    <w:p w14:paraId="09C38A78">
      <w:pPr>
        <w:pStyle w:val="5"/>
        <w:widowControl/>
        <w:spacing w:before="0" w:beforeAutospacing="0" w:after="0" w:afterAutospacing="0" w:line="520" w:lineRule="exac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2、在核定非税收入执收成本时，把国有资产收入做足做实，保证基本支出正常运转。</w:t>
      </w:r>
    </w:p>
    <w:p w14:paraId="242B8E49">
      <w:pPr>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bookmarkStart w:id="24" w:name="_Toc2597"/>
      <w:bookmarkStart w:id="25" w:name="_Toc6772"/>
      <w:r>
        <w:rPr>
          <w:rFonts w:hint="eastAsia" w:ascii="楷体_GB2312" w:hAnsi="楷体_GB2312" w:eastAsia="楷体_GB2312" w:cs="楷体_GB2312"/>
          <w:color w:val="000000"/>
          <w:spacing w:val="-23"/>
          <w:kern w:val="0"/>
          <w:sz w:val="32"/>
          <w:szCs w:val="32"/>
          <w:shd w:val="clear" w:color="auto" w:fill="FFFFFF"/>
        </w:rPr>
        <w:t>（二）</w:t>
      </w:r>
      <w:r>
        <w:rPr>
          <w:rFonts w:hint="eastAsia" w:ascii="楷体_GB2312" w:hAnsi="楷体_GB2312" w:eastAsia="楷体_GB2312" w:cs="楷体_GB2312"/>
          <w:color w:val="000000"/>
          <w:kern w:val="0"/>
          <w:sz w:val="32"/>
          <w:szCs w:val="32"/>
          <w:shd w:val="clear" w:color="auto" w:fill="FFFFFF"/>
        </w:rPr>
        <w:t>存在的问题</w:t>
      </w:r>
      <w:bookmarkEnd w:id="24"/>
      <w:bookmarkEnd w:id="25"/>
    </w:p>
    <w:p w14:paraId="5D54EE66">
      <w:pPr>
        <w:pStyle w:val="5"/>
        <w:widowControl/>
        <w:spacing w:before="0" w:beforeAutospacing="0" w:after="0" w:afterAutospacing="0" w:line="520" w:lineRule="exac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1、对于绩效评价的认识不够深入，把预算绩效简单等同于工作目标、工作考核和业务管理。</w:t>
      </w:r>
    </w:p>
    <w:p w14:paraId="25EA1AE1">
      <w:pPr>
        <w:pStyle w:val="5"/>
        <w:widowControl/>
        <w:spacing w:before="0" w:beforeAutospacing="0" w:after="0" w:afterAutospacing="0" w:line="520" w:lineRule="exac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2、</w:t>
      </w:r>
      <w:r>
        <w:rPr>
          <w:rFonts w:hint="eastAsia" w:ascii="仿宋" w:hAnsi="仿宋" w:eastAsia="仿宋" w:cs="宋体"/>
          <w:color w:val="333333"/>
          <w:sz w:val="28"/>
          <w:szCs w:val="28"/>
          <w:lang w:val="en-US" w:eastAsia="zh-CN"/>
        </w:rPr>
        <w:t>因办公用房是上级部门安排使用，</w:t>
      </w:r>
      <w:r>
        <w:rPr>
          <w:rFonts w:hint="eastAsia" w:ascii="仿宋" w:hAnsi="仿宋" w:eastAsia="仿宋" w:cs="宋体"/>
          <w:color w:val="333333"/>
          <w:sz w:val="28"/>
          <w:szCs w:val="28"/>
        </w:rPr>
        <w:t>致使非税执收成本在预算核定时只有采用基数来核定。</w:t>
      </w:r>
    </w:p>
    <w:p w14:paraId="5ADFA9AF">
      <w:pPr>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bookmarkStart w:id="26" w:name="_Toc29278"/>
      <w:bookmarkStart w:id="27" w:name="_Toc16271"/>
      <w:r>
        <w:rPr>
          <w:rFonts w:hint="eastAsia" w:ascii="楷体_GB2312" w:hAnsi="楷体_GB2312" w:eastAsia="楷体_GB2312" w:cs="楷体_GB2312"/>
          <w:color w:val="000000"/>
          <w:spacing w:val="-23"/>
          <w:kern w:val="0"/>
          <w:sz w:val="32"/>
          <w:szCs w:val="32"/>
          <w:shd w:val="clear" w:color="auto" w:fill="FFFFFF"/>
        </w:rPr>
        <w:t>（三）</w:t>
      </w:r>
      <w:r>
        <w:rPr>
          <w:rFonts w:hint="eastAsia" w:ascii="楷体_GB2312" w:hAnsi="楷体_GB2312" w:eastAsia="楷体_GB2312" w:cs="楷体_GB2312"/>
          <w:color w:val="000000"/>
          <w:kern w:val="0"/>
          <w:sz w:val="32"/>
          <w:szCs w:val="32"/>
          <w:shd w:val="clear" w:color="auto" w:fill="FFFFFF"/>
        </w:rPr>
        <w:t>有关建议</w:t>
      </w:r>
      <w:bookmarkEnd w:id="26"/>
      <w:bookmarkEnd w:id="27"/>
    </w:p>
    <w:p w14:paraId="7F7D6328">
      <w:pPr>
        <w:pStyle w:val="5"/>
        <w:widowControl/>
        <w:spacing w:before="0" w:beforeAutospacing="0" w:after="0" w:afterAutospacing="0" w:line="520" w:lineRule="exac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1．加强对财政资金拨付和使用的管理。</w:t>
      </w:r>
    </w:p>
    <w:p w14:paraId="2814751F">
      <w:pPr>
        <w:pStyle w:val="5"/>
        <w:widowControl/>
        <w:spacing w:before="0" w:beforeAutospacing="0" w:after="0" w:afterAutospacing="0" w:line="520" w:lineRule="exac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2．加强绩效评价管理制度和流程的建设，进一步深化、完善绩效管理体系，建立全过程的预算绩效管理机制，促进绩效管理工作向广度和深度延伸。</w:t>
      </w:r>
    </w:p>
    <w:p w14:paraId="51F5AF02">
      <w:pPr>
        <w:pStyle w:val="5"/>
        <w:widowControl/>
        <w:spacing w:before="0" w:beforeAutospacing="0" w:after="0" w:afterAutospacing="0" w:line="520" w:lineRule="exac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3．加深对非税收入执收成本的认识，更加精细化与量化成本核定的项目，提高核定成本的科学性。</w:t>
      </w:r>
    </w:p>
    <w:p w14:paraId="62DD354C">
      <w:pPr>
        <w:pStyle w:val="5"/>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29E92069">
      <w:pPr>
        <w:spacing w:line="600" w:lineRule="exact"/>
        <w:jc w:val="right"/>
        <w:rPr>
          <w:rFonts w:eastAsia="仿宋_GB2312"/>
          <w:color w:val="000000"/>
          <w:kern w:val="0"/>
          <w:sz w:val="32"/>
          <w:szCs w:val="32"/>
        </w:rPr>
      </w:pPr>
      <w:r>
        <w:rPr>
          <w:rFonts w:hint="eastAsia" w:eastAsia="仿宋_GB2312"/>
          <w:color w:val="000000"/>
          <w:kern w:val="0"/>
          <w:sz w:val="32"/>
          <w:szCs w:val="32"/>
        </w:rPr>
        <w:t xml:space="preserve"> 会同县图书馆</w:t>
      </w:r>
    </w:p>
    <w:p w14:paraId="1C2B2D5E">
      <w:pPr>
        <w:pStyle w:val="13"/>
        <w:ind w:firstLine="640"/>
        <w:jc w:val="right"/>
      </w:pPr>
      <w:r>
        <w:rPr>
          <w:rFonts w:hint="eastAsia"/>
          <w:color w:val="000000"/>
          <w:kern w:val="0"/>
          <w:sz w:val="32"/>
          <w:szCs w:val="32"/>
        </w:rPr>
        <w:t>2024年8月25日</w:t>
      </w:r>
    </w:p>
    <w:p w14:paraId="7111909C">
      <w:bookmarkStart w:id="28" w:name="_GoBack"/>
      <w:bookmarkEnd w:id="2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82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M1Y2ZkZWNhNmE5NDY4MDgwZmQ2YWIwMTliMjlkMjYifQ=="/>
  </w:docVars>
  <w:rsids>
    <w:rsidRoot w:val="00815B86"/>
    <w:rsid w:val="001375FC"/>
    <w:rsid w:val="001A196F"/>
    <w:rsid w:val="00227A54"/>
    <w:rsid w:val="00251982"/>
    <w:rsid w:val="0027141C"/>
    <w:rsid w:val="002D7728"/>
    <w:rsid w:val="003661FB"/>
    <w:rsid w:val="003A4224"/>
    <w:rsid w:val="003B1810"/>
    <w:rsid w:val="00482F8E"/>
    <w:rsid w:val="0050203E"/>
    <w:rsid w:val="005E7037"/>
    <w:rsid w:val="00600F46"/>
    <w:rsid w:val="00611E7D"/>
    <w:rsid w:val="006B43D5"/>
    <w:rsid w:val="006D2998"/>
    <w:rsid w:val="006F55C7"/>
    <w:rsid w:val="00722C21"/>
    <w:rsid w:val="00754050"/>
    <w:rsid w:val="007B7265"/>
    <w:rsid w:val="008075F9"/>
    <w:rsid w:val="00815B86"/>
    <w:rsid w:val="00823486"/>
    <w:rsid w:val="00975224"/>
    <w:rsid w:val="009A5433"/>
    <w:rsid w:val="009C47A7"/>
    <w:rsid w:val="00A147A0"/>
    <w:rsid w:val="00A43213"/>
    <w:rsid w:val="00AA3404"/>
    <w:rsid w:val="00AB5799"/>
    <w:rsid w:val="00AC1976"/>
    <w:rsid w:val="00B50AE6"/>
    <w:rsid w:val="00BA2AAC"/>
    <w:rsid w:val="00D05CE1"/>
    <w:rsid w:val="00DB5840"/>
    <w:rsid w:val="00E2574D"/>
    <w:rsid w:val="00E92B30"/>
    <w:rsid w:val="00FB2CB9"/>
    <w:rsid w:val="081F4AFD"/>
    <w:rsid w:val="0E085FAE"/>
    <w:rsid w:val="10DA5879"/>
    <w:rsid w:val="21175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semiHidden/>
    <w:unhideWhenUsed/>
    <w:uiPriority w:val="99"/>
    <w:pPr>
      <w:spacing w:after="120"/>
      <w:ind w:left="420" w:leftChars="200"/>
    </w:pPr>
  </w:style>
  <w:style w:type="paragraph" w:styleId="3">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0"/>
    <w:pPr>
      <w:spacing w:before="100" w:beforeAutospacing="1" w:after="100" w:afterAutospacing="1"/>
      <w:jc w:val="left"/>
    </w:pPr>
    <w:rPr>
      <w:kern w:val="0"/>
      <w:sz w:val="24"/>
    </w:rPr>
  </w:style>
  <w:style w:type="paragraph" w:styleId="6">
    <w:name w:val="Body Text First Indent 2"/>
    <w:basedOn w:val="2"/>
    <w:link w:val="12"/>
    <w:unhideWhenUsed/>
    <w:qFormat/>
    <w:uiPriority w:val="99"/>
    <w:pPr>
      <w:spacing w:after="0"/>
      <w:ind w:left="0" w:leftChars="0" w:firstLine="420" w:firstLineChars="200"/>
    </w:pPr>
    <w:rPr>
      <w:sz w:val="32"/>
    </w:r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3"/>
    <w:semiHidden/>
    <w:qFormat/>
    <w:uiPriority w:val="99"/>
    <w:rPr>
      <w:sz w:val="18"/>
      <w:szCs w:val="18"/>
    </w:rPr>
  </w:style>
  <w:style w:type="character" w:customStyle="1" w:styleId="11">
    <w:name w:val="正文文本缩进 Char"/>
    <w:basedOn w:val="8"/>
    <w:link w:val="2"/>
    <w:semiHidden/>
    <w:qFormat/>
    <w:uiPriority w:val="99"/>
    <w:rPr>
      <w:rFonts w:ascii="Times New Roman" w:hAnsi="Times New Roman" w:eastAsia="宋体" w:cs="Times New Roman"/>
      <w:szCs w:val="24"/>
    </w:rPr>
  </w:style>
  <w:style w:type="character" w:customStyle="1" w:styleId="12">
    <w:name w:val="正文首行缩进 2 Char"/>
    <w:basedOn w:val="11"/>
    <w:link w:val="6"/>
    <w:qFormat/>
    <w:uiPriority w:val="99"/>
    <w:rPr>
      <w:sz w:val="32"/>
    </w:rPr>
  </w:style>
  <w:style w:type="paragraph" w:customStyle="1" w:styleId="13">
    <w:name w:val="BodyText1I2"/>
    <w:basedOn w:val="14"/>
    <w:next w:val="1"/>
    <w:unhideWhenUsed/>
    <w:qFormat/>
    <w:uiPriority w:val="0"/>
    <w:pPr>
      <w:ind w:firstLine="200" w:firstLineChars="200"/>
    </w:pPr>
    <w:rPr>
      <w:rFonts w:hint="default" w:ascii="Calibri" w:hAnsi="Calibri" w:eastAsia="仿宋_GB2312"/>
      <w:sz w:val="36"/>
    </w:rPr>
  </w:style>
  <w:style w:type="paragraph" w:customStyle="1" w:styleId="14">
    <w:name w:val="BodyTextIndent"/>
    <w:basedOn w:val="1"/>
    <w:unhideWhenUsed/>
    <w:qFormat/>
    <w:uiPriority w:val="0"/>
    <w:pPr>
      <w:spacing w:after="120"/>
      <w:ind w:left="420" w:leftChars="200"/>
      <w:textAlignment w:val="baseline"/>
    </w:pPr>
    <w:rPr>
      <w:rFonts w:hint="eastAsi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ss</Company>
  <Pages>5</Pages>
  <Words>2519</Words>
  <Characters>2587</Characters>
  <Lines>25</Lines>
  <Paragraphs>7</Paragraphs>
  <TotalTime>0</TotalTime>
  <ScaleCrop>false</ScaleCrop>
  <LinksUpToDate>false</LinksUpToDate>
  <CharactersWithSpaces>2611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2024-09-05T01:58:00Z</dcterms:created>
  <dc:creator>20100401</dc:creator>
  <cp:lastModifiedBy>Administrator</cp:lastModifiedBy>
  <dcterms:modified xsi:type="dcterms:W3CDTF">2024-09-11T09:19:50Z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5CA99132FB9C4B95BB183343B6E97A46_12</vt:lpwstr>
  </property>
</Properties>
</file>