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0D80C">
      <w:pPr>
        <w:pStyle w:val="6"/>
        <w:widowControl/>
        <w:shd w:val="clear" w:color="auto" w:fill="FFFFFF"/>
        <w:spacing w:before="0" w:beforeAutospacing="0" w:after="0" w:afterAutospacing="0" w:line="480" w:lineRule="atLeast"/>
        <w:jc w:val="center"/>
        <w:rPr>
          <w:rFonts w:ascii="仿宋" w:hAnsi="仿宋" w:eastAsia="仿宋" w:cs="仿宋"/>
          <w:sz w:val="44"/>
          <w:szCs w:val="44"/>
        </w:rPr>
      </w:pPr>
      <w:r>
        <w:rPr>
          <w:rFonts w:hint="eastAsia" w:ascii="仿宋" w:hAnsi="仿宋" w:eastAsia="仿宋" w:cs="仿宋"/>
          <w:sz w:val="44"/>
          <w:szCs w:val="44"/>
        </w:rPr>
        <w:t>会同县图书馆2023年“购书经费”财政支出绩效评价报告</w:t>
      </w:r>
    </w:p>
    <w:p w14:paraId="1B9F4E4D">
      <w:pPr>
        <w:pStyle w:val="6"/>
        <w:widowControl/>
        <w:shd w:val="clear" w:color="auto" w:fill="FFFFFF"/>
        <w:snapToGrid w:val="0"/>
        <w:spacing w:before="0" w:beforeAutospacing="0" w:after="0" w:afterAutospacing="0" w:line="520" w:lineRule="exact"/>
        <w:ind w:firstLine="640" w:firstLineChars="200"/>
        <w:jc w:val="both"/>
        <w:rPr>
          <w:rFonts w:ascii="黑体" w:hAnsi="黑体" w:eastAsia="黑体" w:cs="黑体"/>
          <w:color w:val="000000"/>
          <w:sz w:val="32"/>
          <w:szCs w:val="32"/>
        </w:rPr>
      </w:pPr>
      <w:r>
        <w:rPr>
          <w:rFonts w:hint="eastAsia" w:ascii="方正小标宋_GBK" w:hAnsi="方正小标宋_GBK" w:eastAsia="方正小标宋_GBK" w:cs="方正小标宋_GBK"/>
          <w:color w:val="000000"/>
          <w:sz w:val="32"/>
          <w:szCs w:val="32"/>
          <w:shd w:val="clear" w:color="auto" w:fill="FFFFFF"/>
        </w:rPr>
        <w:t> </w:t>
      </w:r>
      <w:r>
        <w:rPr>
          <w:rFonts w:hint="eastAsia" w:ascii="黑体" w:hAnsi="黑体" w:eastAsia="黑体" w:cs="黑体"/>
          <w:color w:val="000000"/>
          <w:sz w:val="32"/>
          <w:szCs w:val="32"/>
          <w:shd w:val="clear" w:color="auto" w:fill="FFFFFF"/>
        </w:rPr>
        <w:t>一、项目基本情况</w:t>
      </w:r>
    </w:p>
    <w:p w14:paraId="7F45D92B">
      <w:pPr>
        <w:pStyle w:val="6"/>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（一）</w:t>
      </w:r>
      <w:r>
        <w:rPr>
          <w:rFonts w:hint="eastAsia" w:ascii="楷体_GB2312" w:hAnsi="楷体_GB2312" w:eastAsia="楷体_GB2312" w:cs="楷体_GB2312"/>
          <w:color w:val="000000"/>
          <w:sz w:val="32"/>
          <w:szCs w:val="32"/>
          <w:shd w:val="clear" w:color="auto" w:fill="FFFFFF"/>
        </w:rPr>
        <w:t>项目概况</w:t>
      </w:r>
    </w:p>
    <w:p w14:paraId="45EBEBAD">
      <w:pPr>
        <w:pStyle w:val="6"/>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1.项目决策背景</w:t>
      </w:r>
    </w:p>
    <w:p w14:paraId="15E4CDEE">
      <w:pPr>
        <w:spacing w:line="540" w:lineRule="exact"/>
        <w:ind w:left="420" w:leftChars="200" w:firstLine="560" w:firstLineChars="200"/>
        <w:rPr>
          <w:rFonts w:ascii="仿宋_GB2312" w:eastAsia="仿宋_GB2312"/>
          <w:b/>
          <w:bCs/>
          <w:sz w:val="28"/>
          <w:szCs w:val="28"/>
        </w:rPr>
      </w:pPr>
      <w:r>
        <w:rPr>
          <w:rFonts w:hint="eastAsia" w:ascii="仿宋" w:hAnsi="仿宋" w:eastAsia="仿宋" w:cs="仿宋"/>
          <w:sz w:val="28"/>
          <w:szCs w:val="28"/>
        </w:rPr>
        <w:t>购书经费项目纳入2023年度部门预算范围，经人大会议通过，县财政下达批复文件，包括该项目资金申报、批复符合资金管理办法等相关规定，会同县图书馆购书经费项目为2.1万元，用于满足群众日常阅读需求，进而提高全民阅读，打造“书香会同”</w:t>
      </w:r>
    </w:p>
    <w:p w14:paraId="33DC887D">
      <w:pPr>
        <w:pStyle w:val="6"/>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2.项目主要内容</w:t>
      </w:r>
    </w:p>
    <w:p w14:paraId="085DBAB8">
      <w:pPr>
        <w:spacing w:line="540" w:lineRule="exact"/>
        <w:ind w:left="420" w:leftChars="200" w:firstLine="560" w:firstLineChars="200"/>
        <w:rPr>
          <w:rFonts w:ascii="仿宋_GB2312" w:eastAsia="仿宋_GB2312"/>
          <w:b/>
          <w:bCs/>
          <w:sz w:val="28"/>
          <w:szCs w:val="28"/>
        </w:rPr>
      </w:pPr>
      <w:r>
        <w:rPr>
          <w:rFonts w:hint="eastAsia" w:ascii="仿宋" w:hAnsi="仿宋" w:eastAsia="仿宋" w:cs="仿宋"/>
          <w:sz w:val="28"/>
          <w:szCs w:val="28"/>
        </w:rPr>
        <w:t>购书经费每年纳入财政预算用于主要用于新增图书、少儿读物、读书活动图书、及新增杂志、报刊。</w:t>
      </w:r>
    </w:p>
    <w:p w14:paraId="1A2DA969">
      <w:pPr>
        <w:pStyle w:val="6"/>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3.项目组织管理机构</w:t>
      </w:r>
    </w:p>
    <w:p w14:paraId="04BADF73">
      <w:pPr>
        <w:autoSpaceDN w:val="0"/>
        <w:spacing w:line="560" w:lineRule="exact"/>
        <w:ind w:firstLine="560" w:firstLineChars="200"/>
        <w:rPr>
          <w:rFonts w:ascii="仿宋_GB2312" w:eastAsia="仿宋_GB2312"/>
          <w:sz w:val="28"/>
          <w:szCs w:val="28"/>
        </w:rPr>
      </w:pPr>
      <w:r>
        <w:rPr>
          <w:rFonts w:hint="eastAsia" w:ascii="仿宋" w:hAnsi="仿宋" w:eastAsia="仿宋" w:cs="仿宋"/>
          <w:sz w:val="28"/>
          <w:szCs w:val="28"/>
        </w:rPr>
        <w:t>现有行政编制人员0个，全额拨款事业编制6个，自收自支事业编0个，实有在职人数6人，退休人员5人。有车辆1台，</w:t>
      </w:r>
      <w:r>
        <w:rPr>
          <w:rFonts w:hint="eastAsia" w:ascii="仿宋" w:hAnsi="仿宋" w:eastAsia="仿宋" w:cs="仿宋"/>
          <w:color w:val="333333"/>
          <w:sz w:val="28"/>
          <w:szCs w:val="28"/>
        </w:rPr>
        <w:t>实有在职人数与编制数相符。</w:t>
      </w:r>
    </w:p>
    <w:p w14:paraId="71852F47">
      <w:pPr>
        <w:pStyle w:val="6"/>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（二）</w:t>
      </w:r>
      <w:r>
        <w:rPr>
          <w:rFonts w:hint="eastAsia" w:ascii="楷体_GB2312" w:hAnsi="楷体_GB2312" w:eastAsia="楷体_GB2312" w:cs="楷体_GB2312"/>
          <w:color w:val="000000"/>
          <w:sz w:val="32"/>
          <w:szCs w:val="32"/>
          <w:shd w:val="clear" w:color="auto" w:fill="FFFFFF"/>
        </w:rPr>
        <w:t>预算资金使用管理情况</w:t>
      </w:r>
    </w:p>
    <w:p w14:paraId="04F942B7">
      <w:pPr>
        <w:snapToGrid w:val="0"/>
        <w:spacing w:line="520" w:lineRule="exact"/>
        <w:ind w:firstLine="640" w:firstLineChars="200"/>
        <w:outlineLvl w:val="1"/>
        <w:rPr>
          <w:rFonts w:ascii="仿宋_GB2312" w:hAnsi="Calibri" w:eastAsia="仿宋_GB2312" w:cs="仿宋_GB2312"/>
          <w:color w:val="000000"/>
          <w:kern w:val="0"/>
          <w:sz w:val="32"/>
          <w:szCs w:val="32"/>
          <w:shd w:val="clear" w:color="auto" w:fill="FFFFFF"/>
        </w:rPr>
      </w:pPr>
      <w:bookmarkStart w:id="0" w:name="_Toc10810"/>
      <w:r>
        <w:rPr>
          <w:rFonts w:hint="eastAsia" w:ascii="仿宋_GB2312" w:hAnsi="Calibri" w:eastAsia="仿宋_GB2312" w:cs="仿宋_GB2312"/>
          <w:color w:val="000000"/>
          <w:kern w:val="0"/>
          <w:sz w:val="32"/>
          <w:szCs w:val="32"/>
          <w:shd w:val="clear" w:color="auto" w:fill="FFFFFF"/>
        </w:rPr>
        <w:t>1.预算资金安排及管理情况</w:t>
      </w:r>
      <w:bookmarkEnd w:id="0"/>
    </w:p>
    <w:p w14:paraId="094C68E7">
      <w:pPr>
        <w:pStyle w:val="6"/>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（1）</w:t>
      </w:r>
      <w:r>
        <w:rPr>
          <w:rFonts w:ascii="仿宋" w:hAnsi="仿宋" w:eastAsia="仿宋" w:cs="仿宋_GB2312"/>
          <w:color w:val="000000"/>
          <w:sz w:val="28"/>
          <w:szCs w:val="28"/>
          <w:shd w:val="clear" w:color="auto" w:fill="FFFFFF"/>
        </w:rPr>
        <w:t>资金来源及拨付流程</w:t>
      </w:r>
    </w:p>
    <w:p w14:paraId="0E218444">
      <w:pPr>
        <w:pStyle w:val="6"/>
        <w:widowControl/>
        <w:shd w:val="clear" w:color="auto" w:fill="FFFFFF"/>
        <w:snapToGrid w:val="0"/>
        <w:spacing w:before="0" w:beforeAutospacing="0" w:after="0" w:afterAutospacing="0" w:line="52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资金主要来源为年初财政一般公共预算拨款。项目实施单位根据年初预算批复按工作任务完成情况向财政履行请款手续，单位按财政规定的资金用途使用项目资金。</w:t>
      </w:r>
    </w:p>
    <w:p w14:paraId="0D8D884D">
      <w:pPr>
        <w:pStyle w:val="6"/>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（2）</w:t>
      </w:r>
      <w:r>
        <w:rPr>
          <w:rFonts w:ascii="仿宋" w:hAnsi="仿宋" w:eastAsia="仿宋" w:cs="仿宋_GB2312"/>
          <w:color w:val="000000"/>
          <w:sz w:val="28"/>
          <w:szCs w:val="28"/>
          <w:shd w:val="clear" w:color="auto" w:fill="FFFFFF"/>
        </w:rPr>
        <w:t>资金到位情况</w:t>
      </w:r>
    </w:p>
    <w:p w14:paraId="52EC8997">
      <w:pPr>
        <w:spacing w:line="520" w:lineRule="exact"/>
        <w:ind w:firstLine="640"/>
        <w:rPr>
          <w:rFonts w:ascii="仿宋" w:hAnsi="仿宋" w:eastAsia="仿宋"/>
          <w:sz w:val="28"/>
          <w:szCs w:val="28"/>
        </w:rPr>
      </w:pPr>
      <w:r>
        <w:rPr>
          <w:rFonts w:hint="eastAsia" w:ascii="仿宋" w:hAnsi="仿宋" w:eastAsia="仿宋" w:cs="宋体"/>
          <w:sz w:val="28"/>
          <w:szCs w:val="28"/>
        </w:rPr>
        <w:t>2023年文</w:t>
      </w:r>
      <w:r>
        <w:rPr>
          <w:rFonts w:hint="eastAsia" w:ascii="仿宋" w:hAnsi="仿宋" w:eastAsia="仿宋" w:cs="仿宋"/>
          <w:sz w:val="28"/>
          <w:szCs w:val="28"/>
        </w:rPr>
        <w:t>购书</w:t>
      </w:r>
      <w:r>
        <w:rPr>
          <w:rFonts w:hint="eastAsia" w:ascii="仿宋" w:hAnsi="仿宋" w:eastAsia="仿宋" w:cs="宋体"/>
          <w:sz w:val="28"/>
          <w:szCs w:val="28"/>
        </w:rPr>
        <w:t>经费资金2.1万元，</w:t>
      </w:r>
      <w:r>
        <w:rPr>
          <w:rFonts w:hint="eastAsia" w:ascii="仿宋" w:hAnsi="仿宋" w:eastAsia="仿宋"/>
          <w:sz w:val="28"/>
          <w:szCs w:val="28"/>
        </w:rPr>
        <w:t>到位率100%。</w:t>
      </w:r>
    </w:p>
    <w:p w14:paraId="7E899C33">
      <w:pPr>
        <w:pStyle w:val="6"/>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w:t>
      </w:r>
      <w:r>
        <w:rPr>
          <w:rFonts w:hint="eastAsia" w:ascii="仿宋" w:hAnsi="仿宋" w:eastAsia="仿宋" w:cs="仿宋_GB2312"/>
          <w:color w:val="000000"/>
          <w:spacing w:val="-23"/>
          <w:sz w:val="28"/>
          <w:szCs w:val="28"/>
          <w:shd w:val="clear" w:color="auto" w:fill="FFFFFF"/>
        </w:rPr>
        <w:t>3</w:t>
      </w:r>
      <w:r>
        <w:rPr>
          <w:rFonts w:ascii="仿宋" w:hAnsi="仿宋" w:eastAsia="仿宋" w:cs="仿宋_GB2312"/>
          <w:color w:val="000000"/>
          <w:spacing w:val="-23"/>
          <w:sz w:val="28"/>
          <w:szCs w:val="28"/>
          <w:shd w:val="clear" w:color="auto" w:fill="FFFFFF"/>
        </w:rPr>
        <w:t>）</w:t>
      </w:r>
      <w:r>
        <w:rPr>
          <w:rFonts w:ascii="仿宋" w:hAnsi="仿宋" w:eastAsia="仿宋" w:cs="仿宋_GB2312"/>
          <w:color w:val="000000"/>
          <w:sz w:val="28"/>
          <w:szCs w:val="28"/>
          <w:shd w:val="clear" w:color="auto" w:fill="FFFFFF"/>
        </w:rPr>
        <w:t>资金使用情况</w:t>
      </w:r>
    </w:p>
    <w:p w14:paraId="66E751F1">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此项目资金的实际支出</w:t>
      </w:r>
      <w:r>
        <w:rPr>
          <w:rFonts w:hint="eastAsia" w:ascii="仿宋" w:hAnsi="仿宋" w:eastAsia="仿宋" w:cs="仿宋"/>
          <w:sz w:val="28"/>
          <w:szCs w:val="28"/>
          <w:lang w:val="en-US" w:eastAsia="zh-CN"/>
        </w:rPr>
        <w:t>2.1</w:t>
      </w:r>
      <w:r>
        <w:rPr>
          <w:rFonts w:hint="eastAsia" w:ascii="仿宋" w:hAnsi="仿宋" w:eastAsia="仿宋" w:cs="仿宋"/>
          <w:sz w:val="28"/>
          <w:szCs w:val="28"/>
        </w:rPr>
        <w:t>万元，资金开支范围、标准及支付进度等均与项目批复一致，支付依据合规合法，资金支付与预算相符。2023年购书经费主要用于</w:t>
      </w:r>
      <w:r>
        <w:rPr>
          <w:rFonts w:hint="eastAsia" w:ascii="仿宋" w:hAnsi="仿宋" w:eastAsia="仿宋" w:cs="仿宋"/>
          <w:sz w:val="28"/>
          <w:szCs w:val="28"/>
          <w:lang w:val="en-US" w:eastAsia="zh-CN"/>
        </w:rPr>
        <w:t>图书文化品牌、线上线下服务开支</w:t>
      </w:r>
      <w:r>
        <w:rPr>
          <w:rFonts w:hint="eastAsia" w:ascii="仿宋" w:hAnsi="仿宋" w:eastAsia="仿宋" w:cs="仿宋"/>
          <w:sz w:val="28"/>
          <w:szCs w:val="28"/>
        </w:rPr>
        <w:t>。</w:t>
      </w:r>
    </w:p>
    <w:p w14:paraId="0C0CD661">
      <w:pPr>
        <w:pStyle w:val="6"/>
        <w:widowControl/>
        <w:shd w:val="clear" w:color="auto" w:fill="FFFFFF"/>
        <w:snapToGrid w:val="0"/>
        <w:spacing w:before="0" w:beforeAutospacing="0" w:after="0" w:afterAutospacing="0" w:line="520" w:lineRule="exact"/>
        <w:ind w:firstLine="468" w:firstLineChars="200"/>
        <w:jc w:val="both"/>
        <w:rPr>
          <w:rFonts w:ascii="仿宋" w:hAnsi="仿宋" w:eastAsia="仿宋" w:cs="仿宋_GB2312"/>
          <w:color w:val="000000"/>
          <w:sz w:val="28"/>
          <w:szCs w:val="28"/>
          <w:shd w:val="clear" w:color="auto" w:fill="FFFFFF"/>
        </w:rPr>
      </w:pPr>
      <w:r>
        <w:rPr>
          <w:rFonts w:ascii="仿宋" w:hAnsi="仿宋" w:eastAsia="仿宋" w:cs="仿宋_GB2312"/>
          <w:color w:val="000000"/>
          <w:spacing w:val="-23"/>
          <w:sz w:val="28"/>
          <w:szCs w:val="28"/>
          <w:shd w:val="clear" w:color="auto" w:fill="FFFFFF"/>
        </w:rPr>
        <w:t>（</w:t>
      </w:r>
      <w:r>
        <w:rPr>
          <w:rFonts w:hint="eastAsia" w:ascii="仿宋" w:hAnsi="仿宋" w:eastAsia="仿宋" w:cs="仿宋_GB2312"/>
          <w:color w:val="000000"/>
          <w:spacing w:val="-23"/>
          <w:sz w:val="28"/>
          <w:szCs w:val="28"/>
          <w:shd w:val="clear" w:color="auto" w:fill="FFFFFF"/>
        </w:rPr>
        <w:t>4</w:t>
      </w:r>
      <w:r>
        <w:rPr>
          <w:rFonts w:ascii="仿宋" w:hAnsi="仿宋" w:eastAsia="仿宋" w:cs="仿宋_GB2312"/>
          <w:color w:val="000000"/>
          <w:spacing w:val="-23"/>
          <w:sz w:val="28"/>
          <w:szCs w:val="28"/>
          <w:shd w:val="clear" w:color="auto" w:fill="FFFFFF"/>
        </w:rPr>
        <w:t>）</w:t>
      </w:r>
      <w:r>
        <w:rPr>
          <w:rFonts w:ascii="仿宋" w:hAnsi="仿宋" w:eastAsia="仿宋" w:cs="仿宋_GB2312"/>
          <w:color w:val="000000"/>
          <w:sz w:val="28"/>
          <w:szCs w:val="28"/>
          <w:shd w:val="clear" w:color="auto" w:fill="FFFFFF"/>
        </w:rPr>
        <w:t>资金管理制度及执行情况</w:t>
      </w:r>
    </w:p>
    <w:p w14:paraId="374CCCC8">
      <w:pPr>
        <w:spacing w:line="520" w:lineRule="exact"/>
        <w:ind w:firstLine="560"/>
        <w:rPr>
          <w:rFonts w:ascii="仿宋" w:hAnsi="仿宋" w:eastAsia="仿宋" w:cs="仿宋"/>
          <w:sz w:val="28"/>
          <w:szCs w:val="28"/>
        </w:rPr>
      </w:pPr>
      <w:r>
        <w:rPr>
          <w:rFonts w:hint="eastAsia" w:ascii="仿宋" w:hAnsi="仿宋" w:eastAsia="仿宋" w:cs="仿宋"/>
          <w:color w:val="000000"/>
          <w:sz w:val="28"/>
          <w:szCs w:val="28"/>
        </w:rPr>
        <w:t>1、加强资金管理情况。在项目实施中，严格控制标准和范围，根据项目进展情况申报用款计划，实施完成验收后，据实付款。</w:t>
      </w:r>
    </w:p>
    <w:p w14:paraId="236EBE84">
      <w:pPr>
        <w:spacing w:line="520" w:lineRule="exact"/>
        <w:ind w:firstLine="560"/>
        <w:rPr>
          <w:rFonts w:ascii="仿宋" w:hAnsi="仿宋" w:eastAsia="仿宋" w:cs="仿宋"/>
          <w:sz w:val="28"/>
          <w:szCs w:val="28"/>
        </w:rPr>
      </w:pPr>
      <w:r>
        <w:rPr>
          <w:rFonts w:hint="eastAsia" w:ascii="仿宋" w:hAnsi="仿宋" w:eastAsia="仿宋" w:cs="仿宋"/>
          <w:color w:val="000000"/>
          <w:sz w:val="28"/>
          <w:szCs w:val="28"/>
        </w:rPr>
        <w:t>2、认真组织招标和采购审批工作。按招标法和政府采购的工作程序，做好招投标的申报、组织、招标、合同签定和审批等工作。</w:t>
      </w:r>
    </w:p>
    <w:p w14:paraId="5E314E62">
      <w:pPr>
        <w:spacing w:line="52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3、做好图书采购。按采购合同和工作需要，安排工作做好图书采购工作。所购图书按馆藏资源建设计划要求和读者需要，实地采选。</w:t>
      </w:r>
    </w:p>
    <w:p w14:paraId="35C2AE94">
      <w:pPr>
        <w:pStyle w:val="6"/>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2</w:t>
      </w:r>
      <w:r>
        <w:rPr>
          <w:rFonts w:ascii="仿宋_GB2312" w:hAnsi="Calibri" w:eastAsia="仿宋_GB2312" w:cs="仿宋_GB2312"/>
          <w:color w:val="000000"/>
          <w:sz w:val="32"/>
          <w:szCs w:val="32"/>
          <w:shd w:val="clear" w:color="auto" w:fill="FFFFFF"/>
        </w:rPr>
        <w:t>.项目组织实施管理情况</w:t>
      </w:r>
    </w:p>
    <w:p w14:paraId="386837A3">
      <w:pPr>
        <w:pStyle w:val="6"/>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
          <w:sz w:val="28"/>
          <w:szCs w:val="28"/>
        </w:rPr>
        <w:t>加强预算管理，规范财务行为而制定的管理制度健全完整，制定内部控制制度并成立内控领导小组，制定了《专项资金管理办法》，按照《会计法》，资金专款专用。</w:t>
      </w:r>
    </w:p>
    <w:p w14:paraId="0919A7A4">
      <w:pPr>
        <w:pStyle w:val="6"/>
        <w:widowControl/>
        <w:shd w:val="clear" w:color="auto" w:fill="FFFFFF"/>
        <w:snapToGrid w:val="0"/>
        <w:spacing w:before="0" w:beforeAutospacing="0" w:after="0" w:afterAutospacing="0" w:line="520" w:lineRule="exact"/>
        <w:ind w:firstLine="551" w:firstLineChars="200"/>
        <w:jc w:val="both"/>
        <w:rPr>
          <w:rFonts w:ascii="楷体_GB2312" w:hAnsi="楷体_GB2312" w:eastAsia="楷体_GB2312" w:cs="楷体_GB2312"/>
          <w:b/>
          <w:bCs/>
          <w:color w:val="000000"/>
          <w:sz w:val="32"/>
          <w:szCs w:val="32"/>
          <w:shd w:val="clear" w:color="auto" w:fill="FFFFFF"/>
        </w:rPr>
      </w:pPr>
      <w:r>
        <w:rPr>
          <w:rFonts w:hint="eastAsia" w:ascii="楷体_GB2312" w:hAnsi="楷体_GB2312" w:eastAsia="楷体_GB2312" w:cs="楷体_GB2312"/>
          <w:b/>
          <w:bCs/>
          <w:color w:val="000000"/>
          <w:spacing w:val="-23"/>
          <w:sz w:val="32"/>
          <w:szCs w:val="32"/>
          <w:shd w:val="clear" w:color="auto" w:fill="FFFFFF"/>
        </w:rPr>
        <w:t>（三）</w:t>
      </w:r>
      <w:r>
        <w:rPr>
          <w:rFonts w:hint="eastAsia" w:ascii="楷体_GB2312" w:hAnsi="楷体_GB2312" w:eastAsia="楷体_GB2312" w:cs="楷体_GB2312"/>
          <w:b/>
          <w:bCs/>
          <w:color w:val="000000"/>
          <w:sz w:val="32"/>
          <w:szCs w:val="32"/>
          <w:shd w:val="clear" w:color="auto" w:fill="FFFFFF"/>
        </w:rPr>
        <w:t>预算绩效目标情况</w:t>
      </w:r>
    </w:p>
    <w:p w14:paraId="3A2AB922">
      <w:pPr>
        <w:pStyle w:val="6"/>
        <w:widowControl/>
        <w:shd w:val="clear" w:color="auto" w:fill="FFFFFF"/>
        <w:snapToGrid w:val="0"/>
        <w:spacing w:before="0" w:beforeAutospacing="0" w:after="0" w:afterAutospacing="0" w:line="520" w:lineRule="exact"/>
        <w:ind w:firstLine="560" w:firstLineChars="200"/>
        <w:jc w:val="both"/>
        <w:rPr>
          <w:rFonts w:ascii="仿宋" w:hAnsi="仿宋" w:eastAsia="仿宋" w:cs="宋体"/>
          <w:sz w:val="28"/>
          <w:szCs w:val="28"/>
        </w:rPr>
      </w:pPr>
      <w:r>
        <w:rPr>
          <w:rFonts w:hint="eastAsia" w:ascii="仿宋" w:hAnsi="仿宋" w:eastAsia="仿宋" w:cs="仿宋_GB2312"/>
          <w:color w:val="000000"/>
          <w:sz w:val="28"/>
          <w:szCs w:val="28"/>
          <w:shd w:val="clear" w:color="auto" w:fill="FFFFFF"/>
        </w:rPr>
        <w:t>1.绩效目标：</w:t>
      </w:r>
      <w:r>
        <w:rPr>
          <w:rFonts w:ascii="仿宋" w:hAnsi="仿宋" w:eastAsia="仿宋" w:cs="宋体"/>
          <w:sz w:val="28"/>
          <w:szCs w:val="28"/>
        </w:rPr>
        <w:t>1、</w:t>
      </w:r>
      <w:r>
        <w:rPr>
          <w:rFonts w:hint="eastAsia" w:ascii="仿宋" w:hAnsi="仿宋" w:eastAsia="仿宋" w:cs="仿宋_GB2312"/>
          <w:sz w:val="28"/>
          <w:szCs w:val="28"/>
        </w:rPr>
        <w:t>提高图书馆书籍的更新。</w:t>
      </w:r>
      <w:r>
        <w:rPr>
          <w:rFonts w:hint="eastAsia" w:ascii="仿宋" w:hAnsi="仿宋" w:eastAsia="仿宋" w:cs="宋体"/>
          <w:sz w:val="28"/>
          <w:szCs w:val="28"/>
        </w:rPr>
        <w:t>2、增加图书馆的馆藏，促进全县精神文明建设，提高全民阅读，打造“书香会同”。3、基本保证读者的阅读需求，促进全县人民文化素质的提升。</w:t>
      </w:r>
    </w:p>
    <w:p w14:paraId="1E67F800">
      <w:pPr>
        <w:pStyle w:val="6"/>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_GB2312"/>
          <w:color w:val="000000"/>
          <w:sz w:val="28"/>
          <w:szCs w:val="28"/>
          <w:shd w:val="clear" w:color="auto" w:fill="FFFFFF"/>
        </w:rPr>
        <w:t xml:space="preserve"> 2.绩效指标：2.绩效指标：</w:t>
      </w:r>
      <w:r>
        <w:rPr>
          <w:rFonts w:hint="eastAsia" w:ascii="仿宋" w:hAnsi="仿宋" w:eastAsia="仿宋" w:cs="仿宋"/>
          <w:sz w:val="28"/>
          <w:szCs w:val="28"/>
        </w:rPr>
        <w:t>3个一级指标，9个二级指标，10个三级指标按时间截点较好的完成。</w:t>
      </w:r>
    </w:p>
    <w:p w14:paraId="5849734D">
      <w:pPr>
        <w:pStyle w:val="7"/>
        <w:snapToGrid w:val="0"/>
        <w:spacing w:line="520" w:lineRule="exact"/>
        <w:ind w:firstLine="640"/>
        <w:rPr>
          <w:rFonts w:ascii="黑体" w:hAnsi="黑体" w:eastAsia="黑体" w:cs="黑体"/>
          <w:color w:val="000000"/>
          <w:kern w:val="0"/>
          <w:szCs w:val="32"/>
          <w:shd w:val="clear" w:color="auto" w:fill="FFFFFF"/>
        </w:rPr>
      </w:pPr>
      <w:r>
        <w:rPr>
          <w:rFonts w:hint="eastAsia" w:ascii="黑体" w:hAnsi="黑体" w:eastAsia="黑体" w:cs="黑体"/>
          <w:color w:val="000000"/>
          <w:kern w:val="0"/>
          <w:szCs w:val="32"/>
          <w:shd w:val="clear" w:color="auto" w:fill="FFFFFF"/>
        </w:rPr>
        <w:t>二、绩效评价工作情况</w:t>
      </w:r>
    </w:p>
    <w:p w14:paraId="3F3B5AED">
      <w:pPr>
        <w:snapToGrid w:val="0"/>
        <w:spacing w:line="520" w:lineRule="exact"/>
        <w:ind w:firstLine="468"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spacing w:val="-23"/>
          <w:kern w:val="0"/>
          <w:sz w:val="28"/>
          <w:szCs w:val="28"/>
          <w:shd w:val="clear" w:color="auto" w:fill="FFFFFF"/>
        </w:rPr>
        <w:t>（一）</w:t>
      </w:r>
      <w:r>
        <w:rPr>
          <w:rFonts w:hint="eastAsia" w:ascii="仿宋" w:hAnsi="仿宋" w:eastAsia="仿宋" w:cs="楷体_GB2312"/>
          <w:color w:val="000000"/>
          <w:kern w:val="0"/>
          <w:sz w:val="28"/>
          <w:szCs w:val="28"/>
          <w:shd w:val="clear" w:color="auto" w:fill="FFFFFF"/>
        </w:rPr>
        <w:t>绩效评价目的</w:t>
      </w:r>
    </w:p>
    <w:p w14:paraId="47EACBEE">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仿宋"/>
          <w:sz w:val="28"/>
          <w:szCs w:val="28"/>
        </w:rPr>
        <w:t>有效地发挥资金效益，按规定依法依规使用资金。</w:t>
      </w:r>
    </w:p>
    <w:p w14:paraId="3728647C">
      <w:pPr>
        <w:snapToGrid w:val="0"/>
        <w:spacing w:line="520" w:lineRule="exact"/>
        <w:ind w:firstLine="468" w:firstLineChars="200"/>
        <w:rPr>
          <w:rFonts w:ascii="仿宋" w:hAnsi="仿宋" w:eastAsia="仿宋" w:cs="楷体_GB2312"/>
          <w:color w:val="000000"/>
          <w:kern w:val="0"/>
          <w:sz w:val="28"/>
          <w:szCs w:val="28"/>
          <w:shd w:val="clear" w:color="auto" w:fill="FFFFFF"/>
        </w:rPr>
      </w:pPr>
      <w:bookmarkStart w:id="1" w:name="_Toc11844"/>
      <w:r>
        <w:rPr>
          <w:rFonts w:hint="eastAsia" w:ascii="仿宋" w:hAnsi="仿宋" w:eastAsia="仿宋" w:cs="楷体_GB2312"/>
          <w:color w:val="000000"/>
          <w:spacing w:val="-23"/>
          <w:kern w:val="0"/>
          <w:sz w:val="28"/>
          <w:szCs w:val="28"/>
          <w:shd w:val="clear" w:color="auto" w:fill="FFFFFF"/>
        </w:rPr>
        <w:t>（二）</w:t>
      </w:r>
      <w:r>
        <w:rPr>
          <w:rFonts w:hint="eastAsia" w:ascii="仿宋" w:hAnsi="仿宋" w:eastAsia="仿宋" w:cs="楷体_GB2312"/>
          <w:color w:val="000000"/>
          <w:kern w:val="0"/>
          <w:sz w:val="28"/>
          <w:szCs w:val="28"/>
          <w:shd w:val="clear" w:color="auto" w:fill="FFFFFF"/>
        </w:rPr>
        <w:t>被评价单位、绩效评价范围与时段</w:t>
      </w:r>
      <w:bookmarkEnd w:id="1"/>
    </w:p>
    <w:p w14:paraId="70165848">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仿宋"/>
          <w:sz w:val="28"/>
          <w:szCs w:val="28"/>
        </w:rPr>
        <w:t>会同县图书馆2023年度购书经费项目本评价。</w:t>
      </w:r>
    </w:p>
    <w:p w14:paraId="05C9C675">
      <w:pPr>
        <w:snapToGrid w:val="0"/>
        <w:spacing w:line="520" w:lineRule="exact"/>
        <w:ind w:firstLine="468" w:firstLineChars="200"/>
        <w:rPr>
          <w:rFonts w:ascii="仿宋" w:hAnsi="仿宋" w:eastAsia="仿宋" w:cs="楷体_GB2312"/>
          <w:color w:val="000000"/>
          <w:kern w:val="0"/>
          <w:sz w:val="28"/>
          <w:szCs w:val="28"/>
          <w:shd w:val="clear" w:color="auto" w:fill="FFFFFF"/>
        </w:rPr>
      </w:pPr>
      <w:bookmarkStart w:id="2" w:name="_Toc31835"/>
      <w:r>
        <w:rPr>
          <w:rFonts w:hint="eastAsia" w:ascii="仿宋" w:hAnsi="仿宋" w:eastAsia="仿宋" w:cs="楷体_GB2312"/>
          <w:color w:val="000000"/>
          <w:spacing w:val="-23"/>
          <w:kern w:val="0"/>
          <w:sz w:val="28"/>
          <w:szCs w:val="28"/>
          <w:shd w:val="clear" w:color="auto" w:fill="FFFFFF"/>
        </w:rPr>
        <w:t>（三）</w:t>
      </w:r>
      <w:r>
        <w:rPr>
          <w:rFonts w:hint="eastAsia" w:ascii="仿宋" w:hAnsi="仿宋" w:eastAsia="仿宋" w:cs="楷体_GB2312"/>
          <w:color w:val="000000"/>
          <w:kern w:val="0"/>
          <w:sz w:val="28"/>
          <w:szCs w:val="28"/>
          <w:shd w:val="clear" w:color="auto" w:fill="FFFFFF"/>
        </w:rPr>
        <w:t>绩效评价原则、评价指标体系、评价方法</w:t>
      </w:r>
      <w:bookmarkEnd w:id="2"/>
    </w:p>
    <w:p w14:paraId="4AEFC47E">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评价原则采用相关性原则、重要性原则、可比性原则、系统性原则等</w:t>
      </w:r>
    </w:p>
    <w:p w14:paraId="206EE57D">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评价指标体系根据评价对象设置共性指标（决策管理、投入、项目实施及社会效益、经济效益等）和个性指标（经济效益指标、社会效益指标、生态效益指标及可持续影响指标），定量指标和定性指标。</w:t>
      </w:r>
    </w:p>
    <w:p w14:paraId="6906F82E">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绩效评价方法主要采用计划标准、行业标准和历史标准。</w:t>
      </w:r>
    </w:p>
    <w:p w14:paraId="4C03FBA1">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3" w:name="_Toc32076"/>
      <w:bookmarkStart w:id="4" w:name="_Toc7615"/>
      <w:r>
        <w:rPr>
          <w:rFonts w:hint="eastAsia" w:ascii="黑体" w:hAnsi="黑体" w:eastAsia="黑体" w:cs="黑体"/>
          <w:color w:val="000000"/>
          <w:kern w:val="0"/>
          <w:sz w:val="32"/>
          <w:szCs w:val="32"/>
          <w:shd w:val="clear" w:color="auto" w:fill="FFFFFF"/>
        </w:rPr>
        <w:t>三、主要绩效及评价结论</w:t>
      </w:r>
      <w:bookmarkEnd w:id="3"/>
      <w:bookmarkEnd w:id="4"/>
    </w:p>
    <w:p w14:paraId="5A6FA67F">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社会效益</w:t>
      </w:r>
    </w:p>
    <w:p w14:paraId="5EB295C6">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专项经费的安排有效地保障了图书馆的日常工作顺利开展，报刊、杂志的订阅与更新，满足了广大读者的需求。</w:t>
      </w:r>
    </w:p>
    <w:p w14:paraId="5D2B89E1">
      <w:pPr>
        <w:snapToGrid w:val="0"/>
        <w:spacing w:line="520" w:lineRule="exact"/>
        <w:rPr>
          <w:rFonts w:ascii="仿宋" w:hAnsi="仿宋" w:eastAsia="仿宋" w:cs="仿宋"/>
          <w:sz w:val="28"/>
          <w:szCs w:val="28"/>
        </w:rPr>
      </w:pPr>
      <w:r>
        <w:rPr>
          <w:rFonts w:hint="eastAsia" w:ascii="楷体_GB2312" w:hAnsi="楷体_GB2312" w:eastAsia="楷体_GB2312" w:cs="楷体_GB2312"/>
          <w:color w:val="000000"/>
          <w:spacing w:val="-23"/>
          <w:kern w:val="0"/>
          <w:sz w:val="32"/>
          <w:szCs w:val="32"/>
          <w:shd w:val="clear" w:color="auto" w:fill="FFFFFF"/>
        </w:rPr>
        <w:t xml:space="preserve">     （二）</w:t>
      </w:r>
      <w:r>
        <w:rPr>
          <w:rFonts w:hint="eastAsia" w:ascii="楷体_GB2312" w:hAnsi="楷体_GB2312" w:eastAsia="楷体_GB2312" w:cs="楷体_GB2312"/>
          <w:color w:val="000000"/>
          <w:kern w:val="0"/>
          <w:sz w:val="32"/>
          <w:szCs w:val="32"/>
          <w:shd w:val="clear" w:color="auto" w:fill="FFFFFF"/>
        </w:rPr>
        <w:t>生态效益</w:t>
      </w:r>
      <w:r>
        <w:rPr>
          <w:rFonts w:hint="eastAsia" w:ascii="仿宋" w:hAnsi="仿宋" w:eastAsia="仿宋" w:cs="仿宋"/>
          <w:sz w:val="28"/>
          <w:szCs w:val="28"/>
        </w:rPr>
        <w:t>：</w:t>
      </w:r>
    </w:p>
    <w:p w14:paraId="128E3DA4">
      <w:pPr>
        <w:snapToGrid w:val="0"/>
        <w:spacing w:line="520" w:lineRule="exact"/>
        <w:rPr>
          <w:rFonts w:ascii="楷体_GB2312" w:hAnsi="楷体_GB2312" w:eastAsia="楷体_GB2312" w:cs="楷体_GB2312"/>
          <w:color w:val="000000"/>
          <w:kern w:val="0"/>
          <w:sz w:val="32"/>
          <w:szCs w:val="32"/>
          <w:shd w:val="clear" w:color="auto" w:fill="FFFFFF"/>
        </w:rPr>
      </w:pPr>
      <w:r>
        <w:rPr>
          <w:rFonts w:hint="eastAsia" w:ascii="仿宋" w:hAnsi="仿宋" w:eastAsia="仿宋" w:cs="仿宋"/>
          <w:sz w:val="28"/>
          <w:szCs w:val="28"/>
        </w:rPr>
        <w:t xml:space="preserve">    生态效益效果明显</w:t>
      </w:r>
    </w:p>
    <w:p w14:paraId="49F602CE">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可持续影响</w:t>
      </w:r>
    </w:p>
    <w:p w14:paraId="325B90C8">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2023年我单位项目效果开展取得了社会的一致认可，提高了阅读率，满足了读者的阅读需求。</w:t>
      </w:r>
    </w:p>
    <w:p w14:paraId="3A4D0F68">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（四）</w:t>
      </w:r>
      <w:r>
        <w:rPr>
          <w:rFonts w:hint="eastAsia" w:ascii="楷体_GB2312" w:hAnsi="楷体_GB2312" w:eastAsia="楷体_GB2312" w:cs="楷体_GB2312"/>
          <w:color w:val="000000"/>
          <w:kern w:val="0"/>
          <w:sz w:val="32"/>
          <w:szCs w:val="32"/>
          <w:shd w:val="clear" w:color="auto" w:fill="FFFFFF"/>
        </w:rPr>
        <w:t>满意度情况</w:t>
      </w:r>
    </w:p>
    <w:p w14:paraId="4AA97B78">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对读者进行的访问，读者对环境和服务的满意率达到了94%以上</w:t>
      </w:r>
    </w:p>
    <w:p w14:paraId="3B8F1AA8">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（五）</w:t>
      </w:r>
      <w:r>
        <w:rPr>
          <w:rFonts w:hint="eastAsia" w:ascii="楷体_GB2312" w:hAnsi="楷体_GB2312" w:eastAsia="楷体_GB2312" w:cs="楷体_GB2312"/>
          <w:color w:val="000000"/>
          <w:kern w:val="0"/>
          <w:sz w:val="32"/>
          <w:szCs w:val="32"/>
          <w:shd w:val="clear" w:color="auto" w:fill="FFFFFF"/>
        </w:rPr>
        <w:t>评价结论</w:t>
      </w:r>
    </w:p>
    <w:p w14:paraId="6AA84DBE">
      <w:pPr>
        <w:snapToGrid w:val="0"/>
        <w:spacing w:line="520" w:lineRule="exact"/>
        <w:ind w:firstLine="468" w:firstLineChars="200"/>
        <w:rPr>
          <w:rFonts w:ascii="楷体_GB2312" w:hAnsi="楷体_GB2312" w:eastAsia="楷体_GB2312" w:cs="楷体_GB2312"/>
          <w:color w:val="000000"/>
          <w:kern w:val="0"/>
          <w:sz w:val="32"/>
          <w:szCs w:val="32"/>
          <w:shd w:val="clear" w:color="auto" w:fill="FFFFFF"/>
        </w:rPr>
      </w:pPr>
      <w:r>
        <w:rPr>
          <w:rFonts w:hint="eastAsia" w:ascii="仿宋" w:hAnsi="仿宋" w:eastAsia="仿宋" w:cs="楷体_GB2312"/>
          <w:color w:val="000000"/>
          <w:spacing w:val="-23"/>
          <w:kern w:val="0"/>
          <w:sz w:val="28"/>
          <w:szCs w:val="28"/>
          <w:shd w:val="clear" w:color="auto" w:fill="FFFFFF"/>
        </w:rPr>
        <w:t>经自评，项目已基本按照方案实施，项目支出达到预期绩效目标。根据对会同县图书馆专项资金项目绩效评价共性指标体系自检自评结果统计，2023年我单位专项资金项目绩效自评为“优”，自查评分为94分</w:t>
      </w:r>
    </w:p>
    <w:p w14:paraId="5F685747">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5" w:name="_Toc16332"/>
      <w:bookmarkStart w:id="6" w:name="_Toc27541"/>
      <w:r>
        <w:rPr>
          <w:rFonts w:hint="eastAsia" w:ascii="黑体" w:hAnsi="黑体" w:eastAsia="黑体" w:cs="黑体"/>
          <w:color w:val="000000"/>
          <w:kern w:val="0"/>
          <w:sz w:val="32"/>
          <w:szCs w:val="32"/>
          <w:shd w:val="clear" w:color="auto" w:fill="FFFFFF"/>
        </w:rPr>
        <w:t>四、绩效评价指标分析</w:t>
      </w:r>
      <w:bookmarkEnd w:id="5"/>
      <w:bookmarkEnd w:id="6"/>
    </w:p>
    <w:p w14:paraId="1E7E16DC">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7" w:name="_Toc17679"/>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项目决策情况</w:t>
      </w:r>
      <w:bookmarkEnd w:id="7"/>
    </w:p>
    <w:p w14:paraId="5EFDF72E">
      <w:pPr>
        <w:snapToGrid w:val="0"/>
        <w:spacing w:line="520" w:lineRule="exact"/>
        <w:ind w:firstLine="560" w:firstLineChars="200"/>
        <w:rPr>
          <w:rFonts w:ascii="楷体_GB2312" w:hAnsi="楷体_GB2312" w:eastAsia="楷体_GB2312" w:cs="楷体_GB2312"/>
          <w:color w:val="000000"/>
          <w:kern w:val="0"/>
          <w:sz w:val="28"/>
          <w:szCs w:val="28"/>
          <w:shd w:val="clear" w:color="auto" w:fill="FFFFFF"/>
        </w:rPr>
      </w:pPr>
      <w:r>
        <w:rPr>
          <w:rFonts w:hint="eastAsia" w:ascii="仿宋" w:hAnsi="仿宋" w:eastAsia="仿宋" w:cs="仿宋"/>
          <w:sz w:val="28"/>
          <w:szCs w:val="28"/>
        </w:rPr>
        <w:t>多部门协作共同参与绩效目标的制定，确保目标的合理性和可行性</w:t>
      </w:r>
      <w:r>
        <w:rPr>
          <w:rFonts w:hint="eastAsia" w:ascii="仿宋" w:hAnsi="仿宋" w:eastAsia="仿宋" w:cs="仿宋"/>
          <w:color w:val="333333"/>
          <w:sz w:val="28"/>
          <w:szCs w:val="28"/>
          <w:shd w:val="clear" w:color="auto" w:fill="FFFFFF"/>
        </w:rPr>
        <w:t>根据项目的阶段和内容，确定哪些方面的决策需要被记录和总结，包括目标、资源、进度、风险等方面。梳理并整理决策信息：收集和整理涉及到的各种决策信息，包括决策的时间、主要内容、影响因素和决策结果等方面。分析和评价决策效果：对每一项决策进行分析和评价，考察其是否符合预期目标，产生积极的效果，以及存在的问题和不足之处等。</w:t>
      </w:r>
    </w:p>
    <w:p w14:paraId="4CCA0385">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8" w:name="_Toc28411"/>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项目过程情况</w:t>
      </w:r>
      <w:bookmarkEnd w:id="8"/>
    </w:p>
    <w:p w14:paraId="0DBB3C10">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9" w:name="_Toc10140"/>
      <w:r>
        <w:rPr>
          <w:rFonts w:hint="eastAsia" w:ascii="仿宋_GB2312" w:hAnsi="Calibri" w:eastAsia="仿宋_GB2312" w:cs="仿宋_GB2312"/>
          <w:color w:val="000000"/>
          <w:kern w:val="0"/>
          <w:sz w:val="32"/>
          <w:szCs w:val="32"/>
          <w:shd w:val="clear" w:color="auto" w:fill="FFFFFF"/>
        </w:rPr>
        <w:t>1.资金管理</w:t>
      </w:r>
      <w:bookmarkEnd w:id="9"/>
    </w:p>
    <w:p w14:paraId="33EC1407">
      <w:pPr>
        <w:snapToGrid w:val="0"/>
        <w:spacing w:line="520" w:lineRule="exact"/>
        <w:ind w:firstLine="560" w:firstLineChars="200"/>
        <w:outlineLvl w:val="2"/>
        <w:rPr>
          <w:rFonts w:ascii="仿宋_GB2312" w:hAnsi="Calibri" w:eastAsia="仿宋_GB2312" w:cs="仿宋_GB2312"/>
          <w:color w:val="000000"/>
          <w:kern w:val="0"/>
          <w:sz w:val="28"/>
          <w:szCs w:val="28"/>
          <w:shd w:val="clear" w:color="auto" w:fill="FFFFFF"/>
        </w:rPr>
      </w:pPr>
      <w:r>
        <w:rPr>
          <w:rFonts w:hint="eastAsia" w:ascii="仿宋" w:hAnsi="仿宋" w:eastAsia="仿宋" w:cs="仿宋"/>
          <w:sz w:val="28"/>
          <w:szCs w:val="28"/>
        </w:rPr>
        <w:t>制定了《专项资金管理办法》，按照《会计法》，资金专款专用，由业务股室制订项目资金使用计划，分管领导审核，交馆务会议研究批准，走政府采购、招标程序，按项目进度拨款，重大项目必须经过全馆会议讨论，并上报局党组，再交予财政审核，完工结算经过财政评审、文旅局验收才能进行项目完工结算。无截留、挤占、挪用、虚列开支，支出时依据合理合规，无虚列套取。</w:t>
      </w:r>
    </w:p>
    <w:p w14:paraId="5CB6D177">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10" w:name="_Toc1210"/>
      <w:r>
        <w:rPr>
          <w:rFonts w:hint="eastAsia" w:ascii="仿宋_GB2312" w:hAnsi="Calibri" w:eastAsia="仿宋_GB2312" w:cs="仿宋_GB2312"/>
          <w:color w:val="000000"/>
          <w:kern w:val="0"/>
          <w:sz w:val="32"/>
          <w:szCs w:val="32"/>
          <w:shd w:val="clear" w:color="auto" w:fill="FFFFFF"/>
        </w:rPr>
        <w:t>2.项目实施</w:t>
      </w:r>
      <w:bookmarkEnd w:id="10"/>
    </w:p>
    <w:p w14:paraId="065CBA47">
      <w:pPr>
        <w:snapToGrid w:val="0"/>
        <w:spacing w:line="520" w:lineRule="exact"/>
        <w:ind w:firstLine="560" w:firstLineChars="200"/>
        <w:outlineLvl w:val="2"/>
        <w:rPr>
          <w:rFonts w:ascii="仿宋_GB2312" w:hAnsi="Calibri" w:eastAsia="仿宋_GB2312" w:cs="仿宋_GB2312"/>
          <w:color w:val="000000"/>
          <w:kern w:val="0"/>
          <w:sz w:val="32"/>
          <w:szCs w:val="32"/>
          <w:shd w:val="clear" w:color="auto" w:fill="FFFFFF"/>
        </w:rPr>
      </w:pPr>
      <w:r>
        <w:rPr>
          <w:rFonts w:hint="eastAsia" w:ascii="仿宋" w:hAnsi="仿宋" w:eastAsia="仿宋" w:cs="仿宋"/>
          <w:color w:val="555555"/>
          <w:sz w:val="28"/>
          <w:szCs w:val="28"/>
          <w:shd w:val="clear" w:color="auto" w:fill="FFFFFF"/>
        </w:rPr>
        <w:t>我馆制定了一系列规章制度，如《财务管理制度》、《经费管理办法》、《专项资金管理制度》等，建立了“有章可依、有章必循、违章必究”的管理机制，成立了工作领导小组，严格财务程序，强化报销环节管理，认真落实经办人、经费使用单位分管领导及主要负责人的责任，为项目依法管理营造了良好的组织管理环境。</w:t>
      </w:r>
    </w:p>
    <w:p w14:paraId="5A02F2AC">
      <w:pPr>
        <w:pStyle w:val="7"/>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11" w:name="_Toc6604"/>
      <w:r>
        <w:rPr>
          <w:rFonts w:hint="eastAsia" w:ascii="楷体_GB2312" w:hAnsi="楷体_GB2312" w:eastAsia="楷体_GB2312" w:cs="楷体_GB2312"/>
          <w:color w:val="000000"/>
          <w:spacing w:val="-23"/>
          <w:kern w:val="0"/>
          <w:szCs w:val="32"/>
          <w:shd w:val="clear" w:color="auto" w:fill="FFFFFF"/>
        </w:rPr>
        <w:t>（三）</w:t>
      </w:r>
      <w:r>
        <w:rPr>
          <w:rFonts w:hint="eastAsia" w:ascii="楷体_GB2312" w:hAnsi="楷体_GB2312" w:eastAsia="楷体_GB2312" w:cs="楷体_GB2312"/>
          <w:color w:val="000000"/>
          <w:kern w:val="0"/>
          <w:szCs w:val="32"/>
          <w:shd w:val="clear" w:color="auto" w:fill="FFFFFF"/>
        </w:rPr>
        <w:t>项目产出情况</w:t>
      </w:r>
      <w:bookmarkEnd w:id="11"/>
    </w:p>
    <w:p w14:paraId="61B63AC4">
      <w:pPr>
        <w:pStyle w:val="7"/>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2" w:name="_Toc20742"/>
      <w:r>
        <w:rPr>
          <w:rFonts w:hint="eastAsia" w:ascii="仿宋_GB2312" w:hAnsi="Calibri" w:eastAsia="仿宋_GB2312" w:cs="仿宋_GB2312"/>
          <w:color w:val="000000"/>
          <w:kern w:val="0"/>
          <w:szCs w:val="32"/>
          <w:shd w:val="clear" w:color="auto" w:fill="FFFFFF"/>
        </w:rPr>
        <w:t>1.产出数量</w:t>
      </w:r>
      <w:bookmarkEnd w:id="12"/>
    </w:p>
    <w:p w14:paraId="58B11CA1">
      <w:pPr>
        <w:pStyle w:val="7"/>
        <w:snapToGrid w:val="0"/>
        <w:spacing w:line="520" w:lineRule="exact"/>
        <w:ind w:firstLine="560"/>
        <w:outlineLvl w:val="2"/>
        <w:rPr>
          <w:rFonts w:ascii="仿宋" w:hAnsi="仿宋" w:eastAsia="仿宋" w:cs="仿宋_GB2312"/>
          <w:color w:val="000000"/>
          <w:kern w:val="0"/>
          <w:sz w:val="28"/>
          <w:szCs w:val="28"/>
          <w:shd w:val="clear" w:color="auto" w:fill="FFFFFF"/>
        </w:rPr>
      </w:pPr>
      <w:r>
        <w:rPr>
          <w:rFonts w:hint="eastAsia" w:ascii="仿宋" w:hAnsi="仿宋" w:eastAsia="仿宋" w:cs="仿宋_GB2312"/>
          <w:color w:val="000000"/>
          <w:kern w:val="0"/>
          <w:sz w:val="28"/>
          <w:szCs w:val="28"/>
          <w:shd w:val="clear" w:color="auto" w:fill="FFFFFF"/>
        </w:rPr>
        <w:t>完成图书的新增，与报刊杂志的订阅</w:t>
      </w:r>
    </w:p>
    <w:p w14:paraId="4717A9D9">
      <w:pPr>
        <w:pStyle w:val="7"/>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3" w:name="_Toc5372"/>
      <w:r>
        <w:rPr>
          <w:rFonts w:hint="eastAsia" w:ascii="仿宋_GB2312" w:hAnsi="Calibri" w:eastAsia="仿宋_GB2312" w:cs="仿宋_GB2312"/>
          <w:color w:val="000000"/>
          <w:kern w:val="0"/>
          <w:szCs w:val="32"/>
          <w:shd w:val="clear" w:color="auto" w:fill="FFFFFF"/>
        </w:rPr>
        <w:t>2.产出质量</w:t>
      </w:r>
      <w:bookmarkEnd w:id="13"/>
    </w:p>
    <w:p w14:paraId="20A227F0">
      <w:pPr>
        <w:pStyle w:val="7"/>
        <w:snapToGrid w:val="0"/>
        <w:spacing w:line="520" w:lineRule="exact"/>
        <w:ind w:firstLine="560"/>
        <w:outlineLvl w:val="2"/>
        <w:rPr>
          <w:rFonts w:ascii="仿宋" w:hAnsi="仿宋" w:eastAsia="仿宋" w:cs="仿宋_GB2312"/>
          <w:color w:val="000000"/>
          <w:kern w:val="0"/>
          <w:sz w:val="28"/>
          <w:szCs w:val="28"/>
          <w:shd w:val="clear" w:color="auto" w:fill="FFFFFF"/>
        </w:rPr>
      </w:pPr>
      <w:r>
        <w:rPr>
          <w:rFonts w:hint="eastAsia" w:ascii="仿宋" w:hAnsi="仿宋" w:eastAsia="仿宋" w:cs="仿宋_GB2312"/>
          <w:color w:val="000000"/>
          <w:kern w:val="0"/>
          <w:sz w:val="28"/>
          <w:szCs w:val="28"/>
          <w:shd w:val="clear" w:color="auto" w:fill="FFFFFF"/>
        </w:rPr>
        <w:t>满足各类读者的阅读需求</w:t>
      </w:r>
    </w:p>
    <w:p w14:paraId="4C435EFC">
      <w:pPr>
        <w:pStyle w:val="7"/>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4" w:name="_Toc25948"/>
      <w:r>
        <w:rPr>
          <w:rFonts w:hint="eastAsia" w:ascii="仿宋_GB2312" w:hAnsi="Calibri" w:eastAsia="仿宋_GB2312" w:cs="仿宋_GB2312"/>
          <w:color w:val="000000"/>
          <w:kern w:val="0"/>
          <w:szCs w:val="32"/>
          <w:shd w:val="clear" w:color="auto" w:fill="FFFFFF"/>
        </w:rPr>
        <w:t>3.产出成本</w:t>
      </w:r>
      <w:bookmarkEnd w:id="14"/>
    </w:p>
    <w:p w14:paraId="4E08E81D">
      <w:pPr>
        <w:pStyle w:val="7"/>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购书经费项目2.1万。</w:t>
      </w:r>
    </w:p>
    <w:p w14:paraId="3D5B70FE">
      <w:pPr>
        <w:pStyle w:val="7"/>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5" w:name="_Toc21477"/>
      <w:r>
        <w:rPr>
          <w:rFonts w:hint="eastAsia" w:ascii="仿宋_GB2312" w:hAnsi="Calibri" w:eastAsia="仿宋_GB2312" w:cs="仿宋_GB2312"/>
          <w:color w:val="000000"/>
          <w:kern w:val="0"/>
          <w:szCs w:val="32"/>
          <w:shd w:val="clear" w:color="auto" w:fill="FFFFFF"/>
        </w:rPr>
        <w:t>4.产出时效</w:t>
      </w:r>
      <w:bookmarkEnd w:id="15"/>
    </w:p>
    <w:p w14:paraId="224219D2">
      <w:pPr>
        <w:pStyle w:val="7"/>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工作任务2023年12月31日前完成。</w:t>
      </w:r>
    </w:p>
    <w:p w14:paraId="3B3A710E">
      <w:pPr>
        <w:pStyle w:val="7"/>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16" w:name="_Toc3072"/>
      <w:bookmarkStart w:id="17" w:name="_Toc12690"/>
      <w:r>
        <w:rPr>
          <w:rFonts w:hint="eastAsia" w:ascii="楷体_GB2312" w:hAnsi="楷体_GB2312" w:eastAsia="楷体_GB2312" w:cs="楷体_GB2312"/>
          <w:color w:val="000000"/>
          <w:spacing w:val="-23"/>
          <w:kern w:val="0"/>
          <w:szCs w:val="32"/>
          <w:shd w:val="clear" w:color="auto" w:fill="FFFFFF"/>
        </w:rPr>
        <w:t>(四)</w:t>
      </w:r>
      <w:r>
        <w:rPr>
          <w:rFonts w:hint="eastAsia" w:ascii="楷体_GB2312" w:hAnsi="楷体_GB2312" w:eastAsia="楷体_GB2312" w:cs="楷体_GB2312"/>
          <w:color w:val="000000"/>
          <w:kern w:val="0"/>
          <w:szCs w:val="32"/>
          <w:shd w:val="clear" w:color="auto" w:fill="FFFFFF"/>
        </w:rPr>
        <w:t>项目效益情况</w:t>
      </w:r>
      <w:bookmarkEnd w:id="16"/>
      <w:bookmarkEnd w:id="17"/>
    </w:p>
    <w:p w14:paraId="5EF8318B">
      <w:pPr>
        <w:spacing w:line="520" w:lineRule="exact"/>
        <w:ind w:firstLine="560" w:firstLineChars="200"/>
        <w:rPr>
          <w:rFonts w:ascii="仿宋" w:hAnsi="仿宋" w:eastAsia="仿宋" w:cs="仿宋"/>
          <w:sz w:val="32"/>
          <w:szCs w:val="32"/>
        </w:rPr>
      </w:pPr>
      <w:r>
        <w:rPr>
          <w:rFonts w:hint="eastAsia" w:ascii="仿宋" w:hAnsi="仿宋" w:eastAsia="仿宋" w:cs="仿宋"/>
          <w:sz w:val="28"/>
          <w:szCs w:val="28"/>
        </w:rPr>
        <w:t xml:space="preserve"> 2023年更新了图书馆报刊杂志，增加了图书馆的馆藏，从而更好地满足了读者的阅读需求，对提高全县人民的文化素质提升做出了贡献。</w:t>
      </w:r>
    </w:p>
    <w:p w14:paraId="173A13D8">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18" w:name="_Toc390096931"/>
      <w:bookmarkStart w:id="19" w:name="_Toc390267055"/>
      <w:bookmarkStart w:id="20" w:name="_Toc12414"/>
      <w:bookmarkStart w:id="21" w:name="_Toc24241"/>
      <w:r>
        <w:rPr>
          <w:rFonts w:hint="eastAsia" w:ascii="黑体" w:hAnsi="黑体" w:eastAsia="黑体" w:cs="黑体"/>
          <w:color w:val="000000"/>
          <w:kern w:val="0"/>
          <w:sz w:val="32"/>
          <w:szCs w:val="32"/>
          <w:shd w:val="clear" w:color="auto" w:fill="FFFFFF"/>
        </w:rPr>
        <w:t>五、项目主要经验、存在的问题</w:t>
      </w:r>
      <w:bookmarkEnd w:id="18"/>
      <w:bookmarkEnd w:id="19"/>
      <w:r>
        <w:rPr>
          <w:rFonts w:hint="eastAsia" w:ascii="黑体" w:hAnsi="黑体" w:eastAsia="黑体" w:cs="黑体"/>
          <w:color w:val="000000"/>
          <w:kern w:val="0"/>
          <w:sz w:val="32"/>
          <w:szCs w:val="32"/>
          <w:shd w:val="clear" w:color="auto" w:fill="FFFFFF"/>
        </w:rPr>
        <w:t>及建议</w:t>
      </w:r>
      <w:bookmarkEnd w:id="20"/>
      <w:bookmarkEnd w:id="21"/>
    </w:p>
    <w:p w14:paraId="3B367783">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2" w:name="_Toc23434"/>
      <w:bookmarkStart w:id="23" w:name="_Toc5316"/>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项目主要经验</w:t>
      </w:r>
      <w:bookmarkEnd w:id="22"/>
      <w:r>
        <w:rPr>
          <w:rFonts w:hint="eastAsia" w:ascii="楷体_GB2312" w:hAnsi="楷体_GB2312" w:eastAsia="楷体_GB2312" w:cs="楷体_GB2312"/>
          <w:color w:val="000000"/>
          <w:kern w:val="0"/>
          <w:sz w:val="32"/>
          <w:szCs w:val="32"/>
          <w:shd w:val="clear" w:color="auto" w:fill="FFFFFF"/>
        </w:rPr>
        <w:t>及做法</w:t>
      </w:r>
      <w:bookmarkEnd w:id="23"/>
    </w:p>
    <w:p w14:paraId="548D23C7">
      <w:pPr>
        <w:snapToGrid w:val="0"/>
        <w:spacing w:line="520" w:lineRule="exact"/>
        <w:ind w:firstLine="560" w:firstLineChars="200"/>
        <w:outlineLvl w:val="1"/>
        <w:rPr>
          <w:rFonts w:ascii="楷体_GB2312" w:hAnsi="楷体_GB2312" w:eastAsia="楷体_GB2312" w:cs="楷体_GB2312"/>
          <w:color w:val="000000"/>
          <w:kern w:val="0"/>
          <w:sz w:val="28"/>
          <w:szCs w:val="28"/>
          <w:shd w:val="clear" w:color="auto" w:fill="FFFFFF"/>
        </w:rPr>
      </w:pPr>
      <w:r>
        <w:rPr>
          <w:rFonts w:hint="eastAsia" w:ascii="仿宋" w:hAnsi="仿宋" w:eastAsia="仿宋" w:cs="仿宋"/>
          <w:sz w:val="28"/>
          <w:szCs w:val="28"/>
        </w:rPr>
        <w:t>年初预算购书经费不足，项目专项资金经费也只是杯水车薪，一年的购书经费只有2.1万元，对图书馆馆藏体系的建购、数量、品格档次等和读者需求相距甚远。我馆利用现代先进设备，如：电子阅读机、自助借还机来吸引读者，增加借阅率和流动率。</w:t>
      </w:r>
    </w:p>
    <w:p w14:paraId="6E5E744B">
      <w:pPr>
        <w:tabs>
          <w:tab w:val="center" w:pos="4427"/>
        </w:tabs>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4" w:name="_Toc6772"/>
      <w:bookmarkStart w:id="25" w:name="_Toc2597"/>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存在的问题</w:t>
      </w:r>
      <w:bookmarkEnd w:id="24"/>
      <w:bookmarkEnd w:id="25"/>
      <w:r>
        <w:rPr>
          <w:rFonts w:ascii="楷体_GB2312" w:hAnsi="楷体_GB2312" w:eastAsia="楷体_GB2312" w:cs="楷体_GB2312"/>
          <w:color w:val="000000"/>
          <w:kern w:val="0"/>
          <w:sz w:val="32"/>
          <w:szCs w:val="32"/>
          <w:shd w:val="clear" w:color="auto" w:fill="FFFFFF"/>
        </w:rPr>
        <w:tab/>
      </w:r>
    </w:p>
    <w:p w14:paraId="3DEA2955">
      <w:pPr>
        <w:tabs>
          <w:tab w:val="center" w:pos="4427"/>
        </w:tabs>
        <w:snapToGrid w:val="0"/>
        <w:spacing w:line="520" w:lineRule="exact"/>
        <w:ind w:firstLine="560" w:firstLineChars="200"/>
        <w:outlineLvl w:val="1"/>
        <w:rPr>
          <w:rFonts w:hint="eastAsia" w:ascii="楷体_GB2312" w:hAnsi="楷体_GB2312" w:eastAsia="仿宋" w:cs="楷体_GB2312"/>
          <w:color w:val="000000"/>
          <w:kern w:val="0"/>
          <w:sz w:val="28"/>
          <w:szCs w:val="28"/>
          <w:shd w:val="clear" w:color="auto" w:fill="FFFFFF"/>
          <w:lang w:eastAsia="zh-CN"/>
        </w:rPr>
      </w:pPr>
      <w:r>
        <w:rPr>
          <w:rFonts w:hint="eastAsia" w:ascii="仿宋" w:hAnsi="仿宋" w:eastAsia="仿宋" w:cs="仿宋"/>
          <w:sz w:val="28"/>
          <w:szCs w:val="28"/>
        </w:rPr>
        <w:t>购书经费有限，最强烈的感受是馆藏更新不快，既使读者有进馆阅读的欲望，时间一久，也难以长期保留读者。 因此，要使全民共享图书馆服务成为现实，必须进一步增加图书馆的购书专项经费</w:t>
      </w:r>
      <w:r>
        <w:rPr>
          <w:rFonts w:hint="eastAsia" w:ascii="仿宋" w:hAnsi="仿宋" w:eastAsia="仿宋" w:cs="仿宋"/>
          <w:sz w:val="28"/>
          <w:szCs w:val="28"/>
          <w:lang w:eastAsia="zh-CN"/>
        </w:rPr>
        <w:t>。</w:t>
      </w:r>
    </w:p>
    <w:p w14:paraId="1C1DF0C9">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6" w:name="_Toc29278"/>
      <w:bookmarkStart w:id="27" w:name="_Toc16271"/>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有关建议</w:t>
      </w:r>
      <w:bookmarkEnd w:id="26"/>
      <w:bookmarkEnd w:id="27"/>
    </w:p>
    <w:p w14:paraId="1F9D0CC2">
      <w:pPr>
        <w:pStyle w:val="6"/>
        <w:widowControl/>
        <w:spacing w:before="0" w:beforeAutospacing="0" w:after="0" w:afterAutospacing="0" w:line="33" w:lineRule="atLeas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1．加强对财政资金拨付和使用的管理。</w:t>
      </w:r>
    </w:p>
    <w:p w14:paraId="511D8646">
      <w:pPr>
        <w:pStyle w:val="6"/>
        <w:widowControl/>
        <w:spacing w:before="0" w:beforeAutospacing="0" w:after="0" w:afterAutospacing="0" w:line="33" w:lineRule="atLeast"/>
        <w:ind w:firstLine="420"/>
        <w:jc w:val="both"/>
        <w:rPr>
          <w:rFonts w:ascii="仿宋" w:hAnsi="仿宋" w:eastAsia="仿宋" w:cs="宋体"/>
          <w:color w:val="333333"/>
          <w:sz w:val="28"/>
          <w:szCs w:val="28"/>
        </w:rPr>
      </w:pPr>
      <w:r>
        <w:rPr>
          <w:rFonts w:hint="eastAsia" w:ascii="仿宋" w:hAnsi="仿宋" w:eastAsia="仿宋" w:cs="宋体"/>
          <w:color w:val="333333"/>
          <w:sz w:val="28"/>
          <w:szCs w:val="28"/>
        </w:rPr>
        <w:t>2．加强绩效评价管理制度和流程的建设，进一步深化、完善绩效管理体系，建立全过程的预算绩效管理机制，促进绩效管理工作向广度和深度延伸。</w:t>
      </w:r>
    </w:p>
    <w:p w14:paraId="060E570A">
      <w:pPr>
        <w:ind w:firstLine="280" w:firstLineChars="100"/>
        <w:rPr>
          <w:rFonts w:ascii="仿宋" w:hAnsi="仿宋" w:eastAsia="仿宋"/>
          <w:sz w:val="28"/>
          <w:szCs w:val="28"/>
        </w:rPr>
      </w:pPr>
      <w:r>
        <w:rPr>
          <w:rFonts w:hint="eastAsia" w:ascii="仿宋" w:hAnsi="仿宋" w:eastAsia="仿宋" w:cs="宋体"/>
          <w:color w:val="333333"/>
          <w:sz w:val="28"/>
          <w:szCs w:val="28"/>
        </w:rPr>
        <w:t>3．</w:t>
      </w:r>
      <w:r>
        <w:rPr>
          <w:rFonts w:ascii="仿宋" w:hAnsi="仿宋" w:eastAsia="仿宋"/>
          <w:sz w:val="28"/>
          <w:szCs w:val="28"/>
        </w:rPr>
        <w:t>实现图书馆全部免费开放，需要建立健全和完善经费保障机制，图书馆的运行经费全部来自于政府财政。只有持续稳定的财政支持平台来支撑免费开放，才能使图书馆的免费开放得以充分持续的运行。</w:t>
      </w:r>
    </w:p>
    <w:p w14:paraId="29E92069">
      <w:pPr>
        <w:spacing w:line="600" w:lineRule="exact"/>
        <w:jc w:val="right"/>
        <w:rPr>
          <w:rFonts w:eastAsia="仿宋_GB2312"/>
          <w:color w:val="000000"/>
          <w:kern w:val="0"/>
          <w:sz w:val="32"/>
          <w:szCs w:val="32"/>
        </w:rPr>
      </w:pPr>
      <w:r>
        <w:rPr>
          <w:rFonts w:hint="eastAsia" w:eastAsia="仿宋_GB2312"/>
          <w:color w:val="000000"/>
          <w:kern w:val="0"/>
          <w:sz w:val="32"/>
          <w:szCs w:val="32"/>
        </w:rPr>
        <w:t xml:space="preserve"> 会同县图书馆</w:t>
      </w:r>
    </w:p>
    <w:p w14:paraId="1C2B2D5E">
      <w:pPr>
        <w:pStyle w:val="14"/>
        <w:ind w:firstLine="640"/>
        <w:jc w:val="right"/>
      </w:pPr>
      <w:r>
        <w:rPr>
          <w:rFonts w:hint="eastAsia"/>
          <w:color w:val="000000"/>
          <w:kern w:val="0"/>
          <w:sz w:val="32"/>
          <w:szCs w:val="32"/>
        </w:rPr>
        <w:t>2024年8月25日</w:t>
      </w:r>
    </w:p>
    <w:p w14:paraId="082A0E63">
      <w:pPr>
        <w:pStyle w:val="6"/>
        <w:widowControl/>
        <w:shd w:val="clear" w:color="auto" w:fill="FFFFFF"/>
        <w:spacing w:before="0" w:beforeAutospacing="0" w:after="0" w:afterAutospacing="0" w:line="480" w:lineRule="atLeast"/>
        <w:ind w:firstLine="640" w:firstLineChars="200"/>
        <w:rPr>
          <w:rFonts w:ascii="仿宋_GB2312" w:hAnsi="Calibri" w:eastAsia="仿宋_GB2312" w:cs="仿宋_GB2312"/>
          <w:color w:val="000000"/>
          <w:sz w:val="32"/>
          <w:szCs w:val="32"/>
          <w:shd w:val="clear" w:color="auto" w:fill="FFFFFF"/>
        </w:rPr>
      </w:pPr>
      <w:bookmarkStart w:id="28" w:name="_GoBack"/>
      <w:bookmarkEnd w:id="28"/>
    </w:p>
    <w:p w14:paraId="2C430FD6">
      <w:pPr>
        <w:pStyle w:val="6"/>
        <w:widowControl/>
        <w:shd w:val="clear" w:color="auto" w:fill="FFFFFF"/>
        <w:spacing w:before="0" w:beforeAutospacing="0" w:after="0" w:afterAutospacing="0" w:line="480" w:lineRule="atLeast"/>
        <w:ind w:firstLine="640" w:firstLineChars="200"/>
        <w:rPr>
          <w:rFonts w:ascii="仿宋_GB2312" w:hAnsi="Calibri" w:eastAsia="仿宋_GB2312" w:cs="仿宋_GB2312"/>
          <w:color w:val="000000"/>
          <w:sz w:val="32"/>
          <w:szCs w:val="32"/>
          <w:shd w:val="clear" w:color="auto" w:fill="FFFFFF"/>
        </w:rPr>
      </w:pPr>
    </w:p>
    <w:p w14:paraId="7E62B5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M1Y2ZkZWNhNmE5NDY4MDgwZmQ2YWIwMTliMjlkMjYifQ=="/>
  </w:docVars>
  <w:rsids>
    <w:rsidRoot w:val="002F6203"/>
    <w:rsid w:val="000535EE"/>
    <w:rsid w:val="00082A20"/>
    <w:rsid w:val="000E1036"/>
    <w:rsid w:val="000F5F1A"/>
    <w:rsid w:val="00135466"/>
    <w:rsid w:val="001A743E"/>
    <w:rsid w:val="002665EA"/>
    <w:rsid w:val="002F6203"/>
    <w:rsid w:val="0043107D"/>
    <w:rsid w:val="00461754"/>
    <w:rsid w:val="004F41BA"/>
    <w:rsid w:val="006C6F39"/>
    <w:rsid w:val="0072341E"/>
    <w:rsid w:val="008F1B01"/>
    <w:rsid w:val="009153FF"/>
    <w:rsid w:val="009805B4"/>
    <w:rsid w:val="0099322A"/>
    <w:rsid w:val="009A0763"/>
    <w:rsid w:val="00AA0EA3"/>
    <w:rsid w:val="00B35837"/>
    <w:rsid w:val="00C158C8"/>
    <w:rsid w:val="00CD3AC9"/>
    <w:rsid w:val="00DC7F75"/>
    <w:rsid w:val="00F73ACE"/>
    <w:rsid w:val="519A1F02"/>
    <w:rsid w:val="56044490"/>
    <w:rsid w:val="6207562A"/>
    <w:rsid w:val="6452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semiHidden/>
    <w:unhideWhenUsed/>
    <w:qFormat/>
    <w:uiPriority w:val="99"/>
    <w:pPr>
      <w:spacing w:after="120"/>
      <w:ind w:left="420" w:leftChars="200"/>
    </w:pPr>
  </w:style>
  <w:style w:type="paragraph" w:styleId="3">
    <w:name w:val="toc 3"/>
    <w:basedOn w:val="1"/>
    <w:next w:val="1"/>
    <w:qFormat/>
    <w:uiPriority w:val="0"/>
    <w:pPr>
      <w:ind w:left="840" w:leftChars="400"/>
    </w:pPr>
  </w:style>
  <w:style w:type="paragraph" w:styleId="4">
    <w:name w:val="footer"/>
    <w:basedOn w:val="1"/>
    <w:link w:val="11"/>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styleId="7">
    <w:name w:val="Body Text First Indent 2"/>
    <w:basedOn w:val="2"/>
    <w:link w:val="13"/>
    <w:unhideWhenUsed/>
    <w:qFormat/>
    <w:uiPriority w:val="99"/>
    <w:pPr>
      <w:spacing w:after="0"/>
      <w:ind w:left="0" w:leftChars="0" w:firstLine="420" w:firstLineChars="200"/>
    </w:pPr>
    <w:rPr>
      <w:sz w:val="32"/>
    </w:rPr>
  </w:style>
  <w:style w:type="character" w:customStyle="1" w:styleId="10">
    <w:name w:val="页眉 Char"/>
    <w:basedOn w:val="9"/>
    <w:link w:val="5"/>
    <w:semiHidden/>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正文文本缩进 Char"/>
    <w:basedOn w:val="9"/>
    <w:link w:val="2"/>
    <w:semiHidden/>
    <w:uiPriority w:val="99"/>
    <w:rPr>
      <w:rFonts w:ascii="Times New Roman" w:hAnsi="Times New Roman" w:eastAsia="宋体" w:cs="Times New Roman"/>
      <w:szCs w:val="24"/>
    </w:rPr>
  </w:style>
  <w:style w:type="character" w:customStyle="1" w:styleId="13">
    <w:name w:val="正文首行缩进 2 Char"/>
    <w:basedOn w:val="12"/>
    <w:link w:val="7"/>
    <w:qFormat/>
    <w:uiPriority w:val="99"/>
    <w:rPr>
      <w:sz w:val="32"/>
    </w:rPr>
  </w:style>
  <w:style w:type="paragraph" w:customStyle="1" w:styleId="14">
    <w:name w:val="BodyText1I2"/>
    <w:basedOn w:val="15"/>
    <w:next w:val="1"/>
    <w:unhideWhenUsed/>
    <w:qFormat/>
    <w:uiPriority w:val="0"/>
    <w:pPr>
      <w:ind w:firstLine="200" w:firstLineChars="200"/>
    </w:pPr>
    <w:rPr>
      <w:rFonts w:hint="default" w:ascii="Calibri" w:hAnsi="Calibri" w:eastAsia="仿宋_GB2312"/>
      <w:sz w:val="36"/>
    </w:rPr>
  </w:style>
  <w:style w:type="paragraph" w:customStyle="1" w:styleId="15">
    <w:name w:val="BodyTextIndent"/>
    <w:basedOn w:val="1"/>
    <w:unhideWhenUsed/>
    <w:qFormat/>
    <w:uiPriority w:val="0"/>
    <w:pPr>
      <w:spacing w:after="120"/>
      <w:ind w:left="420" w:leftChars="200"/>
      <w:textAlignment w:val="baseline"/>
    </w:pPr>
    <w:rPr>
      <w:rFonts w:hint="eastAsi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ss</Company>
  <Pages>6</Pages>
  <Words>2520</Words>
  <Characters>2580</Characters>
  <Lines>24</Lines>
  <Paragraphs>6</Paragraphs>
  <TotalTime>0</TotalTime>
  <ScaleCrop>false</ScaleCrop>
  <LinksUpToDate>false</LinksUpToDate>
  <CharactersWithSpaces>2594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2024-09-05T01:51:00Z</dcterms:created>
  <dc:creator>20100401</dc:creator>
  <cp:lastModifiedBy>Administrator</cp:lastModifiedBy>
  <dcterms:modified xsi:type="dcterms:W3CDTF">2024-09-11T09:20:01Z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B5837F8F5CBB451B858EC1393A37A92B_12</vt:lpwstr>
  </property>
</Properties>
</file>