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C8741">
      <w:pPr>
        <w:pStyle w:val="7"/>
        <w:widowControl/>
        <w:shd w:val="clear" w:color="auto" w:fill="FFFFFF"/>
        <w:spacing w:before="0" w:beforeAutospacing="0" w:after="0" w:afterAutospacing="0" w:line="480" w:lineRule="atLeast"/>
        <w:jc w:val="center"/>
        <w:rPr>
          <w:rFonts w:ascii="仿宋" w:hAnsi="仿宋" w:eastAsia="仿宋" w:cs="仿宋"/>
          <w:b/>
          <w:sz w:val="44"/>
          <w:szCs w:val="44"/>
        </w:rPr>
      </w:pPr>
      <w:r>
        <w:rPr>
          <w:rFonts w:hint="eastAsia" w:ascii="仿宋" w:hAnsi="仿宋" w:eastAsia="仿宋" w:cs="仿宋"/>
          <w:b/>
          <w:sz w:val="44"/>
          <w:szCs w:val="44"/>
        </w:rPr>
        <w:t>会同县图书馆2023年“文化共享工程运行经费”财政支出绩效评价报告</w:t>
      </w:r>
    </w:p>
    <w:p w14:paraId="472C206C">
      <w:pPr>
        <w:pStyle w:val="7"/>
        <w:widowControl/>
        <w:shd w:val="clear" w:color="auto" w:fill="FFFFFF"/>
        <w:spacing w:before="0" w:beforeAutospacing="0" w:after="0" w:afterAutospacing="0" w:line="480" w:lineRule="atLeast"/>
        <w:jc w:val="center"/>
        <w:rPr>
          <w:rFonts w:ascii="仿宋" w:hAnsi="仿宋" w:eastAsia="仿宋" w:cs="仿宋"/>
          <w:sz w:val="44"/>
          <w:szCs w:val="44"/>
        </w:rPr>
      </w:pPr>
    </w:p>
    <w:p w14:paraId="25038F6E">
      <w:pPr>
        <w:pStyle w:val="7"/>
        <w:widowControl/>
        <w:shd w:val="clear" w:color="auto" w:fill="FFFFFF"/>
        <w:snapToGrid w:val="0"/>
        <w:spacing w:before="0" w:beforeAutospacing="0" w:after="0" w:afterAutospacing="0" w:line="520" w:lineRule="exact"/>
        <w:ind w:firstLine="640" w:firstLineChars="200"/>
        <w:jc w:val="both"/>
        <w:rPr>
          <w:rFonts w:ascii="黑体" w:hAnsi="黑体" w:eastAsia="黑体" w:cs="黑体"/>
          <w:color w:val="000000"/>
          <w:sz w:val="32"/>
          <w:szCs w:val="32"/>
        </w:rPr>
      </w:pPr>
      <w:r>
        <w:rPr>
          <w:rFonts w:hint="eastAsia" w:ascii="方正小标宋_GBK" w:hAnsi="方正小标宋_GBK" w:eastAsia="方正小标宋_GBK" w:cs="方正小标宋_GBK"/>
          <w:color w:val="000000"/>
          <w:sz w:val="32"/>
          <w:szCs w:val="32"/>
          <w:shd w:val="clear" w:color="auto" w:fill="FFFFFF"/>
        </w:rPr>
        <w:t> </w:t>
      </w:r>
      <w:r>
        <w:rPr>
          <w:rFonts w:hint="eastAsia" w:ascii="黑体" w:hAnsi="黑体" w:eastAsia="黑体" w:cs="黑体"/>
          <w:color w:val="000000"/>
          <w:sz w:val="32"/>
          <w:szCs w:val="32"/>
          <w:shd w:val="clear" w:color="auto" w:fill="FFFFFF"/>
        </w:rPr>
        <w:t>一、项目基本情况</w:t>
      </w:r>
    </w:p>
    <w:p w14:paraId="130B6720">
      <w:pPr>
        <w:pStyle w:val="7"/>
        <w:widowControl/>
        <w:shd w:val="clear" w:color="auto" w:fill="FFFFFF"/>
        <w:snapToGrid w:val="0"/>
        <w:spacing w:before="0" w:beforeAutospacing="0" w:after="0" w:afterAutospacing="0" w:line="520" w:lineRule="exact"/>
        <w:ind w:firstLine="548" w:firstLineChars="200"/>
        <w:jc w:val="both"/>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pacing w:val="-23"/>
          <w:sz w:val="32"/>
          <w:szCs w:val="32"/>
          <w:shd w:val="clear" w:color="auto" w:fill="FFFFFF"/>
        </w:rPr>
        <w:t>（一）</w:t>
      </w:r>
      <w:r>
        <w:rPr>
          <w:rFonts w:hint="eastAsia" w:ascii="楷体_GB2312" w:hAnsi="楷体_GB2312" w:eastAsia="楷体_GB2312" w:cs="楷体_GB2312"/>
          <w:color w:val="000000"/>
          <w:sz w:val="32"/>
          <w:szCs w:val="32"/>
          <w:shd w:val="clear" w:color="auto" w:fill="FFFFFF"/>
        </w:rPr>
        <w:t>项目概况</w:t>
      </w:r>
    </w:p>
    <w:p w14:paraId="3C97980F">
      <w:pPr>
        <w:pStyle w:val="7"/>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1.项目决策背景</w:t>
      </w:r>
    </w:p>
    <w:p w14:paraId="21EE836A">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文化共享项目纳入2023年度部门预算范围，经人大会议通过，县财政下达批复文件，包括项目资金申报、批复符合资金管理办法等相关规定，用于满足群众日常阅读需求，提高全民阅读，进而提高全民文化素质。</w:t>
      </w:r>
    </w:p>
    <w:p w14:paraId="619C96D5">
      <w:pPr>
        <w:pStyle w:val="7"/>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2.项目主要内容</w:t>
      </w:r>
    </w:p>
    <w:p w14:paraId="392B901D">
      <w:pPr>
        <w:pStyle w:val="7"/>
        <w:widowControl/>
        <w:shd w:val="clear" w:color="auto" w:fill="FFFFFF"/>
        <w:snapToGrid w:val="0"/>
        <w:spacing w:before="0" w:beforeAutospacing="0" w:after="0" w:afterAutospacing="0" w:line="520" w:lineRule="exact"/>
        <w:ind w:firstLine="560" w:firstLineChars="200"/>
        <w:jc w:val="both"/>
        <w:rPr>
          <w:rFonts w:ascii="仿宋_GB2312" w:hAnsi="Calibri" w:eastAsia="仿宋_GB2312" w:cs="仿宋_GB2312"/>
          <w:color w:val="000000"/>
          <w:sz w:val="28"/>
          <w:szCs w:val="28"/>
          <w:shd w:val="clear" w:color="auto" w:fill="FFFFFF"/>
        </w:rPr>
      </w:pPr>
      <w:r>
        <w:rPr>
          <w:rFonts w:hint="eastAsia" w:ascii="仿宋_GB2312" w:hAnsi="Calibri" w:eastAsia="仿宋_GB2312" w:cs="仿宋_GB2312"/>
          <w:color w:val="000000"/>
          <w:sz w:val="28"/>
          <w:szCs w:val="28"/>
          <w:shd w:val="clear" w:color="auto" w:fill="FFFFFF"/>
        </w:rPr>
        <w:t>本项目主要用于：1、免费开展日常借阅服务。2、举办公益性讲座、展览。3、开展流动图书阅读推广读书宣传活动。</w:t>
      </w:r>
    </w:p>
    <w:p w14:paraId="08A9398D">
      <w:pPr>
        <w:pStyle w:val="7"/>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3.项目组织管理机构</w:t>
      </w:r>
    </w:p>
    <w:p w14:paraId="60C08650">
      <w:pPr>
        <w:autoSpaceDN w:val="0"/>
        <w:spacing w:line="520" w:lineRule="exact"/>
        <w:ind w:firstLine="560" w:firstLineChars="200"/>
        <w:rPr>
          <w:rFonts w:ascii="仿宋_GB2312" w:eastAsia="仿宋_GB2312"/>
          <w:sz w:val="28"/>
          <w:szCs w:val="28"/>
        </w:rPr>
      </w:pPr>
      <w:r>
        <w:rPr>
          <w:rFonts w:hint="eastAsia" w:ascii="仿宋" w:hAnsi="仿宋" w:eastAsia="仿宋" w:cs="仿宋"/>
          <w:sz w:val="28"/>
          <w:szCs w:val="28"/>
        </w:rPr>
        <w:t>现有行政编制人员0个，全额拨款事业编制6个，自收自支事业编0个，实有在职人数6人，退休人员5人。有车辆1台，</w:t>
      </w:r>
      <w:r>
        <w:rPr>
          <w:rFonts w:hint="eastAsia" w:ascii="仿宋" w:hAnsi="仿宋" w:eastAsia="仿宋" w:cs="仿宋"/>
          <w:color w:val="333333"/>
          <w:sz w:val="28"/>
          <w:szCs w:val="28"/>
        </w:rPr>
        <w:t>实有在职人数与编制数相符。</w:t>
      </w:r>
    </w:p>
    <w:p w14:paraId="6293B8D5">
      <w:pPr>
        <w:pStyle w:val="7"/>
        <w:widowControl/>
        <w:shd w:val="clear" w:color="auto" w:fill="FFFFFF"/>
        <w:snapToGrid w:val="0"/>
        <w:spacing w:before="0" w:beforeAutospacing="0" w:after="0" w:afterAutospacing="0" w:line="520" w:lineRule="exact"/>
        <w:ind w:firstLine="548" w:firstLineChars="200"/>
        <w:jc w:val="both"/>
        <w:rPr>
          <w:rFonts w:ascii="楷体_GB2312" w:hAnsi="楷体_GB2312" w:eastAsia="楷体_GB2312" w:cs="楷体_GB2312"/>
          <w:color w:val="000000"/>
          <w:sz w:val="32"/>
          <w:szCs w:val="32"/>
          <w:shd w:val="clear" w:color="auto" w:fill="FFFFFF"/>
        </w:rPr>
      </w:pPr>
      <w:r>
        <w:rPr>
          <w:rFonts w:hint="eastAsia" w:ascii="楷体_GB2312" w:hAnsi="楷体_GB2312" w:eastAsia="楷体_GB2312" w:cs="楷体_GB2312"/>
          <w:color w:val="000000"/>
          <w:spacing w:val="-23"/>
          <w:sz w:val="32"/>
          <w:szCs w:val="32"/>
          <w:shd w:val="clear" w:color="auto" w:fill="FFFFFF"/>
        </w:rPr>
        <w:t>（二）</w:t>
      </w:r>
      <w:r>
        <w:rPr>
          <w:rFonts w:hint="eastAsia" w:ascii="楷体_GB2312" w:hAnsi="楷体_GB2312" w:eastAsia="楷体_GB2312" w:cs="楷体_GB2312"/>
          <w:color w:val="000000"/>
          <w:sz w:val="32"/>
          <w:szCs w:val="32"/>
          <w:shd w:val="clear" w:color="auto" w:fill="FFFFFF"/>
        </w:rPr>
        <w:t>预算资金使用管理情况</w:t>
      </w:r>
    </w:p>
    <w:p w14:paraId="0E3BFE5B">
      <w:pPr>
        <w:snapToGrid w:val="0"/>
        <w:spacing w:line="520" w:lineRule="exact"/>
        <w:ind w:firstLine="640" w:firstLineChars="200"/>
        <w:outlineLvl w:val="1"/>
        <w:rPr>
          <w:rFonts w:ascii="仿宋_GB2312" w:hAnsi="Calibri" w:eastAsia="仿宋_GB2312" w:cs="仿宋_GB2312"/>
          <w:color w:val="000000"/>
          <w:kern w:val="0"/>
          <w:sz w:val="32"/>
          <w:szCs w:val="32"/>
          <w:shd w:val="clear" w:color="auto" w:fill="FFFFFF"/>
        </w:rPr>
      </w:pPr>
      <w:bookmarkStart w:id="0" w:name="_Toc10810"/>
      <w:r>
        <w:rPr>
          <w:rFonts w:hint="eastAsia" w:ascii="仿宋_GB2312" w:hAnsi="Calibri" w:eastAsia="仿宋_GB2312" w:cs="仿宋_GB2312"/>
          <w:color w:val="000000"/>
          <w:kern w:val="0"/>
          <w:sz w:val="32"/>
          <w:szCs w:val="32"/>
          <w:shd w:val="clear" w:color="auto" w:fill="FFFFFF"/>
        </w:rPr>
        <w:t>1.预算资金安排及管理情况</w:t>
      </w:r>
      <w:bookmarkEnd w:id="0"/>
    </w:p>
    <w:p w14:paraId="7DB42455">
      <w:pPr>
        <w:pStyle w:val="7"/>
        <w:widowControl/>
        <w:shd w:val="clear" w:color="auto" w:fill="FFFFFF"/>
        <w:snapToGrid w:val="0"/>
        <w:spacing w:before="0" w:beforeAutospacing="0" w:after="0" w:afterAutospacing="0" w:line="520" w:lineRule="exact"/>
        <w:ind w:firstLine="548" w:firstLineChars="200"/>
        <w:jc w:val="both"/>
        <w:rPr>
          <w:rFonts w:ascii="仿宋_GB2312" w:hAnsi="Calibri" w:eastAsia="仿宋_GB2312" w:cs="仿宋_GB2312"/>
          <w:color w:val="000000"/>
          <w:sz w:val="32"/>
          <w:szCs w:val="32"/>
          <w:shd w:val="clear" w:color="auto" w:fill="FFFFFF"/>
        </w:rPr>
      </w:pPr>
      <w:r>
        <w:rPr>
          <w:rFonts w:ascii="仿宋_GB2312" w:hAnsi="Calibri" w:eastAsia="仿宋_GB2312" w:cs="仿宋_GB2312"/>
          <w:color w:val="000000"/>
          <w:spacing w:val="-23"/>
          <w:sz w:val="32"/>
          <w:szCs w:val="32"/>
          <w:shd w:val="clear" w:color="auto" w:fill="FFFFFF"/>
        </w:rPr>
        <w:t>（1）</w:t>
      </w:r>
      <w:r>
        <w:rPr>
          <w:rFonts w:ascii="仿宋_GB2312" w:hAnsi="Calibri" w:eastAsia="仿宋_GB2312" w:cs="仿宋_GB2312"/>
          <w:color w:val="000000"/>
          <w:sz w:val="32"/>
          <w:szCs w:val="32"/>
          <w:shd w:val="clear" w:color="auto" w:fill="FFFFFF"/>
        </w:rPr>
        <w:t>资金来源及拨付流程</w:t>
      </w:r>
    </w:p>
    <w:p w14:paraId="3E04A953">
      <w:pPr>
        <w:pStyle w:val="7"/>
        <w:widowControl/>
        <w:shd w:val="clear" w:color="auto" w:fill="FFFFFF"/>
        <w:snapToGrid w:val="0"/>
        <w:spacing w:before="0" w:beforeAutospacing="0" w:after="0" w:afterAutospacing="0" w:line="520" w:lineRule="exact"/>
        <w:ind w:firstLine="560" w:firstLineChars="200"/>
        <w:jc w:val="both"/>
        <w:rPr>
          <w:rFonts w:ascii="仿宋" w:hAnsi="仿宋" w:eastAsia="仿宋" w:cs="仿宋"/>
          <w:sz w:val="28"/>
          <w:szCs w:val="28"/>
        </w:rPr>
      </w:pPr>
      <w:r>
        <w:rPr>
          <w:rFonts w:hint="eastAsia" w:ascii="仿宋" w:hAnsi="仿宋" w:eastAsia="仿宋" w:cs="仿宋"/>
          <w:sz w:val="28"/>
          <w:szCs w:val="28"/>
        </w:rPr>
        <w:t>资金主要来源为年初财政一般公共预算拨款。项目实施单位根据年初预算批复按工作任务完成情况向财政履行请款手续，单位按财政规定的资金用途使用项目资金。</w:t>
      </w:r>
    </w:p>
    <w:p w14:paraId="27656E7D">
      <w:pPr>
        <w:pStyle w:val="7"/>
        <w:widowControl/>
        <w:shd w:val="clear" w:color="auto" w:fill="FFFFFF"/>
        <w:snapToGrid w:val="0"/>
        <w:spacing w:before="0" w:beforeAutospacing="0" w:after="0" w:afterAutospacing="0" w:line="520" w:lineRule="exact"/>
        <w:ind w:firstLine="548" w:firstLineChars="200"/>
        <w:jc w:val="both"/>
        <w:rPr>
          <w:rFonts w:ascii="仿宋_GB2312" w:hAnsi="Calibri" w:eastAsia="仿宋_GB2312" w:cs="仿宋_GB2312"/>
          <w:color w:val="000000"/>
          <w:sz w:val="32"/>
          <w:szCs w:val="32"/>
          <w:shd w:val="clear" w:color="auto" w:fill="FFFFFF"/>
        </w:rPr>
      </w:pPr>
      <w:r>
        <w:rPr>
          <w:rFonts w:ascii="仿宋_GB2312" w:hAnsi="Calibri" w:eastAsia="仿宋_GB2312" w:cs="仿宋_GB2312"/>
          <w:color w:val="000000"/>
          <w:spacing w:val="-23"/>
          <w:sz w:val="32"/>
          <w:szCs w:val="32"/>
          <w:shd w:val="clear" w:color="auto" w:fill="FFFFFF"/>
        </w:rPr>
        <w:t>（2）</w:t>
      </w:r>
      <w:r>
        <w:rPr>
          <w:rFonts w:ascii="仿宋_GB2312" w:hAnsi="Calibri" w:eastAsia="仿宋_GB2312" w:cs="仿宋_GB2312"/>
          <w:color w:val="000000"/>
          <w:sz w:val="32"/>
          <w:szCs w:val="32"/>
          <w:shd w:val="clear" w:color="auto" w:fill="FFFFFF"/>
        </w:rPr>
        <w:t>资金到位情况</w:t>
      </w:r>
    </w:p>
    <w:p w14:paraId="3ACDF6E3">
      <w:pPr>
        <w:ind w:firstLine="640"/>
        <w:rPr>
          <w:rFonts w:ascii="仿宋" w:hAnsi="仿宋" w:eastAsia="仿宋"/>
          <w:sz w:val="28"/>
          <w:szCs w:val="28"/>
        </w:rPr>
      </w:pPr>
      <w:r>
        <w:rPr>
          <w:rFonts w:hint="eastAsia" w:ascii="仿宋" w:hAnsi="仿宋" w:eastAsia="仿宋" w:cs="仿宋"/>
          <w:sz w:val="28"/>
          <w:szCs w:val="28"/>
        </w:rPr>
        <w:t>2023年财政年初预算安排经费3.5万元，截2023年实际到位3.5万元，资金到位率100%</w:t>
      </w:r>
      <w:r>
        <w:rPr>
          <w:rFonts w:hint="eastAsia" w:ascii="仿宋" w:hAnsi="仿宋" w:eastAsia="仿宋"/>
          <w:sz w:val="28"/>
          <w:szCs w:val="28"/>
        </w:rPr>
        <w:t>。</w:t>
      </w:r>
    </w:p>
    <w:p w14:paraId="0A25ECD9">
      <w:pPr>
        <w:pStyle w:val="7"/>
        <w:widowControl/>
        <w:shd w:val="clear" w:color="auto" w:fill="FFFFFF"/>
        <w:snapToGrid w:val="0"/>
        <w:spacing w:before="0" w:beforeAutospacing="0" w:after="0" w:afterAutospacing="0" w:line="520" w:lineRule="exact"/>
        <w:ind w:firstLine="548" w:firstLineChars="200"/>
        <w:jc w:val="both"/>
        <w:rPr>
          <w:rFonts w:ascii="仿宋" w:hAnsi="仿宋" w:eastAsia="仿宋" w:cs="仿宋_GB2312"/>
          <w:color w:val="000000"/>
          <w:sz w:val="32"/>
          <w:szCs w:val="32"/>
          <w:shd w:val="clear" w:color="auto" w:fill="FFFFFF"/>
        </w:rPr>
      </w:pPr>
      <w:r>
        <w:rPr>
          <w:rFonts w:ascii="仿宋" w:hAnsi="仿宋" w:eastAsia="仿宋" w:cs="仿宋_GB2312"/>
          <w:color w:val="000000"/>
          <w:spacing w:val="-23"/>
          <w:sz w:val="32"/>
          <w:szCs w:val="32"/>
          <w:shd w:val="clear" w:color="auto" w:fill="FFFFFF"/>
        </w:rPr>
        <w:t>（</w:t>
      </w:r>
      <w:r>
        <w:rPr>
          <w:rFonts w:hint="eastAsia" w:ascii="仿宋" w:hAnsi="仿宋" w:eastAsia="仿宋" w:cs="仿宋_GB2312"/>
          <w:color w:val="000000"/>
          <w:spacing w:val="-23"/>
          <w:sz w:val="32"/>
          <w:szCs w:val="32"/>
          <w:shd w:val="clear" w:color="auto" w:fill="FFFFFF"/>
        </w:rPr>
        <w:t>3</w:t>
      </w:r>
      <w:r>
        <w:rPr>
          <w:rFonts w:ascii="仿宋" w:hAnsi="仿宋" w:eastAsia="仿宋" w:cs="仿宋_GB2312"/>
          <w:color w:val="000000"/>
          <w:spacing w:val="-23"/>
          <w:sz w:val="32"/>
          <w:szCs w:val="32"/>
          <w:shd w:val="clear" w:color="auto" w:fill="FFFFFF"/>
        </w:rPr>
        <w:t>）</w:t>
      </w:r>
      <w:r>
        <w:rPr>
          <w:rFonts w:ascii="仿宋" w:hAnsi="仿宋" w:eastAsia="仿宋" w:cs="仿宋_GB2312"/>
          <w:color w:val="000000"/>
          <w:sz w:val="32"/>
          <w:szCs w:val="32"/>
          <w:shd w:val="clear" w:color="auto" w:fill="FFFFFF"/>
        </w:rPr>
        <w:t>资金使用情况</w:t>
      </w:r>
    </w:p>
    <w:p w14:paraId="04DAC76E">
      <w:pPr>
        <w:spacing w:line="520" w:lineRule="exact"/>
        <w:ind w:firstLine="560" w:firstLineChars="200"/>
        <w:rPr>
          <w:rFonts w:ascii="仿宋" w:hAnsi="仿宋" w:eastAsia="仿宋" w:cs="仿宋"/>
          <w:sz w:val="28"/>
          <w:szCs w:val="28"/>
        </w:rPr>
      </w:pPr>
      <w:r>
        <w:rPr>
          <w:rFonts w:hint="eastAsia" w:ascii="仿宋" w:hAnsi="仿宋" w:eastAsia="仿宋" w:cs="仿宋"/>
          <w:sz w:val="28"/>
          <w:szCs w:val="28"/>
        </w:rPr>
        <w:t>此项目资金的实际支出3.5万元，资金开支范围、标准及支付进度等均与项目批复一致，支付依据合规合法，资金支付与预算相符。2023年非税收入征收成本主要用于支付商品与服务支出。</w:t>
      </w:r>
    </w:p>
    <w:p w14:paraId="139256A7">
      <w:pPr>
        <w:pStyle w:val="7"/>
        <w:widowControl/>
        <w:shd w:val="clear" w:color="auto" w:fill="FFFFFF"/>
        <w:snapToGrid w:val="0"/>
        <w:spacing w:before="0" w:beforeAutospacing="0" w:after="0" w:afterAutospacing="0" w:line="520" w:lineRule="exact"/>
        <w:ind w:firstLine="548" w:firstLineChars="200"/>
        <w:jc w:val="both"/>
        <w:rPr>
          <w:rFonts w:ascii="仿宋_GB2312" w:hAnsi="Calibri" w:eastAsia="仿宋_GB2312" w:cs="仿宋_GB2312"/>
          <w:color w:val="000000"/>
          <w:sz w:val="32"/>
          <w:szCs w:val="32"/>
          <w:shd w:val="clear" w:color="auto" w:fill="FFFFFF"/>
        </w:rPr>
      </w:pPr>
      <w:r>
        <w:rPr>
          <w:rFonts w:ascii="仿宋_GB2312" w:hAnsi="Calibri" w:eastAsia="仿宋_GB2312" w:cs="仿宋_GB2312"/>
          <w:color w:val="000000"/>
          <w:spacing w:val="-23"/>
          <w:sz w:val="32"/>
          <w:szCs w:val="32"/>
          <w:shd w:val="clear" w:color="auto" w:fill="FFFFFF"/>
        </w:rPr>
        <w:t>（</w:t>
      </w:r>
      <w:r>
        <w:rPr>
          <w:rFonts w:hint="eastAsia" w:ascii="仿宋_GB2312" w:hAnsi="Calibri" w:eastAsia="仿宋_GB2312" w:cs="仿宋_GB2312"/>
          <w:color w:val="000000"/>
          <w:spacing w:val="-23"/>
          <w:sz w:val="32"/>
          <w:szCs w:val="32"/>
          <w:shd w:val="clear" w:color="auto" w:fill="FFFFFF"/>
        </w:rPr>
        <w:t>4</w:t>
      </w:r>
      <w:r>
        <w:rPr>
          <w:rFonts w:ascii="仿宋_GB2312" w:hAnsi="Calibri" w:eastAsia="仿宋_GB2312" w:cs="仿宋_GB2312"/>
          <w:color w:val="000000"/>
          <w:spacing w:val="-23"/>
          <w:sz w:val="32"/>
          <w:szCs w:val="32"/>
          <w:shd w:val="clear" w:color="auto" w:fill="FFFFFF"/>
        </w:rPr>
        <w:t>）</w:t>
      </w:r>
      <w:r>
        <w:rPr>
          <w:rFonts w:ascii="仿宋_GB2312" w:hAnsi="Calibri" w:eastAsia="仿宋_GB2312" w:cs="仿宋_GB2312"/>
          <w:color w:val="000000"/>
          <w:sz w:val="32"/>
          <w:szCs w:val="32"/>
          <w:shd w:val="clear" w:color="auto" w:fill="FFFFFF"/>
        </w:rPr>
        <w:t>资金管理制度及执行情况</w:t>
      </w:r>
    </w:p>
    <w:p w14:paraId="345D28C9">
      <w:pPr>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在财政下拨的项目经费中，我馆按照相关的文件精神，建立健全专项资金各项管理制度，实施内部监督。严格按照专项资金支出范围编制使用方案和年初工作计划，做到了专款专用。专项资金主要在以下几个方面：</w:t>
      </w:r>
    </w:p>
    <w:p w14:paraId="575F9CE6">
      <w:pPr>
        <w:spacing w:line="540" w:lineRule="exact"/>
        <w:ind w:firstLine="560"/>
        <w:rPr>
          <w:rFonts w:ascii="仿宋" w:hAnsi="仿宋" w:eastAsia="仿宋" w:cs="仿宋"/>
          <w:color w:val="000000"/>
          <w:sz w:val="28"/>
          <w:szCs w:val="28"/>
        </w:rPr>
      </w:pPr>
      <w:r>
        <w:rPr>
          <w:rFonts w:hint="eastAsia" w:ascii="仿宋" w:hAnsi="仿宋" w:eastAsia="仿宋" w:cs="仿宋"/>
          <w:sz w:val="28"/>
          <w:szCs w:val="28"/>
        </w:rPr>
        <w:t xml:space="preserve">文化信息资源共享工程在服务活动上，全面实现图书采编、流通检索自动化管理，图书馆的各项内务工作及统计工作都已实现电脑操作、有序化管理。同时做好机房设备维护、4台服务器、1台杂志报刊阅读机、1台电子图书机、1台少儿阅读机、4台自助借还一体机的维修保养工作。 </w:t>
      </w:r>
    </w:p>
    <w:p w14:paraId="3A36C2CF">
      <w:pPr>
        <w:pStyle w:val="7"/>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b/>
          <w:color w:val="000000"/>
          <w:sz w:val="32"/>
          <w:szCs w:val="32"/>
          <w:shd w:val="clear" w:color="auto" w:fill="FFFFFF"/>
        </w:rPr>
      </w:pPr>
      <w:r>
        <w:rPr>
          <w:rFonts w:hint="eastAsia" w:ascii="仿宋_GB2312" w:hAnsi="Calibri" w:eastAsia="仿宋_GB2312" w:cs="仿宋_GB2312"/>
          <w:color w:val="000000"/>
          <w:sz w:val="32"/>
          <w:szCs w:val="32"/>
          <w:shd w:val="clear" w:color="auto" w:fill="FFFFFF"/>
        </w:rPr>
        <w:t>2</w:t>
      </w:r>
      <w:r>
        <w:rPr>
          <w:rFonts w:ascii="仿宋_GB2312" w:hAnsi="Calibri" w:eastAsia="仿宋_GB2312" w:cs="仿宋_GB2312"/>
          <w:b/>
          <w:color w:val="000000"/>
          <w:sz w:val="32"/>
          <w:szCs w:val="32"/>
          <w:shd w:val="clear" w:color="auto" w:fill="FFFFFF"/>
        </w:rPr>
        <w:t>.项目组织实施管理情况</w:t>
      </w:r>
    </w:p>
    <w:p w14:paraId="38CE980A">
      <w:pPr>
        <w:spacing w:line="540" w:lineRule="exact"/>
        <w:rPr>
          <w:rFonts w:ascii="仿宋" w:hAnsi="仿宋" w:eastAsia="仿宋" w:cs="仿宋"/>
          <w:sz w:val="32"/>
          <w:szCs w:val="32"/>
        </w:rPr>
      </w:pPr>
      <w:r>
        <w:rPr>
          <w:rFonts w:hint="eastAsia" w:ascii="仿宋" w:hAnsi="仿宋" w:eastAsia="仿宋" w:cs="仿宋"/>
          <w:sz w:val="32"/>
          <w:szCs w:val="32"/>
        </w:rPr>
        <w:t xml:space="preserve">    完成年初财政预算文化共享工程运行经费3.5万元，</w:t>
      </w:r>
    </w:p>
    <w:p w14:paraId="343A74BE">
      <w:pPr>
        <w:spacing w:line="540" w:lineRule="exact"/>
        <w:rPr>
          <w:rFonts w:ascii="仿宋" w:hAnsi="仿宋" w:eastAsia="仿宋" w:cs="仿宋"/>
          <w:sz w:val="28"/>
          <w:szCs w:val="28"/>
        </w:rPr>
      </w:pPr>
      <w:r>
        <w:rPr>
          <w:rFonts w:hint="eastAsia" w:ascii="仿宋" w:hAnsi="仿宋" w:eastAsia="仿宋" w:cs="宋体"/>
          <w:sz w:val="28"/>
          <w:szCs w:val="28"/>
        </w:rPr>
        <w:t xml:space="preserve">    </w:t>
      </w:r>
      <w:r>
        <w:rPr>
          <w:rFonts w:ascii="仿宋" w:hAnsi="仿宋" w:eastAsia="仿宋" w:cs="宋体"/>
          <w:sz w:val="28"/>
          <w:szCs w:val="28"/>
        </w:rPr>
        <w:t xml:space="preserve">1、 </w:t>
      </w:r>
      <w:r>
        <w:rPr>
          <w:rFonts w:hint="eastAsia" w:ascii="仿宋" w:hAnsi="仿宋" w:eastAsia="仿宋" w:cs="仿宋"/>
          <w:sz w:val="28"/>
          <w:szCs w:val="28"/>
        </w:rPr>
        <w:t>我馆按照专项经费的使用要求和相应项目实施方案要求进行收支和管理，严格执行各项财务制度，文化共享工程运行经费到位3.5万元，其中用于其他社会保障缴费0.16万元，用于办公费3万元，用于水费0.1万元，电费0.19万元，差旅费0.05万元。</w:t>
      </w:r>
    </w:p>
    <w:p w14:paraId="02EA4580">
      <w:pPr>
        <w:spacing w:line="540" w:lineRule="exact"/>
        <w:ind w:firstLine="560"/>
        <w:rPr>
          <w:rFonts w:ascii="仿宋" w:hAnsi="仿宋" w:eastAsia="仿宋" w:cs="仿宋"/>
          <w:sz w:val="28"/>
          <w:szCs w:val="28"/>
        </w:rPr>
      </w:pPr>
      <w:r>
        <w:rPr>
          <w:rFonts w:hint="eastAsia" w:ascii="仿宋" w:hAnsi="仿宋" w:eastAsia="仿宋" w:cs="仿宋"/>
          <w:sz w:val="28"/>
          <w:szCs w:val="28"/>
        </w:rPr>
        <w:t>2、2023年我馆</w:t>
      </w:r>
      <w:r>
        <w:rPr>
          <w:rFonts w:ascii="仿宋" w:hAnsi="仿宋" w:eastAsia="仿宋"/>
          <w:spacing w:val="-3"/>
          <w:sz w:val="28"/>
          <w:szCs w:val="28"/>
        </w:rPr>
        <w:t>总流通6.2986 万人次，书刊外借7.9104 万册次，举办讲座35次，</w:t>
      </w:r>
      <w:r>
        <w:rPr>
          <w:rFonts w:ascii="仿宋" w:hAnsi="仿宋" w:eastAsia="仿宋"/>
          <w:spacing w:val="-7"/>
          <w:sz w:val="28"/>
          <w:szCs w:val="28"/>
        </w:rPr>
        <w:t>举办展览27次，举办培训班13次。2023 年共计接待到馆读者7.0329万</w:t>
      </w:r>
      <w:r>
        <w:rPr>
          <w:rFonts w:ascii="仿宋" w:hAnsi="仿宋" w:eastAsia="仿宋"/>
          <w:spacing w:val="-8"/>
          <w:sz w:val="28"/>
          <w:szCs w:val="28"/>
        </w:rPr>
        <w:t>人次，</w:t>
      </w:r>
      <w:r>
        <w:rPr>
          <w:rFonts w:ascii="仿宋" w:hAnsi="仿宋" w:eastAsia="仿宋"/>
          <w:spacing w:val="-2"/>
          <w:sz w:val="28"/>
          <w:szCs w:val="28"/>
        </w:rPr>
        <w:t>其中鸣鹿书屋接待读者1.3578 万人</w:t>
      </w:r>
      <w:r>
        <w:rPr>
          <w:rFonts w:ascii="仿宋" w:hAnsi="仿宋" w:eastAsia="仿宋"/>
          <w:spacing w:val="-3"/>
          <w:sz w:val="28"/>
          <w:szCs w:val="28"/>
        </w:rPr>
        <w:t>次。</w:t>
      </w:r>
    </w:p>
    <w:p w14:paraId="2D686C31">
      <w:pPr>
        <w:numPr>
          <w:ilvl w:val="0"/>
          <w:numId w:val="1"/>
        </w:numPr>
        <w:spacing w:line="540" w:lineRule="exact"/>
        <w:ind w:firstLine="560"/>
        <w:rPr>
          <w:rFonts w:ascii="仿宋" w:hAnsi="仿宋" w:eastAsia="仿宋" w:cs="仿宋"/>
          <w:sz w:val="28"/>
          <w:szCs w:val="28"/>
        </w:rPr>
      </w:pPr>
      <w:r>
        <w:rPr>
          <w:rFonts w:hint="eastAsia" w:ascii="仿宋" w:hAnsi="仿宋" w:eastAsia="仿宋" w:cs="仿宋"/>
          <w:sz w:val="28"/>
          <w:szCs w:val="28"/>
        </w:rPr>
        <w:t>加强读者服务的同时，不断改善服务质量，改善服务方式，将读者外借册数3本增加到5本，不再要求一次性归还，尽量满足读者的要求，得到了读者很好地满意。</w:t>
      </w:r>
    </w:p>
    <w:p w14:paraId="510BC46D">
      <w:pPr>
        <w:pStyle w:val="2"/>
        <w:spacing w:before="168" w:line="336" w:lineRule="auto"/>
        <w:ind w:right="6" w:firstLine="567"/>
        <w:rPr>
          <w:sz w:val="28"/>
          <w:szCs w:val="28"/>
          <w:lang w:eastAsia="zh-CN"/>
        </w:rPr>
      </w:pPr>
      <w:r>
        <w:rPr>
          <w:rFonts w:hint="eastAsia"/>
          <w:sz w:val="28"/>
          <w:szCs w:val="28"/>
          <w:lang w:eastAsia="zh-CN"/>
        </w:rPr>
        <w:t>4、</w:t>
      </w:r>
      <w:r>
        <w:rPr>
          <w:spacing w:val="-1"/>
          <w:sz w:val="28"/>
          <w:szCs w:val="28"/>
          <w:lang w:eastAsia="zh-CN"/>
        </w:rPr>
        <w:t xml:space="preserve">文化品牌服务。  </w:t>
      </w:r>
      <w:r>
        <w:rPr>
          <w:rFonts w:cs="Times New Roman"/>
          <w:spacing w:val="-1"/>
          <w:sz w:val="28"/>
          <w:szCs w:val="28"/>
          <w:lang w:eastAsia="zh-CN"/>
        </w:rPr>
        <w:t>1</w:t>
      </w:r>
      <w:r>
        <w:rPr>
          <w:spacing w:val="-1"/>
          <w:sz w:val="28"/>
          <w:szCs w:val="28"/>
          <w:lang w:eastAsia="zh-CN"/>
        </w:rPr>
        <w:t xml:space="preserve">、举办 </w:t>
      </w:r>
      <w:r>
        <w:rPr>
          <w:rFonts w:cs="Times New Roman"/>
          <w:spacing w:val="-1"/>
          <w:sz w:val="28"/>
          <w:szCs w:val="28"/>
          <w:lang w:eastAsia="zh-CN"/>
        </w:rPr>
        <w:t>“</w:t>
      </w:r>
      <w:r>
        <w:rPr>
          <w:spacing w:val="-1"/>
          <w:sz w:val="28"/>
          <w:szCs w:val="28"/>
          <w:lang w:eastAsia="zh-CN"/>
        </w:rPr>
        <w:t>鹿鸣学堂</w:t>
      </w:r>
      <w:r>
        <w:rPr>
          <w:rFonts w:cs="Times New Roman"/>
          <w:spacing w:val="-1"/>
          <w:sz w:val="28"/>
          <w:szCs w:val="28"/>
          <w:lang w:eastAsia="zh-CN"/>
        </w:rPr>
        <w:t>”</w:t>
      </w:r>
      <w:r>
        <w:rPr>
          <w:spacing w:val="-1"/>
          <w:sz w:val="28"/>
          <w:szCs w:val="28"/>
          <w:lang w:eastAsia="zh-CN"/>
        </w:rPr>
        <w:t>讲</w:t>
      </w:r>
      <w:r>
        <w:rPr>
          <w:spacing w:val="-2"/>
          <w:sz w:val="28"/>
          <w:szCs w:val="28"/>
          <w:lang w:eastAsia="zh-CN"/>
        </w:rPr>
        <w:t>座</w:t>
      </w:r>
      <w:r>
        <w:rPr>
          <w:rFonts w:cs="Times New Roman"/>
          <w:spacing w:val="-2"/>
          <w:sz w:val="28"/>
          <w:szCs w:val="28"/>
          <w:lang w:eastAsia="zh-CN"/>
        </w:rPr>
        <w:t xml:space="preserve">17 </w:t>
      </w:r>
      <w:r>
        <w:rPr>
          <w:spacing w:val="-2"/>
          <w:sz w:val="28"/>
          <w:szCs w:val="28"/>
          <w:lang w:eastAsia="zh-CN"/>
        </w:rPr>
        <w:t xml:space="preserve">期； </w:t>
      </w:r>
      <w:r>
        <w:rPr>
          <w:rFonts w:cs="Times New Roman"/>
          <w:spacing w:val="-2"/>
          <w:sz w:val="28"/>
          <w:szCs w:val="28"/>
          <w:lang w:eastAsia="zh-CN"/>
        </w:rPr>
        <w:t>2</w:t>
      </w:r>
      <w:r>
        <w:rPr>
          <w:spacing w:val="-2"/>
          <w:sz w:val="28"/>
          <w:szCs w:val="28"/>
          <w:lang w:eastAsia="zh-CN"/>
        </w:rPr>
        <w:t>、开展</w:t>
      </w:r>
      <w:r>
        <w:rPr>
          <w:rFonts w:cs="Times New Roman"/>
          <w:spacing w:val="-2"/>
          <w:sz w:val="28"/>
          <w:szCs w:val="28"/>
          <w:lang w:eastAsia="zh-CN"/>
        </w:rPr>
        <w:t>“</w:t>
      </w:r>
      <w:r>
        <w:rPr>
          <w:spacing w:val="-2"/>
          <w:sz w:val="28"/>
          <w:szCs w:val="28"/>
          <w:lang w:eastAsia="zh-CN"/>
        </w:rPr>
        <w:t>悦伴成长</w:t>
      </w:r>
      <w:r>
        <w:rPr>
          <w:rFonts w:cs="Times New Roman"/>
          <w:spacing w:val="-2"/>
          <w:sz w:val="28"/>
          <w:szCs w:val="28"/>
          <w:lang w:eastAsia="zh-CN"/>
        </w:rPr>
        <w:t>”</w:t>
      </w:r>
      <w:r>
        <w:rPr>
          <w:spacing w:val="-2"/>
          <w:sz w:val="28"/>
          <w:szCs w:val="28"/>
          <w:lang w:eastAsia="zh-CN"/>
        </w:rPr>
        <w:t>绘本推荐</w:t>
      </w:r>
      <w:r>
        <w:rPr>
          <w:rFonts w:cs="Times New Roman"/>
          <w:spacing w:val="-2"/>
          <w:sz w:val="28"/>
          <w:szCs w:val="28"/>
          <w:lang w:eastAsia="zh-CN"/>
        </w:rPr>
        <w:t xml:space="preserve">25 </w:t>
      </w:r>
      <w:r>
        <w:rPr>
          <w:spacing w:val="-2"/>
          <w:sz w:val="28"/>
          <w:szCs w:val="28"/>
          <w:lang w:eastAsia="zh-CN"/>
        </w:rPr>
        <w:t xml:space="preserve">期； </w:t>
      </w:r>
      <w:r>
        <w:rPr>
          <w:rFonts w:cs="Times New Roman"/>
          <w:spacing w:val="-2"/>
          <w:sz w:val="28"/>
          <w:szCs w:val="28"/>
          <w:lang w:eastAsia="zh-CN"/>
        </w:rPr>
        <w:t>3</w:t>
      </w:r>
      <w:r>
        <w:rPr>
          <w:spacing w:val="-2"/>
          <w:sz w:val="28"/>
          <w:szCs w:val="28"/>
          <w:lang w:eastAsia="zh-CN"/>
        </w:rPr>
        <w:t>、</w:t>
      </w:r>
      <w:r>
        <w:fldChar w:fldCharType="begin"/>
      </w:r>
      <w:r>
        <w:instrText xml:space="preserve"> HYPERLINK "https://mp.weixin.qq.com/s?__biz=MzU5OTQwMzk5NQ==&amp;mid=2247555063&amp;idx=5&amp;sn=1b6bcac24a1c3ed8b5068a65a8659922&amp;chksm=feb72b43c9c0a2553a3b05efdaaaee583a3c75fa60de2079e9ac9348abe32ebedae6603fdb64&amp;token=1198099991&amp;lang=zh_CN" </w:instrText>
      </w:r>
      <w:r>
        <w:fldChar w:fldCharType="separate"/>
      </w:r>
      <w:r>
        <w:rPr>
          <w:spacing w:val="-2"/>
          <w:sz w:val="28"/>
          <w:szCs w:val="28"/>
          <w:lang w:eastAsia="zh-CN"/>
        </w:rPr>
        <w:t>无障碍阅读服务之</w:t>
      </w:r>
      <w:r>
        <w:rPr>
          <w:rFonts w:cs="Times New Roman"/>
          <w:spacing w:val="-2"/>
          <w:sz w:val="28"/>
          <w:szCs w:val="28"/>
          <w:lang w:eastAsia="zh-CN"/>
        </w:rPr>
        <w:t>“</w:t>
      </w:r>
      <w:r>
        <w:rPr>
          <w:spacing w:val="-2"/>
          <w:sz w:val="28"/>
          <w:szCs w:val="28"/>
          <w:lang w:eastAsia="zh-CN"/>
        </w:rPr>
        <w:t>有声悦读</w:t>
      </w:r>
      <w:r>
        <w:rPr>
          <w:rFonts w:cs="Times New Roman"/>
          <w:spacing w:val="-2"/>
          <w:sz w:val="28"/>
          <w:szCs w:val="28"/>
          <w:lang w:eastAsia="zh-CN"/>
        </w:rPr>
        <w:t>”</w:t>
      </w:r>
      <w:r>
        <w:rPr>
          <w:rFonts w:cs="Times New Roman"/>
          <w:spacing w:val="-2"/>
          <w:sz w:val="28"/>
          <w:szCs w:val="28"/>
          <w:lang w:eastAsia="zh-CN"/>
        </w:rPr>
        <w:fldChar w:fldCharType="end"/>
      </w:r>
      <w:r>
        <w:rPr>
          <w:rFonts w:cs="Times New Roman"/>
          <w:spacing w:val="-2"/>
          <w:sz w:val="28"/>
          <w:szCs w:val="28"/>
          <w:lang w:eastAsia="zh-CN"/>
        </w:rPr>
        <w:t xml:space="preserve">8 </w:t>
      </w:r>
      <w:r>
        <w:rPr>
          <w:spacing w:val="-2"/>
          <w:sz w:val="28"/>
          <w:szCs w:val="28"/>
          <w:lang w:eastAsia="zh-CN"/>
        </w:rPr>
        <w:t xml:space="preserve">期； </w:t>
      </w:r>
      <w:r>
        <w:rPr>
          <w:rFonts w:cs="Times New Roman"/>
          <w:spacing w:val="-2"/>
          <w:sz w:val="28"/>
          <w:szCs w:val="28"/>
          <w:lang w:eastAsia="zh-CN"/>
        </w:rPr>
        <w:t>4</w:t>
      </w:r>
      <w:r>
        <w:rPr>
          <w:spacing w:val="-2"/>
          <w:sz w:val="28"/>
          <w:szCs w:val="28"/>
          <w:lang w:eastAsia="zh-CN"/>
        </w:rPr>
        <w:t>、</w:t>
      </w:r>
      <w:r>
        <w:rPr>
          <w:rFonts w:cs="Times New Roman"/>
          <w:spacing w:val="-2"/>
          <w:sz w:val="28"/>
          <w:szCs w:val="28"/>
          <w:lang w:eastAsia="zh-CN"/>
        </w:rPr>
        <w:t>“</w:t>
      </w:r>
      <w:r>
        <w:rPr>
          <w:spacing w:val="-2"/>
          <w:sz w:val="28"/>
          <w:szCs w:val="28"/>
          <w:lang w:eastAsia="zh-CN"/>
        </w:rPr>
        <w:t>图书馆</w:t>
      </w:r>
      <w:r>
        <w:rPr>
          <w:rFonts w:cs="Times New Roman"/>
          <w:spacing w:val="-2"/>
          <w:sz w:val="28"/>
          <w:szCs w:val="28"/>
          <w:lang w:eastAsia="zh-CN"/>
        </w:rPr>
        <w:t>+</w:t>
      </w:r>
      <w:r>
        <w:rPr>
          <w:spacing w:val="-5"/>
          <w:sz w:val="28"/>
          <w:szCs w:val="28"/>
          <w:lang w:eastAsia="zh-CN"/>
        </w:rPr>
        <w:t>科普</w:t>
      </w:r>
      <w:r>
        <w:rPr>
          <w:rFonts w:cs="Times New Roman"/>
          <w:spacing w:val="-5"/>
          <w:sz w:val="28"/>
          <w:szCs w:val="28"/>
          <w:lang w:eastAsia="zh-CN"/>
        </w:rPr>
        <w:t xml:space="preserve">”12 </w:t>
      </w:r>
      <w:r>
        <w:rPr>
          <w:spacing w:val="-5"/>
          <w:sz w:val="28"/>
          <w:szCs w:val="28"/>
          <w:lang w:eastAsia="zh-CN"/>
        </w:rPr>
        <w:t xml:space="preserve">期； </w:t>
      </w:r>
      <w:r>
        <w:rPr>
          <w:rFonts w:cs="Times New Roman"/>
          <w:spacing w:val="-5"/>
          <w:sz w:val="28"/>
          <w:szCs w:val="28"/>
          <w:lang w:eastAsia="zh-CN"/>
        </w:rPr>
        <w:t>5</w:t>
      </w:r>
      <w:r>
        <w:rPr>
          <w:spacing w:val="-5"/>
          <w:sz w:val="28"/>
          <w:szCs w:val="28"/>
          <w:lang w:eastAsia="zh-CN"/>
        </w:rPr>
        <w:t>、阅读品牌</w:t>
      </w:r>
      <w:r>
        <w:rPr>
          <w:rFonts w:cs="Times New Roman"/>
          <w:spacing w:val="-5"/>
          <w:sz w:val="28"/>
          <w:szCs w:val="28"/>
          <w:lang w:eastAsia="zh-CN"/>
        </w:rPr>
        <w:t>“</w:t>
      </w:r>
      <w:r>
        <w:rPr>
          <w:spacing w:val="-5"/>
          <w:sz w:val="28"/>
          <w:szCs w:val="28"/>
          <w:lang w:eastAsia="zh-CN"/>
        </w:rPr>
        <w:t>爱心加油站</w:t>
      </w:r>
      <w:r>
        <w:rPr>
          <w:rFonts w:cs="Times New Roman"/>
          <w:spacing w:val="-5"/>
          <w:sz w:val="28"/>
          <w:szCs w:val="28"/>
          <w:lang w:eastAsia="zh-CN"/>
        </w:rPr>
        <w:t>”</w:t>
      </w:r>
      <w:r>
        <w:rPr>
          <w:spacing w:val="-5"/>
          <w:sz w:val="28"/>
          <w:szCs w:val="28"/>
          <w:lang w:eastAsia="zh-CN"/>
        </w:rPr>
        <w:t>、“蒲公英”公益行</w:t>
      </w:r>
      <w:r>
        <w:rPr>
          <w:spacing w:val="-6"/>
          <w:sz w:val="28"/>
          <w:szCs w:val="28"/>
          <w:lang w:eastAsia="zh-CN"/>
        </w:rPr>
        <w:t>开展活动</w:t>
      </w:r>
      <w:r>
        <w:rPr>
          <w:rFonts w:cs="Times New Roman"/>
          <w:spacing w:val="-6"/>
          <w:sz w:val="28"/>
          <w:szCs w:val="28"/>
          <w:lang w:eastAsia="zh-CN"/>
        </w:rPr>
        <w:t xml:space="preserve">12 </w:t>
      </w:r>
      <w:r>
        <w:rPr>
          <w:spacing w:val="-6"/>
          <w:sz w:val="28"/>
          <w:szCs w:val="28"/>
          <w:lang w:eastAsia="zh-CN"/>
        </w:rPr>
        <w:t>场；</w:t>
      </w:r>
      <w:r>
        <w:rPr>
          <w:rFonts w:cs="Times New Roman"/>
          <w:spacing w:val="-3"/>
          <w:sz w:val="28"/>
          <w:szCs w:val="28"/>
          <w:lang w:eastAsia="zh-CN"/>
        </w:rPr>
        <w:t>6</w:t>
      </w:r>
      <w:r>
        <w:rPr>
          <w:spacing w:val="-3"/>
          <w:sz w:val="28"/>
          <w:szCs w:val="28"/>
          <w:lang w:eastAsia="zh-CN"/>
        </w:rPr>
        <w:t>、</w:t>
      </w:r>
      <w:r>
        <w:rPr>
          <w:rFonts w:cs="Times New Roman"/>
          <w:spacing w:val="-3"/>
          <w:sz w:val="28"/>
          <w:szCs w:val="28"/>
          <w:lang w:eastAsia="zh-CN"/>
        </w:rPr>
        <w:t>“</w:t>
      </w:r>
      <w:r>
        <w:rPr>
          <w:spacing w:val="-3"/>
          <w:sz w:val="28"/>
          <w:szCs w:val="28"/>
          <w:lang w:eastAsia="zh-CN"/>
        </w:rPr>
        <w:t>悦美阅读 青少年走进图书馆</w:t>
      </w:r>
      <w:r>
        <w:rPr>
          <w:rFonts w:cs="Times New Roman"/>
          <w:spacing w:val="-3"/>
          <w:sz w:val="28"/>
          <w:szCs w:val="28"/>
          <w:lang w:eastAsia="zh-CN"/>
        </w:rPr>
        <w:t>”</w:t>
      </w:r>
      <w:r>
        <w:rPr>
          <w:spacing w:val="-3"/>
          <w:sz w:val="28"/>
          <w:szCs w:val="28"/>
          <w:lang w:eastAsia="zh-CN"/>
        </w:rPr>
        <w:t>活动</w:t>
      </w:r>
      <w:r>
        <w:rPr>
          <w:rFonts w:cs="Times New Roman"/>
          <w:spacing w:val="-3"/>
          <w:sz w:val="28"/>
          <w:szCs w:val="28"/>
          <w:lang w:eastAsia="zh-CN"/>
        </w:rPr>
        <w:t xml:space="preserve">8 </w:t>
      </w:r>
      <w:r>
        <w:rPr>
          <w:spacing w:val="-3"/>
          <w:sz w:val="28"/>
          <w:szCs w:val="28"/>
          <w:lang w:eastAsia="zh-CN"/>
        </w:rPr>
        <w:t>场次。</w:t>
      </w:r>
    </w:p>
    <w:p w14:paraId="5B7878A0">
      <w:pPr>
        <w:pStyle w:val="2"/>
        <w:spacing w:before="168" w:line="356" w:lineRule="auto"/>
        <w:ind w:left="2" w:right="16" w:firstLine="582"/>
        <w:rPr>
          <w:sz w:val="28"/>
          <w:szCs w:val="28"/>
          <w:lang w:eastAsia="zh-CN"/>
        </w:rPr>
      </w:pPr>
      <w:r>
        <w:rPr>
          <w:spacing w:val="-5"/>
          <w:sz w:val="28"/>
          <w:szCs w:val="28"/>
          <w:lang w:eastAsia="zh-CN"/>
        </w:rPr>
        <w:t>阅读推广让广大读者养成了自觉参与意识，营造出浓厚的阅读氛围，使不</w:t>
      </w:r>
      <w:r>
        <w:rPr>
          <w:spacing w:val="-1"/>
          <w:sz w:val="28"/>
          <w:szCs w:val="28"/>
          <w:lang w:eastAsia="zh-CN"/>
        </w:rPr>
        <w:t>同年龄层次的读者从活动中激发阅读热情，提高阅读兴趣。尤其</w:t>
      </w:r>
      <w:r>
        <w:rPr>
          <w:spacing w:val="-2"/>
          <w:sz w:val="28"/>
          <w:szCs w:val="28"/>
          <w:lang w:eastAsia="zh-CN"/>
        </w:rPr>
        <w:t>是</w:t>
      </w:r>
      <w:r>
        <w:rPr>
          <w:rFonts w:cs="Times New Roman"/>
          <w:spacing w:val="-2"/>
          <w:sz w:val="28"/>
          <w:szCs w:val="28"/>
          <w:lang w:eastAsia="zh-CN"/>
        </w:rPr>
        <w:t>“</w:t>
      </w:r>
      <w:r>
        <w:rPr>
          <w:spacing w:val="-2"/>
          <w:sz w:val="28"/>
          <w:szCs w:val="28"/>
          <w:lang w:eastAsia="zh-CN"/>
        </w:rPr>
        <w:t>悦伴成长</w:t>
      </w:r>
      <w:r>
        <w:rPr>
          <w:rFonts w:cs="Times New Roman"/>
          <w:spacing w:val="-2"/>
          <w:sz w:val="28"/>
          <w:szCs w:val="28"/>
          <w:lang w:eastAsia="zh-CN"/>
        </w:rPr>
        <w:t>”</w:t>
      </w:r>
      <w:r>
        <w:rPr>
          <w:spacing w:val="-4"/>
          <w:sz w:val="28"/>
          <w:szCs w:val="28"/>
          <w:lang w:eastAsia="zh-CN"/>
        </w:rPr>
        <w:t>整合绘本阅读、四季少儿阅读等形式，在全县构建覆盖城乡的少儿阅读推广体</w:t>
      </w:r>
      <w:r>
        <w:rPr>
          <w:spacing w:val="-1"/>
          <w:sz w:val="28"/>
          <w:szCs w:val="28"/>
          <w:lang w:eastAsia="zh-CN"/>
        </w:rPr>
        <w:t>系，为孩子们搭建生动有趣的阅读体验平台。</w:t>
      </w:r>
    </w:p>
    <w:p w14:paraId="4C121A70">
      <w:pPr>
        <w:ind w:firstLine="551" w:firstLineChars="200"/>
        <w:rPr>
          <w:rFonts w:ascii="楷体_GB2312" w:hAnsi="楷体_GB2312" w:eastAsia="楷体_GB2312" w:cs="楷体_GB2312"/>
          <w:b/>
          <w:bCs/>
          <w:color w:val="000000"/>
          <w:sz w:val="32"/>
          <w:szCs w:val="32"/>
          <w:shd w:val="clear" w:color="auto" w:fill="FFFFFF"/>
        </w:rPr>
      </w:pPr>
      <w:r>
        <w:rPr>
          <w:rFonts w:hint="eastAsia" w:ascii="楷体_GB2312" w:hAnsi="楷体_GB2312" w:eastAsia="楷体_GB2312" w:cs="楷体_GB2312"/>
          <w:b/>
          <w:bCs/>
          <w:color w:val="000000"/>
          <w:spacing w:val="-23"/>
          <w:sz w:val="32"/>
          <w:szCs w:val="32"/>
          <w:shd w:val="clear" w:color="auto" w:fill="FFFFFF"/>
        </w:rPr>
        <w:t>（三）</w:t>
      </w:r>
      <w:r>
        <w:rPr>
          <w:rFonts w:hint="eastAsia" w:ascii="楷体_GB2312" w:hAnsi="楷体_GB2312" w:eastAsia="楷体_GB2312" w:cs="楷体_GB2312"/>
          <w:b/>
          <w:bCs/>
          <w:color w:val="000000"/>
          <w:sz w:val="32"/>
          <w:szCs w:val="32"/>
          <w:shd w:val="clear" w:color="auto" w:fill="FFFFFF"/>
        </w:rPr>
        <w:t>预算绩效目标情况</w:t>
      </w:r>
    </w:p>
    <w:p w14:paraId="59871187">
      <w:pPr>
        <w:pStyle w:val="7"/>
        <w:widowControl/>
        <w:shd w:val="clear" w:color="auto" w:fill="FFFFFF"/>
        <w:snapToGrid w:val="0"/>
        <w:spacing w:before="0" w:beforeAutospacing="0" w:after="0" w:afterAutospacing="0" w:line="520" w:lineRule="exact"/>
        <w:ind w:firstLine="560" w:firstLineChars="200"/>
        <w:jc w:val="both"/>
        <w:rPr>
          <w:rFonts w:ascii="仿宋" w:hAnsi="仿宋" w:eastAsia="仿宋" w:cs="仿宋_GB2312"/>
          <w:color w:val="000000"/>
          <w:sz w:val="28"/>
          <w:szCs w:val="28"/>
          <w:shd w:val="clear" w:color="auto" w:fill="FFFFFF"/>
        </w:rPr>
      </w:pPr>
      <w:r>
        <w:rPr>
          <w:rFonts w:hint="eastAsia" w:ascii="仿宋" w:hAnsi="仿宋" w:eastAsia="仿宋" w:cs="仿宋_GB2312"/>
          <w:color w:val="000000"/>
          <w:sz w:val="28"/>
          <w:szCs w:val="28"/>
          <w:shd w:val="clear" w:color="auto" w:fill="FFFFFF"/>
        </w:rPr>
        <w:t>1.绩效目标：免费开展日常借阅服务，推广中华优秀文化，开展流动图书阅读推广读书宣传活动。</w:t>
      </w:r>
    </w:p>
    <w:p w14:paraId="449AF03B">
      <w:pPr>
        <w:pStyle w:val="7"/>
        <w:widowControl/>
        <w:shd w:val="clear" w:color="auto" w:fill="FFFFFF"/>
        <w:snapToGrid w:val="0"/>
        <w:spacing w:before="0" w:beforeAutospacing="0" w:after="0" w:afterAutospacing="0" w:line="520" w:lineRule="exact"/>
        <w:ind w:firstLine="560" w:firstLineChars="200"/>
        <w:jc w:val="both"/>
        <w:rPr>
          <w:rFonts w:ascii="仿宋" w:hAnsi="仿宋" w:eastAsia="仿宋" w:cs="仿宋"/>
          <w:sz w:val="28"/>
          <w:szCs w:val="28"/>
        </w:rPr>
      </w:pPr>
      <w:r>
        <w:rPr>
          <w:rFonts w:hint="eastAsia" w:ascii="仿宋" w:hAnsi="仿宋" w:eastAsia="仿宋" w:cs="仿宋_GB2312"/>
          <w:color w:val="000000"/>
          <w:sz w:val="28"/>
          <w:szCs w:val="28"/>
          <w:shd w:val="clear" w:color="auto" w:fill="FFFFFF"/>
        </w:rPr>
        <w:t>2.绩效指标：</w:t>
      </w:r>
      <w:r>
        <w:rPr>
          <w:rFonts w:hint="eastAsia" w:ascii="仿宋" w:hAnsi="仿宋" w:eastAsia="仿宋" w:cs="仿宋"/>
          <w:sz w:val="28"/>
          <w:szCs w:val="28"/>
        </w:rPr>
        <w:t>3个一级指标，9个二级指标，10个三级指标按时间截点较好的完成。</w:t>
      </w:r>
    </w:p>
    <w:p w14:paraId="414033DE">
      <w:pPr>
        <w:pStyle w:val="7"/>
        <w:widowControl/>
        <w:shd w:val="clear" w:color="auto" w:fill="FFFFFF"/>
        <w:snapToGrid w:val="0"/>
        <w:spacing w:before="0" w:beforeAutospacing="0" w:after="0" w:afterAutospacing="0" w:line="520" w:lineRule="exact"/>
        <w:ind w:firstLine="640" w:firstLineChars="200"/>
        <w:jc w:val="both"/>
        <w:rPr>
          <w:rFonts w:ascii="仿宋_GB2312" w:hAnsi="Calibri" w:eastAsia="仿宋_GB2312" w:cs="仿宋_GB2312"/>
          <w:color w:val="000000"/>
          <w:sz w:val="32"/>
          <w:szCs w:val="32"/>
          <w:shd w:val="clear" w:color="auto" w:fill="FFFFFF"/>
        </w:rPr>
      </w:pPr>
      <w:r>
        <w:rPr>
          <w:rFonts w:hint="eastAsia" w:ascii="黑体" w:hAnsi="黑体" w:eastAsia="黑体" w:cs="黑体"/>
          <w:color w:val="000000"/>
          <w:sz w:val="32"/>
          <w:szCs w:val="32"/>
          <w:shd w:val="clear" w:color="auto" w:fill="FFFFFF"/>
        </w:rPr>
        <w:t>二、绩效评价工作情况</w:t>
      </w:r>
    </w:p>
    <w:p w14:paraId="5D7DA953">
      <w:pPr>
        <w:snapToGrid w:val="0"/>
        <w:spacing w:line="520" w:lineRule="exact"/>
        <w:ind w:firstLine="468" w:firstLineChars="200"/>
        <w:rPr>
          <w:rFonts w:ascii="仿宋" w:hAnsi="仿宋" w:eastAsia="仿宋" w:cs="楷体_GB2312"/>
          <w:color w:val="000000"/>
          <w:spacing w:val="-23"/>
          <w:kern w:val="0"/>
          <w:sz w:val="28"/>
          <w:szCs w:val="28"/>
          <w:shd w:val="clear" w:color="auto" w:fill="FFFFFF"/>
        </w:rPr>
      </w:pPr>
      <w:r>
        <w:rPr>
          <w:rFonts w:hint="eastAsia" w:ascii="仿宋" w:hAnsi="仿宋" w:eastAsia="仿宋" w:cs="楷体_GB2312"/>
          <w:color w:val="000000"/>
          <w:spacing w:val="-23"/>
          <w:kern w:val="0"/>
          <w:sz w:val="28"/>
          <w:szCs w:val="28"/>
          <w:shd w:val="clear" w:color="auto" w:fill="FFFFFF"/>
        </w:rPr>
        <w:t>绩效评价开展情况。按照此次绩效评价的相关要求，为了做好万单位项目支出绩效评价工作，我单位成立了以馆长为组长，副馆长和工作人员为成员的项目支出绩效评价小组，采用综合评价法，以定性分析与定量分析相结合，实事求是地全面分析评价项目的绩效情况。通过规范程序，保证了评价依据的充分有效，及时完成了项目的绩效评价工作。</w:t>
      </w:r>
    </w:p>
    <w:p w14:paraId="1D7051A2">
      <w:pPr>
        <w:snapToGrid w:val="0"/>
        <w:spacing w:line="520" w:lineRule="exact"/>
        <w:ind w:firstLine="468"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spacing w:val="-23"/>
          <w:kern w:val="0"/>
          <w:sz w:val="28"/>
          <w:szCs w:val="28"/>
          <w:shd w:val="clear" w:color="auto" w:fill="FFFFFF"/>
        </w:rPr>
        <w:t>经自评，项目已基本按照方案实施，项目支出达到预期绩效目标。根据对会同县图书馆专项资金项目绩效评价共性指标体系自检自评结果统计，2023年我单位专项资金项目绩效自评为“优”，自查评分为96分。</w:t>
      </w:r>
    </w:p>
    <w:p w14:paraId="3B168DE5">
      <w:pPr>
        <w:snapToGrid w:val="0"/>
        <w:spacing w:line="520" w:lineRule="exact"/>
        <w:ind w:firstLine="640" w:firstLineChars="200"/>
        <w:outlineLvl w:val="0"/>
        <w:rPr>
          <w:rFonts w:ascii="黑体" w:hAnsi="黑体" w:eastAsia="黑体" w:cs="黑体"/>
          <w:color w:val="000000"/>
          <w:kern w:val="0"/>
          <w:sz w:val="32"/>
          <w:szCs w:val="32"/>
          <w:shd w:val="clear" w:color="auto" w:fill="FFFFFF"/>
        </w:rPr>
      </w:pPr>
      <w:bookmarkStart w:id="1" w:name="_Toc32076"/>
      <w:bookmarkStart w:id="2" w:name="_Toc7615"/>
      <w:r>
        <w:rPr>
          <w:rFonts w:hint="eastAsia" w:ascii="黑体" w:hAnsi="黑体" w:eastAsia="黑体" w:cs="黑体"/>
          <w:color w:val="000000"/>
          <w:kern w:val="0"/>
          <w:sz w:val="32"/>
          <w:szCs w:val="32"/>
          <w:shd w:val="clear" w:color="auto" w:fill="FFFFFF"/>
        </w:rPr>
        <w:t>三、主要绩效及评价结论</w:t>
      </w:r>
      <w:bookmarkEnd w:id="1"/>
      <w:bookmarkEnd w:id="2"/>
    </w:p>
    <w:p w14:paraId="67BC4234">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社会效益</w:t>
      </w:r>
    </w:p>
    <w:p w14:paraId="2356FEA9">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kern w:val="0"/>
          <w:sz w:val="28"/>
          <w:szCs w:val="28"/>
          <w:shd w:val="clear" w:color="auto" w:fill="FFFFFF"/>
        </w:rPr>
        <w:t>专项经费的安排有效地保障了图书馆的日常工作顺利开展，提高了品牌的知名度，推广了文化的交流与传播。</w:t>
      </w:r>
    </w:p>
    <w:p w14:paraId="3215933C">
      <w:pPr>
        <w:snapToGrid w:val="0"/>
        <w:spacing w:line="520" w:lineRule="exact"/>
        <w:rPr>
          <w:rFonts w:ascii="仿宋" w:hAnsi="仿宋" w:eastAsia="仿宋" w:cs="仿宋"/>
          <w:sz w:val="28"/>
          <w:szCs w:val="28"/>
        </w:rPr>
      </w:pPr>
      <w:r>
        <w:rPr>
          <w:rFonts w:hint="eastAsia" w:ascii="楷体_GB2312" w:hAnsi="楷体_GB2312" w:eastAsia="楷体_GB2312" w:cs="楷体_GB2312"/>
          <w:color w:val="000000"/>
          <w:spacing w:val="-23"/>
          <w:kern w:val="0"/>
          <w:sz w:val="32"/>
          <w:szCs w:val="32"/>
          <w:shd w:val="clear" w:color="auto" w:fill="FFFFFF"/>
        </w:rPr>
        <w:t xml:space="preserve">     （二）</w:t>
      </w:r>
      <w:r>
        <w:rPr>
          <w:rFonts w:hint="eastAsia" w:ascii="楷体_GB2312" w:hAnsi="楷体_GB2312" w:eastAsia="楷体_GB2312" w:cs="楷体_GB2312"/>
          <w:color w:val="000000"/>
          <w:kern w:val="0"/>
          <w:sz w:val="32"/>
          <w:szCs w:val="32"/>
          <w:shd w:val="clear" w:color="auto" w:fill="FFFFFF"/>
        </w:rPr>
        <w:t>生态效益</w:t>
      </w:r>
      <w:r>
        <w:rPr>
          <w:rFonts w:hint="eastAsia" w:ascii="仿宋" w:hAnsi="仿宋" w:eastAsia="仿宋" w:cs="仿宋"/>
          <w:sz w:val="28"/>
          <w:szCs w:val="28"/>
        </w:rPr>
        <w:t>：</w:t>
      </w:r>
    </w:p>
    <w:p w14:paraId="67F97FB4">
      <w:pPr>
        <w:snapToGrid w:val="0"/>
        <w:spacing w:line="520" w:lineRule="exact"/>
        <w:rPr>
          <w:rFonts w:ascii="楷体_GB2312" w:hAnsi="楷体_GB2312" w:eastAsia="楷体_GB2312" w:cs="楷体_GB2312"/>
          <w:color w:val="000000"/>
          <w:kern w:val="0"/>
          <w:sz w:val="32"/>
          <w:szCs w:val="32"/>
          <w:shd w:val="clear" w:color="auto" w:fill="FFFFFF"/>
        </w:rPr>
      </w:pPr>
      <w:r>
        <w:rPr>
          <w:rFonts w:hint="eastAsia" w:ascii="仿宋" w:hAnsi="仿宋" w:eastAsia="仿宋" w:cs="仿宋"/>
          <w:sz w:val="28"/>
          <w:szCs w:val="28"/>
        </w:rPr>
        <w:t xml:space="preserve">    生态效益效果明显</w:t>
      </w:r>
    </w:p>
    <w:p w14:paraId="7DD32A49">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（三）</w:t>
      </w:r>
      <w:r>
        <w:rPr>
          <w:rFonts w:hint="eastAsia" w:ascii="楷体_GB2312" w:hAnsi="楷体_GB2312" w:eastAsia="楷体_GB2312" w:cs="楷体_GB2312"/>
          <w:color w:val="000000"/>
          <w:kern w:val="0"/>
          <w:sz w:val="32"/>
          <w:szCs w:val="32"/>
          <w:shd w:val="clear" w:color="auto" w:fill="FFFFFF"/>
        </w:rPr>
        <w:t>可持续影响</w:t>
      </w:r>
    </w:p>
    <w:p w14:paraId="509C1AF7">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kern w:val="0"/>
          <w:sz w:val="28"/>
          <w:szCs w:val="28"/>
          <w:shd w:val="clear" w:color="auto" w:fill="FFFFFF"/>
        </w:rPr>
        <w:t>2023年我单位项目效果开展取得了社会的一致认可，改善了服务环境，提高了服务质量，有效地引导了人民群众的思想。</w:t>
      </w:r>
    </w:p>
    <w:p w14:paraId="5B537B7A">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（四）</w:t>
      </w:r>
      <w:r>
        <w:rPr>
          <w:rFonts w:hint="eastAsia" w:ascii="楷体_GB2312" w:hAnsi="楷体_GB2312" w:eastAsia="楷体_GB2312" w:cs="楷体_GB2312"/>
          <w:color w:val="000000"/>
          <w:kern w:val="0"/>
          <w:sz w:val="32"/>
          <w:szCs w:val="32"/>
          <w:shd w:val="clear" w:color="auto" w:fill="FFFFFF"/>
        </w:rPr>
        <w:t>满意度情况</w:t>
      </w:r>
    </w:p>
    <w:p w14:paraId="7759FFF2">
      <w:pPr>
        <w:snapToGrid w:val="0"/>
        <w:spacing w:line="520" w:lineRule="exact"/>
        <w:ind w:firstLine="560"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kern w:val="0"/>
          <w:sz w:val="28"/>
          <w:szCs w:val="28"/>
          <w:shd w:val="clear" w:color="auto" w:fill="FFFFFF"/>
        </w:rPr>
        <w:t>对广大读者进行的访问，读者对环境和服务的满意率达到了95%以上</w:t>
      </w:r>
    </w:p>
    <w:p w14:paraId="6E6DBF4E">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（五）</w:t>
      </w:r>
      <w:r>
        <w:rPr>
          <w:rFonts w:hint="eastAsia" w:ascii="楷体_GB2312" w:hAnsi="楷体_GB2312" w:eastAsia="楷体_GB2312" w:cs="楷体_GB2312"/>
          <w:color w:val="000000"/>
          <w:kern w:val="0"/>
          <w:sz w:val="32"/>
          <w:szCs w:val="32"/>
          <w:shd w:val="clear" w:color="auto" w:fill="FFFFFF"/>
        </w:rPr>
        <w:t>评价结论</w:t>
      </w:r>
    </w:p>
    <w:p w14:paraId="7B77524F">
      <w:pPr>
        <w:snapToGrid w:val="0"/>
        <w:spacing w:line="520" w:lineRule="exact"/>
        <w:ind w:firstLine="468" w:firstLineChars="200"/>
        <w:rPr>
          <w:rFonts w:ascii="仿宋" w:hAnsi="仿宋" w:eastAsia="仿宋" w:cs="楷体_GB2312"/>
          <w:color w:val="000000"/>
          <w:kern w:val="0"/>
          <w:sz w:val="28"/>
          <w:szCs w:val="28"/>
          <w:shd w:val="clear" w:color="auto" w:fill="FFFFFF"/>
        </w:rPr>
      </w:pPr>
      <w:r>
        <w:rPr>
          <w:rFonts w:hint="eastAsia" w:ascii="仿宋" w:hAnsi="仿宋" w:eastAsia="仿宋" w:cs="楷体_GB2312"/>
          <w:color w:val="000000"/>
          <w:spacing w:val="-23"/>
          <w:kern w:val="0"/>
          <w:sz w:val="28"/>
          <w:szCs w:val="28"/>
          <w:shd w:val="clear" w:color="auto" w:fill="FFFFFF"/>
        </w:rPr>
        <w:t>经自评，项目已基本按照方案实施，项目支出达到预期绩效目标。根据对会同县图书馆专项资金项目绩效评价共性指标体系自检自评结果统计，2023年我单位专项资金项目绩效自评为“优”，自查评分为96分。</w:t>
      </w:r>
    </w:p>
    <w:p w14:paraId="33DF443F">
      <w:pPr>
        <w:snapToGrid w:val="0"/>
        <w:spacing w:line="520" w:lineRule="exact"/>
        <w:ind w:firstLine="640" w:firstLineChars="200"/>
        <w:outlineLvl w:val="0"/>
        <w:rPr>
          <w:rFonts w:ascii="黑体" w:hAnsi="黑体" w:eastAsia="黑体" w:cs="黑体"/>
          <w:color w:val="000000"/>
          <w:kern w:val="0"/>
          <w:sz w:val="32"/>
          <w:szCs w:val="32"/>
          <w:shd w:val="clear" w:color="auto" w:fill="FFFFFF"/>
        </w:rPr>
      </w:pPr>
      <w:bookmarkStart w:id="3" w:name="_Toc16332"/>
      <w:bookmarkStart w:id="4" w:name="_Toc27541"/>
      <w:r>
        <w:rPr>
          <w:rFonts w:hint="eastAsia" w:ascii="黑体" w:hAnsi="黑体" w:eastAsia="黑体" w:cs="黑体"/>
          <w:color w:val="000000"/>
          <w:kern w:val="0"/>
          <w:sz w:val="32"/>
          <w:szCs w:val="32"/>
          <w:shd w:val="clear" w:color="auto" w:fill="FFFFFF"/>
        </w:rPr>
        <w:t>四、绩效评价指标分析</w:t>
      </w:r>
      <w:bookmarkEnd w:id="3"/>
      <w:bookmarkEnd w:id="4"/>
    </w:p>
    <w:p w14:paraId="64C05EB2">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bookmarkStart w:id="5" w:name="_Toc17679"/>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项目决策情况</w:t>
      </w:r>
      <w:bookmarkEnd w:id="5"/>
    </w:p>
    <w:p w14:paraId="57DA6815">
      <w:pPr>
        <w:spacing w:line="520" w:lineRule="exact"/>
        <w:ind w:firstLine="840" w:firstLineChars="300"/>
        <w:rPr>
          <w:rFonts w:ascii="仿宋" w:hAnsi="仿宋" w:eastAsia="仿宋" w:cs="仿宋"/>
          <w:sz w:val="28"/>
          <w:szCs w:val="28"/>
        </w:rPr>
      </w:pPr>
      <w:r>
        <w:rPr>
          <w:rFonts w:hint="eastAsia" w:ascii="仿宋" w:hAnsi="仿宋" w:eastAsia="仿宋" w:cs="仿宋"/>
          <w:sz w:val="28"/>
          <w:szCs w:val="28"/>
        </w:rPr>
        <w:t>多部门协作共同参与绩效目标的制定，确保目标的合理性和可行性</w:t>
      </w:r>
      <w:r>
        <w:rPr>
          <w:rFonts w:hint="eastAsia" w:ascii="仿宋" w:hAnsi="仿宋" w:eastAsia="仿宋" w:cs="仿宋"/>
          <w:color w:val="333333"/>
          <w:sz w:val="28"/>
          <w:szCs w:val="28"/>
          <w:shd w:val="clear" w:color="auto" w:fill="FFFFFF"/>
        </w:rPr>
        <w:t>根据项目的阶段和内容，确定哪些方面的决策需要被记录和总结，包括目标、资源、进度、风险等方面。梳理并整理决策信息：收集和整理涉及到的各种决策信息，包括决策的时间、主要内容、影响因素和决策结果等方面。分析和评价决策效果：对每一项决策进行分析和评价，考察其是否符合预期目标，产生积极的效果，以及存在的问题和不足之处等。提炼并总结经验教训：根据项目决策的具体情况，提炼出可供复制和推广的经验和成功做法，并总结出不易重复和规避的教训和失败原因。</w:t>
      </w:r>
    </w:p>
    <w:p w14:paraId="30ECD0B1">
      <w:pPr>
        <w:snapToGrid w:val="0"/>
        <w:spacing w:line="520" w:lineRule="exact"/>
        <w:ind w:firstLine="548" w:firstLineChars="200"/>
        <w:rPr>
          <w:rFonts w:ascii="楷体_GB2312" w:hAnsi="楷体_GB2312" w:eastAsia="楷体_GB2312" w:cs="楷体_GB2312"/>
          <w:color w:val="000000"/>
          <w:kern w:val="0"/>
          <w:sz w:val="32"/>
          <w:szCs w:val="32"/>
          <w:shd w:val="clear" w:color="auto" w:fill="FFFFFF"/>
        </w:rPr>
      </w:pPr>
      <w:bookmarkStart w:id="6" w:name="_Toc28411"/>
      <w:r>
        <w:rPr>
          <w:rFonts w:hint="eastAsia" w:ascii="楷体_GB2312" w:hAnsi="楷体_GB2312" w:eastAsia="楷体_GB2312" w:cs="楷体_GB2312"/>
          <w:color w:val="000000"/>
          <w:spacing w:val="-23"/>
          <w:kern w:val="0"/>
          <w:sz w:val="32"/>
          <w:szCs w:val="32"/>
          <w:shd w:val="clear" w:color="auto" w:fill="FFFFFF"/>
        </w:rPr>
        <w:t>（二）</w:t>
      </w:r>
      <w:r>
        <w:rPr>
          <w:rFonts w:hint="eastAsia" w:ascii="楷体_GB2312" w:hAnsi="楷体_GB2312" w:eastAsia="楷体_GB2312" w:cs="楷体_GB2312"/>
          <w:color w:val="000000"/>
          <w:kern w:val="0"/>
          <w:sz w:val="32"/>
          <w:szCs w:val="32"/>
          <w:shd w:val="clear" w:color="auto" w:fill="FFFFFF"/>
        </w:rPr>
        <w:t>项目过程情况</w:t>
      </w:r>
      <w:bookmarkEnd w:id="6"/>
    </w:p>
    <w:p w14:paraId="70A709CB">
      <w:pPr>
        <w:snapToGrid w:val="0"/>
        <w:spacing w:line="520" w:lineRule="exact"/>
        <w:ind w:firstLine="640" w:firstLineChars="200"/>
        <w:outlineLvl w:val="2"/>
        <w:rPr>
          <w:rFonts w:ascii="仿宋_GB2312" w:hAnsi="Calibri" w:eastAsia="仿宋_GB2312" w:cs="仿宋_GB2312"/>
          <w:color w:val="000000"/>
          <w:kern w:val="0"/>
          <w:sz w:val="32"/>
          <w:szCs w:val="32"/>
          <w:shd w:val="clear" w:color="auto" w:fill="FFFFFF"/>
        </w:rPr>
      </w:pPr>
      <w:bookmarkStart w:id="7" w:name="_Toc10140"/>
      <w:r>
        <w:rPr>
          <w:rFonts w:hint="eastAsia" w:ascii="仿宋_GB2312" w:hAnsi="Calibri" w:eastAsia="仿宋_GB2312" w:cs="仿宋_GB2312"/>
          <w:color w:val="000000"/>
          <w:kern w:val="0"/>
          <w:sz w:val="32"/>
          <w:szCs w:val="32"/>
          <w:shd w:val="clear" w:color="auto" w:fill="FFFFFF"/>
        </w:rPr>
        <w:t>1.资金管理</w:t>
      </w:r>
      <w:bookmarkEnd w:id="7"/>
    </w:p>
    <w:p w14:paraId="038F9597">
      <w:pPr>
        <w:snapToGrid w:val="0"/>
        <w:spacing w:line="520" w:lineRule="exact"/>
        <w:ind w:firstLine="560" w:firstLineChars="200"/>
        <w:outlineLvl w:val="2"/>
        <w:rPr>
          <w:rFonts w:ascii="仿宋_GB2312" w:hAnsi="Calibri" w:eastAsia="仿宋_GB2312" w:cs="仿宋_GB2312"/>
          <w:color w:val="000000"/>
          <w:kern w:val="0"/>
          <w:sz w:val="28"/>
          <w:szCs w:val="28"/>
          <w:shd w:val="clear" w:color="auto" w:fill="FFFFFF"/>
        </w:rPr>
      </w:pPr>
      <w:r>
        <w:rPr>
          <w:rFonts w:hint="eastAsia" w:ascii="仿宋" w:hAnsi="仿宋" w:eastAsia="仿宋" w:cs="仿宋"/>
          <w:sz w:val="28"/>
          <w:szCs w:val="28"/>
        </w:rPr>
        <w:t>制定了《专项资金管理办法》，按照《会计法》，资金专款专用，由业务股室制订项目资金使用计划，分管领导审核，交馆务会议研究批准，走政府采购、招标程序，按项目进度拨款，重大项目必须经过全馆会议讨论，并上报局党组，再交予财政审核，完工结算经过财政评审、文旅局验收才能进行项目完工结算。无截留、挤占、挪用、虚列开支，支出时依据合理合规，无虚列套取。</w:t>
      </w:r>
    </w:p>
    <w:p w14:paraId="521532E0">
      <w:pPr>
        <w:snapToGrid w:val="0"/>
        <w:spacing w:line="520" w:lineRule="exact"/>
        <w:ind w:firstLine="640" w:firstLineChars="200"/>
        <w:outlineLvl w:val="2"/>
        <w:rPr>
          <w:rFonts w:ascii="仿宋_GB2312" w:hAnsi="Calibri" w:eastAsia="仿宋_GB2312" w:cs="仿宋_GB2312"/>
          <w:color w:val="000000"/>
          <w:kern w:val="0"/>
          <w:sz w:val="32"/>
          <w:szCs w:val="32"/>
          <w:shd w:val="clear" w:color="auto" w:fill="FFFFFF"/>
        </w:rPr>
      </w:pPr>
      <w:bookmarkStart w:id="8" w:name="_Toc1210"/>
      <w:r>
        <w:rPr>
          <w:rFonts w:hint="eastAsia" w:ascii="仿宋_GB2312" w:hAnsi="Calibri" w:eastAsia="仿宋_GB2312" w:cs="仿宋_GB2312"/>
          <w:color w:val="000000"/>
          <w:kern w:val="0"/>
          <w:sz w:val="32"/>
          <w:szCs w:val="32"/>
          <w:shd w:val="clear" w:color="auto" w:fill="FFFFFF"/>
        </w:rPr>
        <w:t>2.项目实施</w:t>
      </w:r>
      <w:bookmarkEnd w:id="8"/>
    </w:p>
    <w:p w14:paraId="13CEF136">
      <w:pPr>
        <w:snapToGrid w:val="0"/>
        <w:spacing w:line="520" w:lineRule="exact"/>
        <w:ind w:firstLine="560" w:firstLineChars="200"/>
        <w:outlineLvl w:val="2"/>
        <w:rPr>
          <w:rFonts w:ascii="仿宋_GB2312" w:hAnsi="Calibri" w:eastAsia="仿宋_GB2312" w:cs="仿宋_GB2312"/>
          <w:color w:val="000000"/>
          <w:kern w:val="0"/>
          <w:sz w:val="32"/>
          <w:szCs w:val="32"/>
          <w:shd w:val="clear" w:color="auto" w:fill="FFFFFF"/>
        </w:rPr>
      </w:pPr>
      <w:r>
        <w:rPr>
          <w:rFonts w:hint="eastAsia" w:ascii="仿宋" w:hAnsi="仿宋" w:eastAsia="仿宋" w:cs="仿宋"/>
          <w:color w:val="555555"/>
          <w:sz w:val="28"/>
          <w:szCs w:val="28"/>
          <w:shd w:val="clear" w:color="auto" w:fill="FFFFFF"/>
        </w:rPr>
        <w:t xml:space="preserve"> 我馆制定了一系列规章制度，如《财务管理制度》、《经费管理办法》、《专项资金管理制度》等，建立了“有章可依、有章必循、违章必究”的管理机制，成立了工作领导小组，严格财务程序，强化报销环节管理，认真落实经办人、经费使用单位分管领导及主要负责人的责任，为项目依法管理营造了良好的组织管理环境。</w:t>
      </w:r>
    </w:p>
    <w:p w14:paraId="5DAEA173">
      <w:pPr>
        <w:pStyle w:val="8"/>
        <w:snapToGrid w:val="0"/>
        <w:spacing w:line="520" w:lineRule="exact"/>
        <w:ind w:firstLine="548"/>
        <w:outlineLvl w:val="1"/>
        <w:rPr>
          <w:rFonts w:ascii="楷体_GB2312" w:hAnsi="楷体_GB2312" w:eastAsia="楷体_GB2312" w:cs="楷体_GB2312"/>
          <w:color w:val="000000"/>
          <w:kern w:val="0"/>
          <w:szCs w:val="32"/>
          <w:shd w:val="clear" w:color="auto" w:fill="FFFFFF"/>
        </w:rPr>
      </w:pPr>
      <w:bookmarkStart w:id="9" w:name="_Toc6604"/>
      <w:r>
        <w:rPr>
          <w:rFonts w:hint="eastAsia" w:ascii="楷体_GB2312" w:hAnsi="楷体_GB2312" w:eastAsia="楷体_GB2312" w:cs="楷体_GB2312"/>
          <w:color w:val="000000"/>
          <w:spacing w:val="-23"/>
          <w:kern w:val="0"/>
          <w:szCs w:val="32"/>
          <w:shd w:val="clear" w:color="auto" w:fill="FFFFFF"/>
        </w:rPr>
        <w:t>（三）</w:t>
      </w:r>
      <w:r>
        <w:rPr>
          <w:rFonts w:hint="eastAsia" w:ascii="楷体_GB2312" w:hAnsi="楷体_GB2312" w:eastAsia="楷体_GB2312" w:cs="楷体_GB2312"/>
          <w:color w:val="000000"/>
          <w:kern w:val="0"/>
          <w:szCs w:val="32"/>
          <w:shd w:val="clear" w:color="auto" w:fill="FFFFFF"/>
        </w:rPr>
        <w:t>项目产出情况</w:t>
      </w:r>
      <w:bookmarkEnd w:id="9"/>
    </w:p>
    <w:p w14:paraId="4AB2F8BD">
      <w:pPr>
        <w:pStyle w:val="8"/>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0" w:name="_Toc20742"/>
      <w:r>
        <w:rPr>
          <w:rFonts w:hint="eastAsia" w:ascii="仿宋_GB2312" w:hAnsi="Calibri" w:eastAsia="仿宋_GB2312" w:cs="仿宋_GB2312"/>
          <w:color w:val="000000"/>
          <w:kern w:val="0"/>
          <w:szCs w:val="32"/>
          <w:shd w:val="clear" w:color="auto" w:fill="FFFFFF"/>
        </w:rPr>
        <w:t>1.产出数量</w:t>
      </w:r>
      <w:bookmarkEnd w:id="10"/>
    </w:p>
    <w:p w14:paraId="1A710CE6">
      <w:pPr>
        <w:pStyle w:val="8"/>
        <w:snapToGrid w:val="0"/>
        <w:spacing w:line="520" w:lineRule="exact"/>
        <w:ind w:firstLine="560"/>
        <w:outlineLvl w:val="2"/>
        <w:rPr>
          <w:rFonts w:ascii="仿宋_GB2312" w:hAnsi="Calibri" w:eastAsia="仿宋_GB2312" w:cs="仿宋_GB2312"/>
          <w:color w:val="000000"/>
          <w:kern w:val="0"/>
          <w:szCs w:val="32"/>
          <w:shd w:val="clear" w:color="auto" w:fill="FFFFFF"/>
        </w:rPr>
      </w:pPr>
      <w:r>
        <w:rPr>
          <w:rFonts w:hint="eastAsia" w:ascii="仿宋" w:hAnsi="仿宋" w:eastAsia="仿宋" w:cs="仿宋"/>
          <w:sz w:val="28"/>
          <w:szCs w:val="28"/>
        </w:rPr>
        <w:t>2023年我馆</w:t>
      </w:r>
      <w:r>
        <w:rPr>
          <w:rFonts w:ascii="仿宋" w:hAnsi="仿宋" w:eastAsia="仿宋"/>
          <w:spacing w:val="-3"/>
          <w:sz w:val="28"/>
          <w:szCs w:val="28"/>
        </w:rPr>
        <w:t>总流通6.2986 万人次，书刊外借7.9104 万册次，举办讲座35次，</w:t>
      </w:r>
      <w:r>
        <w:rPr>
          <w:rFonts w:ascii="仿宋" w:hAnsi="仿宋" w:eastAsia="仿宋"/>
          <w:spacing w:val="-7"/>
          <w:sz w:val="28"/>
          <w:szCs w:val="28"/>
        </w:rPr>
        <w:t>举办展览27次，举办培训班13次。2023 年共计接待到馆读者7.0329万</w:t>
      </w:r>
      <w:r>
        <w:rPr>
          <w:rFonts w:ascii="仿宋" w:hAnsi="仿宋" w:eastAsia="仿宋"/>
          <w:spacing w:val="-8"/>
          <w:sz w:val="28"/>
          <w:szCs w:val="28"/>
        </w:rPr>
        <w:t>人次，</w:t>
      </w:r>
      <w:r>
        <w:rPr>
          <w:rFonts w:ascii="仿宋" w:hAnsi="仿宋" w:eastAsia="仿宋"/>
          <w:spacing w:val="-2"/>
          <w:sz w:val="28"/>
          <w:szCs w:val="28"/>
        </w:rPr>
        <w:t>其中鸣鹿书屋接待读者1.3578 万人</w:t>
      </w:r>
      <w:r>
        <w:rPr>
          <w:rFonts w:ascii="仿宋" w:hAnsi="仿宋" w:eastAsia="仿宋"/>
          <w:spacing w:val="-3"/>
          <w:sz w:val="28"/>
          <w:szCs w:val="28"/>
        </w:rPr>
        <w:t>次。</w:t>
      </w:r>
    </w:p>
    <w:p w14:paraId="157F4F28">
      <w:pPr>
        <w:pStyle w:val="8"/>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1" w:name="_Toc5372"/>
      <w:r>
        <w:rPr>
          <w:rFonts w:hint="eastAsia" w:ascii="仿宋_GB2312" w:hAnsi="Calibri" w:eastAsia="仿宋_GB2312" w:cs="仿宋_GB2312"/>
          <w:color w:val="000000"/>
          <w:kern w:val="0"/>
          <w:szCs w:val="32"/>
          <w:shd w:val="clear" w:color="auto" w:fill="FFFFFF"/>
        </w:rPr>
        <w:t>2.产出质量</w:t>
      </w:r>
      <w:bookmarkEnd w:id="11"/>
    </w:p>
    <w:p w14:paraId="31394159">
      <w:pPr>
        <w:pStyle w:val="8"/>
        <w:snapToGrid w:val="0"/>
        <w:spacing w:line="520" w:lineRule="exact"/>
        <w:ind w:firstLine="560"/>
        <w:outlineLvl w:val="2"/>
        <w:rPr>
          <w:rFonts w:ascii="仿宋" w:hAnsi="仿宋" w:eastAsia="仿宋" w:cs="仿宋_GB2312"/>
          <w:color w:val="000000"/>
          <w:kern w:val="0"/>
          <w:sz w:val="28"/>
          <w:szCs w:val="28"/>
          <w:shd w:val="clear" w:color="auto" w:fill="FFFFFF"/>
        </w:rPr>
      </w:pPr>
      <w:r>
        <w:rPr>
          <w:rFonts w:hint="eastAsia" w:ascii="仿宋" w:hAnsi="仿宋" w:eastAsia="仿宋" w:cs="仿宋_GB2312"/>
          <w:color w:val="000000"/>
          <w:kern w:val="0"/>
          <w:sz w:val="28"/>
          <w:szCs w:val="28"/>
          <w:shd w:val="clear" w:color="auto" w:fill="FFFFFF"/>
        </w:rPr>
        <w:t>满足不同阶层、年龄段的阅读需求，为会同县图书馆被评为： “国家二级图书馆”打下了基础。</w:t>
      </w:r>
    </w:p>
    <w:p w14:paraId="357731C0">
      <w:pPr>
        <w:pStyle w:val="8"/>
        <w:snapToGrid w:val="0"/>
        <w:spacing w:line="520" w:lineRule="exact"/>
        <w:ind w:firstLine="640"/>
        <w:outlineLvl w:val="2"/>
        <w:rPr>
          <w:rFonts w:ascii="仿宋_GB2312" w:hAnsi="Calibri" w:eastAsia="仿宋_GB2312" w:cs="仿宋_GB2312"/>
          <w:color w:val="000000"/>
          <w:kern w:val="0"/>
          <w:szCs w:val="32"/>
          <w:shd w:val="clear" w:color="auto" w:fill="FFFFFF"/>
        </w:rPr>
      </w:pPr>
      <w:bookmarkStart w:id="12" w:name="_Toc25948"/>
      <w:r>
        <w:rPr>
          <w:rFonts w:hint="eastAsia" w:ascii="仿宋_GB2312" w:hAnsi="Calibri" w:eastAsia="仿宋_GB2312" w:cs="仿宋_GB2312"/>
          <w:color w:val="000000"/>
          <w:kern w:val="0"/>
          <w:szCs w:val="32"/>
          <w:shd w:val="clear" w:color="auto" w:fill="FFFFFF"/>
        </w:rPr>
        <w:t>3.产出成本</w:t>
      </w:r>
      <w:bookmarkEnd w:id="12"/>
    </w:p>
    <w:p w14:paraId="6DC86F1E">
      <w:pPr>
        <w:pStyle w:val="8"/>
        <w:snapToGrid w:val="0"/>
        <w:spacing w:line="520" w:lineRule="exact"/>
        <w:ind w:firstLine="560"/>
        <w:outlineLvl w:val="2"/>
        <w:rPr>
          <w:rFonts w:ascii="仿宋" w:hAnsi="仿宋" w:eastAsia="仿宋" w:cs="仿宋_GB2312"/>
          <w:color w:val="000000"/>
          <w:kern w:val="0"/>
          <w:sz w:val="28"/>
          <w:szCs w:val="28"/>
          <w:shd w:val="clear" w:color="auto" w:fill="FFFFFF"/>
        </w:rPr>
      </w:pPr>
      <w:r>
        <w:rPr>
          <w:rFonts w:hint="eastAsia" w:ascii="仿宋" w:hAnsi="仿宋" w:eastAsia="仿宋" w:cs="仿宋_GB2312"/>
          <w:color w:val="000000"/>
          <w:kern w:val="0"/>
          <w:sz w:val="28"/>
          <w:szCs w:val="28"/>
          <w:shd w:val="clear" w:color="auto" w:fill="FFFFFF"/>
        </w:rPr>
        <w:t>文化共享项目经费3.5万元</w:t>
      </w:r>
      <w:bookmarkStart w:id="13" w:name="_Toc21477"/>
    </w:p>
    <w:p w14:paraId="11C0C105">
      <w:pPr>
        <w:pStyle w:val="8"/>
        <w:snapToGrid w:val="0"/>
        <w:spacing w:line="520" w:lineRule="exact"/>
        <w:ind w:firstLine="640"/>
        <w:outlineLvl w:val="2"/>
        <w:rPr>
          <w:rFonts w:ascii="仿宋" w:hAnsi="仿宋" w:eastAsia="仿宋" w:cs="仿宋_GB2312"/>
          <w:color w:val="000000"/>
          <w:kern w:val="0"/>
          <w:sz w:val="28"/>
          <w:szCs w:val="28"/>
          <w:shd w:val="clear" w:color="auto" w:fill="FFFFFF"/>
        </w:rPr>
      </w:pPr>
      <w:r>
        <w:rPr>
          <w:rFonts w:hint="eastAsia" w:ascii="仿宋_GB2312" w:hAnsi="Calibri" w:eastAsia="仿宋_GB2312" w:cs="仿宋_GB2312"/>
          <w:color w:val="000000"/>
          <w:kern w:val="0"/>
          <w:szCs w:val="32"/>
          <w:shd w:val="clear" w:color="auto" w:fill="FFFFFF"/>
        </w:rPr>
        <w:t>4.产出时效</w:t>
      </w:r>
      <w:bookmarkEnd w:id="13"/>
    </w:p>
    <w:p w14:paraId="1734B39E">
      <w:pPr>
        <w:pStyle w:val="8"/>
        <w:snapToGrid w:val="0"/>
        <w:spacing w:line="520" w:lineRule="exact"/>
        <w:ind w:firstLine="560"/>
        <w:outlineLvl w:val="2"/>
        <w:rPr>
          <w:rFonts w:ascii="仿宋_GB2312" w:hAnsi="Calibri" w:eastAsia="仿宋_GB2312" w:cs="仿宋_GB2312"/>
          <w:color w:val="000000"/>
          <w:kern w:val="0"/>
          <w:szCs w:val="32"/>
          <w:shd w:val="clear" w:color="auto" w:fill="FFFFFF"/>
        </w:rPr>
      </w:pPr>
      <w:r>
        <w:rPr>
          <w:rFonts w:hint="eastAsia" w:ascii="仿宋" w:hAnsi="仿宋" w:eastAsia="仿宋" w:cs="仿宋"/>
          <w:sz w:val="28"/>
          <w:szCs w:val="28"/>
        </w:rPr>
        <w:t>工作任务2023年12月31日前完成。</w:t>
      </w:r>
    </w:p>
    <w:p w14:paraId="0CD79088">
      <w:pPr>
        <w:pStyle w:val="8"/>
        <w:snapToGrid w:val="0"/>
        <w:spacing w:line="520" w:lineRule="exact"/>
        <w:ind w:firstLine="548"/>
        <w:outlineLvl w:val="1"/>
        <w:rPr>
          <w:rFonts w:ascii="楷体_GB2312" w:hAnsi="楷体_GB2312" w:eastAsia="楷体_GB2312" w:cs="楷体_GB2312"/>
          <w:color w:val="000000"/>
          <w:kern w:val="0"/>
          <w:szCs w:val="32"/>
          <w:shd w:val="clear" w:color="auto" w:fill="FFFFFF"/>
        </w:rPr>
      </w:pPr>
      <w:bookmarkStart w:id="14" w:name="_Toc3072"/>
      <w:bookmarkStart w:id="15" w:name="_Toc12690"/>
      <w:r>
        <w:rPr>
          <w:rFonts w:hint="eastAsia" w:ascii="楷体_GB2312" w:hAnsi="楷体_GB2312" w:eastAsia="楷体_GB2312" w:cs="楷体_GB2312"/>
          <w:color w:val="000000"/>
          <w:spacing w:val="-23"/>
          <w:kern w:val="0"/>
          <w:szCs w:val="32"/>
          <w:shd w:val="clear" w:color="auto" w:fill="FFFFFF"/>
        </w:rPr>
        <w:t>(四)</w:t>
      </w:r>
      <w:r>
        <w:rPr>
          <w:rFonts w:hint="eastAsia" w:ascii="楷体_GB2312" w:hAnsi="楷体_GB2312" w:eastAsia="楷体_GB2312" w:cs="楷体_GB2312"/>
          <w:color w:val="000000"/>
          <w:kern w:val="0"/>
          <w:szCs w:val="32"/>
          <w:shd w:val="clear" w:color="auto" w:fill="FFFFFF"/>
        </w:rPr>
        <w:t>项目效益情况</w:t>
      </w:r>
      <w:bookmarkEnd w:id="14"/>
      <w:bookmarkEnd w:id="15"/>
    </w:p>
    <w:p w14:paraId="1839D4E1">
      <w:pPr>
        <w:spacing w:line="540" w:lineRule="exact"/>
        <w:ind w:firstLine="560"/>
        <w:rPr>
          <w:rFonts w:ascii="仿宋" w:hAnsi="仿宋" w:eastAsia="仿宋" w:cs="仿宋"/>
          <w:sz w:val="28"/>
          <w:szCs w:val="28"/>
        </w:rPr>
      </w:pPr>
      <w:r>
        <w:rPr>
          <w:rFonts w:hint="eastAsia" w:ascii="仿宋" w:hAnsi="仿宋" w:eastAsia="仿宋" w:cs="仿宋"/>
          <w:sz w:val="28"/>
          <w:szCs w:val="28"/>
        </w:rPr>
        <w:t>2023年我馆</w:t>
      </w:r>
      <w:r>
        <w:rPr>
          <w:rFonts w:ascii="仿宋" w:hAnsi="仿宋" w:eastAsia="仿宋"/>
          <w:spacing w:val="-3"/>
          <w:sz w:val="28"/>
          <w:szCs w:val="28"/>
        </w:rPr>
        <w:t>总流通6.2986 万人次，书刊外借7.9104 万册次，举办讲座35次，</w:t>
      </w:r>
      <w:r>
        <w:rPr>
          <w:rFonts w:ascii="仿宋" w:hAnsi="仿宋" w:eastAsia="仿宋"/>
          <w:spacing w:val="-7"/>
          <w:sz w:val="28"/>
          <w:szCs w:val="28"/>
        </w:rPr>
        <w:t>举办展览27次，举办培训班13次。2023 年共计接待到馆读者7.0329万</w:t>
      </w:r>
      <w:r>
        <w:rPr>
          <w:rFonts w:ascii="仿宋" w:hAnsi="仿宋" w:eastAsia="仿宋"/>
          <w:spacing w:val="-8"/>
          <w:sz w:val="28"/>
          <w:szCs w:val="28"/>
        </w:rPr>
        <w:t>人次，</w:t>
      </w:r>
      <w:r>
        <w:rPr>
          <w:rFonts w:ascii="仿宋" w:hAnsi="仿宋" w:eastAsia="仿宋"/>
          <w:spacing w:val="-2"/>
          <w:sz w:val="28"/>
          <w:szCs w:val="28"/>
        </w:rPr>
        <w:t>其中鸣鹿书屋接待读者1.3578 万人</w:t>
      </w:r>
      <w:r>
        <w:rPr>
          <w:rFonts w:ascii="仿宋" w:hAnsi="仿宋" w:eastAsia="仿宋"/>
          <w:spacing w:val="-3"/>
          <w:sz w:val="28"/>
          <w:szCs w:val="28"/>
        </w:rPr>
        <w:t>次</w:t>
      </w:r>
      <w:r>
        <w:rPr>
          <w:rFonts w:hint="eastAsia" w:ascii="仿宋" w:hAnsi="仿宋" w:eastAsia="仿宋"/>
          <w:spacing w:val="-3"/>
          <w:sz w:val="28"/>
          <w:szCs w:val="28"/>
        </w:rPr>
        <w:t>。</w:t>
      </w:r>
      <w:r>
        <w:rPr>
          <w:rFonts w:hint="eastAsia" w:ascii="仿宋" w:hAnsi="仿宋" w:eastAsia="仿宋" w:cs="仿宋"/>
          <w:sz w:val="28"/>
          <w:szCs w:val="28"/>
        </w:rPr>
        <w:t>加强读者服务的同时，不断改善服务质量，改善服务方式，将读者外借册数3本增加到5本，不再要求一次性归还，尽量满足读者的要求，得到了读者很好地满意。</w:t>
      </w:r>
      <w:r>
        <w:rPr>
          <w:rFonts w:hint="eastAsia" w:ascii="仿宋" w:hAnsi="仿宋" w:eastAsia="仿宋"/>
          <w:spacing w:val="-1"/>
          <w:sz w:val="28"/>
          <w:szCs w:val="28"/>
        </w:rPr>
        <w:t>另外</w:t>
      </w:r>
      <w:r>
        <w:rPr>
          <w:rFonts w:ascii="仿宋" w:hAnsi="仿宋" w:eastAsia="仿宋"/>
          <w:spacing w:val="-1"/>
          <w:sz w:val="28"/>
          <w:szCs w:val="28"/>
        </w:rPr>
        <w:t>举办 “鹿鸣学堂”讲</w:t>
      </w:r>
      <w:r>
        <w:rPr>
          <w:rFonts w:ascii="仿宋" w:hAnsi="仿宋" w:eastAsia="仿宋"/>
          <w:spacing w:val="-2"/>
          <w:sz w:val="28"/>
          <w:szCs w:val="28"/>
        </w:rPr>
        <w:t xml:space="preserve">座17 期； 开展“悦伴成长”绘本推荐25 期； </w:t>
      </w:r>
      <w:r>
        <w:fldChar w:fldCharType="begin"/>
      </w:r>
      <w:r>
        <w:instrText xml:space="preserve"> HYPERLINK "https://mp.weixin.qq.com/s?__biz=MzU5OTQwMzk5NQ==&amp;mid=2247555063&amp;idx=5&amp;sn=1b6bcac24a1c3ed8b5068a65a8659922&amp;chksm=feb72b43c9c0a2553a3b05efdaaaee583a3c75fa60de2079e9ac9348abe32ebedae6603fdb64&amp;token=1198099991&amp;lang=zh_CN" </w:instrText>
      </w:r>
      <w:r>
        <w:fldChar w:fldCharType="separate"/>
      </w:r>
      <w:r>
        <w:rPr>
          <w:rFonts w:ascii="仿宋" w:hAnsi="仿宋" w:eastAsia="仿宋"/>
          <w:spacing w:val="-2"/>
          <w:sz w:val="28"/>
          <w:szCs w:val="28"/>
        </w:rPr>
        <w:t>无障碍阅读服务之“有声悦读”</w:t>
      </w:r>
      <w:r>
        <w:rPr>
          <w:rFonts w:ascii="仿宋" w:hAnsi="仿宋" w:eastAsia="仿宋"/>
          <w:spacing w:val="-2"/>
          <w:sz w:val="28"/>
          <w:szCs w:val="28"/>
        </w:rPr>
        <w:fldChar w:fldCharType="end"/>
      </w:r>
      <w:r>
        <w:rPr>
          <w:rFonts w:ascii="仿宋" w:hAnsi="仿宋" w:eastAsia="仿宋"/>
          <w:spacing w:val="-2"/>
          <w:sz w:val="28"/>
          <w:szCs w:val="28"/>
        </w:rPr>
        <w:t>8 期；“图书馆+</w:t>
      </w:r>
      <w:r>
        <w:rPr>
          <w:rFonts w:ascii="仿宋" w:hAnsi="仿宋" w:eastAsia="仿宋"/>
          <w:spacing w:val="-5"/>
          <w:sz w:val="28"/>
          <w:szCs w:val="28"/>
        </w:rPr>
        <w:t>科普”12 期；阅读品牌“爱心加油站”、“蒲公英”公益行</w:t>
      </w:r>
      <w:r>
        <w:rPr>
          <w:rFonts w:ascii="仿宋" w:hAnsi="仿宋" w:eastAsia="仿宋"/>
          <w:spacing w:val="-6"/>
          <w:sz w:val="28"/>
          <w:szCs w:val="28"/>
        </w:rPr>
        <w:t>开展活动12 场；</w:t>
      </w:r>
      <w:r>
        <w:rPr>
          <w:rFonts w:ascii="仿宋" w:hAnsi="仿宋" w:eastAsia="仿宋"/>
          <w:spacing w:val="-3"/>
          <w:sz w:val="28"/>
          <w:szCs w:val="28"/>
        </w:rPr>
        <w:t>“悦美阅读 青少年走进图书馆”活动8 场次。</w:t>
      </w:r>
    </w:p>
    <w:p w14:paraId="10652850">
      <w:pPr>
        <w:snapToGrid w:val="0"/>
        <w:spacing w:line="520" w:lineRule="exact"/>
        <w:ind w:firstLine="640" w:firstLineChars="200"/>
        <w:outlineLvl w:val="0"/>
        <w:rPr>
          <w:rFonts w:ascii="黑体" w:hAnsi="黑体" w:eastAsia="黑体" w:cs="黑体"/>
          <w:color w:val="000000"/>
          <w:kern w:val="0"/>
          <w:sz w:val="32"/>
          <w:szCs w:val="32"/>
          <w:shd w:val="clear" w:color="auto" w:fill="FFFFFF"/>
        </w:rPr>
      </w:pPr>
      <w:bookmarkStart w:id="16" w:name="_Toc390096931"/>
      <w:bookmarkStart w:id="17" w:name="_Toc390267055"/>
      <w:bookmarkStart w:id="18" w:name="_Toc12414"/>
      <w:bookmarkStart w:id="19" w:name="_Toc24241"/>
      <w:r>
        <w:rPr>
          <w:rFonts w:hint="eastAsia" w:ascii="黑体" w:hAnsi="黑体" w:eastAsia="黑体" w:cs="黑体"/>
          <w:color w:val="000000"/>
          <w:kern w:val="0"/>
          <w:sz w:val="32"/>
          <w:szCs w:val="32"/>
          <w:shd w:val="clear" w:color="auto" w:fill="FFFFFF"/>
        </w:rPr>
        <w:t>五、项目主要经验、存在的问题</w:t>
      </w:r>
      <w:bookmarkEnd w:id="16"/>
      <w:bookmarkEnd w:id="17"/>
      <w:r>
        <w:rPr>
          <w:rFonts w:hint="eastAsia" w:ascii="黑体" w:hAnsi="黑体" w:eastAsia="黑体" w:cs="黑体"/>
          <w:color w:val="000000"/>
          <w:kern w:val="0"/>
          <w:sz w:val="32"/>
          <w:szCs w:val="32"/>
          <w:shd w:val="clear" w:color="auto" w:fill="FFFFFF"/>
        </w:rPr>
        <w:t>及建议</w:t>
      </w:r>
      <w:bookmarkEnd w:id="18"/>
      <w:bookmarkEnd w:id="19"/>
    </w:p>
    <w:p w14:paraId="1EF29642">
      <w:pPr>
        <w:snapToGrid w:val="0"/>
        <w:spacing w:line="520" w:lineRule="exact"/>
        <w:ind w:firstLine="548" w:firstLineChars="200"/>
        <w:outlineLvl w:val="1"/>
        <w:rPr>
          <w:rFonts w:ascii="楷体_GB2312" w:hAnsi="楷体_GB2312" w:eastAsia="楷体_GB2312" w:cs="楷体_GB2312"/>
          <w:color w:val="000000"/>
          <w:kern w:val="0"/>
          <w:sz w:val="32"/>
          <w:szCs w:val="32"/>
          <w:shd w:val="clear" w:color="auto" w:fill="FFFFFF"/>
        </w:rPr>
      </w:pPr>
      <w:bookmarkStart w:id="20" w:name="_Toc23434"/>
      <w:bookmarkStart w:id="21" w:name="_Toc5316"/>
      <w:r>
        <w:rPr>
          <w:rFonts w:hint="eastAsia" w:ascii="楷体_GB2312" w:hAnsi="楷体_GB2312" w:eastAsia="楷体_GB2312" w:cs="楷体_GB2312"/>
          <w:color w:val="000000"/>
          <w:spacing w:val="-23"/>
          <w:kern w:val="0"/>
          <w:sz w:val="32"/>
          <w:szCs w:val="32"/>
          <w:shd w:val="clear" w:color="auto" w:fill="FFFFFF"/>
        </w:rPr>
        <w:t>（一）</w:t>
      </w:r>
      <w:r>
        <w:rPr>
          <w:rFonts w:hint="eastAsia" w:ascii="楷体_GB2312" w:hAnsi="楷体_GB2312" w:eastAsia="楷体_GB2312" w:cs="楷体_GB2312"/>
          <w:color w:val="000000"/>
          <w:kern w:val="0"/>
          <w:sz w:val="32"/>
          <w:szCs w:val="32"/>
          <w:shd w:val="clear" w:color="auto" w:fill="FFFFFF"/>
        </w:rPr>
        <w:t>项目主要经验</w:t>
      </w:r>
      <w:bookmarkEnd w:id="20"/>
      <w:r>
        <w:rPr>
          <w:rFonts w:hint="eastAsia" w:ascii="楷体_GB2312" w:hAnsi="楷体_GB2312" w:eastAsia="楷体_GB2312" w:cs="楷体_GB2312"/>
          <w:color w:val="000000"/>
          <w:kern w:val="0"/>
          <w:sz w:val="32"/>
          <w:szCs w:val="32"/>
          <w:shd w:val="clear" w:color="auto" w:fill="FFFFFF"/>
        </w:rPr>
        <w:t>及做法</w:t>
      </w:r>
      <w:bookmarkEnd w:id="21"/>
    </w:p>
    <w:p w14:paraId="409F2274">
      <w:pPr>
        <w:pStyle w:val="7"/>
        <w:widowControl/>
        <w:spacing w:before="0" w:beforeAutospacing="0" w:after="0" w:afterAutospacing="0" w:line="520" w:lineRule="exact"/>
        <w:ind w:firstLine="840" w:firstLineChars="300"/>
        <w:jc w:val="both"/>
        <w:rPr>
          <w:rFonts w:ascii="仿宋" w:hAnsi="仿宋" w:eastAsia="仿宋" w:cs="宋体"/>
          <w:color w:val="333333"/>
          <w:sz w:val="28"/>
          <w:szCs w:val="28"/>
        </w:rPr>
      </w:pPr>
      <w:r>
        <w:rPr>
          <w:rFonts w:hint="eastAsia" w:ascii="仿宋" w:hAnsi="仿宋" w:eastAsia="仿宋" w:cs="宋体"/>
          <w:color w:val="333333"/>
          <w:sz w:val="28"/>
          <w:szCs w:val="28"/>
        </w:rPr>
        <w:t>1、领导高度重视。专项资金预算下发后，领导高度重视，立即召开会议进行布置安排，制订了工作计划，明确了时限要求，落实了责任分工，确保了各项专项工作顺利进行和整治成效。</w:t>
      </w:r>
    </w:p>
    <w:p w14:paraId="09287118">
      <w:pPr>
        <w:pStyle w:val="7"/>
        <w:widowControl/>
        <w:spacing w:before="0" w:beforeAutospacing="0" w:after="0" w:afterAutospacing="0" w:line="520" w:lineRule="exact"/>
        <w:ind w:firstLine="840" w:firstLineChars="300"/>
        <w:jc w:val="both"/>
        <w:rPr>
          <w:rFonts w:ascii="仿宋" w:hAnsi="仿宋" w:eastAsia="仿宋" w:cs="宋体"/>
          <w:color w:val="333333"/>
          <w:sz w:val="28"/>
          <w:szCs w:val="28"/>
        </w:rPr>
      </w:pPr>
      <w:r>
        <w:rPr>
          <w:rFonts w:hint="eastAsia" w:ascii="仿宋" w:hAnsi="仿宋" w:eastAsia="仿宋" w:cs="宋体"/>
          <w:color w:val="333333"/>
          <w:sz w:val="28"/>
          <w:szCs w:val="28"/>
        </w:rPr>
        <w:t>2、规范财会管理。制定了专项资金收付管理工作制度，明确了资金付款流程，统一了资金申请手续，做到了层层审核、层层负责、层层把关，付款中全部要求请款单位提供正规发票，没用白条入账现象。</w:t>
      </w:r>
    </w:p>
    <w:p w14:paraId="47F7086F">
      <w:pPr>
        <w:snapToGrid w:val="0"/>
        <w:spacing w:line="520" w:lineRule="exact"/>
        <w:ind w:firstLine="548" w:firstLineChars="200"/>
        <w:outlineLvl w:val="1"/>
        <w:rPr>
          <w:rFonts w:ascii="楷体_GB2312" w:hAnsi="楷体_GB2312" w:eastAsia="楷体_GB2312" w:cs="楷体_GB2312"/>
          <w:color w:val="000000"/>
          <w:spacing w:val="-23"/>
          <w:kern w:val="0"/>
          <w:sz w:val="32"/>
          <w:szCs w:val="32"/>
          <w:shd w:val="clear" w:color="auto" w:fill="FFFFFF"/>
        </w:rPr>
      </w:pPr>
      <w:bookmarkStart w:id="22" w:name="_Toc6772"/>
      <w:bookmarkStart w:id="23" w:name="_Toc2597"/>
    </w:p>
    <w:p w14:paraId="39E21794">
      <w:pPr>
        <w:snapToGrid w:val="0"/>
        <w:spacing w:line="520" w:lineRule="exact"/>
        <w:ind w:firstLine="548" w:firstLineChars="200"/>
        <w:outlineLvl w:val="1"/>
        <w:rPr>
          <w:rFonts w:ascii="楷体_GB2312" w:hAnsi="楷体_GB2312" w:eastAsia="楷体_GB2312" w:cs="楷体_GB2312"/>
          <w:color w:val="000000"/>
          <w:kern w:val="0"/>
          <w:sz w:val="32"/>
          <w:szCs w:val="32"/>
          <w:shd w:val="clear" w:color="auto" w:fill="FFFFFF"/>
        </w:rPr>
      </w:pPr>
      <w:r>
        <w:rPr>
          <w:rFonts w:hint="eastAsia" w:ascii="楷体_GB2312" w:hAnsi="楷体_GB2312" w:eastAsia="楷体_GB2312" w:cs="楷体_GB2312"/>
          <w:color w:val="000000"/>
          <w:spacing w:val="-23"/>
          <w:kern w:val="0"/>
          <w:sz w:val="32"/>
          <w:szCs w:val="32"/>
          <w:shd w:val="clear" w:color="auto" w:fill="FFFFFF"/>
        </w:rPr>
        <w:t>（二）</w:t>
      </w:r>
      <w:r>
        <w:rPr>
          <w:rFonts w:hint="eastAsia" w:ascii="楷体_GB2312" w:hAnsi="楷体_GB2312" w:eastAsia="楷体_GB2312" w:cs="楷体_GB2312"/>
          <w:color w:val="000000"/>
          <w:kern w:val="0"/>
          <w:sz w:val="32"/>
          <w:szCs w:val="32"/>
          <w:shd w:val="clear" w:color="auto" w:fill="FFFFFF"/>
        </w:rPr>
        <w:t>存在的问题</w:t>
      </w:r>
      <w:bookmarkEnd w:id="22"/>
      <w:bookmarkEnd w:id="23"/>
    </w:p>
    <w:p w14:paraId="7C7AD14A">
      <w:pPr>
        <w:pStyle w:val="7"/>
        <w:widowControl/>
        <w:spacing w:before="0" w:beforeAutospacing="0" w:after="0" w:afterAutospacing="0" w:line="520" w:lineRule="exact"/>
        <w:ind w:firstLine="420"/>
        <w:jc w:val="both"/>
        <w:rPr>
          <w:rFonts w:ascii="仿宋" w:hAnsi="仿宋" w:eastAsia="仿宋" w:cs="仿宋"/>
          <w:color w:val="333333"/>
          <w:sz w:val="28"/>
          <w:szCs w:val="28"/>
        </w:rPr>
      </w:pPr>
      <w:r>
        <w:rPr>
          <w:rFonts w:hint="eastAsia" w:ascii="仿宋" w:hAnsi="仿宋" w:eastAsia="仿宋" w:cs="仿宋"/>
          <w:color w:val="333333"/>
          <w:sz w:val="28"/>
          <w:szCs w:val="28"/>
        </w:rPr>
        <w:t>1、对于绩效评价的认识不够深入，把预算绩效简单等同于工作目标、工作考核和业务管理。</w:t>
      </w:r>
    </w:p>
    <w:p w14:paraId="3DA46D49">
      <w:pPr>
        <w:pStyle w:val="7"/>
        <w:widowControl/>
        <w:spacing w:before="0" w:beforeAutospacing="0" w:after="0" w:afterAutospacing="0" w:line="520" w:lineRule="exact"/>
        <w:ind w:firstLine="420"/>
        <w:jc w:val="both"/>
        <w:rPr>
          <w:rFonts w:ascii="仿宋" w:hAnsi="仿宋" w:eastAsia="仿宋" w:cs="仿宋"/>
          <w:color w:val="333333"/>
          <w:sz w:val="28"/>
          <w:szCs w:val="28"/>
        </w:rPr>
      </w:pPr>
      <w:r>
        <w:rPr>
          <w:rFonts w:hint="eastAsia" w:ascii="仿宋" w:hAnsi="仿宋" w:eastAsia="仿宋" w:cs="仿宋"/>
          <w:color w:val="333333"/>
          <w:sz w:val="28"/>
          <w:szCs w:val="28"/>
        </w:rPr>
        <w:t>2、文化共享工程运行经费本级财政配套不足，技术管理人员偏少，数字存储容量偏低、特色数字资源不多等情况。</w:t>
      </w:r>
    </w:p>
    <w:p w14:paraId="56CF5CB1">
      <w:pPr>
        <w:pStyle w:val="7"/>
        <w:widowControl/>
        <w:spacing w:before="0" w:beforeAutospacing="0" w:after="0" w:afterAutospacing="0" w:line="520" w:lineRule="exact"/>
        <w:ind w:firstLine="420"/>
        <w:jc w:val="both"/>
        <w:rPr>
          <w:rFonts w:ascii="仿宋" w:hAnsi="仿宋" w:eastAsia="仿宋" w:cs="仿宋"/>
          <w:color w:val="333333"/>
          <w:sz w:val="28"/>
          <w:szCs w:val="28"/>
        </w:rPr>
      </w:pPr>
      <w:r>
        <w:rPr>
          <w:rFonts w:hint="eastAsia" w:ascii="仿宋" w:hAnsi="仿宋" w:eastAsia="仿宋" w:cs="仿宋"/>
          <w:color w:val="333333"/>
          <w:sz w:val="28"/>
          <w:szCs w:val="28"/>
        </w:rPr>
        <w:t>3、村级基层服务点是兼职人员代管设备，没有条件，经费有限，很难使设备正常运行。</w:t>
      </w:r>
    </w:p>
    <w:p w14:paraId="5FC57EBF">
      <w:pPr>
        <w:snapToGrid w:val="0"/>
        <w:spacing w:line="520" w:lineRule="exact"/>
        <w:ind w:firstLine="548" w:firstLineChars="200"/>
        <w:outlineLvl w:val="1"/>
        <w:rPr>
          <w:rFonts w:ascii="楷体_GB2312" w:hAnsi="楷体_GB2312" w:eastAsia="楷体_GB2312" w:cs="楷体_GB2312"/>
          <w:color w:val="000000"/>
          <w:kern w:val="0"/>
          <w:sz w:val="32"/>
          <w:szCs w:val="32"/>
          <w:shd w:val="clear" w:color="auto" w:fill="FFFFFF"/>
        </w:rPr>
      </w:pPr>
      <w:bookmarkStart w:id="24" w:name="_Toc29278"/>
      <w:bookmarkStart w:id="25" w:name="_Toc16271"/>
      <w:r>
        <w:rPr>
          <w:rFonts w:hint="eastAsia" w:ascii="楷体_GB2312" w:hAnsi="楷体_GB2312" w:eastAsia="楷体_GB2312" w:cs="楷体_GB2312"/>
          <w:color w:val="000000"/>
          <w:spacing w:val="-23"/>
          <w:kern w:val="0"/>
          <w:sz w:val="32"/>
          <w:szCs w:val="32"/>
          <w:shd w:val="clear" w:color="auto" w:fill="FFFFFF"/>
        </w:rPr>
        <w:t>（三）</w:t>
      </w:r>
      <w:r>
        <w:rPr>
          <w:rFonts w:hint="eastAsia" w:ascii="楷体_GB2312" w:hAnsi="楷体_GB2312" w:eastAsia="楷体_GB2312" w:cs="楷体_GB2312"/>
          <w:color w:val="000000"/>
          <w:kern w:val="0"/>
          <w:sz w:val="32"/>
          <w:szCs w:val="32"/>
          <w:shd w:val="clear" w:color="auto" w:fill="FFFFFF"/>
        </w:rPr>
        <w:t>有关建议</w:t>
      </w:r>
      <w:bookmarkEnd w:id="24"/>
      <w:bookmarkEnd w:id="25"/>
    </w:p>
    <w:p w14:paraId="739BB3C5">
      <w:pPr>
        <w:snapToGrid w:val="0"/>
        <w:spacing w:line="520" w:lineRule="exact"/>
        <w:ind w:firstLine="643" w:firstLineChars="200"/>
        <w:outlineLvl w:val="1"/>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kern w:val="0"/>
          <w:sz w:val="32"/>
          <w:szCs w:val="32"/>
          <w:shd w:val="clear" w:color="auto" w:fill="FFFFFF"/>
        </w:rPr>
        <w:t xml:space="preserve">  </w:t>
      </w:r>
      <w:r>
        <w:rPr>
          <w:rFonts w:hint="eastAsia" w:ascii="仿宋" w:hAnsi="仿宋" w:eastAsia="仿宋" w:cs="宋体"/>
          <w:color w:val="333333"/>
          <w:sz w:val="28"/>
          <w:szCs w:val="28"/>
        </w:rPr>
        <w:t>加强绩效评价管理制度和流程的建设，进一步深化、完善绩效管理体系，建立全过程的预算绩效管理机制，促进绩效管理工作向广度和深度延伸。</w:t>
      </w:r>
    </w:p>
    <w:p w14:paraId="32D449C6">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4450A496">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013F5F7A">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2EC3E1A6">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3FCEF138">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304DD0A6">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23DC96BA">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0C5EBA36">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4BFAF504">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2C6948C4">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29E92069">
      <w:pPr>
        <w:spacing w:line="600" w:lineRule="exact"/>
        <w:jc w:val="right"/>
        <w:rPr>
          <w:rFonts w:eastAsia="仿宋_GB2312"/>
          <w:color w:val="000000"/>
          <w:kern w:val="0"/>
          <w:sz w:val="32"/>
          <w:szCs w:val="32"/>
        </w:rPr>
      </w:pPr>
      <w:r>
        <w:rPr>
          <w:rFonts w:hint="eastAsia" w:eastAsia="仿宋_GB2312"/>
          <w:color w:val="000000"/>
          <w:kern w:val="0"/>
          <w:sz w:val="32"/>
          <w:szCs w:val="32"/>
        </w:rPr>
        <w:t xml:space="preserve"> 会同县图书馆</w:t>
      </w:r>
    </w:p>
    <w:p w14:paraId="1C2B2D5E">
      <w:pPr>
        <w:pStyle w:val="16"/>
        <w:ind w:firstLine="640"/>
        <w:jc w:val="right"/>
      </w:pPr>
      <w:r>
        <w:rPr>
          <w:rFonts w:hint="eastAsia"/>
          <w:color w:val="000000"/>
          <w:kern w:val="0"/>
          <w:sz w:val="32"/>
          <w:szCs w:val="32"/>
        </w:rPr>
        <w:t>2024年8月25日</w:t>
      </w:r>
    </w:p>
    <w:p w14:paraId="1A4B909B">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2631747A">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2E5FD472">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1950E1C7">
      <w:pPr>
        <w:pStyle w:val="7"/>
        <w:widowControl/>
        <w:shd w:val="clear" w:color="auto" w:fill="FFFFFF"/>
        <w:spacing w:before="0" w:beforeAutospacing="0" w:after="0" w:afterAutospacing="0" w:line="480" w:lineRule="exact"/>
        <w:jc w:val="both"/>
        <w:rPr>
          <w:rFonts w:ascii="仿宋_GB2312" w:hAnsi="仿宋_GB2312" w:eastAsia="仿宋_GB2312" w:cs="仿宋_GB2312"/>
          <w:color w:val="000000"/>
          <w:sz w:val="32"/>
          <w:szCs w:val="32"/>
          <w:shd w:val="clear" w:color="auto" w:fill="FFFFFF"/>
        </w:rPr>
      </w:pPr>
    </w:p>
    <w:p w14:paraId="05551F7D">
      <w:pPr>
        <w:spacing w:line="600" w:lineRule="exact"/>
      </w:pPr>
      <w:bookmarkStart w:id="26" w:name="_GoBack"/>
      <w:bookmarkEnd w:id="26"/>
    </w:p>
    <w:sectPr>
      <w:footerReference r:id="rId3" w:type="default"/>
      <w:pgSz w:w="11906" w:h="16838"/>
      <w:pgMar w:top="2041" w:right="1531" w:bottom="1757" w:left="1531" w:header="851" w:footer="992" w:gutter="0"/>
      <w:pgNumType w:fmt="numberInDash" w:start="26"/>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82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4BB67">
    <w:pPr>
      <w:pStyle w:val="5"/>
    </w:pPr>
    <w:r>
      <w:pict>
        <v:shape id="文本框 16"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5F786B1">
                <w:pPr>
                  <w:pStyle w:val="5"/>
                  <w:rPr>
                    <w:rFonts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- 3 -</w:t>
                </w:r>
                <w:r>
                  <w:rPr>
                    <w:rFonts w:hint="eastAsia" w:ascii="宋体" w:hAnsi="宋体" w:cs="宋体"/>
                    <w:sz w:val="28"/>
                    <w:szCs w:val="2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EF8BBF"/>
    <w:multiLevelType w:val="singleLevel"/>
    <w:tmpl w:val="B3EF8BBF"/>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NiOGQ3YzVmNmE5NGNhY2E1MWNlZjFlMGNlOWExYjUifQ=="/>
  </w:docVars>
  <w:rsids>
    <w:rsidRoot w:val="0036433C"/>
    <w:rsid w:val="00037F51"/>
    <w:rsid w:val="000B66F9"/>
    <w:rsid w:val="0036433C"/>
    <w:rsid w:val="005331E3"/>
    <w:rsid w:val="005E1895"/>
    <w:rsid w:val="006E1D85"/>
    <w:rsid w:val="007276CB"/>
    <w:rsid w:val="0075229A"/>
    <w:rsid w:val="00776CA4"/>
    <w:rsid w:val="00777D83"/>
    <w:rsid w:val="00823964"/>
    <w:rsid w:val="00866916"/>
    <w:rsid w:val="00886D1B"/>
    <w:rsid w:val="008A7CF8"/>
    <w:rsid w:val="0091043E"/>
    <w:rsid w:val="00927F43"/>
    <w:rsid w:val="009521CB"/>
    <w:rsid w:val="00B21B3E"/>
    <w:rsid w:val="00B73724"/>
    <w:rsid w:val="00BA187B"/>
    <w:rsid w:val="00BF554F"/>
    <w:rsid w:val="00C015A9"/>
    <w:rsid w:val="00C25EB2"/>
    <w:rsid w:val="00C71E97"/>
    <w:rsid w:val="00CD4CAB"/>
    <w:rsid w:val="00D61B5E"/>
    <w:rsid w:val="00E544EC"/>
    <w:rsid w:val="00E651A8"/>
    <w:rsid w:val="00F70B17"/>
    <w:rsid w:val="00FD6336"/>
    <w:rsid w:val="044D0348"/>
    <w:rsid w:val="0C5D718F"/>
    <w:rsid w:val="16F83A05"/>
    <w:rsid w:val="6C896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semiHidden/>
    <w:qFormat/>
    <w:uiPriority w:val="0"/>
    <w:rPr>
      <w:rFonts w:ascii="仿宋" w:hAnsi="仿宋" w:eastAsia="仿宋" w:cs="仿宋"/>
      <w:sz w:val="35"/>
      <w:szCs w:val="35"/>
      <w:lang w:eastAsia="en-US"/>
    </w:rPr>
  </w:style>
  <w:style w:type="paragraph" w:styleId="3">
    <w:name w:val="Body Text Indent"/>
    <w:basedOn w:val="1"/>
    <w:link w:val="14"/>
    <w:semiHidden/>
    <w:unhideWhenUsed/>
    <w:qFormat/>
    <w:uiPriority w:val="99"/>
    <w:pPr>
      <w:spacing w:after="120"/>
      <w:ind w:left="420" w:leftChars="200"/>
    </w:pPr>
  </w:style>
  <w:style w:type="paragraph" w:styleId="4">
    <w:name w:val="toc 3"/>
    <w:basedOn w:val="1"/>
    <w:next w:val="1"/>
    <w:qFormat/>
    <w:uiPriority w:val="0"/>
    <w:pPr>
      <w:ind w:left="840" w:leftChars="400"/>
    </w:pPr>
  </w:style>
  <w:style w:type="paragraph" w:styleId="5">
    <w:name w:val="footer"/>
    <w:basedOn w:val="1"/>
    <w:link w:val="12"/>
    <w:unhideWhenUsed/>
    <w:qFormat/>
    <w:uiPriority w:val="0"/>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Body Text First Indent 2"/>
    <w:basedOn w:val="3"/>
    <w:link w:val="15"/>
    <w:unhideWhenUsed/>
    <w:qFormat/>
    <w:uiPriority w:val="99"/>
    <w:pPr>
      <w:spacing w:after="0"/>
      <w:ind w:left="0" w:leftChars="0" w:firstLine="420" w:firstLineChars="200"/>
    </w:pPr>
    <w:rPr>
      <w:sz w:val="32"/>
    </w:rPr>
  </w:style>
  <w:style w:type="character" w:customStyle="1" w:styleId="11">
    <w:name w:val="页眉 字符"/>
    <w:basedOn w:val="10"/>
    <w:link w:val="6"/>
    <w:semiHidden/>
    <w:qFormat/>
    <w:uiPriority w:val="99"/>
    <w:rPr>
      <w:sz w:val="18"/>
      <w:szCs w:val="18"/>
    </w:rPr>
  </w:style>
  <w:style w:type="character" w:customStyle="1" w:styleId="12">
    <w:name w:val="页脚 字符"/>
    <w:basedOn w:val="10"/>
    <w:link w:val="5"/>
    <w:semiHidden/>
    <w:qFormat/>
    <w:uiPriority w:val="99"/>
    <w:rPr>
      <w:sz w:val="18"/>
      <w:szCs w:val="18"/>
    </w:rPr>
  </w:style>
  <w:style w:type="character" w:customStyle="1" w:styleId="13">
    <w:name w:val="正文文本 字符"/>
    <w:basedOn w:val="10"/>
    <w:link w:val="2"/>
    <w:semiHidden/>
    <w:qFormat/>
    <w:uiPriority w:val="0"/>
    <w:rPr>
      <w:rFonts w:ascii="仿宋" w:hAnsi="仿宋" w:eastAsia="仿宋" w:cs="仿宋"/>
      <w:sz w:val="35"/>
      <w:szCs w:val="35"/>
      <w:lang w:eastAsia="en-US"/>
    </w:rPr>
  </w:style>
  <w:style w:type="character" w:customStyle="1" w:styleId="14">
    <w:name w:val="正文文本缩进 字符"/>
    <w:basedOn w:val="10"/>
    <w:link w:val="3"/>
    <w:semiHidden/>
    <w:qFormat/>
    <w:uiPriority w:val="99"/>
    <w:rPr>
      <w:rFonts w:ascii="Times New Roman" w:hAnsi="Times New Roman" w:eastAsia="宋体" w:cs="Times New Roman"/>
      <w:szCs w:val="24"/>
    </w:rPr>
  </w:style>
  <w:style w:type="character" w:customStyle="1" w:styleId="15">
    <w:name w:val="正文首行缩进 2 字符"/>
    <w:basedOn w:val="14"/>
    <w:link w:val="8"/>
    <w:qFormat/>
    <w:uiPriority w:val="99"/>
    <w:rPr>
      <w:rFonts w:ascii="Times New Roman" w:hAnsi="Times New Roman" w:eastAsia="宋体" w:cs="Times New Roman"/>
      <w:sz w:val="32"/>
      <w:szCs w:val="24"/>
    </w:rPr>
  </w:style>
  <w:style w:type="paragraph" w:customStyle="1" w:styleId="16">
    <w:name w:val="BodyText1I2"/>
    <w:basedOn w:val="17"/>
    <w:next w:val="1"/>
    <w:unhideWhenUsed/>
    <w:qFormat/>
    <w:uiPriority w:val="0"/>
    <w:pPr>
      <w:ind w:firstLine="200" w:firstLineChars="200"/>
    </w:pPr>
    <w:rPr>
      <w:rFonts w:hint="default" w:ascii="Calibri" w:hAnsi="Calibri" w:eastAsia="仿宋_GB2312"/>
      <w:sz w:val="36"/>
    </w:rPr>
  </w:style>
  <w:style w:type="paragraph" w:customStyle="1" w:styleId="17">
    <w:name w:val="BodyTextIndent"/>
    <w:basedOn w:val="1"/>
    <w:unhideWhenUsed/>
    <w:qFormat/>
    <w:uiPriority w:val="0"/>
    <w:pPr>
      <w:spacing w:after="120"/>
      <w:ind w:left="420" w:leftChars="200"/>
      <w:textAlignment w:val="baseline"/>
    </w:pPr>
    <w:rPr>
      <w:rFonts w:hint="eastAsi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ss</Company>
  <Pages>7</Pages>
  <Words>3357</Words>
  <Characters>3529</Characters>
  <Lines>29</Lines>
  <Paragraphs>8</Paragraphs>
  <TotalTime>0</TotalTime>
  <ScaleCrop>false</ScaleCrop>
  <LinksUpToDate>false</LinksUpToDate>
  <CharactersWithSpaces>3590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2024-09-05T01:09:00Z</dcterms:created>
  <dc:creator>20100401</dc:creator>
  <cp:lastModifiedBy>你开玩笑</cp:lastModifiedBy>
  <dcterms:modified xsi:type="dcterms:W3CDTF">2024-09-12T08:02:10Z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57424FABDF544D30A5D19D13E86F5FC6_12</vt:lpwstr>
  </property>
</Properties>
</file>