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2CA25">
      <w:pPr>
        <w:pStyle w:val="8"/>
        <w:widowControl/>
        <w:shd w:val="clear" w:color="auto" w:fill="FFFFFF"/>
        <w:spacing w:before="0" w:beforeAutospacing="0" w:after="0" w:afterAutospacing="0" w:line="480" w:lineRule="atLeast"/>
        <w:jc w:val="center"/>
        <w:rPr>
          <w:rFonts w:ascii="仿宋" w:hAnsi="仿宋" w:eastAsia="仿宋" w:cs="仿宋"/>
          <w:b/>
          <w:sz w:val="44"/>
          <w:szCs w:val="44"/>
        </w:rPr>
      </w:pPr>
      <w:r>
        <w:rPr>
          <w:rFonts w:hint="eastAsia" w:ascii="仿宋" w:hAnsi="仿宋" w:eastAsia="仿宋" w:cs="仿宋"/>
          <w:b/>
          <w:sz w:val="44"/>
          <w:szCs w:val="44"/>
        </w:rPr>
        <w:t>会同县图书馆2023年县级配套免费开放</w:t>
      </w:r>
    </w:p>
    <w:p w14:paraId="3F409629">
      <w:pPr>
        <w:pStyle w:val="8"/>
        <w:widowControl/>
        <w:shd w:val="clear" w:color="auto" w:fill="FFFFFF"/>
        <w:spacing w:before="0" w:beforeAutospacing="0" w:after="0" w:afterAutospacing="0" w:line="480" w:lineRule="atLeast"/>
        <w:jc w:val="center"/>
        <w:rPr>
          <w:rFonts w:ascii="仿宋" w:hAnsi="仿宋" w:eastAsia="仿宋" w:cs="方正小标宋简体"/>
          <w:b/>
          <w:color w:val="000000"/>
          <w:sz w:val="44"/>
          <w:szCs w:val="44"/>
        </w:rPr>
      </w:pPr>
      <w:r>
        <w:rPr>
          <w:rFonts w:hint="eastAsia" w:ascii="仿宋" w:hAnsi="仿宋" w:eastAsia="仿宋" w:cs="方正小标宋简体"/>
          <w:b/>
          <w:color w:val="000000"/>
          <w:sz w:val="44"/>
          <w:szCs w:val="44"/>
          <w:shd w:val="clear" w:color="auto" w:fill="FFFFFF"/>
        </w:rPr>
        <w:t>项目支出绩效自评报告</w:t>
      </w:r>
    </w:p>
    <w:p w14:paraId="3E21DC1C">
      <w:pPr>
        <w:pStyle w:val="8"/>
        <w:widowControl/>
        <w:shd w:val="clear" w:color="auto" w:fill="FFFFFF"/>
        <w:snapToGrid w:val="0"/>
        <w:spacing w:before="0" w:beforeAutospacing="0" w:after="0" w:afterAutospacing="0" w:line="520" w:lineRule="exact"/>
        <w:ind w:firstLine="640" w:firstLineChars="200"/>
        <w:jc w:val="both"/>
        <w:rPr>
          <w:rFonts w:ascii="黑体" w:hAnsi="黑体" w:eastAsia="黑体" w:cs="黑体"/>
          <w:color w:val="000000"/>
          <w:sz w:val="32"/>
          <w:szCs w:val="32"/>
        </w:rPr>
      </w:pPr>
      <w:r>
        <w:rPr>
          <w:rFonts w:hint="eastAsia" w:ascii="方正小标宋_GBK" w:hAnsi="方正小标宋_GBK" w:eastAsia="方正小标宋_GBK" w:cs="方正小标宋_GBK"/>
          <w:color w:val="000000"/>
          <w:sz w:val="32"/>
          <w:szCs w:val="32"/>
          <w:shd w:val="clear" w:color="auto" w:fill="FFFFFF"/>
        </w:rPr>
        <w:t> </w:t>
      </w:r>
      <w:r>
        <w:rPr>
          <w:rFonts w:hint="eastAsia" w:ascii="黑体" w:hAnsi="黑体" w:eastAsia="黑体" w:cs="黑体"/>
          <w:color w:val="000000"/>
          <w:sz w:val="32"/>
          <w:szCs w:val="32"/>
          <w:shd w:val="clear" w:color="auto" w:fill="FFFFFF"/>
        </w:rPr>
        <w:t>一、项目基本情况</w:t>
      </w:r>
    </w:p>
    <w:p w14:paraId="303A1EF9">
      <w:pPr>
        <w:pStyle w:val="8"/>
        <w:widowControl/>
        <w:shd w:val="clear" w:color="auto" w:fill="FFFFFF"/>
        <w:snapToGrid w:val="0"/>
        <w:spacing w:before="0" w:beforeAutospacing="0" w:after="0" w:afterAutospacing="0" w:line="520" w:lineRule="exact"/>
        <w:ind w:firstLine="548" w:firstLineChars="200"/>
        <w:jc w:val="both"/>
        <w:rPr>
          <w:rFonts w:ascii="楷体_GB2312" w:hAnsi="楷体_GB2312" w:eastAsia="楷体_GB2312" w:cs="楷体_GB2312"/>
          <w:color w:val="000000"/>
          <w:sz w:val="32"/>
          <w:szCs w:val="32"/>
          <w:shd w:val="clear" w:color="auto" w:fill="FFFFFF"/>
        </w:rPr>
      </w:pPr>
      <w:r>
        <w:rPr>
          <w:rFonts w:hint="eastAsia" w:ascii="楷体_GB2312" w:hAnsi="楷体_GB2312" w:eastAsia="楷体_GB2312" w:cs="楷体_GB2312"/>
          <w:color w:val="000000"/>
          <w:spacing w:val="-23"/>
          <w:sz w:val="32"/>
          <w:szCs w:val="32"/>
          <w:shd w:val="clear" w:color="auto" w:fill="FFFFFF"/>
        </w:rPr>
        <w:t>（一）</w:t>
      </w:r>
      <w:r>
        <w:rPr>
          <w:rFonts w:hint="eastAsia" w:ascii="楷体_GB2312" w:hAnsi="楷体_GB2312" w:eastAsia="楷体_GB2312" w:cs="楷体_GB2312"/>
          <w:color w:val="000000"/>
          <w:sz w:val="32"/>
          <w:szCs w:val="32"/>
          <w:shd w:val="clear" w:color="auto" w:fill="FFFFFF"/>
        </w:rPr>
        <w:t>项目概况</w:t>
      </w:r>
    </w:p>
    <w:p w14:paraId="1ED910A8">
      <w:pPr>
        <w:pStyle w:val="8"/>
        <w:widowControl/>
        <w:shd w:val="clear" w:color="auto" w:fill="FFFFFF"/>
        <w:snapToGrid w:val="0"/>
        <w:spacing w:before="0" w:beforeAutospacing="0" w:after="0" w:afterAutospacing="0" w:line="520" w:lineRule="exact"/>
        <w:ind w:firstLine="640" w:firstLineChars="200"/>
        <w:jc w:val="both"/>
        <w:rPr>
          <w:rFonts w:ascii="仿宋_GB2312" w:hAnsi="Calibri" w:eastAsia="仿宋_GB2312" w:cs="仿宋_GB2312"/>
          <w:color w:val="000000"/>
          <w:sz w:val="32"/>
          <w:szCs w:val="32"/>
          <w:shd w:val="clear" w:color="auto" w:fill="FFFFFF"/>
        </w:rPr>
      </w:pPr>
      <w:r>
        <w:rPr>
          <w:rFonts w:hint="eastAsia" w:ascii="仿宋_GB2312" w:hAnsi="Calibri" w:eastAsia="仿宋_GB2312" w:cs="仿宋_GB2312"/>
          <w:color w:val="000000"/>
          <w:sz w:val="32"/>
          <w:szCs w:val="32"/>
          <w:shd w:val="clear" w:color="auto" w:fill="FFFFFF"/>
        </w:rPr>
        <w:t>1.项目决策背景</w:t>
      </w:r>
    </w:p>
    <w:p w14:paraId="12B9778E">
      <w:pPr>
        <w:ind w:firstLine="560" w:firstLineChars="200"/>
        <w:rPr>
          <w:rFonts w:ascii="仿宋" w:hAnsi="仿宋" w:eastAsia="仿宋" w:cs="仿宋"/>
          <w:sz w:val="28"/>
          <w:szCs w:val="28"/>
        </w:rPr>
      </w:pPr>
      <w:r>
        <w:rPr>
          <w:rFonts w:hint="eastAsia" w:ascii="仿宋" w:hAnsi="仿宋" w:eastAsia="仿宋" w:cs="仿宋"/>
          <w:sz w:val="28"/>
          <w:szCs w:val="28"/>
        </w:rPr>
        <w:t>免费开放工作项目纳入2023年度部门预算范围，经人大会议通过，县财政下达批复文件，包括项目资金申报、批复符合资金管理办法等相关规定，用于满足群众日常阅读需求，提高全民阅读，进而提高全民文化素质。</w:t>
      </w:r>
    </w:p>
    <w:p w14:paraId="51D5371A">
      <w:pPr>
        <w:pStyle w:val="8"/>
        <w:widowControl/>
        <w:shd w:val="clear" w:color="auto" w:fill="FFFFFF"/>
        <w:snapToGrid w:val="0"/>
        <w:spacing w:before="0" w:beforeAutospacing="0" w:after="0" w:afterAutospacing="0" w:line="520" w:lineRule="exact"/>
        <w:ind w:firstLine="640" w:firstLineChars="200"/>
        <w:jc w:val="both"/>
        <w:rPr>
          <w:rFonts w:ascii="仿宋_GB2312" w:hAnsi="Calibri" w:eastAsia="仿宋_GB2312" w:cs="仿宋_GB2312"/>
          <w:color w:val="000000"/>
          <w:sz w:val="32"/>
          <w:szCs w:val="32"/>
          <w:shd w:val="clear" w:color="auto" w:fill="FFFFFF"/>
        </w:rPr>
      </w:pPr>
      <w:r>
        <w:rPr>
          <w:rFonts w:hint="eastAsia" w:ascii="仿宋_GB2312" w:hAnsi="Calibri" w:eastAsia="仿宋_GB2312" w:cs="仿宋_GB2312"/>
          <w:color w:val="000000"/>
          <w:sz w:val="32"/>
          <w:szCs w:val="32"/>
          <w:shd w:val="clear" w:color="auto" w:fill="FFFFFF"/>
        </w:rPr>
        <w:t>2.项目主要内容</w:t>
      </w:r>
    </w:p>
    <w:p w14:paraId="309EFC90">
      <w:pPr>
        <w:pStyle w:val="8"/>
        <w:widowControl/>
        <w:shd w:val="clear" w:color="auto" w:fill="FFFFFF"/>
        <w:snapToGrid w:val="0"/>
        <w:spacing w:before="0" w:beforeAutospacing="0" w:after="0" w:afterAutospacing="0" w:line="520" w:lineRule="exact"/>
        <w:ind w:firstLine="560" w:firstLineChars="200"/>
        <w:jc w:val="both"/>
        <w:rPr>
          <w:rFonts w:ascii="仿宋_GB2312" w:hAnsi="Calibri" w:eastAsia="仿宋_GB2312" w:cs="仿宋_GB2312"/>
          <w:color w:val="000000"/>
          <w:sz w:val="28"/>
          <w:szCs w:val="28"/>
          <w:shd w:val="clear" w:color="auto" w:fill="FFFFFF"/>
        </w:rPr>
      </w:pPr>
      <w:r>
        <w:rPr>
          <w:rFonts w:hint="eastAsia" w:ascii="仿宋" w:hAnsi="仿宋" w:eastAsia="仿宋" w:cs="仿宋"/>
          <w:sz w:val="28"/>
          <w:szCs w:val="28"/>
        </w:rPr>
        <w:t>我馆年免费开放工作项目预算3万，免费开放工作主要用于图书馆日常免费开放地顺利开展，</w:t>
      </w:r>
      <w:r>
        <w:rPr>
          <w:rFonts w:hint="eastAsia" w:ascii="仿宋_GB2312" w:hAnsi="Calibri" w:eastAsia="仿宋_GB2312" w:cs="仿宋_GB2312"/>
          <w:color w:val="000000"/>
          <w:sz w:val="28"/>
          <w:szCs w:val="28"/>
          <w:shd w:val="clear" w:color="auto" w:fill="FFFFFF"/>
        </w:rPr>
        <w:t>满足读者的阅读需求。</w:t>
      </w:r>
    </w:p>
    <w:p w14:paraId="574E2898">
      <w:pPr>
        <w:pStyle w:val="8"/>
        <w:widowControl/>
        <w:shd w:val="clear" w:color="auto" w:fill="FFFFFF"/>
        <w:snapToGrid w:val="0"/>
        <w:spacing w:before="0" w:beforeAutospacing="0" w:after="0" w:afterAutospacing="0" w:line="520" w:lineRule="exact"/>
        <w:ind w:firstLine="640" w:firstLineChars="200"/>
        <w:jc w:val="both"/>
        <w:rPr>
          <w:rFonts w:ascii="仿宋_GB2312" w:hAnsi="Calibri" w:eastAsia="仿宋_GB2312" w:cs="仿宋_GB2312"/>
          <w:color w:val="000000"/>
          <w:sz w:val="32"/>
          <w:szCs w:val="32"/>
          <w:shd w:val="clear" w:color="auto" w:fill="FFFFFF"/>
        </w:rPr>
      </w:pPr>
      <w:r>
        <w:rPr>
          <w:rFonts w:hint="eastAsia" w:ascii="仿宋_GB2312" w:hAnsi="Calibri" w:eastAsia="仿宋_GB2312" w:cs="仿宋_GB2312"/>
          <w:color w:val="000000"/>
          <w:sz w:val="32"/>
          <w:szCs w:val="32"/>
          <w:shd w:val="clear" w:color="auto" w:fill="FFFFFF"/>
        </w:rPr>
        <w:t>3.项目组织管理机构</w:t>
      </w:r>
    </w:p>
    <w:p w14:paraId="060335FD">
      <w:pPr>
        <w:autoSpaceDN w:val="0"/>
        <w:spacing w:line="560" w:lineRule="exact"/>
        <w:ind w:firstLine="560" w:firstLineChars="200"/>
        <w:rPr>
          <w:rFonts w:ascii="仿宋_GB2312" w:eastAsia="仿宋_GB2312"/>
          <w:sz w:val="28"/>
          <w:szCs w:val="28"/>
        </w:rPr>
      </w:pPr>
      <w:r>
        <w:rPr>
          <w:rFonts w:hint="eastAsia" w:ascii="仿宋" w:hAnsi="仿宋" w:eastAsia="仿宋" w:cs="仿宋"/>
          <w:sz w:val="28"/>
          <w:szCs w:val="28"/>
        </w:rPr>
        <w:t>现有行政编制人员0个，全额拨款事业编制6个，自收自支事业编0个，实有在职人数6人，退休人员5人。有车辆1台，</w:t>
      </w:r>
      <w:r>
        <w:rPr>
          <w:rFonts w:hint="eastAsia" w:ascii="仿宋" w:hAnsi="仿宋" w:eastAsia="仿宋" w:cs="仿宋"/>
          <w:color w:val="333333"/>
          <w:sz w:val="28"/>
          <w:szCs w:val="28"/>
        </w:rPr>
        <w:t>实有在职人数与编制数相符。</w:t>
      </w:r>
    </w:p>
    <w:p w14:paraId="5E0212BB">
      <w:pPr>
        <w:pStyle w:val="8"/>
        <w:widowControl/>
        <w:shd w:val="clear" w:color="auto" w:fill="FFFFFF"/>
        <w:snapToGrid w:val="0"/>
        <w:spacing w:before="0" w:beforeAutospacing="0" w:after="0" w:afterAutospacing="0" w:line="520" w:lineRule="exact"/>
        <w:ind w:firstLine="548" w:firstLineChars="200"/>
        <w:jc w:val="both"/>
        <w:rPr>
          <w:rFonts w:ascii="楷体_GB2312" w:hAnsi="楷体_GB2312" w:eastAsia="楷体_GB2312" w:cs="楷体_GB2312"/>
          <w:color w:val="000000"/>
          <w:sz w:val="32"/>
          <w:szCs w:val="32"/>
          <w:shd w:val="clear" w:color="auto" w:fill="FFFFFF"/>
        </w:rPr>
      </w:pPr>
      <w:r>
        <w:rPr>
          <w:rFonts w:hint="eastAsia" w:ascii="楷体_GB2312" w:hAnsi="楷体_GB2312" w:eastAsia="楷体_GB2312" w:cs="楷体_GB2312"/>
          <w:color w:val="000000"/>
          <w:spacing w:val="-23"/>
          <w:sz w:val="32"/>
          <w:szCs w:val="32"/>
          <w:shd w:val="clear" w:color="auto" w:fill="FFFFFF"/>
        </w:rPr>
        <w:t>（二）</w:t>
      </w:r>
      <w:r>
        <w:rPr>
          <w:rFonts w:hint="eastAsia" w:ascii="楷体_GB2312" w:hAnsi="楷体_GB2312" w:eastAsia="楷体_GB2312" w:cs="楷体_GB2312"/>
          <w:color w:val="000000"/>
          <w:sz w:val="32"/>
          <w:szCs w:val="32"/>
          <w:shd w:val="clear" w:color="auto" w:fill="FFFFFF"/>
        </w:rPr>
        <w:t>预算资金使用管理情况</w:t>
      </w:r>
    </w:p>
    <w:p w14:paraId="54445A94">
      <w:pPr>
        <w:snapToGrid w:val="0"/>
        <w:spacing w:line="520" w:lineRule="exact"/>
        <w:ind w:firstLine="640" w:firstLineChars="200"/>
        <w:outlineLvl w:val="1"/>
        <w:rPr>
          <w:rFonts w:ascii="仿宋_GB2312" w:hAnsi="Calibri" w:eastAsia="仿宋_GB2312" w:cs="仿宋_GB2312"/>
          <w:color w:val="000000"/>
          <w:kern w:val="0"/>
          <w:sz w:val="32"/>
          <w:szCs w:val="32"/>
          <w:shd w:val="clear" w:color="auto" w:fill="FFFFFF"/>
        </w:rPr>
      </w:pPr>
      <w:bookmarkStart w:id="0" w:name="_Toc10810"/>
      <w:r>
        <w:rPr>
          <w:rFonts w:hint="eastAsia" w:ascii="仿宋_GB2312" w:hAnsi="Calibri" w:eastAsia="仿宋_GB2312" w:cs="仿宋_GB2312"/>
          <w:color w:val="000000"/>
          <w:kern w:val="0"/>
          <w:sz w:val="32"/>
          <w:szCs w:val="32"/>
          <w:shd w:val="clear" w:color="auto" w:fill="FFFFFF"/>
        </w:rPr>
        <w:t>1.预算资金安排及管理情况</w:t>
      </w:r>
      <w:bookmarkEnd w:id="0"/>
    </w:p>
    <w:p w14:paraId="4D57D279">
      <w:pPr>
        <w:pStyle w:val="8"/>
        <w:widowControl/>
        <w:shd w:val="clear" w:color="auto" w:fill="FFFFFF"/>
        <w:snapToGrid w:val="0"/>
        <w:spacing w:before="0" w:beforeAutospacing="0" w:after="0" w:afterAutospacing="0" w:line="520" w:lineRule="exact"/>
        <w:ind w:firstLine="548" w:firstLineChars="200"/>
        <w:jc w:val="both"/>
        <w:rPr>
          <w:rFonts w:ascii="仿宋_GB2312" w:hAnsi="Calibri" w:eastAsia="仿宋_GB2312" w:cs="仿宋_GB2312"/>
          <w:color w:val="000000"/>
          <w:sz w:val="32"/>
          <w:szCs w:val="32"/>
          <w:shd w:val="clear" w:color="auto" w:fill="FFFFFF"/>
        </w:rPr>
      </w:pPr>
      <w:r>
        <w:rPr>
          <w:rFonts w:ascii="仿宋_GB2312" w:hAnsi="Calibri" w:eastAsia="仿宋_GB2312" w:cs="仿宋_GB2312"/>
          <w:color w:val="000000"/>
          <w:spacing w:val="-23"/>
          <w:sz w:val="32"/>
          <w:szCs w:val="32"/>
          <w:shd w:val="clear" w:color="auto" w:fill="FFFFFF"/>
        </w:rPr>
        <w:t>（1）</w:t>
      </w:r>
      <w:r>
        <w:rPr>
          <w:rFonts w:ascii="仿宋_GB2312" w:hAnsi="Calibri" w:eastAsia="仿宋_GB2312" w:cs="仿宋_GB2312"/>
          <w:color w:val="000000"/>
          <w:sz w:val="32"/>
          <w:szCs w:val="32"/>
          <w:shd w:val="clear" w:color="auto" w:fill="FFFFFF"/>
        </w:rPr>
        <w:t>资金来源及拨付流程</w:t>
      </w:r>
    </w:p>
    <w:p w14:paraId="2A2E9324">
      <w:pPr>
        <w:pStyle w:val="8"/>
        <w:widowControl/>
        <w:shd w:val="clear" w:color="auto" w:fill="FFFFFF"/>
        <w:snapToGrid w:val="0"/>
        <w:spacing w:before="0" w:beforeAutospacing="0" w:after="0" w:afterAutospacing="0" w:line="520" w:lineRule="exact"/>
        <w:ind w:firstLine="560" w:firstLineChars="200"/>
        <w:jc w:val="both"/>
        <w:rPr>
          <w:rFonts w:ascii="仿宋" w:hAnsi="仿宋" w:eastAsia="仿宋" w:cs="仿宋"/>
          <w:sz w:val="28"/>
          <w:szCs w:val="28"/>
        </w:rPr>
      </w:pPr>
      <w:r>
        <w:rPr>
          <w:rFonts w:hint="eastAsia" w:ascii="仿宋" w:hAnsi="仿宋" w:eastAsia="仿宋" w:cs="仿宋"/>
          <w:sz w:val="28"/>
          <w:szCs w:val="28"/>
        </w:rPr>
        <w:t>资金主要来源为年初财政一般公共预算拨款。项目实施单位根据年初预算批复按工作任务完成情况向财政履行请款手续，单位按财政规定的资金用途使用项目资金。</w:t>
      </w:r>
    </w:p>
    <w:p w14:paraId="49455C4F">
      <w:pPr>
        <w:pStyle w:val="8"/>
        <w:widowControl/>
        <w:shd w:val="clear" w:color="auto" w:fill="FFFFFF"/>
        <w:snapToGrid w:val="0"/>
        <w:spacing w:before="0" w:beforeAutospacing="0" w:after="0" w:afterAutospacing="0" w:line="520" w:lineRule="exact"/>
        <w:ind w:firstLine="468" w:firstLineChars="200"/>
        <w:jc w:val="both"/>
        <w:rPr>
          <w:rFonts w:ascii="仿宋" w:hAnsi="仿宋" w:eastAsia="仿宋" w:cs="仿宋_GB2312"/>
          <w:color w:val="000000"/>
          <w:sz w:val="28"/>
          <w:szCs w:val="28"/>
          <w:shd w:val="clear" w:color="auto" w:fill="FFFFFF"/>
        </w:rPr>
      </w:pPr>
      <w:r>
        <w:rPr>
          <w:rFonts w:ascii="仿宋" w:hAnsi="仿宋" w:eastAsia="仿宋" w:cs="仿宋_GB2312"/>
          <w:color w:val="000000"/>
          <w:spacing w:val="-23"/>
          <w:sz w:val="28"/>
          <w:szCs w:val="28"/>
          <w:shd w:val="clear" w:color="auto" w:fill="FFFFFF"/>
        </w:rPr>
        <w:t>（2）</w:t>
      </w:r>
      <w:r>
        <w:rPr>
          <w:rFonts w:ascii="仿宋" w:hAnsi="仿宋" w:eastAsia="仿宋" w:cs="仿宋_GB2312"/>
          <w:color w:val="000000"/>
          <w:sz w:val="28"/>
          <w:szCs w:val="28"/>
          <w:shd w:val="clear" w:color="auto" w:fill="FFFFFF"/>
        </w:rPr>
        <w:t>资金到位情况</w:t>
      </w:r>
    </w:p>
    <w:p w14:paraId="12BE6193">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2023年财政年初预算安排经费3万元，截2023年实际到位3万元，资金到位率100%，到位及时性高。</w:t>
      </w:r>
    </w:p>
    <w:p w14:paraId="0C3C0012">
      <w:pPr>
        <w:pStyle w:val="8"/>
        <w:widowControl/>
        <w:shd w:val="clear" w:color="auto" w:fill="FFFFFF"/>
        <w:snapToGrid w:val="0"/>
        <w:spacing w:before="0" w:beforeAutospacing="0" w:after="0" w:afterAutospacing="0" w:line="520" w:lineRule="exact"/>
        <w:ind w:firstLine="548" w:firstLineChars="200"/>
        <w:jc w:val="both"/>
        <w:rPr>
          <w:rFonts w:ascii="仿宋_GB2312" w:hAnsi="Calibri" w:eastAsia="仿宋_GB2312" w:cs="仿宋_GB2312"/>
          <w:color w:val="000000"/>
          <w:sz w:val="32"/>
          <w:szCs w:val="32"/>
          <w:shd w:val="clear" w:color="auto" w:fill="FFFFFF"/>
        </w:rPr>
      </w:pPr>
      <w:r>
        <w:rPr>
          <w:rFonts w:ascii="仿宋_GB2312" w:hAnsi="Calibri" w:eastAsia="仿宋_GB2312" w:cs="仿宋_GB2312"/>
          <w:color w:val="000000"/>
          <w:spacing w:val="-23"/>
          <w:sz w:val="32"/>
          <w:szCs w:val="32"/>
          <w:shd w:val="clear" w:color="auto" w:fill="FFFFFF"/>
        </w:rPr>
        <w:t>（</w:t>
      </w:r>
      <w:r>
        <w:rPr>
          <w:rFonts w:hint="eastAsia" w:ascii="仿宋_GB2312" w:hAnsi="Calibri" w:eastAsia="仿宋_GB2312" w:cs="仿宋_GB2312"/>
          <w:color w:val="000000"/>
          <w:spacing w:val="-23"/>
          <w:sz w:val="32"/>
          <w:szCs w:val="32"/>
          <w:shd w:val="clear" w:color="auto" w:fill="FFFFFF"/>
        </w:rPr>
        <w:t>3</w:t>
      </w:r>
      <w:r>
        <w:rPr>
          <w:rFonts w:ascii="仿宋_GB2312" w:hAnsi="Calibri" w:eastAsia="仿宋_GB2312" w:cs="仿宋_GB2312"/>
          <w:color w:val="000000"/>
          <w:spacing w:val="-23"/>
          <w:sz w:val="32"/>
          <w:szCs w:val="32"/>
          <w:shd w:val="clear" w:color="auto" w:fill="FFFFFF"/>
        </w:rPr>
        <w:t>）</w:t>
      </w:r>
      <w:r>
        <w:rPr>
          <w:rFonts w:ascii="仿宋_GB2312" w:hAnsi="Calibri" w:eastAsia="仿宋_GB2312" w:cs="仿宋_GB2312"/>
          <w:color w:val="000000"/>
          <w:sz w:val="32"/>
          <w:szCs w:val="32"/>
          <w:shd w:val="clear" w:color="auto" w:fill="FFFFFF"/>
        </w:rPr>
        <w:t>资金使用情况</w:t>
      </w:r>
    </w:p>
    <w:p w14:paraId="2ADDCD02">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此项目资金的实际支出3万元，资金开支范围、标准及支付进度等均与项目批复一致，支付依据合规合法，资金支付与预算相符。2023年非税收入征收成本主要用于支付商品与服务支出。</w:t>
      </w:r>
    </w:p>
    <w:p w14:paraId="73088F9E">
      <w:pPr>
        <w:pStyle w:val="8"/>
        <w:widowControl/>
        <w:shd w:val="clear" w:color="auto" w:fill="FFFFFF"/>
        <w:snapToGrid w:val="0"/>
        <w:spacing w:before="0" w:beforeAutospacing="0" w:after="0" w:afterAutospacing="0" w:line="520" w:lineRule="exact"/>
        <w:ind w:firstLine="548" w:firstLineChars="200"/>
        <w:jc w:val="both"/>
        <w:rPr>
          <w:rFonts w:ascii="仿宋_GB2312" w:hAnsi="Calibri" w:eastAsia="仿宋_GB2312" w:cs="仿宋_GB2312"/>
          <w:color w:val="000000"/>
          <w:sz w:val="32"/>
          <w:szCs w:val="32"/>
          <w:shd w:val="clear" w:color="auto" w:fill="FFFFFF"/>
        </w:rPr>
      </w:pPr>
      <w:r>
        <w:rPr>
          <w:rFonts w:ascii="仿宋_GB2312" w:hAnsi="Calibri" w:eastAsia="仿宋_GB2312" w:cs="仿宋_GB2312"/>
          <w:color w:val="000000"/>
          <w:spacing w:val="-23"/>
          <w:sz w:val="32"/>
          <w:szCs w:val="32"/>
          <w:shd w:val="clear" w:color="auto" w:fill="FFFFFF"/>
        </w:rPr>
        <w:t>（</w:t>
      </w:r>
      <w:r>
        <w:rPr>
          <w:rFonts w:hint="eastAsia" w:ascii="仿宋_GB2312" w:hAnsi="Calibri" w:eastAsia="仿宋_GB2312" w:cs="仿宋_GB2312"/>
          <w:color w:val="000000"/>
          <w:spacing w:val="-23"/>
          <w:sz w:val="32"/>
          <w:szCs w:val="32"/>
          <w:shd w:val="clear" w:color="auto" w:fill="FFFFFF"/>
        </w:rPr>
        <w:t>4</w:t>
      </w:r>
      <w:r>
        <w:rPr>
          <w:rFonts w:ascii="仿宋_GB2312" w:hAnsi="Calibri" w:eastAsia="仿宋_GB2312" w:cs="仿宋_GB2312"/>
          <w:color w:val="000000"/>
          <w:spacing w:val="-23"/>
          <w:sz w:val="32"/>
          <w:szCs w:val="32"/>
          <w:shd w:val="clear" w:color="auto" w:fill="FFFFFF"/>
        </w:rPr>
        <w:t>）</w:t>
      </w:r>
      <w:r>
        <w:rPr>
          <w:rFonts w:ascii="仿宋_GB2312" w:hAnsi="Calibri" w:eastAsia="仿宋_GB2312" w:cs="仿宋_GB2312"/>
          <w:color w:val="000000"/>
          <w:sz w:val="32"/>
          <w:szCs w:val="32"/>
          <w:shd w:val="clear" w:color="auto" w:fill="FFFFFF"/>
        </w:rPr>
        <w:t>资金管理制度及执行情况</w:t>
      </w:r>
    </w:p>
    <w:p w14:paraId="75B9EBA0">
      <w:pPr>
        <w:spacing w:line="54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全年县级配套免费开放经费财政拨款3万元。</w:t>
      </w:r>
      <w:r>
        <w:rPr>
          <w:rFonts w:ascii="仿宋" w:hAnsi="仿宋" w:eastAsia="仿宋" w:cs="仿宋_GB2312"/>
          <w:sz w:val="28"/>
          <w:szCs w:val="28"/>
        </w:rPr>
        <w:t>按项目任务分解，馆办公</w:t>
      </w:r>
      <w:r>
        <w:rPr>
          <w:rFonts w:hint="eastAsia" w:ascii="仿宋" w:hAnsi="仿宋" w:eastAsia="仿宋" w:cs="仿宋_GB2312"/>
          <w:sz w:val="28"/>
          <w:szCs w:val="28"/>
        </w:rPr>
        <w:t>、</w:t>
      </w:r>
      <w:r>
        <w:rPr>
          <w:rFonts w:ascii="仿宋" w:hAnsi="仿宋" w:eastAsia="仿宋" w:cs="仿宋_GB2312"/>
          <w:sz w:val="28"/>
          <w:szCs w:val="28"/>
        </w:rPr>
        <w:t>财务人员按照财务、预算管理制度，对于专项资金的项目按照政府采购的程序、实施、付款等关节进行管理和监督。制定了项目绩效目标申报表和项目资金自评考核，制定了图书馆内部管理制度和资金使用细化方案。</w:t>
      </w:r>
    </w:p>
    <w:p w14:paraId="30F0BD5E">
      <w:pPr>
        <w:pStyle w:val="8"/>
        <w:widowControl/>
        <w:shd w:val="clear" w:color="auto" w:fill="FFFFFF"/>
        <w:snapToGrid w:val="0"/>
        <w:spacing w:before="0" w:beforeAutospacing="0" w:after="0" w:afterAutospacing="0" w:line="520" w:lineRule="exact"/>
        <w:ind w:firstLine="640" w:firstLineChars="200"/>
        <w:jc w:val="both"/>
        <w:rPr>
          <w:rFonts w:ascii="仿宋_GB2312" w:hAnsi="Calibri" w:eastAsia="仿宋_GB2312" w:cs="仿宋_GB2312"/>
          <w:color w:val="000000"/>
          <w:sz w:val="32"/>
          <w:szCs w:val="32"/>
          <w:shd w:val="clear" w:color="auto" w:fill="FFFFFF"/>
        </w:rPr>
      </w:pPr>
      <w:r>
        <w:rPr>
          <w:rFonts w:hint="eastAsia" w:ascii="仿宋_GB2312" w:hAnsi="Calibri" w:eastAsia="仿宋_GB2312" w:cs="仿宋_GB2312"/>
          <w:color w:val="000000"/>
          <w:sz w:val="32"/>
          <w:szCs w:val="32"/>
          <w:shd w:val="clear" w:color="auto" w:fill="FFFFFF"/>
        </w:rPr>
        <w:t>2</w:t>
      </w:r>
      <w:r>
        <w:rPr>
          <w:rFonts w:ascii="仿宋_GB2312" w:hAnsi="Calibri" w:eastAsia="仿宋_GB2312" w:cs="仿宋_GB2312"/>
          <w:color w:val="000000"/>
          <w:sz w:val="32"/>
          <w:szCs w:val="32"/>
          <w:shd w:val="clear" w:color="auto" w:fill="FFFFFF"/>
        </w:rPr>
        <w:t>.项目组织实施管理情况</w:t>
      </w:r>
    </w:p>
    <w:p w14:paraId="4E0854BE">
      <w:pPr>
        <w:pStyle w:val="4"/>
        <w:spacing w:before="217" w:line="520" w:lineRule="exact"/>
        <w:ind w:left="5" w:right="77" w:firstLine="555"/>
        <w:rPr>
          <w:rFonts w:ascii="仿宋" w:hAnsi="仿宋" w:eastAsia="仿宋"/>
          <w:sz w:val="28"/>
          <w:szCs w:val="28"/>
        </w:rPr>
      </w:pPr>
      <w:r>
        <w:rPr>
          <w:rFonts w:hint="eastAsia" w:ascii="仿宋" w:hAnsi="仿宋" w:eastAsia="仿宋" w:cs="宋体"/>
          <w:color w:val="000000"/>
          <w:sz w:val="28"/>
          <w:szCs w:val="28"/>
        </w:rPr>
        <w:t>在财政下拨的项目经费中，我馆按照相关的文件精神，建立健全专项资金各项管理制度，实施内部监督。严格按照专项资金支出范围编制使用方案和年初工作计划，做到了专款专用。专项资金主要在以下几个方面：</w:t>
      </w:r>
      <w:r>
        <w:rPr>
          <w:rFonts w:ascii="仿宋" w:hAnsi="仿宋" w:eastAsia="仿宋"/>
          <w:spacing w:val="-5"/>
          <w:sz w:val="28"/>
          <w:szCs w:val="28"/>
        </w:rPr>
        <w:t>本年共计开展各类线上线下阅读推广活动197 场次，其中，线下阅读推广活动39 场次，服务群众1.1万余人次。线上阅读推广活动158 场次，服务1.7</w:t>
      </w:r>
      <w:r>
        <w:rPr>
          <w:rFonts w:ascii="仿宋" w:hAnsi="仿宋" w:eastAsia="仿宋"/>
          <w:spacing w:val="-3"/>
          <w:sz w:val="28"/>
          <w:szCs w:val="28"/>
        </w:rPr>
        <w:t>万余人次。</w:t>
      </w:r>
    </w:p>
    <w:p w14:paraId="0F08AA10">
      <w:pPr>
        <w:pStyle w:val="8"/>
        <w:widowControl/>
        <w:shd w:val="clear" w:color="auto" w:fill="FFFFFF"/>
        <w:snapToGrid w:val="0"/>
        <w:spacing w:before="0" w:beforeAutospacing="0" w:after="0" w:afterAutospacing="0" w:line="520" w:lineRule="exact"/>
        <w:ind w:firstLine="551" w:firstLineChars="200"/>
        <w:jc w:val="both"/>
        <w:rPr>
          <w:rFonts w:ascii="楷体_GB2312" w:hAnsi="楷体_GB2312" w:eastAsia="楷体_GB2312" w:cs="楷体_GB2312"/>
          <w:b/>
          <w:bCs/>
          <w:color w:val="000000"/>
          <w:sz w:val="32"/>
          <w:szCs w:val="32"/>
          <w:shd w:val="clear" w:color="auto" w:fill="FFFFFF"/>
        </w:rPr>
      </w:pPr>
      <w:r>
        <w:rPr>
          <w:rFonts w:hint="eastAsia" w:ascii="楷体_GB2312" w:hAnsi="楷体_GB2312" w:eastAsia="楷体_GB2312" w:cs="楷体_GB2312"/>
          <w:b/>
          <w:bCs/>
          <w:color w:val="000000"/>
          <w:spacing w:val="-23"/>
          <w:sz w:val="32"/>
          <w:szCs w:val="32"/>
          <w:shd w:val="clear" w:color="auto" w:fill="FFFFFF"/>
        </w:rPr>
        <w:t>（三）</w:t>
      </w:r>
      <w:r>
        <w:rPr>
          <w:rFonts w:hint="eastAsia" w:ascii="楷体_GB2312" w:hAnsi="楷体_GB2312" w:eastAsia="楷体_GB2312" w:cs="楷体_GB2312"/>
          <w:b/>
          <w:bCs/>
          <w:color w:val="000000"/>
          <w:sz w:val="32"/>
          <w:szCs w:val="32"/>
          <w:shd w:val="clear" w:color="auto" w:fill="FFFFFF"/>
        </w:rPr>
        <w:t>预算绩效目标情况</w:t>
      </w:r>
    </w:p>
    <w:p w14:paraId="280BE09B">
      <w:pPr>
        <w:pStyle w:val="8"/>
        <w:widowControl/>
        <w:shd w:val="clear" w:color="auto" w:fill="FFFFFF"/>
        <w:snapToGrid w:val="0"/>
        <w:spacing w:before="0" w:beforeAutospacing="0" w:after="0" w:afterAutospacing="0" w:line="520" w:lineRule="exact"/>
        <w:ind w:firstLine="560" w:firstLineChars="200"/>
        <w:jc w:val="both"/>
        <w:rPr>
          <w:rFonts w:ascii="仿宋" w:hAnsi="仿宋" w:eastAsia="仿宋" w:cs="仿宋_GB2312"/>
          <w:color w:val="000000"/>
          <w:sz w:val="28"/>
          <w:szCs w:val="28"/>
          <w:shd w:val="clear" w:color="auto" w:fill="FFFFFF"/>
        </w:rPr>
      </w:pPr>
      <w:r>
        <w:rPr>
          <w:rFonts w:hint="eastAsia" w:ascii="仿宋" w:hAnsi="仿宋" w:eastAsia="仿宋" w:cs="仿宋_GB2312"/>
          <w:color w:val="000000"/>
          <w:sz w:val="28"/>
          <w:szCs w:val="28"/>
          <w:shd w:val="clear" w:color="auto" w:fill="FFFFFF"/>
        </w:rPr>
        <w:t>1.绩效目标：坚持免费开放工作的顺利开展，满足广大读者的阅读需求，打造读者满意的阅读环境</w:t>
      </w:r>
    </w:p>
    <w:p w14:paraId="7F2EF6E3">
      <w:pPr>
        <w:pStyle w:val="8"/>
        <w:widowControl/>
        <w:shd w:val="clear" w:color="auto" w:fill="FFFFFF"/>
        <w:snapToGrid w:val="0"/>
        <w:spacing w:before="0" w:beforeAutospacing="0" w:after="0" w:afterAutospacing="0" w:line="520" w:lineRule="exact"/>
        <w:ind w:firstLine="560" w:firstLineChars="200"/>
        <w:jc w:val="both"/>
        <w:rPr>
          <w:rFonts w:ascii="仿宋" w:hAnsi="仿宋" w:eastAsia="仿宋" w:cs="仿宋_GB2312"/>
          <w:color w:val="000000"/>
          <w:sz w:val="28"/>
          <w:szCs w:val="28"/>
          <w:shd w:val="clear" w:color="auto" w:fill="FFFFFF"/>
        </w:rPr>
      </w:pPr>
      <w:r>
        <w:rPr>
          <w:rFonts w:hint="eastAsia" w:ascii="仿宋" w:hAnsi="仿宋" w:eastAsia="仿宋" w:cs="仿宋_GB2312"/>
          <w:color w:val="000000"/>
          <w:sz w:val="28"/>
          <w:szCs w:val="28"/>
          <w:shd w:val="clear" w:color="auto" w:fill="FFFFFF"/>
        </w:rPr>
        <w:t>2.绩效指标：</w:t>
      </w:r>
      <w:r>
        <w:rPr>
          <w:rFonts w:hint="eastAsia" w:ascii="仿宋" w:hAnsi="仿宋" w:eastAsia="仿宋" w:cs="仿宋"/>
          <w:sz w:val="28"/>
          <w:szCs w:val="28"/>
        </w:rPr>
        <w:t>3个一级指标，9个二级指标，10个三级指标按时间截点较好的完成。</w:t>
      </w:r>
    </w:p>
    <w:p w14:paraId="3FA19A32">
      <w:pPr>
        <w:pStyle w:val="9"/>
        <w:snapToGrid w:val="0"/>
        <w:spacing w:line="520" w:lineRule="exact"/>
        <w:ind w:firstLine="640"/>
        <w:rPr>
          <w:rFonts w:ascii="黑体" w:hAnsi="黑体" w:eastAsia="黑体" w:cs="黑体"/>
          <w:color w:val="000000"/>
          <w:kern w:val="0"/>
          <w:szCs w:val="32"/>
          <w:shd w:val="clear" w:color="auto" w:fill="FFFFFF"/>
        </w:rPr>
      </w:pPr>
      <w:r>
        <w:rPr>
          <w:rFonts w:hint="eastAsia" w:ascii="黑体" w:hAnsi="黑体" w:eastAsia="黑体" w:cs="黑体"/>
          <w:color w:val="000000"/>
          <w:kern w:val="0"/>
          <w:szCs w:val="32"/>
          <w:shd w:val="clear" w:color="auto" w:fill="FFFFFF"/>
        </w:rPr>
        <w:t>二、绩效评价工作情况</w:t>
      </w:r>
    </w:p>
    <w:p w14:paraId="048DC92A">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r>
        <w:rPr>
          <w:rFonts w:hint="eastAsia" w:ascii="楷体_GB2312" w:hAnsi="楷体_GB2312" w:eastAsia="楷体_GB2312" w:cs="楷体_GB2312"/>
          <w:color w:val="000000"/>
          <w:spacing w:val="-23"/>
          <w:kern w:val="0"/>
          <w:sz w:val="32"/>
          <w:szCs w:val="32"/>
          <w:shd w:val="clear" w:color="auto" w:fill="FFFFFF"/>
        </w:rPr>
        <w:t>（一）</w:t>
      </w:r>
      <w:r>
        <w:rPr>
          <w:rFonts w:hint="eastAsia" w:ascii="楷体_GB2312" w:hAnsi="楷体_GB2312" w:eastAsia="楷体_GB2312" w:cs="楷体_GB2312"/>
          <w:color w:val="000000"/>
          <w:kern w:val="0"/>
          <w:sz w:val="32"/>
          <w:szCs w:val="32"/>
          <w:shd w:val="clear" w:color="auto" w:fill="FFFFFF"/>
        </w:rPr>
        <w:t>绩效评价目的</w:t>
      </w:r>
    </w:p>
    <w:p w14:paraId="41C18446">
      <w:pPr>
        <w:spacing w:line="520" w:lineRule="exact"/>
        <w:ind w:firstLine="560" w:firstLineChars="200"/>
        <w:rPr>
          <w:rFonts w:ascii="仿宋" w:hAnsi="仿宋" w:eastAsia="仿宋" w:cs="仿宋"/>
          <w:sz w:val="32"/>
          <w:szCs w:val="32"/>
        </w:rPr>
      </w:pPr>
      <w:r>
        <w:rPr>
          <w:rFonts w:hint="eastAsia" w:ascii="仿宋" w:hAnsi="仿宋" w:eastAsia="仿宋" w:cs="仿宋"/>
          <w:sz w:val="28"/>
          <w:szCs w:val="28"/>
        </w:rPr>
        <w:t>有效地发挥资金效益，按规定依法依规使用资金</w:t>
      </w:r>
      <w:r>
        <w:rPr>
          <w:rFonts w:hint="eastAsia" w:ascii="仿宋" w:hAnsi="仿宋" w:eastAsia="仿宋" w:cs="仿宋"/>
          <w:sz w:val="32"/>
          <w:szCs w:val="32"/>
        </w:rPr>
        <w:t>。</w:t>
      </w:r>
    </w:p>
    <w:p w14:paraId="42215F96">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bookmarkStart w:id="1" w:name="_Toc11844"/>
      <w:r>
        <w:rPr>
          <w:rFonts w:hint="eastAsia" w:ascii="楷体_GB2312" w:hAnsi="楷体_GB2312" w:eastAsia="楷体_GB2312" w:cs="楷体_GB2312"/>
          <w:color w:val="000000"/>
          <w:spacing w:val="-23"/>
          <w:kern w:val="0"/>
          <w:sz w:val="32"/>
          <w:szCs w:val="32"/>
          <w:shd w:val="clear" w:color="auto" w:fill="FFFFFF"/>
        </w:rPr>
        <w:t>（二）</w:t>
      </w:r>
      <w:r>
        <w:rPr>
          <w:rFonts w:hint="eastAsia" w:ascii="楷体_GB2312" w:hAnsi="楷体_GB2312" w:eastAsia="楷体_GB2312" w:cs="楷体_GB2312"/>
          <w:color w:val="000000"/>
          <w:kern w:val="0"/>
          <w:sz w:val="32"/>
          <w:szCs w:val="32"/>
          <w:shd w:val="clear" w:color="auto" w:fill="FFFFFF"/>
        </w:rPr>
        <w:t>被评价单位、绩效评价范围与时段</w:t>
      </w:r>
      <w:bookmarkEnd w:id="1"/>
    </w:p>
    <w:p w14:paraId="0E38384B">
      <w:pPr>
        <w:snapToGrid w:val="0"/>
        <w:spacing w:line="520" w:lineRule="exact"/>
        <w:ind w:firstLine="560" w:firstLineChars="200"/>
        <w:rPr>
          <w:rFonts w:ascii="楷体_GB2312" w:hAnsi="楷体_GB2312" w:eastAsia="楷体_GB2312" w:cs="楷体_GB2312"/>
          <w:color w:val="000000"/>
          <w:kern w:val="0"/>
          <w:sz w:val="32"/>
          <w:szCs w:val="32"/>
          <w:shd w:val="clear" w:color="auto" w:fill="FFFFFF"/>
        </w:rPr>
      </w:pPr>
      <w:r>
        <w:rPr>
          <w:rFonts w:hint="eastAsia" w:ascii="仿宋" w:hAnsi="仿宋" w:eastAsia="仿宋" w:cs="仿宋"/>
          <w:sz w:val="28"/>
          <w:szCs w:val="28"/>
        </w:rPr>
        <w:t>会同县图书馆2023年度免费开放工作成本评价</w:t>
      </w:r>
    </w:p>
    <w:p w14:paraId="295E87B4">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bookmarkStart w:id="2" w:name="_Toc31835"/>
      <w:r>
        <w:rPr>
          <w:rFonts w:hint="eastAsia" w:ascii="楷体_GB2312" w:hAnsi="楷体_GB2312" w:eastAsia="楷体_GB2312" w:cs="楷体_GB2312"/>
          <w:color w:val="000000"/>
          <w:spacing w:val="-23"/>
          <w:kern w:val="0"/>
          <w:sz w:val="32"/>
          <w:szCs w:val="32"/>
          <w:shd w:val="clear" w:color="auto" w:fill="FFFFFF"/>
        </w:rPr>
        <w:t>（三）</w:t>
      </w:r>
      <w:r>
        <w:rPr>
          <w:rFonts w:hint="eastAsia" w:ascii="楷体_GB2312" w:hAnsi="楷体_GB2312" w:eastAsia="楷体_GB2312" w:cs="楷体_GB2312"/>
          <w:color w:val="000000"/>
          <w:kern w:val="0"/>
          <w:sz w:val="32"/>
          <w:szCs w:val="32"/>
          <w:shd w:val="clear" w:color="auto" w:fill="FFFFFF"/>
        </w:rPr>
        <w:t>绩效评价原则、评价指标体系、评价方法</w:t>
      </w:r>
      <w:bookmarkEnd w:id="2"/>
    </w:p>
    <w:p w14:paraId="0E4CC43C">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评价原则采用相关性原则、重要性原则、可比性原则、系统性原则等</w:t>
      </w:r>
    </w:p>
    <w:p w14:paraId="5474B075">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评价指标体系根据评价对象设置共性指标（决策管理、投入、项目实施及社会效益、经济效益等）和个性指标（经济效益指标、社会效益指标、生态效益指标及可持续影响指标），定量指标和定性指标。</w:t>
      </w:r>
    </w:p>
    <w:p w14:paraId="1908EC89">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绩效评价方法主要采用计划标准、行业标准和历史标准。</w:t>
      </w:r>
    </w:p>
    <w:p w14:paraId="7853F2EC">
      <w:pPr>
        <w:snapToGrid w:val="0"/>
        <w:spacing w:line="520" w:lineRule="exact"/>
        <w:ind w:firstLine="640" w:firstLineChars="200"/>
        <w:outlineLvl w:val="0"/>
        <w:rPr>
          <w:rFonts w:ascii="黑体" w:hAnsi="黑体" w:eastAsia="黑体" w:cs="黑体"/>
          <w:color w:val="000000"/>
          <w:kern w:val="0"/>
          <w:sz w:val="32"/>
          <w:szCs w:val="32"/>
          <w:shd w:val="clear" w:color="auto" w:fill="FFFFFF"/>
        </w:rPr>
      </w:pPr>
      <w:bookmarkStart w:id="3" w:name="_Toc32076"/>
      <w:bookmarkStart w:id="4" w:name="_Toc7615"/>
      <w:r>
        <w:rPr>
          <w:rFonts w:hint="eastAsia" w:ascii="黑体" w:hAnsi="黑体" w:eastAsia="黑体" w:cs="黑体"/>
          <w:color w:val="000000"/>
          <w:kern w:val="0"/>
          <w:sz w:val="32"/>
          <w:szCs w:val="32"/>
          <w:shd w:val="clear" w:color="auto" w:fill="FFFFFF"/>
        </w:rPr>
        <w:t>三、主要绩效及评价结论</w:t>
      </w:r>
      <w:bookmarkEnd w:id="3"/>
      <w:bookmarkEnd w:id="4"/>
    </w:p>
    <w:p w14:paraId="07C17360">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r>
        <w:rPr>
          <w:rFonts w:hint="eastAsia" w:ascii="楷体_GB2312" w:hAnsi="楷体_GB2312" w:eastAsia="楷体_GB2312" w:cs="楷体_GB2312"/>
          <w:color w:val="000000"/>
          <w:spacing w:val="-23"/>
          <w:kern w:val="0"/>
          <w:sz w:val="32"/>
          <w:szCs w:val="32"/>
          <w:shd w:val="clear" w:color="auto" w:fill="FFFFFF"/>
        </w:rPr>
        <w:t>（一）</w:t>
      </w:r>
      <w:r>
        <w:rPr>
          <w:rFonts w:hint="eastAsia" w:ascii="楷体_GB2312" w:hAnsi="楷体_GB2312" w:eastAsia="楷体_GB2312" w:cs="楷体_GB2312"/>
          <w:color w:val="000000"/>
          <w:kern w:val="0"/>
          <w:sz w:val="32"/>
          <w:szCs w:val="32"/>
          <w:shd w:val="clear" w:color="auto" w:fill="FFFFFF"/>
        </w:rPr>
        <w:t>社会效益</w:t>
      </w:r>
    </w:p>
    <w:p w14:paraId="59DCFC96">
      <w:pPr>
        <w:snapToGrid w:val="0"/>
        <w:spacing w:line="520" w:lineRule="exact"/>
        <w:ind w:firstLine="560" w:firstLineChars="200"/>
        <w:rPr>
          <w:rFonts w:ascii="仿宋" w:hAnsi="仿宋" w:eastAsia="仿宋" w:cs="楷体_GB2312"/>
          <w:color w:val="000000"/>
          <w:kern w:val="0"/>
          <w:sz w:val="28"/>
          <w:szCs w:val="28"/>
          <w:shd w:val="clear" w:color="auto" w:fill="FFFFFF"/>
        </w:rPr>
      </w:pPr>
      <w:r>
        <w:rPr>
          <w:rFonts w:hint="eastAsia" w:ascii="仿宋" w:hAnsi="仿宋" w:eastAsia="仿宋" w:cs="楷体_GB2312"/>
          <w:color w:val="000000"/>
          <w:kern w:val="0"/>
          <w:sz w:val="28"/>
          <w:szCs w:val="28"/>
          <w:shd w:val="clear" w:color="auto" w:fill="FFFFFF"/>
        </w:rPr>
        <w:t>专项经费的安排有效地保障了图书馆的日常工作顺利开展，图书馆全年开放，节假日不休息，满足了读者的阅读需求</w:t>
      </w:r>
    </w:p>
    <w:p w14:paraId="4AF1EB97">
      <w:pPr>
        <w:snapToGrid w:val="0"/>
        <w:spacing w:line="520" w:lineRule="exact"/>
        <w:rPr>
          <w:rFonts w:ascii="仿宋" w:hAnsi="仿宋" w:eastAsia="仿宋" w:cs="仿宋"/>
          <w:sz w:val="28"/>
          <w:szCs w:val="28"/>
        </w:rPr>
      </w:pPr>
      <w:r>
        <w:rPr>
          <w:rFonts w:hint="eastAsia" w:ascii="楷体_GB2312" w:hAnsi="楷体_GB2312" w:eastAsia="楷体_GB2312" w:cs="楷体_GB2312"/>
          <w:color w:val="000000"/>
          <w:spacing w:val="-23"/>
          <w:kern w:val="0"/>
          <w:sz w:val="32"/>
          <w:szCs w:val="32"/>
          <w:shd w:val="clear" w:color="auto" w:fill="FFFFFF"/>
        </w:rPr>
        <w:t xml:space="preserve">     （二）</w:t>
      </w:r>
      <w:r>
        <w:rPr>
          <w:rFonts w:hint="eastAsia" w:ascii="楷体_GB2312" w:hAnsi="楷体_GB2312" w:eastAsia="楷体_GB2312" w:cs="楷体_GB2312"/>
          <w:color w:val="000000"/>
          <w:kern w:val="0"/>
          <w:sz w:val="32"/>
          <w:szCs w:val="32"/>
          <w:shd w:val="clear" w:color="auto" w:fill="FFFFFF"/>
        </w:rPr>
        <w:t>生态效益</w:t>
      </w:r>
      <w:r>
        <w:rPr>
          <w:rFonts w:hint="eastAsia" w:ascii="仿宋" w:hAnsi="仿宋" w:eastAsia="仿宋" w:cs="仿宋"/>
          <w:sz w:val="28"/>
          <w:szCs w:val="28"/>
        </w:rPr>
        <w:t>：</w:t>
      </w:r>
    </w:p>
    <w:p w14:paraId="2514DDE1">
      <w:pPr>
        <w:snapToGrid w:val="0"/>
        <w:spacing w:line="520" w:lineRule="exact"/>
        <w:rPr>
          <w:rFonts w:ascii="楷体_GB2312" w:hAnsi="楷体_GB2312" w:eastAsia="楷体_GB2312" w:cs="楷体_GB2312"/>
          <w:color w:val="000000"/>
          <w:kern w:val="0"/>
          <w:sz w:val="32"/>
          <w:szCs w:val="32"/>
          <w:shd w:val="clear" w:color="auto" w:fill="FFFFFF"/>
        </w:rPr>
      </w:pPr>
      <w:r>
        <w:rPr>
          <w:rFonts w:hint="eastAsia" w:ascii="仿宋" w:hAnsi="仿宋" w:eastAsia="仿宋" w:cs="仿宋"/>
          <w:sz w:val="28"/>
          <w:szCs w:val="28"/>
        </w:rPr>
        <w:t xml:space="preserve">    生态效益效果明显</w:t>
      </w:r>
    </w:p>
    <w:p w14:paraId="1F1D6486">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r>
        <w:rPr>
          <w:rFonts w:hint="eastAsia" w:ascii="楷体_GB2312" w:hAnsi="楷体_GB2312" w:eastAsia="楷体_GB2312" w:cs="楷体_GB2312"/>
          <w:color w:val="000000"/>
          <w:spacing w:val="-23"/>
          <w:kern w:val="0"/>
          <w:sz w:val="32"/>
          <w:szCs w:val="32"/>
          <w:shd w:val="clear" w:color="auto" w:fill="FFFFFF"/>
        </w:rPr>
        <w:t>（三）</w:t>
      </w:r>
      <w:r>
        <w:rPr>
          <w:rFonts w:hint="eastAsia" w:ascii="楷体_GB2312" w:hAnsi="楷体_GB2312" w:eastAsia="楷体_GB2312" w:cs="楷体_GB2312"/>
          <w:color w:val="000000"/>
          <w:kern w:val="0"/>
          <w:sz w:val="32"/>
          <w:szCs w:val="32"/>
          <w:shd w:val="clear" w:color="auto" w:fill="FFFFFF"/>
        </w:rPr>
        <w:t>可持续影响</w:t>
      </w:r>
    </w:p>
    <w:p w14:paraId="79FDDD9F">
      <w:pPr>
        <w:snapToGrid w:val="0"/>
        <w:spacing w:line="520" w:lineRule="exact"/>
        <w:ind w:firstLine="560" w:firstLineChars="200"/>
        <w:rPr>
          <w:rFonts w:ascii="仿宋" w:hAnsi="仿宋" w:eastAsia="仿宋" w:cs="楷体_GB2312"/>
          <w:color w:val="000000"/>
          <w:kern w:val="0"/>
          <w:sz w:val="28"/>
          <w:szCs w:val="28"/>
          <w:shd w:val="clear" w:color="auto" w:fill="FFFFFF"/>
        </w:rPr>
      </w:pPr>
      <w:r>
        <w:rPr>
          <w:rFonts w:hint="eastAsia" w:ascii="仿宋" w:hAnsi="仿宋" w:eastAsia="仿宋" w:cs="楷体_GB2312"/>
          <w:color w:val="000000"/>
          <w:kern w:val="0"/>
          <w:sz w:val="28"/>
          <w:szCs w:val="28"/>
          <w:shd w:val="clear" w:color="auto" w:fill="FFFFFF"/>
        </w:rPr>
        <w:t>2023年我单位项目效果开展取得了社会的一致认可，提高了阅读率，满足了读者的阅读需求。</w:t>
      </w:r>
    </w:p>
    <w:p w14:paraId="3DD8F360">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r>
        <w:rPr>
          <w:rFonts w:hint="eastAsia" w:ascii="楷体_GB2312" w:hAnsi="楷体_GB2312" w:eastAsia="楷体_GB2312" w:cs="楷体_GB2312"/>
          <w:color w:val="000000"/>
          <w:spacing w:val="-23"/>
          <w:kern w:val="0"/>
          <w:sz w:val="32"/>
          <w:szCs w:val="32"/>
          <w:shd w:val="clear" w:color="auto" w:fill="FFFFFF"/>
        </w:rPr>
        <w:t>（四）</w:t>
      </w:r>
      <w:r>
        <w:rPr>
          <w:rFonts w:hint="eastAsia" w:ascii="楷体_GB2312" w:hAnsi="楷体_GB2312" w:eastAsia="楷体_GB2312" w:cs="楷体_GB2312"/>
          <w:color w:val="000000"/>
          <w:kern w:val="0"/>
          <w:sz w:val="32"/>
          <w:szCs w:val="32"/>
          <w:shd w:val="clear" w:color="auto" w:fill="FFFFFF"/>
        </w:rPr>
        <w:t>满意度情况</w:t>
      </w:r>
    </w:p>
    <w:p w14:paraId="56417989">
      <w:pPr>
        <w:snapToGrid w:val="0"/>
        <w:spacing w:line="520" w:lineRule="exact"/>
        <w:ind w:firstLine="560" w:firstLineChars="200"/>
        <w:rPr>
          <w:rFonts w:ascii="楷体_GB2312" w:hAnsi="楷体_GB2312" w:eastAsia="楷体_GB2312" w:cs="楷体_GB2312"/>
          <w:color w:val="000000"/>
          <w:kern w:val="0"/>
          <w:sz w:val="32"/>
          <w:szCs w:val="32"/>
          <w:shd w:val="clear" w:color="auto" w:fill="FFFFFF"/>
        </w:rPr>
      </w:pPr>
      <w:r>
        <w:rPr>
          <w:rFonts w:hint="eastAsia" w:ascii="仿宋" w:hAnsi="仿宋" w:eastAsia="仿宋" w:cs="楷体_GB2312"/>
          <w:color w:val="000000"/>
          <w:kern w:val="0"/>
          <w:sz w:val="28"/>
          <w:szCs w:val="28"/>
          <w:shd w:val="clear" w:color="auto" w:fill="FFFFFF"/>
        </w:rPr>
        <w:t>对读者进行的访问，读者对环境和服务的满意率达到了98%以上</w:t>
      </w:r>
    </w:p>
    <w:p w14:paraId="0592103E">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r>
        <w:rPr>
          <w:rFonts w:hint="eastAsia" w:ascii="楷体_GB2312" w:hAnsi="楷体_GB2312" w:eastAsia="楷体_GB2312" w:cs="楷体_GB2312"/>
          <w:color w:val="000000"/>
          <w:spacing w:val="-23"/>
          <w:kern w:val="0"/>
          <w:sz w:val="32"/>
          <w:szCs w:val="32"/>
          <w:shd w:val="clear" w:color="auto" w:fill="FFFFFF"/>
        </w:rPr>
        <w:t>（五）</w:t>
      </w:r>
      <w:r>
        <w:rPr>
          <w:rFonts w:hint="eastAsia" w:ascii="楷体_GB2312" w:hAnsi="楷体_GB2312" w:eastAsia="楷体_GB2312" w:cs="楷体_GB2312"/>
          <w:color w:val="000000"/>
          <w:kern w:val="0"/>
          <w:sz w:val="32"/>
          <w:szCs w:val="32"/>
          <w:shd w:val="clear" w:color="auto" w:fill="FFFFFF"/>
        </w:rPr>
        <w:t>评价结论</w:t>
      </w:r>
    </w:p>
    <w:p w14:paraId="5B2FB7CF">
      <w:pPr>
        <w:snapToGrid w:val="0"/>
        <w:spacing w:line="520" w:lineRule="exact"/>
        <w:ind w:firstLine="468" w:firstLineChars="200"/>
        <w:rPr>
          <w:rFonts w:ascii="楷体_GB2312" w:hAnsi="楷体_GB2312" w:eastAsia="楷体_GB2312" w:cs="楷体_GB2312"/>
          <w:color w:val="000000"/>
          <w:kern w:val="0"/>
          <w:sz w:val="32"/>
          <w:szCs w:val="32"/>
          <w:shd w:val="clear" w:color="auto" w:fill="FFFFFF"/>
        </w:rPr>
      </w:pPr>
      <w:r>
        <w:rPr>
          <w:rFonts w:hint="eastAsia" w:ascii="仿宋" w:hAnsi="仿宋" w:eastAsia="仿宋" w:cs="楷体_GB2312"/>
          <w:color w:val="000000"/>
          <w:spacing w:val="-23"/>
          <w:kern w:val="0"/>
          <w:sz w:val="28"/>
          <w:szCs w:val="28"/>
          <w:shd w:val="clear" w:color="auto" w:fill="FFFFFF"/>
        </w:rPr>
        <w:t>经自评，项目已基本按照方案实施，项目支出达到预期绩效目标。根据对会同县图书馆专项资金项目绩效评价共性指标体系自检自评结果统计，2023年我单位专项资金项目绩效自评为“优”，自查评分为90分</w:t>
      </w:r>
    </w:p>
    <w:p w14:paraId="1F929C04">
      <w:pPr>
        <w:snapToGrid w:val="0"/>
        <w:spacing w:line="520" w:lineRule="exact"/>
        <w:ind w:firstLine="640" w:firstLineChars="200"/>
        <w:outlineLvl w:val="0"/>
        <w:rPr>
          <w:rFonts w:ascii="黑体" w:hAnsi="黑体" w:eastAsia="黑体" w:cs="黑体"/>
          <w:color w:val="000000"/>
          <w:kern w:val="0"/>
          <w:sz w:val="32"/>
          <w:szCs w:val="32"/>
          <w:shd w:val="clear" w:color="auto" w:fill="FFFFFF"/>
        </w:rPr>
      </w:pPr>
      <w:bookmarkStart w:id="5" w:name="_Toc16332"/>
      <w:bookmarkStart w:id="6" w:name="_Toc27541"/>
      <w:r>
        <w:rPr>
          <w:rFonts w:hint="eastAsia" w:ascii="黑体" w:hAnsi="黑体" w:eastAsia="黑体" w:cs="黑体"/>
          <w:color w:val="000000"/>
          <w:kern w:val="0"/>
          <w:sz w:val="32"/>
          <w:szCs w:val="32"/>
          <w:shd w:val="clear" w:color="auto" w:fill="FFFFFF"/>
        </w:rPr>
        <w:t>四、绩效评价指标分析</w:t>
      </w:r>
      <w:bookmarkEnd w:id="5"/>
      <w:bookmarkEnd w:id="6"/>
    </w:p>
    <w:p w14:paraId="32A89E79">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bookmarkStart w:id="7" w:name="_Toc17679"/>
      <w:r>
        <w:rPr>
          <w:rFonts w:hint="eastAsia" w:ascii="楷体_GB2312" w:hAnsi="楷体_GB2312" w:eastAsia="楷体_GB2312" w:cs="楷体_GB2312"/>
          <w:color w:val="000000"/>
          <w:spacing w:val="-23"/>
          <w:kern w:val="0"/>
          <w:sz w:val="32"/>
          <w:szCs w:val="32"/>
          <w:shd w:val="clear" w:color="auto" w:fill="FFFFFF"/>
        </w:rPr>
        <w:t>（一）</w:t>
      </w:r>
      <w:r>
        <w:rPr>
          <w:rFonts w:hint="eastAsia" w:ascii="楷体_GB2312" w:hAnsi="楷体_GB2312" w:eastAsia="楷体_GB2312" w:cs="楷体_GB2312"/>
          <w:color w:val="000000"/>
          <w:kern w:val="0"/>
          <w:sz w:val="32"/>
          <w:szCs w:val="32"/>
          <w:shd w:val="clear" w:color="auto" w:fill="FFFFFF"/>
        </w:rPr>
        <w:t>项目决策情况</w:t>
      </w:r>
      <w:bookmarkEnd w:id="7"/>
    </w:p>
    <w:p w14:paraId="42A45024">
      <w:pPr>
        <w:spacing w:line="520" w:lineRule="exact"/>
        <w:ind w:firstLine="840" w:firstLineChars="300"/>
        <w:rPr>
          <w:rFonts w:ascii="仿宋" w:hAnsi="仿宋" w:eastAsia="仿宋" w:cs="仿宋"/>
          <w:sz w:val="28"/>
          <w:szCs w:val="28"/>
        </w:rPr>
      </w:pPr>
      <w:r>
        <w:rPr>
          <w:rFonts w:hint="eastAsia" w:ascii="仿宋" w:hAnsi="仿宋" w:eastAsia="仿宋" w:cs="仿宋"/>
          <w:sz w:val="28"/>
          <w:szCs w:val="28"/>
        </w:rPr>
        <w:t>多部门协作共同参与绩效目标的制定，确保目标的合理性和可行性</w:t>
      </w:r>
      <w:r>
        <w:rPr>
          <w:rFonts w:hint="eastAsia" w:ascii="仿宋" w:hAnsi="仿宋" w:eastAsia="仿宋" w:cs="仿宋"/>
          <w:color w:val="333333"/>
          <w:sz w:val="28"/>
          <w:szCs w:val="28"/>
          <w:shd w:val="clear" w:color="auto" w:fill="FFFFFF"/>
        </w:rPr>
        <w:t>根据项目的阶段和内容，确定哪些方面的决策需要被记录和总结，包括目标、资源、进度、风险等方面。梳理并整理决策信息：收集和整理涉及到的各种决策信息，包括决策的时间、主要内容、影响因素和决策结果等方面。分析和评价决策效果：对每一项决策进行分析和评价，考察其是否符合预期目标，产生积极的效果，以及存在的问题和不足之处等。提炼并总结经验教训：根据项目决策的具体情况，提炼出可供复制和推广的经验和成功做法，并总结出不易重复和规避的教训和失败原因。</w:t>
      </w:r>
    </w:p>
    <w:p w14:paraId="7E40D9CE">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bookmarkStart w:id="8" w:name="_Toc28411"/>
      <w:r>
        <w:rPr>
          <w:rFonts w:hint="eastAsia" w:ascii="楷体_GB2312" w:hAnsi="楷体_GB2312" w:eastAsia="楷体_GB2312" w:cs="楷体_GB2312"/>
          <w:color w:val="000000"/>
          <w:spacing w:val="-23"/>
          <w:kern w:val="0"/>
          <w:sz w:val="32"/>
          <w:szCs w:val="32"/>
          <w:shd w:val="clear" w:color="auto" w:fill="FFFFFF"/>
        </w:rPr>
        <w:t>（二）</w:t>
      </w:r>
      <w:r>
        <w:rPr>
          <w:rFonts w:hint="eastAsia" w:ascii="楷体_GB2312" w:hAnsi="楷体_GB2312" w:eastAsia="楷体_GB2312" w:cs="楷体_GB2312"/>
          <w:color w:val="000000"/>
          <w:kern w:val="0"/>
          <w:sz w:val="32"/>
          <w:szCs w:val="32"/>
          <w:shd w:val="clear" w:color="auto" w:fill="FFFFFF"/>
        </w:rPr>
        <w:t>项目过程情况</w:t>
      </w:r>
      <w:bookmarkEnd w:id="8"/>
    </w:p>
    <w:p w14:paraId="1334F3A3">
      <w:pPr>
        <w:snapToGrid w:val="0"/>
        <w:spacing w:line="520" w:lineRule="exact"/>
        <w:ind w:firstLine="640" w:firstLineChars="200"/>
        <w:outlineLvl w:val="2"/>
        <w:rPr>
          <w:rFonts w:ascii="仿宋_GB2312" w:hAnsi="Calibri" w:eastAsia="仿宋_GB2312" w:cs="仿宋_GB2312"/>
          <w:color w:val="000000"/>
          <w:kern w:val="0"/>
          <w:sz w:val="32"/>
          <w:szCs w:val="32"/>
          <w:shd w:val="clear" w:color="auto" w:fill="FFFFFF"/>
        </w:rPr>
      </w:pPr>
      <w:bookmarkStart w:id="9" w:name="_Toc10140"/>
      <w:r>
        <w:rPr>
          <w:rFonts w:hint="eastAsia" w:ascii="仿宋_GB2312" w:hAnsi="Calibri" w:eastAsia="仿宋_GB2312" w:cs="仿宋_GB2312"/>
          <w:color w:val="000000"/>
          <w:kern w:val="0"/>
          <w:sz w:val="32"/>
          <w:szCs w:val="32"/>
          <w:shd w:val="clear" w:color="auto" w:fill="FFFFFF"/>
        </w:rPr>
        <w:t>1.资金管理</w:t>
      </w:r>
      <w:bookmarkEnd w:id="9"/>
    </w:p>
    <w:p w14:paraId="3545A8A9">
      <w:pPr>
        <w:snapToGrid w:val="0"/>
        <w:spacing w:line="520" w:lineRule="exact"/>
        <w:ind w:firstLine="560" w:firstLineChars="200"/>
        <w:outlineLvl w:val="2"/>
        <w:rPr>
          <w:rFonts w:ascii="仿宋_GB2312" w:hAnsi="Calibri" w:eastAsia="仿宋_GB2312" w:cs="仿宋_GB2312"/>
          <w:color w:val="000000"/>
          <w:kern w:val="0"/>
          <w:sz w:val="28"/>
          <w:szCs w:val="28"/>
          <w:shd w:val="clear" w:color="auto" w:fill="FFFFFF"/>
        </w:rPr>
      </w:pPr>
      <w:r>
        <w:rPr>
          <w:rFonts w:hint="eastAsia" w:ascii="仿宋" w:hAnsi="仿宋" w:eastAsia="仿宋" w:cs="仿宋"/>
          <w:sz w:val="28"/>
          <w:szCs w:val="28"/>
        </w:rPr>
        <w:t>制定了《专项资金管理办法》，按照《会计法》，资金专款专用，由业务股室制订项目资金使用计划，分管领导审核，交馆务会议研究批准，走政府采购、招标程序，按项目进度拨款，重大项目必须经过全馆会议讨论，并上报局党组，再交予财政审核，完工结算经过财政评审、文旅局验收才能进行项目完工结算。无截留、挤占、挪用、虚列开支，支出时依据合理合规，无虚列套取。</w:t>
      </w:r>
    </w:p>
    <w:p w14:paraId="5938003E">
      <w:pPr>
        <w:snapToGrid w:val="0"/>
        <w:spacing w:line="520" w:lineRule="exact"/>
        <w:ind w:firstLine="640" w:firstLineChars="200"/>
        <w:outlineLvl w:val="2"/>
        <w:rPr>
          <w:rFonts w:ascii="仿宋_GB2312" w:hAnsi="Calibri" w:eastAsia="仿宋_GB2312" w:cs="仿宋_GB2312"/>
          <w:color w:val="000000"/>
          <w:kern w:val="0"/>
          <w:sz w:val="32"/>
          <w:szCs w:val="32"/>
          <w:shd w:val="clear" w:color="auto" w:fill="FFFFFF"/>
        </w:rPr>
      </w:pPr>
      <w:bookmarkStart w:id="10" w:name="_Toc1210"/>
      <w:r>
        <w:rPr>
          <w:rFonts w:hint="eastAsia" w:ascii="仿宋_GB2312" w:hAnsi="Calibri" w:eastAsia="仿宋_GB2312" w:cs="仿宋_GB2312"/>
          <w:color w:val="000000"/>
          <w:kern w:val="0"/>
          <w:sz w:val="32"/>
          <w:szCs w:val="32"/>
          <w:shd w:val="clear" w:color="auto" w:fill="FFFFFF"/>
        </w:rPr>
        <w:t>2.项目实施</w:t>
      </w:r>
      <w:bookmarkEnd w:id="10"/>
    </w:p>
    <w:p w14:paraId="2E8DCED4">
      <w:pPr>
        <w:spacing w:line="520" w:lineRule="exact"/>
        <w:rPr>
          <w:rFonts w:ascii="仿宋" w:hAnsi="仿宋" w:eastAsia="仿宋" w:cs="仿宋"/>
          <w:b/>
          <w:bCs/>
          <w:sz w:val="28"/>
          <w:szCs w:val="28"/>
        </w:rPr>
      </w:pPr>
      <w:r>
        <w:rPr>
          <w:rFonts w:hint="eastAsia" w:ascii="仿宋" w:hAnsi="仿宋" w:eastAsia="仿宋" w:cs="仿宋"/>
          <w:color w:val="555555"/>
          <w:sz w:val="28"/>
          <w:szCs w:val="28"/>
          <w:shd w:val="clear" w:color="auto" w:fill="FFFFFF"/>
        </w:rPr>
        <w:t xml:space="preserve">    我馆制定了一系列规章制度，如《财务管理制度》、《经费管理办法》、《专项资金管理制度》等，建立了“有章可依、有章必循、违章必究”的管理机制，成立了工作领导小组，严格财务程序，强化报销环节管理，认真落实经办人、经费使用单位分管领导及主要负责人的责任，为项目依法管理营造了良好的组织管理环境。</w:t>
      </w:r>
    </w:p>
    <w:p w14:paraId="5E5D1A8F">
      <w:pPr>
        <w:pStyle w:val="9"/>
        <w:snapToGrid w:val="0"/>
        <w:spacing w:line="520" w:lineRule="exact"/>
        <w:ind w:firstLine="548"/>
        <w:outlineLvl w:val="1"/>
        <w:rPr>
          <w:rFonts w:ascii="楷体_GB2312" w:hAnsi="楷体_GB2312" w:eastAsia="楷体_GB2312" w:cs="楷体_GB2312"/>
          <w:color w:val="000000"/>
          <w:kern w:val="0"/>
          <w:szCs w:val="32"/>
          <w:shd w:val="clear" w:color="auto" w:fill="FFFFFF"/>
        </w:rPr>
      </w:pPr>
      <w:bookmarkStart w:id="11" w:name="_Toc6604"/>
      <w:r>
        <w:rPr>
          <w:rFonts w:hint="eastAsia" w:ascii="楷体_GB2312" w:hAnsi="楷体_GB2312" w:eastAsia="楷体_GB2312" w:cs="楷体_GB2312"/>
          <w:color w:val="000000"/>
          <w:spacing w:val="-23"/>
          <w:kern w:val="0"/>
          <w:szCs w:val="32"/>
          <w:shd w:val="clear" w:color="auto" w:fill="FFFFFF"/>
        </w:rPr>
        <w:t>（三）</w:t>
      </w:r>
      <w:r>
        <w:rPr>
          <w:rFonts w:hint="eastAsia" w:ascii="楷体_GB2312" w:hAnsi="楷体_GB2312" w:eastAsia="楷体_GB2312" w:cs="楷体_GB2312"/>
          <w:color w:val="000000"/>
          <w:kern w:val="0"/>
          <w:szCs w:val="32"/>
          <w:shd w:val="clear" w:color="auto" w:fill="FFFFFF"/>
        </w:rPr>
        <w:t>项目产出情况</w:t>
      </w:r>
      <w:bookmarkEnd w:id="11"/>
    </w:p>
    <w:p w14:paraId="0D59B4F6">
      <w:pPr>
        <w:pStyle w:val="9"/>
        <w:snapToGrid w:val="0"/>
        <w:spacing w:line="520" w:lineRule="exact"/>
        <w:ind w:firstLine="640"/>
        <w:outlineLvl w:val="2"/>
        <w:rPr>
          <w:rFonts w:ascii="仿宋_GB2312" w:hAnsi="Calibri" w:eastAsia="仿宋_GB2312" w:cs="仿宋_GB2312"/>
          <w:color w:val="000000"/>
          <w:kern w:val="0"/>
          <w:szCs w:val="32"/>
          <w:shd w:val="clear" w:color="auto" w:fill="FFFFFF"/>
        </w:rPr>
      </w:pPr>
      <w:bookmarkStart w:id="12" w:name="_Toc20742"/>
      <w:r>
        <w:rPr>
          <w:rFonts w:hint="eastAsia" w:ascii="仿宋_GB2312" w:hAnsi="Calibri" w:eastAsia="仿宋_GB2312" w:cs="仿宋_GB2312"/>
          <w:color w:val="000000"/>
          <w:kern w:val="0"/>
          <w:szCs w:val="32"/>
          <w:shd w:val="clear" w:color="auto" w:fill="FFFFFF"/>
        </w:rPr>
        <w:t>1.产出数量</w:t>
      </w:r>
      <w:bookmarkEnd w:id="12"/>
    </w:p>
    <w:p w14:paraId="57BBDBEF">
      <w:pPr>
        <w:pStyle w:val="9"/>
        <w:snapToGrid w:val="0"/>
        <w:spacing w:line="520" w:lineRule="exact"/>
        <w:ind w:firstLine="560"/>
        <w:outlineLvl w:val="2"/>
        <w:rPr>
          <w:rFonts w:ascii="仿宋" w:hAnsi="仿宋" w:eastAsia="仿宋" w:cs="仿宋_GB2312"/>
          <w:color w:val="000000"/>
          <w:kern w:val="0"/>
          <w:sz w:val="28"/>
          <w:szCs w:val="28"/>
          <w:shd w:val="clear" w:color="auto" w:fill="FFFFFF"/>
        </w:rPr>
      </w:pPr>
      <w:r>
        <w:rPr>
          <w:rFonts w:hint="eastAsia" w:ascii="仿宋" w:hAnsi="仿宋" w:eastAsia="仿宋" w:cs="仿宋_GB2312"/>
          <w:color w:val="000000"/>
          <w:kern w:val="0"/>
          <w:sz w:val="28"/>
          <w:szCs w:val="28"/>
          <w:shd w:val="clear" w:color="auto" w:fill="FFFFFF"/>
        </w:rPr>
        <w:t>达到免费开放工作的时长，坚持节假日正常开放。</w:t>
      </w:r>
    </w:p>
    <w:p w14:paraId="21F0C446">
      <w:pPr>
        <w:pStyle w:val="9"/>
        <w:snapToGrid w:val="0"/>
        <w:spacing w:line="520" w:lineRule="exact"/>
        <w:ind w:firstLine="640"/>
        <w:outlineLvl w:val="2"/>
        <w:rPr>
          <w:rFonts w:ascii="仿宋_GB2312" w:hAnsi="Calibri" w:eastAsia="仿宋_GB2312" w:cs="仿宋_GB2312"/>
          <w:color w:val="000000"/>
          <w:kern w:val="0"/>
          <w:szCs w:val="32"/>
          <w:shd w:val="clear" w:color="auto" w:fill="FFFFFF"/>
        </w:rPr>
      </w:pPr>
      <w:bookmarkStart w:id="13" w:name="_Toc5372"/>
      <w:r>
        <w:rPr>
          <w:rFonts w:hint="eastAsia" w:ascii="仿宋_GB2312" w:hAnsi="Calibri" w:eastAsia="仿宋_GB2312" w:cs="仿宋_GB2312"/>
          <w:color w:val="000000"/>
          <w:kern w:val="0"/>
          <w:szCs w:val="32"/>
          <w:shd w:val="clear" w:color="auto" w:fill="FFFFFF"/>
        </w:rPr>
        <w:t>2.产出质量</w:t>
      </w:r>
      <w:bookmarkEnd w:id="13"/>
    </w:p>
    <w:p w14:paraId="2954BD0F">
      <w:pPr>
        <w:pStyle w:val="9"/>
        <w:snapToGrid w:val="0"/>
        <w:spacing w:line="520" w:lineRule="exact"/>
        <w:ind w:firstLine="560"/>
        <w:outlineLvl w:val="2"/>
        <w:rPr>
          <w:rFonts w:ascii="仿宋" w:hAnsi="仿宋" w:eastAsia="仿宋" w:cs="仿宋_GB2312"/>
          <w:color w:val="000000"/>
          <w:kern w:val="0"/>
          <w:sz w:val="28"/>
          <w:szCs w:val="28"/>
          <w:shd w:val="clear" w:color="auto" w:fill="FFFFFF"/>
        </w:rPr>
      </w:pPr>
      <w:r>
        <w:rPr>
          <w:rFonts w:hint="eastAsia" w:ascii="仿宋" w:hAnsi="仿宋" w:eastAsia="仿宋" w:cs="仿宋_GB2312"/>
          <w:color w:val="000000"/>
          <w:kern w:val="0"/>
          <w:sz w:val="28"/>
          <w:szCs w:val="28"/>
          <w:shd w:val="clear" w:color="auto" w:fill="FFFFFF"/>
        </w:rPr>
        <w:t>满足不同阶层、年龄段的阅读需求。</w:t>
      </w:r>
    </w:p>
    <w:p w14:paraId="5740D082">
      <w:pPr>
        <w:pStyle w:val="9"/>
        <w:snapToGrid w:val="0"/>
        <w:spacing w:line="520" w:lineRule="exact"/>
        <w:ind w:firstLine="640"/>
        <w:outlineLvl w:val="2"/>
        <w:rPr>
          <w:rFonts w:ascii="仿宋_GB2312" w:hAnsi="Calibri" w:eastAsia="仿宋_GB2312" w:cs="仿宋_GB2312"/>
          <w:color w:val="000000"/>
          <w:kern w:val="0"/>
          <w:szCs w:val="32"/>
          <w:shd w:val="clear" w:color="auto" w:fill="FFFFFF"/>
        </w:rPr>
      </w:pPr>
      <w:bookmarkStart w:id="14" w:name="_Toc25948"/>
      <w:r>
        <w:rPr>
          <w:rFonts w:hint="eastAsia" w:ascii="仿宋_GB2312" w:hAnsi="Calibri" w:eastAsia="仿宋_GB2312" w:cs="仿宋_GB2312"/>
          <w:color w:val="000000"/>
          <w:kern w:val="0"/>
          <w:szCs w:val="32"/>
          <w:shd w:val="clear" w:color="auto" w:fill="FFFFFF"/>
        </w:rPr>
        <w:t>3.产出成本</w:t>
      </w:r>
      <w:bookmarkEnd w:id="14"/>
    </w:p>
    <w:p w14:paraId="3ECE49ED">
      <w:pPr>
        <w:pStyle w:val="9"/>
        <w:snapToGrid w:val="0"/>
        <w:spacing w:line="520" w:lineRule="exact"/>
        <w:ind w:firstLine="560"/>
        <w:outlineLvl w:val="2"/>
        <w:rPr>
          <w:rFonts w:ascii="仿宋" w:hAnsi="仿宋" w:eastAsia="仿宋" w:cs="仿宋_GB2312"/>
          <w:color w:val="000000"/>
          <w:kern w:val="0"/>
          <w:sz w:val="28"/>
          <w:szCs w:val="28"/>
          <w:shd w:val="clear" w:color="auto" w:fill="FFFFFF"/>
        </w:rPr>
      </w:pPr>
      <w:r>
        <w:rPr>
          <w:rFonts w:hint="eastAsia" w:ascii="仿宋" w:hAnsi="仿宋" w:eastAsia="仿宋" w:cs="仿宋_GB2312"/>
          <w:color w:val="000000"/>
          <w:kern w:val="0"/>
          <w:sz w:val="28"/>
          <w:szCs w:val="28"/>
          <w:shd w:val="clear" w:color="auto" w:fill="FFFFFF"/>
        </w:rPr>
        <w:t>免费开放项目经费3万元</w:t>
      </w:r>
    </w:p>
    <w:p w14:paraId="349D425E">
      <w:pPr>
        <w:pStyle w:val="9"/>
        <w:snapToGrid w:val="0"/>
        <w:spacing w:line="520" w:lineRule="exact"/>
        <w:ind w:firstLine="640"/>
        <w:outlineLvl w:val="2"/>
        <w:rPr>
          <w:rFonts w:ascii="仿宋_GB2312" w:hAnsi="Calibri" w:eastAsia="仿宋_GB2312" w:cs="仿宋_GB2312"/>
          <w:color w:val="000000"/>
          <w:kern w:val="0"/>
          <w:szCs w:val="32"/>
          <w:shd w:val="clear" w:color="auto" w:fill="FFFFFF"/>
        </w:rPr>
      </w:pPr>
      <w:bookmarkStart w:id="15" w:name="_Toc21477"/>
      <w:r>
        <w:rPr>
          <w:rFonts w:hint="eastAsia" w:ascii="仿宋_GB2312" w:hAnsi="Calibri" w:eastAsia="仿宋_GB2312" w:cs="仿宋_GB2312"/>
          <w:color w:val="000000"/>
          <w:kern w:val="0"/>
          <w:szCs w:val="32"/>
          <w:shd w:val="clear" w:color="auto" w:fill="FFFFFF"/>
        </w:rPr>
        <w:t>4.产出时效</w:t>
      </w:r>
      <w:bookmarkEnd w:id="15"/>
    </w:p>
    <w:p w14:paraId="2B10FB93">
      <w:pPr>
        <w:pStyle w:val="9"/>
        <w:snapToGrid w:val="0"/>
        <w:spacing w:line="520" w:lineRule="exact"/>
        <w:ind w:firstLine="560"/>
        <w:outlineLvl w:val="2"/>
        <w:rPr>
          <w:rFonts w:ascii="仿宋_GB2312" w:hAnsi="Calibri" w:eastAsia="仿宋_GB2312" w:cs="仿宋_GB2312"/>
          <w:color w:val="000000"/>
          <w:kern w:val="0"/>
          <w:szCs w:val="32"/>
          <w:shd w:val="clear" w:color="auto" w:fill="FFFFFF"/>
        </w:rPr>
      </w:pPr>
      <w:r>
        <w:rPr>
          <w:rFonts w:hint="eastAsia" w:ascii="仿宋" w:hAnsi="仿宋" w:eastAsia="仿宋" w:cs="仿宋"/>
          <w:sz w:val="28"/>
          <w:szCs w:val="28"/>
        </w:rPr>
        <w:t>工作任务2023年12月31日前完成。</w:t>
      </w:r>
    </w:p>
    <w:p w14:paraId="6EA4CA88">
      <w:pPr>
        <w:pStyle w:val="9"/>
        <w:snapToGrid w:val="0"/>
        <w:spacing w:line="520" w:lineRule="exact"/>
        <w:ind w:firstLine="548"/>
        <w:outlineLvl w:val="1"/>
        <w:rPr>
          <w:rFonts w:ascii="楷体_GB2312" w:hAnsi="楷体_GB2312" w:eastAsia="楷体_GB2312" w:cs="楷体_GB2312"/>
          <w:color w:val="000000"/>
          <w:kern w:val="0"/>
          <w:szCs w:val="32"/>
          <w:shd w:val="clear" w:color="auto" w:fill="FFFFFF"/>
        </w:rPr>
      </w:pPr>
      <w:bookmarkStart w:id="16" w:name="_Toc3072"/>
      <w:bookmarkStart w:id="17" w:name="_Toc12690"/>
      <w:r>
        <w:rPr>
          <w:rFonts w:hint="eastAsia" w:ascii="楷体_GB2312" w:hAnsi="楷体_GB2312" w:eastAsia="楷体_GB2312" w:cs="楷体_GB2312"/>
          <w:color w:val="000000"/>
          <w:spacing w:val="-23"/>
          <w:kern w:val="0"/>
          <w:szCs w:val="32"/>
          <w:shd w:val="clear" w:color="auto" w:fill="FFFFFF"/>
        </w:rPr>
        <w:t>(四)</w:t>
      </w:r>
      <w:r>
        <w:rPr>
          <w:rFonts w:hint="eastAsia" w:ascii="楷体_GB2312" w:hAnsi="楷体_GB2312" w:eastAsia="楷体_GB2312" w:cs="楷体_GB2312"/>
          <w:color w:val="000000"/>
          <w:kern w:val="0"/>
          <w:szCs w:val="32"/>
          <w:shd w:val="clear" w:color="auto" w:fill="FFFFFF"/>
        </w:rPr>
        <w:t>项目效益情况</w:t>
      </w:r>
      <w:bookmarkEnd w:id="16"/>
      <w:bookmarkEnd w:id="17"/>
    </w:p>
    <w:p w14:paraId="51C9445C">
      <w:pPr>
        <w:pStyle w:val="9"/>
        <w:snapToGrid w:val="0"/>
        <w:spacing w:line="520" w:lineRule="exact"/>
        <w:ind w:firstLine="560"/>
        <w:outlineLvl w:val="1"/>
        <w:rPr>
          <w:rFonts w:ascii="楷体_GB2312" w:hAnsi="楷体_GB2312" w:eastAsia="楷体_GB2312" w:cs="楷体_GB2312"/>
          <w:color w:val="000000"/>
          <w:kern w:val="0"/>
          <w:szCs w:val="32"/>
          <w:shd w:val="clear" w:color="auto" w:fill="FFFFFF"/>
        </w:rPr>
      </w:pPr>
      <w:r>
        <w:rPr>
          <w:rFonts w:hint="eastAsia" w:ascii="仿宋" w:hAnsi="仿宋" w:eastAsia="仿宋" w:cs="仿宋"/>
          <w:sz w:val="28"/>
          <w:szCs w:val="28"/>
        </w:rPr>
        <w:t>2023年完成了图书馆免费开放时长的要求，</w:t>
      </w:r>
      <w:r>
        <w:rPr>
          <w:rFonts w:hint="eastAsia" w:ascii="仿宋" w:hAnsi="仿宋" w:eastAsia="仿宋" w:cs="仿宋"/>
          <w:spacing w:val="-4"/>
          <w:sz w:val="28"/>
          <w:szCs w:val="28"/>
          <w:lang w:eastAsia="zh-CN"/>
        </w:rPr>
        <w:t>会同县图书馆通过第七次全国县级以上公共图书馆评估定级</w:t>
      </w:r>
      <w:r>
        <w:rPr>
          <w:rFonts w:hint="eastAsia" w:ascii="仿宋" w:hAnsi="仿宋" w:eastAsia="仿宋" w:cs="仿宋"/>
          <w:spacing w:val="-5"/>
          <w:sz w:val="28"/>
          <w:szCs w:val="28"/>
          <w:lang w:eastAsia="zh-CN"/>
        </w:rPr>
        <w:t>被评为“国</w:t>
      </w:r>
      <w:r>
        <w:rPr>
          <w:rFonts w:hint="eastAsia" w:ascii="仿宋" w:hAnsi="仿宋" w:eastAsia="仿宋" w:cs="仿宋"/>
          <w:spacing w:val="-2"/>
          <w:sz w:val="28"/>
          <w:szCs w:val="28"/>
          <w:lang w:eastAsia="zh-CN"/>
        </w:rPr>
        <w:t>家二级图书馆”；</w:t>
      </w:r>
      <w:r>
        <w:rPr>
          <w:rFonts w:hint="eastAsia" w:ascii="仿宋" w:hAnsi="仿宋" w:eastAsia="仿宋" w:cs="仿宋"/>
          <w:spacing w:val="-1"/>
          <w:sz w:val="28"/>
          <w:szCs w:val="28"/>
          <w:lang w:eastAsia="zh-CN"/>
        </w:rPr>
        <w:t>在国家图书馆举办的《中华传统文化百部经典》阅读推广活动中，</w:t>
      </w:r>
      <w:r>
        <w:rPr>
          <w:rFonts w:hint="eastAsia" w:ascii="仿宋" w:hAnsi="仿宋" w:eastAsia="仿宋" w:cs="仿宋"/>
          <w:spacing w:val="-1"/>
          <w:sz w:val="28"/>
          <w:szCs w:val="28"/>
          <w:lang w:val="en-US" w:eastAsia="zh-CN"/>
        </w:rPr>
        <w:t>馆长</w:t>
      </w:r>
      <w:r>
        <w:rPr>
          <w:rFonts w:hint="eastAsia" w:ascii="仿宋" w:hAnsi="仿宋" w:eastAsia="仿宋" w:cs="仿宋"/>
          <w:spacing w:val="-1"/>
          <w:sz w:val="28"/>
          <w:szCs w:val="28"/>
          <w:lang w:eastAsia="zh-CN"/>
        </w:rPr>
        <w:t>获国家图书馆《最佳组织奖》表彰。</w:t>
      </w:r>
      <w:r>
        <w:rPr>
          <w:rFonts w:hint="eastAsia" w:ascii="仿宋" w:hAnsi="仿宋" w:eastAsia="仿宋" w:cs="仿宋"/>
          <w:spacing w:val="-1"/>
          <w:sz w:val="28"/>
          <w:szCs w:val="28"/>
          <w:lang w:val="en-US" w:eastAsia="zh-CN"/>
        </w:rPr>
        <w:t>为努力营</w:t>
      </w:r>
      <w:r>
        <w:rPr>
          <w:rFonts w:hint="eastAsia" w:ascii="仿宋" w:hAnsi="仿宋" w:eastAsia="仿宋" w:cs="仿宋"/>
          <w:sz w:val="28"/>
          <w:szCs w:val="28"/>
        </w:rPr>
        <w:t>造“书香会同”做出了贡献。</w:t>
      </w:r>
    </w:p>
    <w:p w14:paraId="6BA9A8BC">
      <w:pPr>
        <w:snapToGrid w:val="0"/>
        <w:spacing w:line="520" w:lineRule="exact"/>
        <w:ind w:firstLine="640" w:firstLineChars="200"/>
        <w:outlineLvl w:val="0"/>
        <w:rPr>
          <w:rFonts w:ascii="黑体" w:hAnsi="黑体" w:eastAsia="黑体" w:cs="黑体"/>
          <w:color w:val="000000"/>
          <w:kern w:val="0"/>
          <w:sz w:val="32"/>
          <w:szCs w:val="32"/>
          <w:shd w:val="clear" w:color="auto" w:fill="FFFFFF"/>
        </w:rPr>
      </w:pPr>
      <w:bookmarkStart w:id="18" w:name="_Toc390267055"/>
      <w:bookmarkStart w:id="19" w:name="_Toc390096931"/>
      <w:bookmarkStart w:id="20" w:name="_Toc24241"/>
      <w:bookmarkStart w:id="21" w:name="_Toc12414"/>
      <w:r>
        <w:rPr>
          <w:rFonts w:hint="eastAsia" w:ascii="黑体" w:hAnsi="黑体" w:eastAsia="黑体" w:cs="黑体"/>
          <w:color w:val="000000"/>
          <w:kern w:val="0"/>
          <w:sz w:val="32"/>
          <w:szCs w:val="32"/>
          <w:shd w:val="clear" w:color="auto" w:fill="FFFFFF"/>
        </w:rPr>
        <w:t>五、项目主要经验、存在的问题</w:t>
      </w:r>
      <w:bookmarkEnd w:id="18"/>
      <w:bookmarkEnd w:id="19"/>
      <w:r>
        <w:rPr>
          <w:rFonts w:hint="eastAsia" w:ascii="黑体" w:hAnsi="黑体" w:eastAsia="黑体" w:cs="黑体"/>
          <w:color w:val="000000"/>
          <w:kern w:val="0"/>
          <w:sz w:val="32"/>
          <w:szCs w:val="32"/>
          <w:shd w:val="clear" w:color="auto" w:fill="FFFFFF"/>
        </w:rPr>
        <w:t>及建议</w:t>
      </w:r>
      <w:bookmarkEnd w:id="20"/>
      <w:bookmarkEnd w:id="21"/>
    </w:p>
    <w:p w14:paraId="74889421">
      <w:pPr>
        <w:snapToGrid w:val="0"/>
        <w:spacing w:line="520" w:lineRule="exact"/>
        <w:ind w:firstLine="548" w:firstLineChars="200"/>
        <w:outlineLvl w:val="1"/>
        <w:rPr>
          <w:rFonts w:ascii="楷体_GB2312" w:hAnsi="楷体_GB2312" w:eastAsia="楷体_GB2312" w:cs="楷体_GB2312"/>
          <w:color w:val="000000"/>
          <w:kern w:val="0"/>
          <w:sz w:val="32"/>
          <w:szCs w:val="32"/>
          <w:shd w:val="clear" w:color="auto" w:fill="FFFFFF"/>
        </w:rPr>
      </w:pPr>
      <w:bookmarkStart w:id="22" w:name="_Toc23434"/>
      <w:bookmarkStart w:id="23" w:name="_Toc5316"/>
      <w:r>
        <w:rPr>
          <w:rFonts w:hint="eastAsia" w:ascii="楷体_GB2312" w:hAnsi="楷体_GB2312" w:eastAsia="楷体_GB2312" w:cs="楷体_GB2312"/>
          <w:color w:val="000000"/>
          <w:spacing w:val="-23"/>
          <w:kern w:val="0"/>
          <w:sz w:val="32"/>
          <w:szCs w:val="32"/>
          <w:shd w:val="clear" w:color="auto" w:fill="FFFFFF"/>
        </w:rPr>
        <w:t>（一）</w:t>
      </w:r>
      <w:r>
        <w:rPr>
          <w:rFonts w:hint="eastAsia" w:ascii="楷体_GB2312" w:hAnsi="楷体_GB2312" w:eastAsia="楷体_GB2312" w:cs="楷体_GB2312"/>
          <w:color w:val="000000"/>
          <w:kern w:val="0"/>
          <w:sz w:val="32"/>
          <w:szCs w:val="32"/>
          <w:shd w:val="clear" w:color="auto" w:fill="FFFFFF"/>
        </w:rPr>
        <w:t>项目主要经验</w:t>
      </w:r>
      <w:bookmarkEnd w:id="22"/>
      <w:r>
        <w:rPr>
          <w:rFonts w:hint="eastAsia" w:ascii="楷体_GB2312" w:hAnsi="楷体_GB2312" w:eastAsia="楷体_GB2312" w:cs="楷体_GB2312"/>
          <w:color w:val="000000"/>
          <w:kern w:val="0"/>
          <w:sz w:val="32"/>
          <w:szCs w:val="32"/>
          <w:shd w:val="clear" w:color="auto" w:fill="FFFFFF"/>
        </w:rPr>
        <w:t>及做法</w:t>
      </w:r>
      <w:bookmarkEnd w:id="23"/>
    </w:p>
    <w:p w14:paraId="025AE801">
      <w:pPr>
        <w:pStyle w:val="8"/>
        <w:widowControl/>
        <w:spacing w:before="0" w:beforeAutospacing="0" w:after="0" w:afterAutospacing="0" w:line="520" w:lineRule="exact"/>
        <w:ind w:firstLine="420"/>
        <w:jc w:val="both"/>
        <w:rPr>
          <w:rFonts w:ascii="仿宋" w:hAnsi="仿宋" w:eastAsia="仿宋" w:cs="宋体"/>
          <w:color w:val="333333"/>
          <w:sz w:val="28"/>
          <w:szCs w:val="28"/>
        </w:rPr>
      </w:pPr>
      <w:r>
        <w:rPr>
          <w:rFonts w:hint="eastAsia" w:ascii="仿宋" w:hAnsi="仿宋" w:eastAsia="仿宋" w:cs="宋体"/>
          <w:color w:val="333333"/>
          <w:sz w:val="28"/>
          <w:szCs w:val="28"/>
        </w:rPr>
        <w:t>1、领导高度重视。专项资金预算下发后，领导高度重视，立即召开会议进行布置安排，制订了工作计划，明确了时限要求，落实了责任分工，确保了各项专项工作顺利进行和整治成效。</w:t>
      </w:r>
    </w:p>
    <w:p w14:paraId="1A6BB529">
      <w:pPr>
        <w:pStyle w:val="8"/>
        <w:widowControl/>
        <w:spacing w:before="0" w:beforeAutospacing="0" w:after="0" w:afterAutospacing="0" w:line="520" w:lineRule="exact"/>
        <w:ind w:firstLine="420"/>
        <w:jc w:val="both"/>
        <w:rPr>
          <w:rFonts w:ascii="仿宋" w:hAnsi="仿宋" w:eastAsia="仿宋" w:cs="宋体"/>
          <w:color w:val="333333"/>
          <w:sz w:val="28"/>
          <w:szCs w:val="28"/>
        </w:rPr>
      </w:pPr>
      <w:r>
        <w:rPr>
          <w:rFonts w:hint="eastAsia" w:ascii="仿宋" w:hAnsi="仿宋" w:eastAsia="仿宋" w:cs="宋体"/>
          <w:color w:val="333333"/>
          <w:sz w:val="28"/>
          <w:szCs w:val="28"/>
        </w:rPr>
        <w:t>2、规范财会管理。制定了专项资金收付管理工作制度，明确了资金付款流程，统一了资金申请手续，做到了层层审核、层层负责、层层把关，付款中全部要求请款单位提供正规发票，没用白条入账现象。</w:t>
      </w:r>
    </w:p>
    <w:p w14:paraId="44C05EAB">
      <w:pPr>
        <w:spacing w:line="520" w:lineRule="exact"/>
        <w:ind w:firstLine="280" w:firstLineChars="100"/>
        <w:rPr>
          <w:rFonts w:ascii="仿宋" w:hAnsi="仿宋" w:eastAsia="仿宋" w:cs="宋体"/>
          <w:sz w:val="28"/>
          <w:szCs w:val="28"/>
        </w:rPr>
      </w:pPr>
      <w:r>
        <w:rPr>
          <w:rFonts w:hint="eastAsia" w:ascii="仿宋" w:hAnsi="仿宋" w:eastAsia="仿宋" w:cs="宋体"/>
          <w:sz w:val="28"/>
          <w:szCs w:val="28"/>
        </w:rPr>
        <w:t>3、加强监督管理。实行领导分工负责制，</w:t>
      </w:r>
      <w:r>
        <w:rPr>
          <w:rFonts w:hint="eastAsia" w:ascii="仿宋" w:hAnsi="仿宋" w:eastAsia="仿宋" w:cs="宋体"/>
          <w:sz w:val="28"/>
          <w:szCs w:val="28"/>
          <w:lang w:val="en-US" w:eastAsia="zh-CN"/>
        </w:rPr>
        <w:t>由馆长</w:t>
      </w:r>
      <w:r>
        <w:rPr>
          <w:rFonts w:hint="eastAsia" w:ascii="仿宋" w:hAnsi="仿宋" w:eastAsia="仿宋" w:cs="宋体"/>
          <w:sz w:val="28"/>
          <w:szCs w:val="28"/>
        </w:rPr>
        <w:t>全面</w:t>
      </w:r>
      <w:r>
        <w:rPr>
          <w:rFonts w:hint="eastAsia" w:ascii="仿宋" w:hAnsi="仿宋" w:eastAsia="仿宋" w:cs="宋体"/>
          <w:sz w:val="28"/>
          <w:szCs w:val="28"/>
          <w:lang w:val="en-US" w:eastAsia="zh-CN"/>
        </w:rPr>
        <w:t>负责</w:t>
      </w:r>
      <w:r>
        <w:rPr>
          <w:rFonts w:hint="eastAsia" w:ascii="仿宋" w:hAnsi="仿宋" w:eastAsia="仿宋" w:cs="宋体"/>
          <w:sz w:val="28"/>
          <w:szCs w:val="28"/>
        </w:rPr>
        <w:t>免费开放工作，其他班子成员轮流带班、值班，每月实行工作例会制度，对免费开放工作进行总结。</w:t>
      </w:r>
    </w:p>
    <w:p w14:paraId="42B7BD2D">
      <w:pPr>
        <w:snapToGrid w:val="0"/>
        <w:spacing w:line="520" w:lineRule="exact"/>
        <w:ind w:firstLine="548" w:firstLineChars="200"/>
        <w:outlineLvl w:val="1"/>
        <w:rPr>
          <w:rFonts w:ascii="楷体_GB2312" w:hAnsi="楷体_GB2312" w:eastAsia="楷体_GB2312" w:cs="楷体_GB2312"/>
          <w:color w:val="000000"/>
          <w:kern w:val="0"/>
          <w:sz w:val="32"/>
          <w:szCs w:val="32"/>
          <w:shd w:val="clear" w:color="auto" w:fill="FFFFFF"/>
        </w:rPr>
      </w:pPr>
      <w:bookmarkStart w:id="24" w:name="_Toc6772"/>
      <w:bookmarkStart w:id="25" w:name="_Toc2597"/>
      <w:r>
        <w:rPr>
          <w:rFonts w:hint="eastAsia" w:ascii="楷体_GB2312" w:hAnsi="楷体_GB2312" w:eastAsia="楷体_GB2312" w:cs="楷体_GB2312"/>
          <w:color w:val="000000"/>
          <w:spacing w:val="-23"/>
          <w:kern w:val="0"/>
          <w:sz w:val="32"/>
          <w:szCs w:val="32"/>
          <w:shd w:val="clear" w:color="auto" w:fill="FFFFFF"/>
        </w:rPr>
        <w:t>（二）</w:t>
      </w:r>
      <w:r>
        <w:rPr>
          <w:rFonts w:hint="eastAsia" w:ascii="楷体_GB2312" w:hAnsi="楷体_GB2312" w:eastAsia="楷体_GB2312" w:cs="楷体_GB2312"/>
          <w:color w:val="000000"/>
          <w:kern w:val="0"/>
          <w:sz w:val="32"/>
          <w:szCs w:val="32"/>
          <w:shd w:val="clear" w:color="auto" w:fill="FFFFFF"/>
        </w:rPr>
        <w:t>存在的问题</w:t>
      </w:r>
      <w:bookmarkEnd w:id="24"/>
      <w:bookmarkEnd w:id="25"/>
    </w:p>
    <w:p w14:paraId="09E45B37">
      <w:pPr>
        <w:pStyle w:val="8"/>
        <w:widowControl/>
        <w:spacing w:before="0" w:beforeAutospacing="0" w:after="0" w:afterAutospacing="0" w:line="520" w:lineRule="exact"/>
        <w:ind w:firstLine="560" w:firstLineChars="200"/>
        <w:jc w:val="both"/>
        <w:rPr>
          <w:rFonts w:ascii="仿宋" w:hAnsi="仿宋" w:eastAsia="仿宋" w:cs="宋体"/>
          <w:color w:val="333333"/>
          <w:sz w:val="28"/>
          <w:szCs w:val="28"/>
        </w:rPr>
      </w:pPr>
      <w:r>
        <w:rPr>
          <w:rFonts w:hint="eastAsia" w:ascii="仿宋" w:hAnsi="仿宋" w:eastAsia="仿宋" w:cs="宋体"/>
          <w:color w:val="333333"/>
          <w:sz w:val="28"/>
          <w:szCs w:val="28"/>
        </w:rPr>
        <w:t>1、对于绩效评价的认识不够深入，把预算绩效简单等同于工作目标、工作考核和业务管理。</w:t>
      </w:r>
    </w:p>
    <w:p w14:paraId="171D5C37">
      <w:pPr>
        <w:spacing w:line="520" w:lineRule="exact"/>
        <w:ind w:firstLine="560" w:firstLineChars="200"/>
        <w:rPr>
          <w:rFonts w:ascii="仿宋" w:hAnsi="仿宋" w:eastAsia="仿宋" w:cs="宋体"/>
          <w:sz w:val="28"/>
          <w:szCs w:val="28"/>
        </w:rPr>
      </w:pPr>
      <w:r>
        <w:rPr>
          <w:rFonts w:hint="eastAsia" w:ascii="仿宋" w:hAnsi="仿宋" w:eastAsia="仿宋" w:cs="宋体"/>
          <w:sz w:val="28"/>
          <w:szCs w:val="28"/>
        </w:rPr>
        <w:t>2、经费问题：当地政府虽然将图书馆免费开放经费列入了财政预算，一年3万元财政配套免费开放经费，无法满足人们文化和精神需求，导致图书馆馆藏资源匮乏，</w:t>
      </w:r>
      <w:r>
        <w:rPr>
          <w:rFonts w:hint="eastAsia" w:ascii="仿宋" w:hAnsi="仿宋" w:eastAsia="仿宋" w:cs="宋体"/>
          <w:sz w:val="28"/>
          <w:szCs w:val="28"/>
          <w:lang w:val="en-US" w:eastAsia="zh-CN"/>
        </w:rPr>
        <w:t>基础</w:t>
      </w:r>
      <w:r>
        <w:rPr>
          <w:rFonts w:hint="eastAsia" w:ascii="仿宋" w:hAnsi="仿宋" w:eastAsia="仿宋" w:cs="宋体"/>
          <w:sz w:val="28"/>
          <w:szCs w:val="28"/>
        </w:rPr>
        <w:t>公共服务</w:t>
      </w:r>
      <w:r>
        <w:rPr>
          <w:rFonts w:hint="eastAsia" w:ascii="仿宋" w:hAnsi="仿宋" w:eastAsia="仿宋" w:cs="宋体"/>
          <w:sz w:val="28"/>
          <w:szCs w:val="28"/>
          <w:lang w:val="en-US" w:eastAsia="zh-CN"/>
        </w:rPr>
        <w:t>设施有待完善</w:t>
      </w:r>
      <w:r>
        <w:rPr>
          <w:rFonts w:hint="eastAsia" w:ascii="仿宋" w:hAnsi="仿宋" w:eastAsia="仿宋" w:cs="宋体"/>
          <w:sz w:val="28"/>
          <w:szCs w:val="28"/>
        </w:rPr>
        <w:t>。</w:t>
      </w:r>
    </w:p>
    <w:p w14:paraId="308CB53B">
      <w:pPr>
        <w:spacing w:line="520" w:lineRule="exact"/>
        <w:ind w:firstLine="560" w:firstLineChars="200"/>
        <w:rPr>
          <w:rFonts w:ascii="仿宋" w:hAnsi="仿宋" w:eastAsia="仿宋"/>
          <w:sz w:val="28"/>
          <w:szCs w:val="28"/>
        </w:rPr>
      </w:pPr>
      <w:r>
        <w:rPr>
          <w:rFonts w:hint="eastAsia" w:ascii="仿宋" w:hAnsi="仿宋" w:eastAsia="仿宋" w:cs="宋体"/>
          <w:sz w:val="28"/>
          <w:szCs w:val="28"/>
        </w:rPr>
        <w:t>3、管理难度明显加大，由于免费开放，进出的读者人员增多，使阅读环境、文献管理、卫生等方面出现了问题。工作量加大，办证量、外借量、阅读量指标增大，由于图书供给量不足，满足不了读者的外借需求。</w:t>
      </w:r>
    </w:p>
    <w:p w14:paraId="40B00C65">
      <w:pPr>
        <w:snapToGrid w:val="0"/>
        <w:spacing w:line="520" w:lineRule="exact"/>
        <w:ind w:firstLine="548" w:firstLineChars="200"/>
        <w:outlineLvl w:val="1"/>
        <w:rPr>
          <w:rFonts w:ascii="楷体_GB2312" w:hAnsi="楷体_GB2312" w:eastAsia="楷体_GB2312" w:cs="楷体_GB2312"/>
          <w:color w:val="000000"/>
          <w:kern w:val="0"/>
          <w:sz w:val="32"/>
          <w:szCs w:val="32"/>
          <w:shd w:val="clear" w:color="auto" w:fill="FFFFFF"/>
        </w:rPr>
      </w:pPr>
      <w:bookmarkStart w:id="26" w:name="_Toc29278"/>
      <w:bookmarkStart w:id="27" w:name="_Toc16271"/>
      <w:r>
        <w:rPr>
          <w:rFonts w:hint="eastAsia" w:ascii="楷体_GB2312" w:hAnsi="楷体_GB2312" w:eastAsia="楷体_GB2312" w:cs="楷体_GB2312"/>
          <w:color w:val="000000"/>
          <w:spacing w:val="-23"/>
          <w:kern w:val="0"/>
          <w:sz w:val="32"/>
          <w:szCs w:val="32"/>
          <w:shd w:val="clear" w:color="auto" w:fill="FFFFFF"/>
        </w:rPr>
        <w:t>（三）</w:t>
      </w:r>
      <w:r>
        <w:rPr>
          <w:rFonts w:hint="eastAsia" w:ascii="楷体_GB2312" w:hAnsi="楷体_GB2312" w:eastAsia="楷体_GB2312" w:cs="楷体_GB2312"/>
          <w:color w:val="000000"/>
          <w:kern w:val="0"/>
          <w:sz w:val="32"/>
          <w:szCs w:val="32"/>
          <w:shd w:val="clear" w:color="auto" w:fill="FFFFFF"/>
        </w:rPr>
        <w:t>有关建议</w:t>
      </w:r>
      <w:bookmarkEnd w:id="26"/>
      <w:bookmarkEnd w:id="27"/>
    </w:p>
    <w:p w14:paraId="798E3BD2">
      <w:pPr>
        <w:pStyle w:val="8"/>
        <w:widowControl/>
        <w:spacing w:before="0" w:beforeAutospacing="0" w:after="0" w:afterAutospacing="0" w:line="33" w:lineRule="atLeast"/>
        <w:ind w:firstLine="420"/>
        <w:jc w:val="both"/>
        <w:rPr>
          <w:rFonts w:ascii="仿宋" w:hAnsi="仿宋" w:eastAsia="仿宋" w:cs="宋体"/>
          <w:color w:val="333333"/>
          <w:sz w:val="28"/>
          <w:szCs w:val="28"/>
        </w:rPr>
      </w:pPr>
      <w:r>
        <w:rPr>
          <w:rFonts w:hint="eastAsia" w:ascii="仿宋" w:hAnsi="仿宋" w:eastAsia="仿宋" w:cs="宋体"/>
          <w:color w:val="333333"/>
          <w:sz w:val="28"/>
          <w:szCs w:val="28"/>
        </w:rPr>
        <w:t>1．加强对财政资金拨付和使用的管理。</w:t>
      </w:r>
    </w:p>
    <w:p w14:paraId="1969D695">
      <w:pPr>
        <w:pStyle w:val="8"/>
        <w:widowControl/>
        <w:spacing w:before="0" w:beforeAutospacing="0" w:after="0" w:afterAutospacing="0" w:line="33" w:lineRule="atLeast"/>
        <w:ind w:firstLine="420"/>
        <w:jc w:val="both"/>
        <w:rPr>
          <w:rFonts w:ascii="仿宋" w:hAnsi="仿宋" w:eastAsia="仿宋" w:cs="宋体"/>
          <w:color w:val="333333"/>
          <w:sz w:val="28"/>
          <w:szCs w:val="28"/>
        </w:rPr>
      </w:pPr>
      <w:r>
        <w:rPr>
          <w:rFonts w:hint="eastAsia" w:ascii="仿宋" w:hAnsi="仿宋" w:eastAsia="仿宋" w:cs="宋体"/>
          <w:color w:val="333333"/>
          <w:sz w:val="28"/>
          <w:szCs w:val="28"/>
        </w:rPr>
        <w:t>2．加强绩效评价管理制度和流程的建设，进一步深化、完善绩效管理体系，建立全过程的预算绩效管理机制，促进绩效管理工作向广度和深度延伸。</w:t>
      </w:r>
    </w:p>
    <w:p w14:paraId="3559AA9E">
      <w:pPr>
        <w:ind w:firstLine="280" w:firstLineChars="100"/>
        <w:rPr>
          <w:rFonts w:ascii="仿宋" w:hAnsi="仿宋" w:eastAsia="仿宋"/>
          <w:sz w:val="28"/>
          <w:szCs w:val="28"/>
        </w:rPr>
      </w:pPr>
      <w:r>
        <w:rPr>
          <w:rFonts w:hint="eastAsia" w:ascii="仿宋" w:hAnsi="仿宋" w:eastAsia="仿宋" w:cs="宋体"/>
          <w:color w:val="333333"/>
          <w:sz w:val="28"/>
          <w:szCs w:val="28"/>
        </w:rPr>
        <w:t>3．</w:t>
      </w:r>
      <w:r>
        <w:rPr>
          <w:rFonts w:ascii="仿宋" w:hAnsi="仿宋" w:eastAsia="仿宋"/>
          <w:sz w:val="28"/>
          <w:szCs w:val="28"/>
        </w:rPr>
        <w:t>实现图书馆全部免费开放，需要建立健全和完善经费保障机制，图书馆的运行经费全部来自于政府财政。只有持续稳定的财政支持平台来支撑免费开放，才能使图书馆的免费开放得以充分持续的运行。</w:t>
      </w:r>
    </w:p>
    <w:p w14:paraId="49583BEF">
      <w:pPr>
        <w:pStyle w:val="8"/>
        <w:widowControl/>
        <w:shd w:val="clear" w:color="auto" w:fill="FFFFFF"/>
        <w:spacing w:before="0" w:beforeAutospacing="0" w:after="0" w:afterAutospacing="0" w:line="480" w:lineRule="atLeast"/>
        <w:rPr>
          <w:rFonts w:ascii="仿宋_GB2312" w:eastAsia="仿宋_GB2312" w:cs="仿宋_GB2312"/>
          <w:color w:val="000000"/>
          <w:shd w:val="clear" w:color="auto" w:fill="FFFFFF"/>
        </w:rPr>
      </w:pPr>
    </w:p>
    <w:p w14:paraId="214E4529">
      <w:pPr>
        <w:pStyle w:val="8"/>
        <w:widowControl/>
        <w:shd w:val="clear" w:color="auto" w:fill="FFFFFF"/>
        <w:spacing w:before="0" w:beforeAutospacing="0" w:after="0" w:afterAutospacing="0" w:line="480" w:lineRule="atLeast"/>
        <w:rPr>
          <w:rFonts w:ascii="仿宋_GB2312" w:eastAsia="仿宋_GB2312" w:cs="仿宋_GB2312"/>
          <w:color w:val="000000"/>
          <w:shd w:val="clear" w:color="auto" w:fill="FFFFFF"/>
        </w:rPr>
      </w:pPr>
    </w:p>
    <w:p w14:paraId="4BEBDC64">
      <w:pPr>
        <w:pStyle w:val="8"/>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3F624BC6">
      <w:pPr>
        <w:pStyle w:val="8"/>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29E92069">
      <w:pPr>
        <w:spacing w:line="600" w:lineRule="exact"/>
        <w:jc w:val="right"/>
        <w:rPr>
          <w:rFonts w:eastAsia="仿宋_GB2312"/>
          <w:color w:val="000000"/>
          <w:kern w:val="0"/>
          <w:sz w:val="32"/>
          <w:szCs w:val="32"/>
        </w:rPr>
      </w:pPr>
      <w:r>
        <w:rPr>
          <w:rFonts w:hint="eastAsia" w:eastAsia="仿宋_GB2312"/>
          <w:color w:val="000000"/>
          <w:kern w:val="0"/>
          <w:sz w:val="32"/>
          <w:szCs w:val="32"/>
        </w:rPr>
        <w:t xml:space="preserve"> 会同县图书馆</w:t>
      </w:r>
    </w:p>
    <w:p w14:paraId="1C2B2D5E">
      <w:pPr>
        <w:pStyle w:val="2"/>
        <w:ind w:firstLine="640"/>
        <w:jc w:val="right"/>
      </w:pPr>
      <w:r>
        <w:rPr>
          <w:rFonts w:hint="eastAsia"/>
          <w:color w:val="000000"/>
          <w:kern w:val="0"/>
          <w:sz w:val="32"/>
          <w:szCs w:val="32"/>
        </w:rPr>
        <w:t>2024年8月25日</w:t>
      </w:r>
    </w:p>
    <w:p w14:paraId="6095E124">
      <w:pPr>
        <w:pStyle w:val="8"/>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2DD24A61">
      <w:pPr>
        <w:pStyle w:val="8"/>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6B256421">
      <w:pPr>
        <w:pStyle w:val="8"/>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3B4DB496">
      <w:pPr>
        <w:pStyle w:val="8"/>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20964458">
      <w:pPr>
        <w:spacing w:line="600" w:lineRule="exact"/>
      </w:pPr>
      <w:bookmarkStart w:id="28" w:name="_GoBack"/>
      <w:bookmarkEnd w:id="28"/>
    </w:p>
    <w:sectPr>
      <w:footerReference r:id="rId3" w:type="default"/>
      <w:pgSz w:w="11906" w:h="16838"/>
      <w:pgMar w:top="1440" w:right="1800" w:bottom="1440" w:left="1800" w:header="851" w:footer="992" w:gutter="0"/>
      <w:pgNumType w:start="34"/>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 w:name="方正小标宋_GBK">
    <w:altName w:val="微软雅黑"/>
    <w:panose1 w:val="00000000000000000000"/>
    <w:charset w:val="86"/>
    <w:family w:val="auto"/>
    <w:pitch w:val="default"/>
    <w:sig w:usb0="00000000" w:usb1="00000000" w:usb2="00082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07201">
    <w:pPr>
      <w:pStyle w:val="6"/>
    </w:pPr>
    <w:r>
      <w:rPr>
        <w:sz w:val="18"/>
      </w:rPr>
      <w:pict>
        <v:shape id="_x0000_s2049" o:spid="_x0000_s2049"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367A2351">
                <w:pPr>
                  <w:pStyle w:val="6"/>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NiOGQ3YzVmNmE5NGNhY2E1MWNlZjFlMGNlOWExYjUifQ=="/>
  </w:docVars>
  <w:rsids>
    <w:rsidRoot w:val="009404BA"/>
    <w:rsid w:val="00277086"/>
    <w:rsid w:val="002B0A10"/>
    <w:rsid w:val="004149B7"/>
    <w:rsid w:val="004E3B8F"/>
    <w:rsid w:val="00647B72"/>
    <w:rsid w:val="006F4355"/>
    <w:rsid w:val="00707DED"/>
    <w:rsid w:val="007E2E7A"/>
    <w:rsid w:val="0089068C"/>
    <w:rsid w:val="00927784"/>
    <w:rsid w:val="009404BA"/>
    <w:rsid w:val="00985B65"/>
    <w:rsid w:val="00A9253B"/>
    <w:rsid w:val="00AC5757"/>
    <w:rsid w:val="00AF165B"/>
    <w:rsid w:val="00BE488E"/>
    <w:rsid w:val="00C9172B"/>
    <w:rsid w:val="00D81849"/>
    <w:rsid w:val="00D964EE"/>
    <w:rsid w:val="00EE3BC2"/>
    <w:rsid w:val="00F805F6"/>
    <w:rsid w:val="013005DD"/>
    <w:rsid w:val="0A454A85"/>
    <w:rsid w:val="0BA74F79"/>
    <w:rsid w:val="1DB43043"/>
    <w:rsid w:val="2E752CE6"/>
    <w:rsid w:val="44E25188"/>
    <w:rsid w:val="475E44B5"/>
    <w:rsid w:val="5DC81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BodyText1I2"/>
    <w:basedOn w:val="3"/>
    <w:next w:val="1"/>
    <w:unhideWhenUsed/>
    <w:qFormat/>
    <w:uiPriority w:val="0"/>
    <w:pPr>
      <w:ind w:firstLine="200" w:firstLineChars="200"/>
    </w:pPr>
    <w:rPr>
      <w:rFonts w:hint="default" w:ascii="Calibri" w:hAnsi="Calibri" w:eastAsia="仿宋_GB2312"/>
      <w:sz w:val="36"/>
    </w:rPr>
  </w:style>
  <w:style w:type="paragraph" w:customStyle="1" w:styleId="3">
    <w:name w:val="BodyTextIndent"/>
    <w:basedOn w:val="1"/>
    <w:unhideWhenUsed/>
    <w:qFormat/>
    <w:uiPriority w:val="0"/>
    <w:pPr>
      <w:spacing w:after="120"/>
      <w:ind w:left="420" w:leftChars="200"/>
      <w:textAlignment w:val="baseline"/>
    </w:pPr>
    <w:rPr>
      <w:rFonts w:hint="eastAsia"/>
    </w:rPr>
  </w:style>
  <w:style w:type="paragraph" w:styleId="4">
    <w:name w:val="Body Text"/>
    <w:basedOn w:val="1"/>
    <w:link w:val="16"/>
    <w:unhideWhenUsed/>
    <w:qFormat/>
    <w:uiPriority w:val="99"/>
    <w:pPr>
      <w:spacing w:after="120"/>
    </w:pPr>
  </w:style>
  <w:style w:type="paragraph" w:styleId="5">
    <w:name w:val="Body Text Indent"/>
    <w:basedOn w:val="1"/>
    <w:link w:val="14"/>
    <w:semiHidden/>
    <w:unhideWhenUsed/>
    <w:qFormat/>
    <w:uiPriority w:val="99"/>
    <w:pPr>
      <w:spacing w:after="120"/>
      <w:ind w:left="420" w:leftChars="200"/>
    </w:pPr>
  </w:style>
  <w:style w:type="paragraph" w:styleId="6">
    <w:name w:val="footer"/>
    <w:basedOn w:val="1"/>
    <w:link w:val="13"/>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2"/>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qFormat/>
    <w:uiPriority w:val="0"/>
    <w:pPr>
      <w:spacing w:before="100" w:beforeAutospacing="1" w:after="100" w:afterAutospacing="1"/>
      <w:jc w:val="left"/>
    </w:pPr>
    <w:rPr>
      <w:kern w:val="0"/>
      <w:sz w:val="24"/>
    </w:rPr>
  </w:style>
  <w:style w:type="paragraph" w:styleId="9">
    <w:name w:val="Body Text First Indent 2"/>
    <w:basedOn w:val="5"/>
    <w:link w:val="15"/>
    <w:unhideWhenUsed/>
    <w:qFormat/>
    <w:uiPriority w:val="99"/>
    <w:pPr>
      <w:spacing w:after="0"/>
      <w:ind w:left="0" w:leftChars="0" w:firstLine="420" w:firstLineChars="200"/>
    </w:pPr>
    <w:rPr>
      <w:sz w:val="32"/>
    </w:rPr>
  </w:style>
  <w:style w:type="character" w:customStyle="1" w:styleId="12">
    <w:name w:val="页眉 Char"/>
    <w:basedOn w:val="11"/>
    <w:link w:val="7"/>
    <w:semiHidden/>
    <w:qFormat/>
    <w:uiPriority w:val="99"/>
    <w:rPr>
      <w:sz w:val="18"/>
      <w:szCs w:val="18"/>
    </w:rPr>
  </w:style>
  <w:style w:type="character" w:customStyle="1" w:styleId="13">
    <w:name w:val="页脚 Char"/>
    <w:basedOn w:val="11"/>
    <w:link w:val="6"/>
    <w:semiHidden/>
    <w:qFormat/>
    <w:uiPriority w:val="99"/>
    <w:rPr>
      <w:sz w:val="18"/>
      <w:szCs w:val="18"/>
    </w:rPr>
  </w:style>
  <w:style w:type="character" w:customStyle="1" w:styleId="14">
    <w:name w:val="正文文本缩进 Char"/>
    <w:basedOn w:val="11"/>
    <w:link w:val="5"/>
    <w:semiHidden/>
    <w:qFormat/>
    <w:uiPriority w:val="99"/>
    <w:rPr>
      <w:rFonts w:ascii="Times New Roman" w:hAnsi="Times New Roman" w:eastAsia="宋体" w:cs="Times New Roman"/>
      <w:szCs w:val="24"/>
    </w:rPr>
  </w:style>
  <w:style w:type="character" w:customStyle="1" w:styleId="15">
    <w:name w:val="正文首行缩进 2 Char"/>
    <w:basedOn w:val="14"/>
    <w:link w:val="9"/>
    <w:qFormat/>
    <w:uiPriority w:val="99"/>
    <w:rPr>
      <w:sz w:val="32"/>
    </w:rPr>
  </w:style>
  <w:style w:type="character" w:customStyle="1" w:styleId="16">
    <w:name w:val="正文文本 Char"/>
    <w:basedOn w:val="11"/>
    <w:link w:val="4"/>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ss</Company>
  <Pages>6</Pages>
  <Words>2948</Words>
  <Characters>3013</Characters>
  <Lines>27</Lines>
  <Paragraphs>7</Paragraphs>
  <TotalTime>0</TotalTime>
  <ScaleCrop>false</ScaleCrop>
  <LinksUpToDate>false</LinksUpToDate>
  <CharactersWithSpaces>3031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2024-09-05T01:57:00Z</dcterms:created>
  <dc:creator>20100401</dc:creator>
  <cp:lastModifiedBy>你开玩笑</cp:lastModifiedBy>
  <dcterms:modified xsi:type="dcterms:W3CDTF">2024-09-12T08:06:21Z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A11E70DF256143C2BF13951CF3BC24A6_12</vt:lpwstr>
  </property>
</Properties>
</file>