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073BB">
      <w:pPr>
        <w:keepNext w:val="0"/>
        <w:keepLines w:val="0"/>
        <w:pageBreakBefore w:val="0"/>
        <w:kinsoku/>
        <w:wordWrap/>
        <w:topLinePunct w:val="0"/>
        <w:bidi w:val="0"/>
        <w:spacing w:line="520" w:lineRule="exact"/>
        <w:jc w:val="center"/>
        <w:textAlignment w:val="auto"/>
        <w:rPr>
          <w:rFonts w:hint="eastAsia" w:ascii="宋体" w:hAnsi="宋体" w:cs="黑体"/>
          <w:b/>
          <w:color w:val="auto"/>
          <w:kern w:val="0"/>
          <w:sz w:val="44"/>
          <w:szCs w:val="44"/>
          <w:highlight w:val="none"/>
        </w:rPr>
      </w:pPr>
      <w:r>
        <w:rPr>
          <w:rFonts w:hint="eastAsia" w:ascii="宋体" w:hAnsi="宋体" w:cs="黑体"/>
          <w:b/>
          <w:color w:val="auto"/>
          <w:kern w:val="0"/>
          <w:sz w:val="44"/>
          <w:szCs w:val="44"/>
          <w:highlight w:val="none"/>
          <w:lang w:eastAsia="zh-CN"/>
        </w:rPr>
        <w:t>2023年度会同县</w:t>
      </w:r>
      <w:r>
        <w:rPr>
          <w:rFonts w:hint="eastAsia" w:ascii="宋体" w:hAnsi="宋体" w:cs="黑体"/>
          <w:b/>
          <w:color w:val="auto"/>
          <w:kern w:val="0"/>
          <w:sz w:val="44"/>
          <w:szCs w:val="44"/>
          <w:highlight w:val="none"/>
          <w:lang w:val="en-US" w:eastAsia="zh-CN"/>
        </w:rPr>
        <w:t>水利局</w:t>
      </w:r>
      <w:r>
        <w:rPr>
          <w:rFonts w:hint="eastAsia" w:ascii="宋体" w:hAnsi="宋体" w:cs="黑体"/>
          <w:b/>
          <w:color w:val="auto"/>
          <w:kern w:val="0"/>
          <w:sz w:val="44"/>
          <w:szCs w:val="44"/>
          <w:highlight w:val="none"/>
        </w:rPr>
        <w:t>部门整体支出</w:t>
      </w:r>
    </w:p>
    <w:p w14:paraId="068EACC0">
      <w:pPr>
        <w:keepNext w:val="0"/>
        <w:keepLines w:val="0"/>
        <w:pageBreakBefore w:val="0"/>
        <w:kinsoku/>
        <w:wordWrap/>
        <w:topLinePunct w:val="0"/>
        <w:bidi w:val="0"/>
        <w:spacing w:line="520" w:lineRule="exact"/>
        <w:jc w:val="center"/>
        <w:textAlignment w:val="auto"/>
        <w:rPr>
          <w:rFonts w:ascii="宋体" w:cs="黑体"/>
          <w:b/>
          <w:color w:val="auto"/>
          <w:kern w:val="0"/>
          <w:sz w:val="44"/>
          <w:szCs w:val="44"/>
          <w:highlight w:val="none"/>
        </w:rPr>
      </w:pPr>
      <w:r>
        <w:rPr>
          <w:rFonts w:hint="eastAsia" w:ascii="宋体" w:hAnsi="宋体" w:cs="黑体"/>
          <w:b/>
          <w:color w:val="auto"/>
          <w:kern w:val="0"/>
          <w:sz w:val="44"/>
          <w:szCs w:val="44"/>
          <w:highlight w:val="none"/>
        </w:rPr>
        <w:t>绩效评价报告</w:t>
      </w:r>
    </w:p>
    <w:p w14:paraId="659DE888">
      <w:pPr>
        <w:keepNext w:val="0"/>
        <w:keepLines w:val="0"/>
        <w:pageBreakBefore w:val="0"/>
        <w:kinsoku/>
        <w:wordWrap/>
        <w:topLinePunct w:val="0"/>
        <w:bidi w:val="0"/>
        <w:spacing w:line="520" w:lineRule="exact"/>
        <w:ind w:firstLine="600" w:firstLineChars="200"/>
        <w:textAlignment w:val="auto"/>
        <w:rPr>
          <w:rFonts w:ascii="仿宋" w:hAnsi="仿宋" w:eastAsia="仿宋" w:cs="仿宋"/>
          <w:color w:val="auto"/>
          <w:sz w:val="30"/>
          <w:szCs w:val="30"/>
          <w:highlight w:val="none"/>
        </w:rPr>
      </w:pPr>
    </w:p>
    <w:p w14:paraId="621FBBAE">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财政支出管理，提高财政资金使用效益，牢固树立预算绩效理念，根据《会同县财政局关于开展2023年度预算支出绩效自评工作的通知》（会财绩〔2024〕25号）文件精神，我办对单位的部门预算整体支出进行了绩效评价，现将情况汇报如下：</w:t>
      </w:r>
    </w:p>
    <w:p w14:paraId="06E66212">
      <w:pPr>
        <w:keepNext w:val="0"/>
        <w:keepLines w:val="0"/>
        <w:pageBreakBefore w:val="0"/>
        <w:kinsoku/>
        <w:wordWrap/>
        <w:topLinePunct w:val="0"/>
        <w:bidi w:val="0"/>
        <w:spacing w:line="520" w:lineRule="exact"/>
        <w:ind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一、单位基本情况</w:t>
      </w:r>
    </w:p>
    <w:p w14:paraId="0FEC821F">
      <w:pPr>
        <w:keepNext w:val="0"/>
        <w:keepLines w:val="0"/>
        <w:pageBreakBefore w:val="0"/>
        <w:kinsoku/>
        <w:wordWrap/>
        <w:topLinePunct w:val="0"/>
        <w:bidi w:val="0"/>
        <w:spacing w:line="520" w:lineRule="exact"/>
        <w:ind w:firstLine="320" w:firstLineChars="100"/>
        <w:textAlignment w:val="auto"/>
        <w:rPr>
          <w:rFonts w:hint="eastAsia" w:ascii="楷体" w:hAnsi="楷体" w:eastAsia="楷体" w:cs="楷体"/>
          <w:sz w:val="32"/>
          <w:szCs w:val="32"/>
        </w:rPr>
      </w:pPr>
      <w:r>
        <w:rPr>
          <w:rFonts w:hint="eastAsia" w:ascii="楷体" w:hAnsi="楷体" w:eastAsia="楷体" w:cs="楷体"/>
          <w:sz w:val="32"/>
          <w:szCs w:val="32"/>
        </w:rPr>
        <w:t>（一）机构设置情况</w:t>
      </w:r>
    </w:p>
    <w:p w14:paraId="75B65C5E">
      <w:pPr>
        <w:keepNext w:val="0"/>
        <w:keepLines w:val="0"/>
        <w:pageBreakBefore w:val="0"/>
        <w:kinsoku/>
        <w:wordWrap/>
        <w:topLinePunct w:val="0"/>
        <w:bidi w:val="0"/>
        <w:spacing w:line="520" w:lineRule="exact"/>
        <w:ind w:firstLine="640" w:firstLineChars="200"/>
        <w:textAlignment w:val="auto"/>
        <w:rPr>
          <w:rFonts w:hint="eastAsia" w:ascii="楷体" w:hAnsi="楷体" w:eastAsia="楷体" w:cs="楷体"/>
          <w:sz w:val="32"/>
          <w:szCs w:val="32"/>
        </w:rPr>
      </w:pPr>
      <w:r>
        <w:rPr>
          <w:rFonts w:hint="eastAsia" w:ascii="仿宋_GB2312" w:hAnsi="仿宋_GB2312" w:eastAsia="仿宋_GB2312" w:cs="仿宋_GB2312"/>
          <w:sz w:val="32"/>
          <w:szCs w:val="32"/>
        </w:rPr>
        <w:t>本单位有内设机构6个</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themeColor="text1"/>
          <w:sz w:val="32"/>
          <w:szCs w:val="32"/>
          <w14:textFill>
            <w14:solidFill>
              <w14:schemeClr w14:val="tx1"/>
            </w14:solidFill>
          </w14:textFill>
        </w:rPr>
        <w:t>办公室（人事财务股）、水利规划科技与建设股、水资源与政策法规股（县节约用水办公室）、水利工程质量与运行安全监管股（水旱灾害防御股）、河湖管理股（河长制工作股）、行政审批服务股（水土保持股、农村水利水电股、水库移民股）。下设二级机构3个：水利水电建设服务站、水旱灾害防御中心、水保水资源服务中心。</w:t>
      </w:r>
    </w:p>
    <w:p w14:paraId="196627F1">
      <w:pPr>
        <w:keepNext w:val="0"/>
        <w:keepLines w:val="0"/>
        <w:pageBreakBefore w:val="0"/>
        <w:numPr>
          <w:ilvl w:val="0"/>
          <w:numId w:val="1"/>
        </w:numPr>
        <w:kinsoku/>
        <w:wordWrap/>
        <w:topLinePunct w:val="0"/>
        <w:bidi w:val="0"/>
        <w:spacing w:line="520" w:lineRule="exact"/>
        <w:ind w:left="210" w:leftChars="0" w:firstLineChars="0"/>
        <w:textAlignment w:val="auto"/>
        <w:rPr>
          <w:rFonts w:hint="eastAsia" w:ascii="楷体" w:hAnsi="楷体" w:eastAsia="楷体" w:cs="楷体"/>
          <w:sz w:val="32"/>
          <w:szCs w:val="32"/>
        </w:rPr>
      </w:pPr>
      <w:r>
        <w:rPr>
          <w:rFonts w:hint="eastAsia" w:ascii="楷体" w:hAnsi="楷体" w:eastAsia="楷体" w:cs="楷体"/>
          <w:sz w:val="32"/>
          <w:szCs w:val="32"/>
        </w:rPr>
        <w:t>人员编制情况</w:t>
      </w:r>
    </w:p>
    <w:p w14:paraId="383BC1F9">
      <w:pPr>
        <w:keepNext w:val="0"/>
        <w:keepLines w:val="0"/>
        <w:pageBreakBefore w:val="0"/>
        <w:widowControl/>
        <w:kinsoku/>
        <w:wordWrap/>
        <w:topLinePunct w:val="0"/>
        <w:bidi w:val="0"/>
        <w:spacing w:line="520" w:lineRule="exact"/>
        <w:ind w:firstLine="640" w:firstLineChars="200"/>
        <w:textAlignment w:val="auto"/>
        <w:rPr>
          <w:rFonts w:hint="eastAsia" w:ascii="楷体" w:hAnsi="楷体" w:eastAsia="楷体" w:cs="楷体"/>
          <w:sz w:val="32"/>
          <w:szCs w:val="32"/>
        </w:rPr>
      </w:pPr>
      <w:r>
        <w:rPr>
          <w:rFonts w:hint="eastAsia" w:ascii="仿宋_GB2312" w:hAnsi="仿宋_GB2312" w:eastAsia="仿宋_GB2312" w:cs="仿宋_GB2312"/>
          <w:sz w:val="32"/>
          <w:szCs w:val="32"/>
        </w:rPr>
        <w:t>本单位编制人数32人，其中行政编制人数</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人，全额拨款事业编人数2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人，实有工作人员32人，退休人员</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人。在职人员在编制控制数内。</w:t>
      </w:r>
    </w:p>
    <w:p w14:paraId="4114F3F0">
      <w:pPr>
        <w:keepNext w:val="0"/>
        <w:keepLines w:val="0"/>
        <w:pageBreakBefore w:val="0"/>
        <w:numPr>
          <w:ilvl w:val="0"/>
          <w:numId w:val="1"/>
        </w:numPr>
        <w:kinsoku/>
        <w:wordWrap/>
        <w:topLinePunct w:val="0"/>
        <w:bidi w:val="0"/>
        <w:spacing w:line="520" w:lineRule="exact"/>
        <w:ind w:left="210" w:leftChars="0" w:firstLine="0" w:firstLineChars="0"/>
        <w:textAlignment w:val="auto"/>
        <w:rPr>
          <w:rFonts w:hint="eastAsia" w:ascii="楷体" w:hAnsi="楷体" w:eastAsia="楷体" w:cs="楷体"/>
          <w:sz w:val="32"/>
          <w:szCs w:val="32"/>
        </w:rPr>
      </w:pPr>
      <w:r>
        <w:rPr>
          <w:rFonts w:hint="eastAsia" w:ascii="楷体" w:hAnsi="楷体" w:eastAsia="楷体" w:cs="楷体"/>
          <w:sz w:val="32"/>
          <w:szCs w:val="32"/>
        </w:rPr>
        <w:t>主要职能职责</w:t>
      </w:r>
    </w:p>
    <w:p w14:paraId="51C251B0">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开展水利科技和外事工作。拟订水利行业的地方技术标准、规程规范并监督实施，组织开展水利行业质量监督工作。</w:t>
      </w:r>
    </w:p>
    <w:p w14:paraId="6AB2095F">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按规定制定水利工程建设和运行管理有关制度并组织实施，负责提出水利固定资产投资规模、方向、具体安排建议并组织指导实施，按县政府规定权限审批、核准规划内和年度计划规模内固定资产投资项目，提出水利资金安排建议并负责项目实施的监督管理。</w:t>
      </w:r>
    </w:p>
    <w:p w14:paraId="18DA37ED">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指导监督水利工程建设与运行管理。组织指导水利基础设施网络建设和运行管理。指导水利建设的监督管理，组织实施水利工程建设的监督。</w:t>
      </w:r>
    </w:p>
    <w:p w14:paraId="11296A4C">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负责保障水资源的合理开发利用。拟订水利政策和规划，起草有关地方性法规、规章草案，组织编制全县水资源规划、县确定的重要流域综合规划、防洪规划等重大水利规划。</w:t>
      </w:r>
    </w:p>
    <w:p w14:paraId="087BE1CC">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负责生活、生产经营和生态环境用水的统筹和保障。组织实施最严格水资源管理制度，实施水资源的统一监督管理，拟订全县和跨区域水中长期供求规划、水量分配方案并监督实施。负责重要流域、区域以及重大调水工程的水资源调度。组织实施取水许可、水资源论证和防洪论证制度，指导开展水资源有偿使用工作。指导全县水利行业供水和乡镇供水工作。</w:t>
      </w:r>
    </w:p>
    <w:p w14:paraId="432D2D4E">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指导水资源保护工作。组织编制实施水资源保护规划。指导饮用水水源保护有关工作。指导地下水开发利用、地下水资源管理保护。</w:t>
      </w:r>
    </w:p>
    <w:p w14:paraId="76942BFB">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负责节约用水工作。拟订节约用水政策，组织编制节约用水规划并监督实施，组织制定有关标准。组织实施用水总量控制等管理制度，指导和推动节水型社会建设工作。</w:t>
      </w:r>
    </w:p>
    <w:p w14:paraId="1B11AF95">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指导协调重大涉水违法事件的查处，协调跨县水事纠纷，指导水政监察和水行政执法。依法负责水利行业安全生产工作，组织指导水库、水电站大坝等水利工程设施的安全监管。</w:t>
      </w:r>
    </w:p>
    <w:p w14:paraId="34F376CA">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负责落实综合防灾减灾规划相关要求，组织编制洪水干旱灾害防治规划和防护标准并指导实施。组织编制重要江河湖泊和重要水工程的防御洪水抗御旱灾调度及应急水量调度方案，按程序报批并组织实施。承担防御洪水应急抢险的技术支撑工作。承担台风防御期间重要水工程调度工作。</w:t>
      </w:r>
    </w:p>
    <w:p w14:paraId="400F3D0A">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指导水利设施、水域及其岸线的管理、保护与综合利用。指导江河湖泊及河口的治理、开发和保护。指导河湖水生态保护与修复、河湖生态流量水量管理以及河湖水系连通工作。承担河长制组织实施具体工作。</w:t>
      </w:r>
    </w:p>
    <w:p w14:paraId="797AE672">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负责水土保持工作。拟订水土保持规划并监督实施，组织实施水土流失的综合防治、监测预报并定期公告。负责建设项目水土保持监督管理工作，指导重点水土保持建设项目的实施。</w:t>
      </w:r>
    </w:p>
    <w:p w14:paraId="6F1F8F70">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负责本部门所有行政审批事项的统一受理、登记、申报资料初审及办结事项的缴费、制证（文）、盖章、发证（文）等服务工作，并派员进驻县政务服务中心办公；牵头协调需送其他股室审核，或需经现场勘查、专家论证、集体研究的行政审批事项，督促相关股室在承诺期限内完成相关审核工作；承办本部门组织或参与其他部门组织的并联审批，并按权限签署审查意见；负责本部门进驻县政务服务中心的行政审批服务事项及人员的动态管理；负责本部门行政审批专用章的保管和使用。</w:t>
      </w:r>
    </w:p>
    <w:p w14:paraId="3CE5F0D4">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指导农村水利工作。组织开展中型灌排工程建设与改造。指导农村饮水安全工程建设管理工作，指导节水灌溉有关工作。指导农村水利改革创新和社会化服务体系建设。指导农村水能资源开发、小水电改造和水电农村电气化工作。</w:t>
      </w:r>
    </w:p>
    <w:p w14:paraId="200BBC5C">
      <w:pPr>
        <w:pStyle w:val="11"/>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负责水利工程移民管理工作。拟订中小型水库移民有关政策并监督实施，组织实施水利工程移民安置验收、监督评估等制度。指导监督水库移民后期扶持政策的实施。协调推动水库移民对口支援等工作。</w:t>
      </w:r>
    </w:p>
    <w:p w14:paraId="45EC859F">
      <w:pPr>
        <w:pStyle w:val="11"/>
        <w:keepNext w:val="0"/>
        <w:keepLines w:val="0"/>
        <w:pageBreakBefore w:val="0"/>
        <w:kinsoku/>
        <w:wordWrap/>
        <w:topLinePunct w:val="0"/>
        <w:bidi w:val="0"/>
        <w:snapToGrid w:val="0"/>
        <w:spacing w:line="52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完成县委和县政府交办的其他任务。</w:t>
      </w:r>
    </w:p>
    <w:p w14:paraId="77881018">
      <w:pPr>
        <w:pStyle w:val="11"/>
        <w:keepNext w:val="0"/>
        <w:keepLines w:val="0"/>
        <w:pageBreakBefore w:val="0"/>
        <w:kinsoku/>
        <w:wordWrap/>
        <w:topLinePunct w:val="0"/>
        <w:bidi w:val="0"/>
        <w:snapToGrid w:val="0"/>
        <w:spacing w:line="520" w:lineRule="exact"/>
        <w:jc w:val="left"/>
        <w:textAlignment w:val="auto"/>
        <w:rPr>
          <w:rFonts w:hint="eastAsia"/>
        </w:rPr>
      </w:pP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职能转变。县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14:paraId="10383E7D">
      <w:pPr>
        <w:keepNext w:val="0"/>
        <w:keepLines w:val="0"/>
        <w:pageBreakBefore w:val="0"/>
        <w:kinsoku/>
        <w:wordWrap/>
        <w:topLinePunct w:val="0"/>
        <w:bidi w:val="0"/>
        <w:spacing w:line="520" w:lineRule="exact"/>
        <w:textAlignment w:val="auto"/>
        <w:rPr>
          <w:rFonts w:hint="eastAsia" w:ascii="楷体" w:hAnsi="楷体" w:eastAsia="楷体" w:cs="楷体"/>
          <w:sz w:val="32"/>
          <w:szCs w:val="32"/>
        </w:rPr>
      </w:pPr>
      <w:r>
        <w:rPr>
          <w:rFonts w:hint="eastAsia" w:ascii="楷体" w:hAnsi="楷体" w:eastAsia="楷体" w:cs="楷体"/>
          <w:sz w:val="32"/>
          <w:szCs w:val="32"/>
        </w:rPr>
        <w:t>（四）绩效目标设定情况</w:t>
      </w:r>
    </w:p>
    <w:p w14:paraId="0FFB4BFF">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2023年，本单位一般公共预算拨款支出预算515.43万元，其中，农林水支出515.43万元，占100%。</w:t>
      </w:r>
    </w:p>
    <w:p w14:paraId="0A1FF57C">
      <w:pPr>
        <w:keepNext w:val="0"/>
        <w:keepLines w:val="0"/>
        <w:pageBreakBefore w:val="0"/>
        <w:kinsoku/>
        <w:wordWrap/>
        <w:topLinePunct w:val="0"/>
        <w:bidi w:val="0"/>
        <w:spacing w:line="520" w:lineRule="exact"/>
        <w:ind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二、部门整体支出管理及使用情况</w:t>
      </w:r>
    </w:p>
    <w:p w14:paraId="1978F5D9">
      <w:pPr>
        <w:keepNext w:val="0"/>
        <w:keepLines w:val="0"/>
        <w:pageBreakBefore w:val="0"/>
        <w:kinsoku/>
        <w:wordWrap/>
        <w:topLinePunct w:val="0"/>
        <w:bidi w:val="0"/>
        <w:spacing w:line="52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（一）预算执行、使用、管理总体情况。</w:t>
      </w:r>
    </w:p>
    <w:p w14:paraId="69AFDD5F">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本部门整体支出和项目支出实行绩效目标管理，纳入2023年部门整体绩效目标的金额为</w:t>
      </w:r>
      <w:r>
        <w:rPr>
          <w:rFonts w:hint="eastAsia" w:ascii="仿宋_GB2312" w:hAnsi="仿宋_GB2312" w:eastAsia="仿宋_GB2312" w:cs="仿宋_GB2312"/>
          <w:sz w:val="32"/>
          <w:szCs w:val="32"/>
          <w:lang w:val="en-US" w:eastAsia="zh-CN"/>
        </w:rPr>
        <w:t>515.43</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437.03</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78.4</w:t>
      </w:r>
      <w:r>
        <w:rPr>
          <w:rFonts w:hint="eastAsia" w:ascii="仿宋_GB2312" w:hAnsi="仿宋_GB2312" w:eastAsia="仿宋_GB2312" w:cs="仿宋_GB2312"/>
          <w:sz w:val="32"/>
          <w:szCs w:val="32"/>
        </w:rPr>
        <w:t>万元</w:t>
      </w:r>
      <w:r>
        <w:rPr>
          <w:rFonts w:hint="eastAsia" w:ascii="仿宋_GB2312" w:hAnsi="仿宋" w:eastAsia="仿宋_GB2312"/>
          <w:color w:val="000000"/>
          <w:sz w:val="32"/>
          <w:szCs w:val="32"/>
        </w:rPr>
        <w:t>（其中</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非税征管成本</w:t>
      </w:r>
      <w:r>
        <w:rPr>
          <w:rFonts w:hint="eastAsia" w:ascii="仿宋_GB2312" w:hAnsi="仿宋" w:eastAsia="仿宋_GB2312"/>
          <w:color w:val="000000"/>
          <w:sz w:val="32"/>
          <w:szCs w:val="32"/>
          <w:lang w:val="en-US" w:eastAsia="zh-CN"/>
        </w:rPr>
        <w:t>24</w:t>
      </w:r>
      <w:r>
        <w:rPr>
          <w:rFonts w:hint="eastAsia" w:ascii="仿宋_GB2312" w:hAnsi="仿宋" w:eastAsia="仿宋_GB2312"/>
          <w:color w:val="000000"/>
          <w:sz w:val="32"/>
          <w:szCs w:val="32"/>
        </w:rPr>
        <w:t>万元、河长制工作经费</w:t>
      </w:r>
      <w:r>
        <w:rPr>
          <w:rFonts w:hint="eastAsia" w:ascii="仿宋_GB2312" w:hAnsi="仿宋" w:eastAsia="仿宋_GB2312"/>
          <w:color w:val="000000"/>
          <w:sz w:val="32"/>
          <w:szCs w:val="32"/>
          <w:lang w:val="en-US" w:eastAsia="zh-CN"/>
        </w:rPr>
        <w:t>12.8</w:t>
      </w:r>
      <w:r>
        <w:rPr>
          <w:rFonts w:hint="eastAsia" w:ascii="仿宋_GB2312" w:hAnsi="仿宋" w:eastAsia="仿宋_GB2312"/>
          <w:color w:val="000000"/>
          <w:sz w:val="32"/>
          <w:szCs w:val="32"/>
        </w:rPr>
        <w:t>万元、小型水库管护员工资13.2万元、山洪灾害监测系统维护费26万元、拆除退出类小水电站前期费用</w:t>
      </w:r>
      <w:r>
        <w:rPr>
          <w:rFonts w:hint="eastAsia" w:ascii="仿宋_GB2312" w:hAnsi="仿宋" w:eastAsia="仿宋_GB2312"/>
          <w:color w:val="000000"/>
          <w:sz w:val="32"/>
          <w:szCs w:val="32"/>
          <w:lang w:val="en-US" w:eastAsia="zh-CN"/>
        </w:rPr>
        <w:t>2.4</w:t>
      </w:r>
      <w:r>
        <w:rPr>
          <w:rFonts w:hint="eastAsia" w:ascii="仿宋_GB2312" w:hAnsi="仿宋" w:eastAsia="仿宋_GB2312"/>
          <w:color w:val="000000"/>
          <w:sz w:val="32"/>
          <w:szCs w:val="32"/>
        </w:rPr>
        <w:t>万元）</w:t>
      </w:r>
      <w:r>
        <w:rPr>
          <w:rFonts w:hint="eastAsia" w:ascii="仿宋_GB2312" w:hAnsi="仿宋_GB2312" w:eastAsia="仿宋_GB2312" w:cs="仿宋_GB2312"/>
          <w:sz w:val="32"/>
          <w:szCs w:val="32"/>
          <w:lang w:eastAsia="zh-CN"/>
        </w:rPr>
        <w:t>。</w:t>
      </w:r>
    </w:p>
    <w:p w14:paraId="44C9D1A8">
      <w:pPr>
        <w:keepNext w:val="0"/>
        <w:keepLines w:val="0"/>
        <w:pageBreakBefore w:val="0"/>
        <w:numPr>
          <w:ilvl w:val="0"/>
          <w:numId w:val="2"/>
        </w:numPr>
        <w:kinsoku/>
        <w:wordWrap/>
        <w:topLinePunct w:val="0"/>
        <w:bidi w:val="0"/>
        <w:spacing w:line="520" w:lineRule="exact"/>
        <w:textAlignment w:val="auto"/>
        <w:rPr>
          <w:rFonts w:hint="eastAsia" w:ascii="楷体" w:hAnsi="楷体" w:eastAsia="楷体" w:cs="楷体"/>
          <w:sz w:val="32"/>
          <w:szCs w:val="32"/>
        </w:rPr>
      </w:pPr>
      <w:r>
        <w:rPr>
          <w:rFonts w:hint="eastAsia" w:ascii="楷体" w:hAnsi="楷体" w:eastAsia="楷体" w:cs="楷体"/>
          <w:sz w:val="32"/>
          <w:szCs w:val="32"/>
        </w:rPr>
        <w:t>部门预算执行情况</w:t>
      </w:r>
    </w:p>
    <w:p w14:paraId="0FC74649">
      <w:pPr>
        <w:keepNext w:val="0"/>
        <w:keepLines w:val="0"/>
        <w:pageBreakBefore w:val="0"/>
        <w:numPr>
          <w:ilvl w:val="0"/>
          <w:numId w:val="0"/>
        </w:numPr>
        <w:kinsoku/>
        <w:wordWrap/>
        <w:topLinePunct w:val="0"/>
        <w:bidi w:val="0"/>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（1）人员类项目：其中工资性支出</w:t>
      </w:r>
      <w:r>
        <w:rPr>
          <w:rFonts w:hint="eastAsia" w:ascii="仿宋_GB2312" w:hAnsi="仿宋_GB2312" w:eastAsia="仿宋_GB2312" w:cs="仿宋_GB2312"/>
          <w:sz w:val="32"/>
          <w:szCs w:val="32"/>
          <w:lang w:val="en-US" w:eastAsia="zh-CN"/>
        </w:rPr>
        <w:t>329.85</w:t>
      </w:r>
      <w:r>
        <w:rPr>
          <w:rFonts w:hint="eastAsia" w:ascii="仿宋_GB2312" w:hAnsi="仿宋_GB2312" w:eastAsia="仿宋_GB2312" w:cs="仿宋_GB2312"/>
          <w:sz w:val="32"/>
          <w:szCs w:val="32"/>
        </w:rPr>
        <w:t>万元，社会保险经费</w:t>
      </w:r>
      <w:r>
        <w:rPr>
          <w:rFonts w:hint="eastAsia" w:ascii="仿宋_GB2312" w:hAnsi="仿宋_GB2312" w:eastAsia="仿宋_GB2312" w:cs="仿宋_GB2312"/>
          <w:sz w:val="32"/>
          <w:szCs w:val="32"/>
          <w:lang w:val="en-US" w:eastAsia="zh-CN"/>
        </w:rPr>
        <w:t>65.04</w:t>
      </w:r>
      <w:r>
        <w:rPr>
          <w:rFonts w:hint="eastAsia" w:ascii="仿宋_GB2312" w:hAnsi="仿宋_GB2312" w:eastAsia="仿宋_GB2312" w:cs="仿宋_GB2312"/>
          <w:sz w:val="32"/>
          <w:szCs w:val="32"/>
        </w:rPr>
        <w:t>万元，住房公积金</w:t>
      </w:r>
      <w:r>
        <w:rPr>
          <w:rFonts w:hint="eastAsia" w:ascii="仿宋_GB2312" w:hAnsi="仿宋_GB2312" w:eastAsia="仿宋_GB2312" w:cs="仿宋_GB2312"/>
          <w:sz w:val="32"/>
          <w:szCs w:val="32"/>
          <w:lang w:val="en-US" w:eastAsia="zh-CN"/>
        </w:rPr>
        <w:t>6.25</w:t>
      </w:r>
      <w:r>
        <w:rPr>
          <w:rFonts w:hint="eastAsia" w:ascii="仿宋_GB2312" w:hAnsi="仿宋_GB2312" w:eastAsia="仿宋_GB2312" w:cs="仿宋_GB2312"/>
          <w:sz w:val="32"/>
          <w:szCs w:val="32"/>
        </w:rPr>
        <w:t>万元，对个人和家庭补助</w:t>
      </w:r>
      <w:r>
        <w:rPr>
          <w:rFonts w:hint="eastAsia" w:ascii="仿宋_GB2312" w:hAnsi="仿宋_GB2312" w:eastAsia="仿宋_GB2312" w:cs="仿宋_GB2312"/>
          <w:sz w:val="32"/>
          <w:szCs w:val="32"/>
          <w:lang w:val="en-US" w:eastAsia="zh-CN"/>
        </w:rPr>
        <w:t>27.45</w:t>
      </w:r>
      <w:r>
        <w:rPr>
          <w:rFonts w:hint="eastAsia" w:ascii="仿宋_GB2312" w:hAnsi="仿宋_GB2312" w:eastAsia="仿宋_GB2312" w:cs="仿宋_GB2312"/>
          <w:sz w:val="32"/>
          <w:szCs w:val="32"/>
        </w:rPr>
        <w:t>万元等，共计</w:t>
      </w:r>
      <w:r>
        <w:rPr>
          <w:rFonts w:hint="eastAsia" w:ascii="仿宋_GB2312" w:hAnsi="仿宋_GB2312" w:eastAsia="仿宋_GB2312" w:cs="仿宋_GB2312"/>
          <w:sz w:val="32"/>
          <w:szCs w:val="32"/>
          <w:lang w:val="en-US" w:eastAsia="zh-CN"/>
        </w:rPr>
        <w:t>428.59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689B8F9E">
      <w:pPr>
        <w:keepNext w:val="0"/>
        <w:keepLines w:val="0"/>
        <w:pageBreakBefore w:val="0"/>
        <w:numPr>
          <w:ilvl w:val="0"/>
          <w:numId w:val="0"/>
        </w:numPr>
        <w:kinsoku/>
        <w:wordWrap/>
        <w:topLinePunct w:val="0"/>
        <w:bidi w:val="0"/>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（2）运转类（公用）项目：公用经费</w:t>
      </w:r>
      <w:r>
        <w:rPr>
          <w:rFonts w:hint="eastAsia" w:ascii="仿宋_GB2312" w:hAnsi="仿宋_GB2312" w:eastAsia="仿宋_GB2312" w:cs="仿宋_GB2312"/>
          <w:sz w:val="32"/>
          <w:szCs w:val="32"/>
          <w:lang w:val="en-US" w:eastAsia="zh-CN"/>
        </w:rPr>
        <w:t>72.42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0F337B85">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1.基本支出情况</w:t>
      </w:r>
    </w:p>
    <w:p w14:paraId="60EE54D6">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2023年度财政拨款基本支出</w:t>
      </w:r>
      <w:r>
        <w:rPr>
          <w:rFonts w:hint="eastAsia" w:ascii="仿宋_GB2312" w:hAnsi="仿宋_GB2312" w:eastAsia="仿宋_GB2312" w:cs="仿宋_GB2312"/>
          <w:sz w:val="32"/>
          <w:szCs w:val="32"/>
          <w:lang w:val="en-US" w:eastAsia="zh-CN"/>
        </w:rPr>
        <w:t>501.01</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428.59</w:t>
      </w:r>
      <w:r>
        <w:rPr>
          <w:rFonts w:hint="eastAsia" w:ascii="仿宋_GB2312" w:hAnsi="仿宋_GB2312" w:eastAsia="仿宋_GB2312" w:cs="仿宋_GB2312"/>
          <w:sz w:val="32"/>
          <w:szCs w:val="32"/>
        </w:rPr>
        <w:t>万元，主要包括：（基本工资、津贴补贴、奖金、社会保障缴费、伙食补助费、绩效工资、住房公积金、医疗费、其他工资福利支出等）；公用经费</w:t>
      </w:r>
      <w:r>
        <w:rPr>
          <w:rFonts w:hint="eastAsia" w:ascii="仿宋_GB2312" w:hAnsi="仿宋_GB2312" w:eastAsia="仿宋_GB2312" w:cs="仿宋_GB2312"/>
          <w:sz w:val="32"/>
          <w:szCs w:val="32"/>
          <w:lang w:val="en-US" w:eastAsia="zh-CN"/>
        </w:rPr>
        <w:t>72.42</w:t>
      </w:r>
      <w:r>
        <w:rPr>
          <w:rFonts w:hint="eastAsia" w:ascii="仿宋_GB2312" w:hAnsi="仿宋_GB2312" w:eastAsia="仿宋_GB2312" w:cs="仿宋_GB2312"/>
          <w:sz w:val="32"/>
          <w:szCs w:val="32"/>
        </w:rPr>
        <w:t>万元，主要包括：（办公费、印刷费、差旅费、公务接待费、劳务费、工会经费、福利费、其他交通费用、其他商品和服务支出、办公设备购置等）。</w:t>
      </w:r>
    </w:p>
    <w:p w14:paraId="18F5761B">
      <w:pPr>
        <w:keepNext w:val="0"/>
        <w:keepLines w:val="0"/>
        <w:pageBreakBefore w:val="0"/>
        <w:numPr>
          <w:ilvl w:val="0"/>
          <w:numId w:val="0"/>
        </w:numPr>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项目支出情况</w:t>
      </w:r>
    </w:p>
    <w:p w14:paraId="423E0DF4">
      <w:pPr>
        <w:keepNext w:val="0"/>
        <w:keepLines w:val="0"/>
        <w:pageBreakBefore w:val="0"/>
        <w:widowControl w:val="0"/>
        <w:kinsoku/>
        <w:wordWrap/>
        <w:topLinePunct w:val="0"/>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财政拨款</w:t>
      </w:r>
      <w:r>
        <w:rPr>
          <w:rFonts w:hint="eastAsia" w:ascii="仿宋_GB2312" w:hAnsi="仿宋" w:eastAsia="仿宋_GB2312"/>
          <w:color w:val="000000"/>
          <w:sz w:val="32"/>
          <w:szCs w:val="32"/>
        </w:rPr>
        <w:t>项目支出</w:t>
      </w:r>
      <w:r>
        <w:rPr>
          <w:rFonts w:hint="eastAsia" w:ascii="仿宋_GB2312" w:hAnsi="仿宋" w:eastAsia="仿宋_GB2312"/>
          <w:color w:val="000000"/>
          <w:sz w:val="32"/>
          <w:szCs w:val="32"/>
          <w:lang w:val="en-US" w:eastAsia="zh-CN"/>
        </w:rPr>
        <w:t>6551.11</w:t>
      </w:r>
      <w:r>
        <w:rPr>
          <w:rFonts w:hint="eastAsia" w:ascii="仿宋_GB2312" w:hAnsi="仿宋" w:eastAsia="仿宋_GB2312"/>
          <w:color w:val="000000"/>
          <w:sz w:val="32"/>
          <w:szCs w:val="32"/>
        </w:rPr>
        <w:t>万元</w:t>
      </w:r>
      <w:r>
        <w:rPr>
          <w:rFonts w:hint="eastAsia" w:ascii="仿宋_GB2312" w:hAnsi="仿宋" w:eastAsia="仿宋_GB2312"/>
          <w:color w:val="000000"/>
          <w:sz w:val="32"/>
          <w:szCs w:val="32"/>
          <w:lang w:eastAsia="zh-CN"/>
        </w:rPr>
        <w:t>，</w:t>
      </w:r>
      <w:r>
        <w:rPr>
          <w:rFonts w:hint="eastAsia" w:ascii="仿宋_GB2312" w:eastAsia="仿宋_GB2312"/>
          <w:color w:val="auto"/>
          <w:sz w:val="32"/>
          <w:szCs w:val="32"/>
          <w:lang w:val="en-US" w:eastAsia="zh-CN"/>
        </w:rPr>
        <w:t>其中年初预算项目经费78.4万元，</w:t>
      </w:r>
      <w:r>
        <w:rPr>
          <w:rFonts w:hint="eastAsia" w:ascii="仿宋_GB2312" w:hAnsi="仿宋" w:eastAsia="仿宋_GB2312"/>
          <w:color w:val="auto"/>
          <w:sz w:val="32"/>
          <w:szCs w:val="32"/>
          <w:lang w:val="en-US" w:eastAsia="zh-CN"/>
        </w:rPr>
        <w:t>水库除险加固项目资金799.63万元，中小河流治理项目资金4015.03</w:t>
      </w:r>
      <w:r>
        <w:rPr>
          <w:rFonts w:hint="eastAsia" w:ascii="仿宋_GB2312" w:hAnsi="仿宋" w:eastAsia="仿宋_GB2312"/>
          <w:color w:val="auto"/>
          <w:sz w:val="32"/>
          <w:szCs w:val="32"/>
        </w:rPr>
        <w:t>万元，</w:t>
      </w:r>
      <w:r>
        <w:rPr>
          <w:rFonts w:hint="eastAsia" w:ascii="仿宋_GB2312" w:hAnsi="仿宋" w:eastAsia="仿宋_GB2312"/>
          <w:color w:val="auto"/>
          <w:sz w:val="32"/>
          <w:szCs w:val="32"/>
          <w:lang w:val="en-US" w:eastAsia="zh-CN"/>
        </w:rPr>
        <w:t>饮水水源地建设项目资金200万元，</w:t>
      </w:r>
      <w:r>
        <w:rPr>
          <w:rFonts w:hint="eastAsia" w:ascii="仿宋_GB2312" w:hAnsi="仿宋" w:eastAsia="仿宋_GB2312"/>
          <w:color w:val="auto"/>
          <w:sz w:val="32"/>
          <w:szCs w:val="32"/>
        </w:rPr>
        <w:t>水利涉农项目资金</w:t>
      </w:r>
      <w:r>
        <w:rPr>
          <w:rFonts w:hint="eastAsia" w:ascii="仿宋_GB2312" w:hAnsi="仿宋" w:eastAsia="仿宋_GB2312"/>
          <w:color w:val="auto"/>
          <w:sz w:val="32"/>
          <w:szCs w:val="32"/>
          <w:lang w:val="en-US" w:eastAsia="zh-CN"/>
        </w:rPr>
        <w:t>1458.05</w:t>
      </w:r>
      <w:r>
        <w:rPr>
          <w:rFonts w:hint="eastAsia" w:ascii="仿宋_GB2312" w:hAnsi="仿宋" w:eastAsia="仿宋_GB2312"/>
          <w:color w:val="auto"/>
          <w:sz w:val="32"/>
          <w:szCs w:val="32"/>
        </w:rPr>
        <w:t>万元。</w:t>
      </w:r>
    </w:p>
    <w:p w14:paraId="73921F96">
      <w:pPr>
        <w:keepNext w:val="0"/>
        <w:keepLines w:val="0"/>
        <w:pageBreakBefore w:val="0"/>
        <w:numPr>
          <w:ilvl w:val="0"/>
          <w:numId w:val="2"/>
        </w:numPr>
        <w:kinsoku/>
        <w:wordWrap/>
        <w:topLinePunct w:val="0"/>
        <w:bidi w:val="0"/>
        <w:spacing w:line="520" w:lineRule="exact"/>
        <w:ind w:left="0" w:leftChars="0" w:firstLine="0" w:firstLineChars="0"/>
        <w:textAlignment w:val="auto"/>
        <w:rPr>
          <w:rFonts w:hint="eastAsia" w:ascii="楷体" w:hAnsi="楷体" w:eastAsia="楷体" w:cs="楷体"/>
          <w:sz w:val="32"/>
          <w:szCs w:val="32"/>
        </w:rPr>
      </w:pPr>
      <w:r>
        <w:rPr>
          <w:rFonts w:hint="eastAsia" w:ascii="楷体" w:hAnsi="楷体" w:eastAsia="楷体" w:cs="楷体"/>
          <w:sz w:val="32"/>
          <w:szCs w:val="32"/>
        </w:rPr>
        <w:t>"三公"经费使用和管理情况</w:t>
      </w:r>
    </w:p>
    <w:p w14:paraId="132CB64C">
      <w:pPr>
        <w:pStyle w:val="10"/>
        <w:keepNext w:val="0"/>
        <w:keepLines w:val="0"/>
        <w:pageBreakBefore w:val="0"/>
        <w:shd w:val="clear"/>
        <w:kinsoku/>
        <w:wordWrap/>
        <w:topLinePunct w:val="0"/>
        <w:bidi w:val="0"/>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color w:val="auto"/>
          <w:sz w:val="32"/>
          <w:szCs w:val="32"/>
          <w:highlight w:val="none"/>
        </w:rPr>
        <w:t>公务接待费</w:t>
      </w:r>
      <w:r>
        <w:rPr>
          <w:rFonts w:hint="eastAsia" w:ascii="仿宋_GB2312" w:hAnsi="仿宋_GB2312" w:eastAsia="仿宋_GB2312" w:cs="仿宋_GB2312"/>
          <w:color w:val="auto"/>
          <w:sz w:val="32"/>
          <w:szCs w:val="32"/>
          <w:highlight w:val="none"/>
          <w:lang w:eastAsia="zh-CN"/>
        </w:rPr>
        <w:t>年初</w:t>
      </w:r>
      <w:r>
        <w:rPr>
          <w:rFonts w:hint="eastAsia" w:ascii="仿宋_GB2312" w:hAnsi="仿宋_GB2312" w:eastAsia="仿宋_GB2312" w:cs="仿宋_GB2312"/>
          <w:color w:val="auto"/>
          <w:sz w:val="32"/>
          <w:szCs w:val="32"/>
          <w:highlight w:val="none"/>
        </w:rPr>
        <w:t>预算为</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1.34</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上</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决算</w:t>
      </w:r>
      <w:r>
        <w:rPr>
          <w:rFonts w:hint="eastAsia" w:ascii="仿宋_GB2312" w:hAnsi="仿宋_GB2312" w:eastAsia="仿宋_GB2312" w:cs="仿宋_GB2312"/>
          <w:color w:val="auto"/>
          <w:sz w:val="32"/>
          <w:szCs w:val="32"/>
          <w:highlight w:val="none"/>
          <w:lang w:val="en-US" w:eastAsia="zh-CN"/>
        </w:rPr>
        <w:t>1.62万元</w:t>
      </w:r>
      <w:r>
        <w:rPr>
          <w:rFonts w:hint="eastAsia" w:ascii="仿宋_GB2312" w:hAnsi="仿宋_GB2312" w:eastAsia="仿宋_GB2312" w:cs="仿宋_GB2312"/>
          <w:color w:val="auto"/>
          <w:sz w:val="32"/>
          <w:szCs w:val="32"/>
          <w:highlight w:val="none"/>
        </w:rPr>
        <w:t>相比</w:t>
      </w:r>
      <w:r>
        <w:rPr>
          <w:rFonts w:hint="eastAsia" w:ascii="仿宋_GB2312" w:hAnsi="仿宋_GB2312" w:eastAsia="仿宋_GB2312" w:cs="仿宋_GB2312"/>
          <w:color w:val="auto"/>
          <w:sz w:val="32"/>
          <w:szCs w:val="32"/>
          <w:highlight w:val="none"/>
          <w:lang w:val="en-US" w:eastAsia="zh-CN"/>
        </w:rPr>
        <w:t>减少0.28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减少17.28</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公务用车购置费</w:t>
      </w:r>
      <w:r>
        <w:rPr>
          <w:rFonts w:hint="eastAsia" w:ascii="仿宋_GB2312" w:hAnsi="仿宋_GB2312" w:eastAsia="仿宋_GB2312" w:cs="仿宋_GB2312"/>
          <w:color w:val="auto"/>
          <w:sz w:val="32"/>
          <w:szCs w:val="32"/>
          <w:highlight w:val="none"/>
          <w:lang w:eastAsia="zh-CN"/>
        </w:rPr>
        <w:t>年初</w:t>
      </w:r>
      <w:r>
        <w:rPr>
          <w:rFonts w:hint="eastAsia" w:ascii="仿宋_GB2312" w:hAnsi="仿宋_GB2312" w:eastAsia="仿宋_GB2312" w:cs="仿宋_GB2312"/>
          <w:color w:val="auto"/>
          <w:sz w:val="32"/>
          <w:szCs w:val="32"/>
          <w:highlight w:val="none"/>
        </w:rPr>
        <w:t>预算为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12.98</w:t>
      </w:r>
      <w:r>
        <w:rPr>
          <w:rFonts w:hint="eastAsia" w:ascii="仿宋_GB2312" w:hAnsi="仿宋_GB2312" w:eastAsia="仿宋_GB2312" w:cs="仿宋_GB2312"/>
          <w:color w:val="auto"/>
          <w:sz w:val="32"/>
          <w:szCs w:val="32"/>
          <w:highlight w:val="none"/>
        </w:rPr>
        <w:t>万元，决算数与年初预算</w:t>
      </w:r>
      <w:r>
        <w:rPr>
          <w:rFonts w:hint="eastAsia" w:ascii="仿宋_GB2312" w:hAnsi="仿宋_GB2312" w:eastAsia="仿宋_GB2312" w:cs="仿宋_GB2312"/>
          <w:color w:val="auto"/>
          <w:sz w:val="32"/>
          <w:szCs w:val="32"/>
          <w:highlight w:val="none"/>
          <w:lang w:val="en-US" w:eastAsia="zh-CN"/>
        </w:rPr>
        <w:t>增加12.98万元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增加100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主要用于新购车辆一台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公务用车运行维护费</w:t>
      </w:r>
      <w:r>
        <w:rPr>
          <w:rFonts w:hint="eastAsia" w:ascii="仿宋_GB2312" w:hAnsi="仿宋_GB2312" w:eastAsia="仿宋_GB2312" w:cs="仿宋_GB2312"/>
          <w:color w:val="auto"/>
          <w:sz w:val="32"/>
          <w:szCs w:val="32"/>
          <w:highlight w:val="none"/>
          <w:lang w:eastAsia="zh-CN"/>
        </w:rPr>
        <w:t>年初</w:t>
      </w:r>
      <w:r>
        <w:rPr>
          <w:rFonts w:hint="eastAsia" w:ascii="仿宋_GB2312" w:hAnsi="仿宋_GB2312" w:eastAsia="仿宋_GB2312" w:cs="仿宋_GB2312"/>
          <w:color w:val="auto"/>
          <w:sz w:val="32"/>
          <w:szCs w:val="32"/>
          <w:highlight w:val="none"/>
        </w:rPr>
        <w:t>预算为</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2.70</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上</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决算</w:t>
      </w:r>
      <w:r>
        <w:rPr>
          <w:rFonts w:hint="eastAsia" w:ascii="仿宋_GB2312" w:hAnsi="仿宋_GB2312" w:eastAsia="仿宋_GB2312" w:cs="仿宋_GB2312"/>
          <w:color w:val="auto"/>
          <w:sz w:val="32"/>
          <w:szCs w:val="32"/>
          <w:highlight w:val="none"/>
          <w:lang w:val="en-US" w:eastAsia="zh-CN"/>
        </w:rPr>
        <w:t>2.55万元</w:t>
      </w:r>
      <w:r>
        <w:rPr>
          <w:rFonts w:hint="eastAsia" w:ascii="仿宋_GB2312" w:hAnsi="仿宋_GB2312" w:eastAsia="仿宋_GB2312" w:cs="仿宋_GB2312"/>
          <w:color w:val="auto"/>
          <w:sz w:val="32"/>
          <w:szCs w:val="32"/>
          <w:highlight w:val="none"/>
        </w:rPr>
        <w:t>相比</w:t>
      </w:r>
      <w:r>
        <w:rPr>
          <w:rFonts w:hint="eastAsia" w:ascii="仿宋_GB2312" w:hAnsi="仿宋_GB2312" w:eastAsia="仿宋_GB2312" w:cs="仿宋_GB2312"/>
          <w:color w:val="auto"/>
          <w:sz w:val="32"/>
          <w:szCs w:val="32"/>
          <w:highlight w:val="none"/>
          <w:lang w:val="en-US" w:eastAsia="zh-CN"/>
        </w:rPr>
        <w:t>增加0.15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增加5.88</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rPr>
        <w:t>的主要原因是</w:t>
      </w:r>
      <w:r>
        <w:rPr>
          <w:rFonts w:hint="eastAsia" w:ascii="仿宋_GB2312" w:hAnsi="仿宋_GB2312" w:eastAsia="仿宋_GB2312" w:cs="仿宋_GB2312"/>
          <w:color w:val="auto"/>
          <w:sz w:val="32"/>
          <w:szCs w:val="32"/>
          <w:highlight w:val="none"/>
          <w:lang w:val="en-US" w:eastAsia="zh-CN"/>
        </w:rPr>
        <w:t>车辆维修费用</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sz w:val="32"/>
          <w:szCs w:val="32"/>
        </w:rPr>
        <w:t>“因公”出国（境）费用</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0元</w:t>
      </w:r>
      <w:r>
        <w:rPr>
          <w:rFonts w:hint="eastAsia" w:ascii="仿宋_GB2312" w:hAnsi="仿宋_GB2312" w:eastAsia="仿宋_GB2312" w:cs="仿宋_GB2312"/>
          <w:sz w:val="32"/>
          <w:szCs w:val="32"/>
        </w:rPr>
        <w:t>。</w:t>
      </w:r>
    </w:p>
    <w:p w14:paraId="351BB8DB">
      <w:pPr>
        <w:keepNext w:val="0"/>
        <w:keepLines w:val="0"/>
        <w:pageBreakBefore w:val="0"/>
        <w:numPr>
          <w:ilvl w:val="0"/>
          <w:numId w:val="3"/>
        </w:numPr>
        <w:kinsoku/>
        <w:wordWrap/>
        <w:topLinePunct w:val="0"/>
        <w:bidi w:val="0"/>
        <w:spacing w:line="520" w:lineRule="exact"/>
        <w:textAlignment w:val="auto"/>
        <w:rPr>
          <w:rFonts w:hint="eastAsia" w:ascii="黑体" w:hAnsi="黑体" w:eastAsia="黑体" w:cs="黑体"/>
          <w:sz w:val="32"/>
          <w:szCs w:val="32"/>
        </w:rPr>
      </w:pPr>
      <w:r>
        <w:rPr>
          <w:rFonts w:hint="eastAsia" w:ascii="黑体" w:hAnsi="黑体" w:eastAsia="黑体" w:cs="黑体"/>
          <w:sz w:val="32"/>
          <w:szCs w:val="32"/>
        </w:rPr>
        <w:t>政府性基金预算支出情况</w:t>
      </w:r>
    </w:p>
    <w:p w14:paraId="12A055D2">
      <w:pPr>
        <w:keepNext w:val="0"/>
        <w:keepLines w:val="0"/>
        <w:pageBreakBefore w:val="0"/>
        <w:numPr>
          <w:ilvl w:val="0"/>
          <w:numId w:val="0"/>
        </w:numPr>
        <w:kinsoku/>
        <w:wordWrap/>
        <w:topLinePunct w:val="0"/>
        <w:bidi w:val="0"/>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30A14F40">
      <w:pPr>
        <w:keepNext w:val="0"/>
        <w:keepLines w:val="0"/>
        <w:pageBreakBefore w:val="0"/>
        <w:numPr>
          <w:ilvl w:val="0"/>
          <w:numId w:val="3"/>
        </w:numPr>
        <w:kinsoku/>
        <w:wordWrap/>
        <w:topLinePunct w:val="0"/>
        <w:bidi w:val="0"/>
        <w:spacing w:line="520" w:lineRule="exact"/>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国有资本经营预算支出情况</w:t>
      </w:r>
    </w:p>
    <w:p w14:paraId="5EBF0839">
      <w:pPr>
        <w:keepNext w:val="0"/>
        <w:keepLines w:val="0"/>
        <w:pageBreakBefore w:val="0"/>
        <w:numPr>
          <w:ilvl w:val="0"/>
          <w:numId w:val="0"/>
        </w:numPr>
        <w:kinsoku/>
        <w:wordWrap/>
        <w:topLinePunct w:val="0"/>
        <w:bidi w:val="0"/>
        <w:spacing w:line="520" w:lineRule="exact"/>
        <w:ind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01131818">
      <w:pPr>
        <w:keepNext w:val="0"/>
        <w:keepLines w:val="0"/>
        <w:pageBreakBefore w:val="0"/>
        <w:numPr>
          <w:ilvl w:val="0"/>
          <w:numId w:val="3"/>
        </w:numPr>
        <w:kinsoku/>
        <w:wordWrap/>
        <w:topLinePunct w:val="0"/>
        <w:bidi w:val="0"/>
        <w:spacing w:line="520" w:lineRule="exact"/>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社会保险基金预算支出情况</w:t>
      </w:r>
    </w:p>
    <w:p w14:paraId="131EFFFB">
      <w:pPr>
        <w:keepNext w:val="0"/>
        <w:keepLines w:val="0"/>
        <w:pageBreakBefore w:val="0"/>
        <w:numPr>
          <w:ilvl w:val="0"/>
          <w:numId w:val="0"/>
        </w:numPr>
        <w:kinsoku/>
        <w:wordWrap/>
        <w:topLinePunct w:val="0"/>
        <w:bidi w:val="0"/>
        <w:spacing w:line="520" w:lineRule="exact"/>
        <w:ind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4676C25D">
      <w:pPr>
        <w:keepNext w:val="0"/>
        <w:keepLines w:val="0"/>
        <w:pageBreakBefore w:val="0"/>
        <w:kinsoku/>
        <w:wordWrap/>
        <w:topLinePunct w:val="0"/>
        <w:bidi w:val="0"/>
        <w:spacing w:line="520" w:lineRule="exact"/>
        <w:textAlignment w:val="auto"/>
        <w:rPr>
          <w:rFonts w:hint="eastAsia" w:ascii="黑体" w:hAnsi="黑体" w:eastAsia="黑体" w:cs="黑体"/>
          <w:sz w:val="32"/>
          <w:szCs w:val="32"/>
        </w:rPr>
      </w:pPr>
      <w:r>
        <w:rPr>
          <w:rFonts w:hint="eastAsia" w:ascii="黑体" w:hAnsi="黑体" w:eastAsia="黑体" w:cs="黑体"/>
          <w:sz w:val="32"/>
          <w:szCs w:val="32"/>
        </w:rPr>
        <w:t>六、部门整体支出绩效情况</w:t>
      </w:r>
    </w:p>
    <w:p w14:paraId="78A3D46B">
      <w:pPr>
        <w:keepNext w:val="0"/>
        <w:keepLines w:val="0"/>
        <w:pageBreakBefore w:val="0"/>
        <w:kinsoku/>
        <w:wordWrap/>
        <w:topLinePunct w:val="0"/>
        <w:bidi w:val="0"/>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（一）综合评价结论。部门整体支出绩效评价共性指标评分为9</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分，整体支出符合绩效评价要求。</w:t>
      </w:r>
    </w:p>
    <w:p w14:paraId="47BED8AC">
      <w:pPr>
        <w:keepNext w:val="0"/>
        <w:keepLines w:val="0"/>
        <w:pageBreakBefore w:val="0"/>
        <w:widowControl w:val="0"/>
        <w:kinsoku/>
        <w:wordWrap/>
        <w:overflowPunct w:val="0"/>
        <w:topLinePunct w:val="0"/>
        <w:autoSpaceDE w:val="0"/>
        <w:autoSpaceDN w:val="0"/>
        <w:bidi w:val="0"/>
        <w:adjustRightInd w:val="0"/>
        <w:snapToGrid w:val="0"/>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（二）评价指标分析（或综合评价情况）。</w:t>
      </w:r>
    </w:p>
    <w:p w14:paraId="2F0C9D09">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color w:val="auto"/>
          <w:spacing w:val="6"/>
          <w:kern w:val="32"/>
          <w:sz w:val="32"/>
          <w:szCs w:val="32"/>
          <w:lang w:val="en-US" w:eastAsia="zh-CN"/>
        </w:rPr>
        <w:t>县水利局</w:t>
      </w:r>
      <w:r>
        <w:rPr>
          <w:rFonts w:hint="eastAsia" w:ascii="仿宋_GB2312" w:hAnsi="仿宋_GB2312" w:eastAsia="仿宋_GB2312" w:cs="仿宋_GB2312"/>
          <w:bCs/>
          <w:color w:val="auto"/>
          <w:spacing w:val="6"/>
          <w:kern w:val="32"/>
          <w:sz w:val="32"/>
          <w:szCs w:val="32"/>
          <w:lang w:eastAsia="zh-CN"/>
        </w:rPr>
        <w:t>坚持以习近平新时代中国特色社会主义思想为指导，</w:t>
      </w:r>
      <w:r>
        <w:rPr>
          <w:rFonts w:hint="eastAsia" w:ascii="仿宋_GB2312" w:hAnsi="仿宋_GB2312" w:eastAsia="仿宋_GB2312" w:cs="仿宋_GB2312"/>
          <w:i w:val="0"/>
          <w:iCs w:val="0"/>
          <w:caps w:val="0"/>
          <w:color w:val="auto"/>
          <w:spacing w:val="0"/>
          <w:sz w:val="32"/>
          <w:szCs w:val="32"/>
          <w:shd w:val="clear" w:color="auto" w:fill="FFFFFF"/>
        </w:rPr>
        <w:t>深入</w:t>
      </w:r>
      <w:r>
        <w:rPr>
          <w:rFonts w:hint="eastAsia" w:ascii="仿宋_GB2312" w:hAnsi="仿宋_GB2312" w:eastAsia="仿宋_GB2312" w:cs="仿宋_GB2312"/>
          <w:i w:val="0"/>
          <w:iCs w:val="0"/>
          <w:caps w:val="0"/>
          <w:color w:val="auto"/>
          <w:spacing w:val="0"/>
          <w:sz w:val="32"/>
          <w:szCs w:val="32"/>
          <w:shd w:val="clear" w:color="auto" w:fill="FFFFFF"/>
          <w:lang w:eastAsia="zh-CN"/>
        </w:rPr>
        <w:t>贯彻</w:t>
      </w:r>
      <w:r>
        <w:rPr>
          <w:rFonts w:hint="eastAsia" w:ascii="仿宋_GB2312" w:hAnsi="仿宋_GB2312" w:eastAsia="仿宋_GB2312" w:cs="仿宋_GB2312"/>
          <w:i w:val="0"/>
          <w:iCs w:val="0"/>
          <w:caps w:val="0"/>
          <w:color w:val="auto"/>
          <w:spacing w:val="0"/>
          <w:sz w:val="32"/>
          <w:szCs w:val="32"/>
          <w:shd w:val="clear" w:color="auto" w:fill="FFFFFF"/>
        </w:rPr>
        <w:t>落实习近平总书记</w:t>
      </w:r>
      <w:r>
        <w:rPr>
          <w:rFonts w:hint="eastAsia" w:ascii="仿宋_GB2312" w:hAnsi="仿宋_GB2312" w:eastAsia="仿宋_GB2312" w:cs="仿宋_GB2312"/>
          <w:i w:val="0"/>
          <w:iCs w:val="0"/>
          <w:caps w:val="0"/>
          <w:color w:val="auto"/>
          <w:spacing w:val="0"/>
          <w:sz w:val="32"/>
          <w:szCs w:val="32"/>
          <w:shd w:val="clear" w:color="auto" w:fill="FFFFFF"/>
          <w:lang w:eastAsia="zh-CN"/>
        </w:rPr>
        <w:t>关于</w:t>
      </w:r>
      <w:r>
        <w:rPr>
          <w:rFonts w:hint="eastAsia" w:ascii="仿宋_GB2312" w:hAnsi="仿宋_GB2312" w:eastAsia="仿宋_GB2312" w:cs="仿宋_GB2312"/>
          <w:i w:val="0"/>
          <w:iCs w:val="0"/>
          <w:caps w:val="0"/>
          <w:color w:val="auto"/>
          <w:spacing w:val="0"/>
          <w:sz w:val="32"/>
          <w:szCs w:val="32"/>
          <w:shd w:val="clear" w:color="auto" w:fill="FFFFFF"/>
        </w:rPr>
        <w:t>“节水优先、空间均衡、系统治理、两手发力”治水思路</w:t>
      </w: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bCs/>
          <w:color w:val="auto"/>
          <w:spacing w:val="6"/>
          <w:kern w:val="32"/>
          <w:sz w:val="32"/>
          <w:szCs w:val="32"/>
          <w:lang w:eastAsia="zh-CN"/>
        </w:rPr>
        <w:t>以党的二十大精神为引领，在县委县政府的坚强领导和省市主管部门的业务指导下，</w:t>
      </w:r>
      <w:r>
        <w:rPr>
          <w:rFonts w:hint="eastAsia" w:ascii="仿宋_GB2312" w:hAnsi="仿宋_GB2312" w:eastAsia="仿宋_GB2312" w:cs="仿宋_GB2312"/>
          <w:color w:val="auto"/>
          <w:sz w:val="32"/>
          <w:szCs w:val="32"/>
          <w:lang w:val="en-US" w:eastAsia="zh-CN"/>
        </w:rPr>
        <w:t>对标对标省水利真抓实干督查激励要求，重点围绕县委县政府关于水利工作部署和上级水利工作要求，积极融入我县“1354”工程，各项工作扎实推进取得一定成效</w:t>
      </w:r>
      <w:r>
        <w:rPr>
          <w:rFonts w:hint="eastAsia" w:ascii="仿宋_GB2312" w:hAnsi="仿宋_GB2312" w:eastAsia="仿宋_GB2312" w:cs="仿宋_GB2312"/>
          <w:bCs/>
          <w:color w:val="auto"/>
          <w:spacing w:val="6"/>
          <w:kern w:val="32"/>
          <w:sz w:val="32"/>
          <w:szCs w:val="32"/>
          <w:lang w:eastAsia="zh-CN"/>
        </w:rPr>
        <w:t>。</w:t>
      </w:r>
      <w:r>
        <w:rPr>
          <w:rFonts w:hint="eastAsia" w:ascii="仿宋_GB2312" w:hAnsi="仿宋_GB2312" w:eastAsia="仿宋_GB2312" w:cs="仿宋_GB2312"/>
          <w:b/>
          <w:bCs/>
          <w:color w:val="auto"/>
          <w:kern w:val="2"/>
          <w:sz w:val="32"/>
          <w:szCs w:val="32"/>
          <w:shd w:val="clear" w:color="auto" w:fill="FFFFFF"/>
          <w:lang w:val="en-US" w:eastAsia="zh-CN" w:bidi="ar-SA"/>
        </w:rPr>
        <w:t>1.河长制落地见效。</w:t>
      </w:r>
      <w:r>
        <w:rPr>
          <w:rFonts w:hint="eastAsia" w:ascii="仿宋_GB2312" w:hAnsi="仿宋_GB2312" w:eastAsia="仿宋_GB2312" w:cs="仿宋_GB2312"/>
          <w:color w:val="auto"/>
          <w:sz w:val="32"/>
          <w:szCs w:val="32"/>
        </w:rPr>
        <w:t>深入贯彻习近平总书记“守护好一江碧水”要求，全力做好河长制各项工作，</w:t>
      </w:r>
      <w:r>
        <w:rPr>
          <w:rFonts w:hint="eastAsia" w:ascii="仿宋_GB2312" w:hAnsi="仿宋_GB2312" w:eastAsia="仿宋_GB2312" w:cs="仿宋_GB2312"/>
          <w:color w:val="auto"/>
          <w:sz w:val="32"/>
          <w:szCs w:val="32"/>
          <w:lang w:eastAsia="zh-CN"/>
        </w:rPr>
        <w:t>确保</w:t>
      </w:r>
      <w:r>
        <w:rPr>
          <w:rFonts w:hint="eastAsia" w:ascii="仿宋_GB2312" w:hAnsi="仿宋_GB2312" w:eastAsia="仿宋_GB2312" w:cs="仿宋_GB2312"/>
          <w:color w:val="auto"/>
          <w:sz w:val="32"/>
          <w:szCs w:val="32"/>
        </w:rPr>
        <w:t>会同境内河道水质标准达到二类以上，合格率100%，真正做到了守水有责、管水担责、护水尽责，守护好一江碧水。</w:t>
      </w:r>
      <w:r>
        <w:rPr>
          <w:rFonts w:hint="eastAsia" w:ascii="仿宋_GB2312" w:hAnsi="仿宋_GB2312" w:eastAsia="仿宋_GB2312" w:cs="仿宋_GB2312"/>
          <w:b/>
          <w:bCs/>
          <w:color w:val="auto"/>
          <w:sz w:val="32"/>
          <w:szCs w:val="32"/>
          <w:lang w:eastAsia="zh-CN"/>
        </w:rPr>
        <w:t>一是</w:t>
      </w:r>
      <w:r>
        <w:rPr>
          <w:rFonts w:hint="eastAsia" w:ascii="仿宋_GB2312" w:hAnsi="仿宋_GB2312" w:eastAsia="仿宋_GB2312" w:cs="仿宋_GB2312"/>
          <w:b w:val="0"/>
          <w:bCs w:val="0"/>
          <w:color w:val="auto"/>
          <w:sz w:val="32"/>
          <w:szCs w:val="32"/>
          <w:lang w:eastAsia="zh-CN"/>
        </w:rPr>
        <w:t>积极抓好涉河</w:t>
      </w:r>
      <w:r>
        <w:rPr>
          <w:rFonts w:hint="eastAsia" w:ascii="仿宋_GB2312" w:hAnsi="仿宋_GB2312" w:eastAsia="仿宋_GB2312" w:cs="仿宋_GB2312"/>
          <w:b w:val="0"/>
          <w:bCs w:val="0"/>
          <w:color w:val="auto"/>
          <w:sz w:val="32"/>
          <w:szCs w:val="32"/>
          <w:lang w:val="en-US" w:eastAsia="zh-CN"/>
        </w:rPr>
        <w:t>问题整改。</w:t>
      </w:r>
      <w:r>
        <w:rPr>
          <w:rFonts w:hint="eastAsia" w:ascii="仿宋_GB2312" w:hAnsi="仿宋_GB2312" w:eastAsia="仿宋_GB2312" w:cs="仿宋_GB2312"/>
          <w:color w:val="auto"/>
          <w:sz w:val="32"/>
          <w:szCs w:val="32"/>
          <w:lang w:val="en-US" w:eastAsia="zh-CN"/>
        </w:rPr>
        <w:t>完成水利部和省河长196个办交办问题、</w:t>
      </w:r>
      <w:r>
        <w:rPr>
          <w:rFonts w:hint="eastAsia" w:ascii="仿宋_GB2312" w:hAnsi="仿宋_GB2312" w:eastAsia="仿宋_GB2312" w:cs="仿宋_GB2312"/>
          <w:bCs/>
          <w:color w:val="auto"/>
          <w:kern w:val="32"/>
          <w:sz w:val="32"/>
          <w:szCs w:val="32"/>
          <w:lang w:val="en-US" w:eastAsia="zh-CN" w:bidi="ar-SA"/>
        </w:rPr>
        <w:t>巡河交办400余个问题、2个涉河乱建问题和</w:t>
      </w:r>
      <w:r>
        <w:rPr>
          <w:rFonts w:hint="eastAsia" w:ascii="仿宋_GB2312" w:hAnsi="仿宋_GB2312" w:eastAsia="仿宋_GB2312" w:cs="仿宋_GB2312"/>
          <w:b w:val="0"/>
          <w:bCs w:val="0"/>
          <w:color w:val="auto"/>
          <w:sz w:val="32"/>
          <w:szCs w:val="32"/>
          <w:vertAlign w:val="baseline"/>
          <w:lang w:val="en-US" w:eastAsia="zh-CN"/>
        </w:rPr>
        <w:t>8个排污口</w:t>
      </w:r>
      <w:r>
        <w:rPr>
          <w:rFonts w:hint="eastAsia" w:ascii="仿宋_GB2312" w:hAnsi="仿宋_GB2312" w:eastAsia="仿宋_GB2312" w:cs="仿宋_GB2312"/>
          <w:bCs/>
          <w:color w:val="auto"/>
          <w:kern w:val="32"/>
          <w:sz w:val="32"/>
          <w:szCs w:val="32"/>
          <w:lang w:val="en-US" w:eastAsia="zh-CN" w:bidi="ar-SA"/>
        </w:rPr>
        <w:t>整改销号，进一步促进水域岸线保护有力有效、河湖水质面貌持续向好。</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b w:val="0"/>
          <w:bCs w:val="0"/>
          <w:color w:val="auto"/>
          <w:sz w:val="32"/>
          <w:szCs w:val="32"/>
          <w:lang w:val="en-US" w:eastAsia="zh-CN"/>
        </w:rPr>
        <w:t>突出美丽河湖建设。</w:t>
      </w:r>
      <w:r>
        <w:rPr>
          <w:rFonts w:hint="eastAsia" w:ascii="仿宋_GB2312" w:hAnsi="仿宋_GB2312" w:eastAsia="仿宋_GB2312" w:cs="仿宋_GB2312"/>
          <w:color w:val="auto"/>
          <w:sz w:val="32"/>
          <w:szCs w:val="32"/>
          <w:lang w:val="en-US" w:eastAsia="zh-CN"/>
        </w:rPr>
        <w:t>县河长办筹资559万元，高质量完成林城镇金寨村田家溪、林城镇墓脚村岩头溪和堡子镇会同河3条美丽河湖建设。同时，按照“一县一示范”和“一乡一亮点”的要求稳步推进全县美丽河湖建设。</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bCs w:val="0"/>
          <w:color w:val="auto"/>
          <w:kern w:val="32"/>
          <w:sz w:val="32"/>
          <w:szCs w:val="32"/>
          <w:lang w:val="en-US" w:eastAsia="zh-CN" w:bidi="ar-SA"/>
        </w:rPr>
        <w:t>突出河长制特色亮点。</w:t>
      </w:r>
      <w:r>
        <w:rPr>
          <w:rFonts w:hint="eastAsia" w:ascii="仿宋_GB2312" w:hAnsi="仿宋_GB2312" w:eastAsia="仿宋_GB2312" w:cs="仿宋_GB2312"/>
          <w:color w:val="auto"/>
          <w:sz w:val="32"/>
          <w:szCs w:val="32"/>
          <w:lang w:val="en-US" w:eastAsia="zh-CN"/>
        </w:rPr>
        <w:t>突出河长制+党建。</w:t>
      </w:r>
      <w:r>
        <w:rPr>
          <w:rFonts w:hint="eastAsia" w:ascii="仿宋_GB2312" w:hAnsi="仿宋_GB2312" w:eastAsia="仿宋_GB2312" w:cs="仿宋_GB2312"/>
          <w:color w:val="auto"/>
          <w:sz w:val="32"/>
          <w:szCs w:val="32"/>
        </w:rPr>
        <w:t>积极创新推进“把支部建在河湖上”管理模式，打造2023年河湖管理新亮点。</w:t>
      </w:r>
      <w:r>
        <w:rPr>
          <w:rFonts w:hint="eastAsia" w:ascii="仿宋_GB2312" w:hAnsi="仿宋_GB2312" w:eastAsia="仿宋_GB2312" w:cs="仿宋_GB2312"/>
          <w:b w:val="0"/>
          <w:bCs/>
          <w:color w:val="auto"/>
          <w:kern w:val="32"/>
          <w:sz w:val="32"/>
          <w:szCs w:val="32"/>
          <w:lang w:val="en-US" w:eastAsia="zh-CN" w:bidi="ar-SA"/>
        </w:rPr>
        <w:t>完成</w:t>
      </w:r>
      <w:r>
        <w:rPr>
          <w:rFonts w:hint="eastAsia" w:ascii="仿宋_GB2312" w:hAnsi="仿宋_GB2312" w:eastAsia="仿宋_GB2312" w:cs="仿宋_GB2312"/>
          <w:bCs/>
          <w:color w:val="auto"/>
          <w:kern w:val="32"/>
          <w:sz w:val="32"/>
          <w:szCs w:val="32"/>
          <w:lang w:val="en-US" w:eastAsia="zh-CN" w:bidi="ar-SA"/>
        </w:rPr>
        <w:t>建成河长制主题公园。建成包括芙蓉新村河长制主题广场、山水龙城、步云山水文化广场和杜鹃山观河亭、巡河步道、河岸亮化及绿化等景观部分。打造“乡村智理平台”实现全民护水。</w:t>
      </w:r>
    </w:p>
    <w:p w14:paraId="4A7E0F8F">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kern w:val="2"/>
          <w:sz w:val="32"/>
          <w:szCs w:val="32"/>
          <w:shd w:val="clear" w:color="auto" w:fill="FFFFFF"/>
          <w:lang w:val="en-US" w:eastAsia="zh-CN" w:bidi="ar-SA"/>
        </w:rPr>
        <w:t>2.争资立项实现新突破。</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全面对接国家水利投资新导向、新政策，找准实际需求与上级政策扶持的结合点、空白点，及时谋划、包装和申报项目，争取上级补助项目落地会同。2023年，会同已争取中央和省级水利资金10073万元。</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抓好项目申报包装。吃透银行信贷和专项债政策，新完成城乡供水一体化、会同县灌区水库提质改造及综合开发2个专项债项目可研，已储备专项债和银行信贷项目5个，设计资金额度11.8亿元。以县水利各项规划为基础，按照长中短、远中近、大中小的布局，立足在建一批、争取一批、储备一批、谋划一批的思路，精准策划申报山洪灾害防治、主要支流治理、水库除险加固、水系连通及水美乡村建设试点县等项目30余个，涉及总投资31亿元。</w:t>
      </w:r>
    </w:p>
    <w:p w14:paraId="7463598E">
      <w:pPr>
        <w:pStyle w:val="6"/>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bCs/>
          <w:color w:val="auto"/>
          <w:kern w:val="32"/>
          <w:sz w:val="32"/>
          <w:szCs w:val="32"/>
          <w:lang w:val="en-US" w:eastAsia="zh-CN" w:bidi="ar-SA"/>
        </w:rPr>
      </w:pPr>
      <w:r>
        <w:rPr>
          <w:rFonts w:hint="eastAsia" w:ascii="仿宋_GB2312" w:hAnsi="仿宋_GB2312" w:eastAsia="仿宋_GB2312" w:cs="仿宋_GB2312"/>
          <w:b/>
          <w:bCs w:val="0"/>
          <w:color w:val="auto"/>
          <w:kern w:val="32"/>
          <w:sz w:val="32"/>
          <w:szCs w:val="32"/>
          <w:lang w:val="en-US" w:eastAsia="zh-CN" w:bidi="ar-SA"/>
        </w:rPr>
        <w:t>3.水利投融资再上新台阶。一是</w:t>
      </w:r>
      <w:r>
        <w:rPr>
          <w:rFonts w:hint="eastAsia" w:ascii="仿宋_GB2312" w:hAnsi="仿宋_GB2312" w:eastAsia="仿宋_GB2312" w:cs="仿宋_GB2312"/>
          <w:bCs/>
          <w:color w:val="auto"/>
          <w:kern w:val="32"/>
          <w:sz w:val="32"/>
          <w:szCs w:val="32"/>
          <w:lang w:val="en-US" w:eastAsia="zh-CN" w:bidi="ar-SA"/>
        </w:rPr>
        <w:t>抓投融资改革。对全县97座上型水库、25个集镇自来水管理、18条县级河道等资产进行登记确权，并纳入县经投公司名下，形成资产，增加融资力度。全年我县共融资58500万元，其中银行信贷资金46500万元、专项债资金10000万元，社会投资2000万元，排全市第一。</w:t>
      </w:r>
      <w:r>
        <w:rPr>
          <w:rFonts w:hint="eastAsia" w:ascii="仿宋_GB2312" w:hAnsi="仿宋_GB2312" w:eastAsia="仿宋_GB2312" w:cs="仿宋_GB2312"/>
          <w:b/>
          <w:bCs w:val="0"/>
          <w:color w:val="auto"/>
          <w:kern w:val="32"/>
          <w:sz w:val="32"/>
          <w:szCs w:val="32"/>
          <w:lang w:val="en-US" w:eastAsia="zh-CN" w:bidi="ar-SA"/>
        </w:rPr>
        <w:t>二是</w:t>
      </w:r>
      <w:r>
        <w:rPr>
          <w:rFonts w:hint="eastAsia" w:ascii="仿宋_GB2312" w:hAnsi="仿宋_GB2312" w:eastAsia="仿宋_GB2312" w:cs="仿宋_GB2312"/>
          <w:bCs/>
          <w:color w:val="auto"/>
          <w:kern w:val="32"/>
          <w:sz w:val="32"/>
          <w:szCs w:val="32"/>
          <w:lang w:val="en-US" w:eastAsia="zh-CN" w:bidi="ar-SA"/>
        </w:rPr>
        <w:t>抓水利全口径投资。落实全口径投资78485.82万元，完成全口径投资70005万元，排名全市第一。</w:t>
      </w:r>
      <w:r>
        <w:rPr>
          <w:rFonts w:hint="eastAsia" w:ascii="仿宋_GB2312" w:hAnsi="仿宋_GB2312" w:eastAsia="仿宋_GB2312" w:cs="仿宋_GB2312"/>
          <w:b/>
          <w:bCs w:val="0"/>
          <w:color w:val="auto"/>
          <w:kern w:val="32"/>
          <w:sz w:val="32"/>
          <w:szCs w:val="32"/>
          <w:lang w:val="en-US" w:eastAsia="zh-CN" w:bidi="ar-SA"/>
        </w:rPr>
        <w:t>三是</w:t>
      </w:r>
      <w:r>
        <w:rPr>
          <w:rFonts w:hint="eastAsia" w:ascii="仿宋_GB2312" w:hAnsi="仿宋_GB2312" w:eastAsia="仿宋_GB2312" w:cs="仿宋_GB2312"/>
          <w:b w:val="0"/>
          <w:bCs/>
          <w:color w:val="auto"/>
          <w:sz w:val="32"/>
          <w:szCs w:val="32"/>
          <w:lang w:val="en-US" w:eastAsia="zh-CN"/>
        </w:rPr>
        <w:t>积极引导民间资本投入。</w:t>
      </w:r>
      <w:r>
        <w:rPr>
          <w:rFonts w:hint="eastAsia" w:ascii="仿宋_GB2312" w:hAnsi="仿宋_GB2312" w:eastAsia="仿宋_GB2312" w:cs="仿宋_GB2312"/>
          <w:color w:val="auto"/>
          <w:sz w:val="32"/>
          <w:szCs w:val="32"/>
          <w:lang w:val="en-US" w:eastAsia="zh-CN"/>
        </w:rPr>
        <w:t>依托“引老乡回家乡”活动，我们积极引导在外知名人士返乡创业，积极投入水利事业。高椅乡三洲村知名人士杨某，积极引进村民间资金2300万元，投入村级水利建设项目，并纳入财政预算管理。</w:t>
      </w:r>
      <w:r>
        <w:rPr>
          <w:rFonts w:hint="eastAsia" w:ascii="仿宋_GB2312" w:hAnsi="仿宋_GB2312" w:eastAsia="仿宋_GB2312" w:cs="仿宋_GB2312"/>
          <w:bCs/>
          <w:color w:val="auto"/>
          <w:kern w:val="32"/>
          <w:sz w:val="32"/>
          <w:szCs w:val="32"/>
          <w:lang w:val="en-US" w:eastAsia="zh-CN" w:bidi="ar-SA"/>
        </w:rPr>
        <w:t>会同县人民政府10月24日在全市水利建设暨小型农业水利设施建设管护现场推进会上就水利投融资工作做典型发言，并多次获得省市水利部门主要领导肯定。</w:t>
      </w:r>
    </w:p>
    <w:p w14:paraId="204E5E49">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kern w:val="2"/>
          <w:sz w:val="32"/>
          <w:szCs w:val="32"/>
          <w:shd w:val="clear" w:color="auto" w:fill="FFFFFF"/>
          <w:lang w:val="en-US" w:eastAsia="zh-CN" w:bidi="ar-SA"/>
        </w:rPr>
        <w:t>4.基础设施建设稳步推进。</w:t>
      </w:r>
      <w:r>
        <w:rPr>
          <w:rFonts w:hint="eastAsia" w:ascii="仿宋_GB2312" w:hAnsi="仿宋_GB2312" w:eastAsia="仿宋_GB2312" w:cs="仿宋_GB2312"/>
          <w:b/>
          <w:bCs/>
          <w:color w:val="auto"/>
          <w:kern w:val="2"/>
          <w:sz w:val="32"/>
          <w:szCs w:val="32"/>
          <w:lang w:val="en-US" w:eastAsia="zh-CN" w:bidi="ar-SA"/>
        </w:rPr>
        <w:t>一是</w:t>
      </w:r>
      <w:r>
        <w:rPr>
          <w:rFonts w:hint="eastAsia" w:ascii="仿宋_GB2312" w:hAnsi="仿宋_GB2312" w:eastAsia="仿宋_GB2312" w:cs="仿宋_GB2312"/>
          <w:b w:val="0"/>
          <w:bCs w:val="0"/>
          <w:color w:val="auto"/>
          <w:kern w:val="2"/>
          <w:sz w:val="32"/>
          <w:szCs w:val="32"/>
          <w:lang w:val="en-US" w:eastAsia="zh-CN" w:bidi="ar-SA"/>
        </w:rPr>
        <w:t>重点项目建设成效突出。</w:t>
      </w:r>
      <w:r>
        <w:rPr>
          <w:rFonts w:hint="eastAsia" w:ascii="仿宋_GB2312" w:hAnsi="仿宋_GB2312" w:eastAsia="仿宋_GB2312" w:cs="仿宋_GB2312"/>
          <w:color w:val="auto"/>
          <w:kern w:val="2"/>
          <w:sz w:val="32"/>
          <w:szCs w:val="32"/>
          <w:lang w:val="en-US" w:eastAsia="zh-CN" w:bidi="ar-SA"/>
        </w:rPr>
        <w:t>投资9533万余元加紧推进</w:t>
      </w:r>
      <w:r>
        <w:rPr>
          <w:rFonts w:hint="eastAsia" w:ascii="仿宋_GB2312" w:hAnsi="仿宋_GB2312" w:eastAsia="仿宋_GB2312" w:cs="仿宋_GB2312"/>
          <w:color w:val="auto"/>
          <w:sz w:val="32"/>
          <w:szCs w:val="32"/>
        </w:rPr>
        <w:t>蓑衣塘泵站灌区续建配套与节水改造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八宋等10座水库除险加固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地灵溪会同县治理工程</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rPr>
        <w:t>湖南省主要支流渠水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火神坡段</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巫水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若水段</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王家坪段</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治理工程(2023年)</w:t>
      </w:r>
      <w:r>
        <w:rPr>
          <w:rFonts w:hint="eastAsia" w:ascii="仿宋_GB2312" w:hAnsi="仿宋_GB2312" w:eastAsia="仿宋_GB2312" w:cs="仿宋_GB2312"/>
          <w:color w:val="auto"/>
          <w:sz w:val="32"/>
          <w:szCs w:val="32"/>
          <w:lang w:eastAsia="zh-CN"/>
        </w:rPr>
        <w:t>，项目完成后可</w:t>
      </w:r>
      <w:r>
        <w:rPr>
          <w:rFonts w:hint="eastAsia" w:ascii="仿宋_GB2312" w:hAnsi="仿宋_GB2312" w:eastAsia="仿宋_GB2312" w:cs="仿宋_GB2312"/>
          <w:color w:val="auto"/>
          <w:sz w:val="32"/>
          <w:szCs w:val="32"/>
          <w:lang w:val="en-US" w:eastAsia="zh-CN"/>
        </w:rPr>
        <w:t>新增蓄水能力13.1万方，恢复和改善灌溉面积6800亩</w:t>
      </w:r>
      <w:r>
        <w:rPr>
          <w:rFonts w:hint="eastAsia" w:ascii="仿宋_GB2312" w:hAnsi="仿宋_GB2312" w:eastAsia="仿宋_GB2312" w:cs="仿宋_GB2312"/>
          <w:color w:val="auto"/>
          <w:sz w:val="32"/>
          <w:szCs w:val="32"/>
          <w:lang w:eastAsia="zh-CN"/>
        </w:rPr>
        <w:t>；完成</w:t>
      </w:r>
      <w:r>
        <w:rPr>
          <w:rFonts w:hint="eastAsia" w:ascii="仿宋_GB2312" w:hAnsi="仿宋_GB2312" w:eastAsia="仿宋_GB2312" w:cs="仿宋_GB2312"/>
          <w:color w:val="auto"/>
          <w:sz w:val="32"/>
          <w:szCs w:val="32"/>
        </w:rPr>
        <w:t>湖南省重要支流渠水会同县漩水段</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rPr>
        <w:t>高涌段治理工程续建项目</w:t>
      </w:r>
      <w:r>
        <w:rPr>
          <w:rFonts w:hint="eastAsia" w:ascii="仿宋_GB2312" w:hAnsi="仿宋_GB2312" w:eastAsia="仿宋_GB2312" w:cs="仿宋_GB2312"/>
          <w:color w:val="auto"/>
          <w:sz w:val="32"/>
          <w:szCs w:val="32"/>
          <w:lang w:eastAsia="zh-CN"/>
        </w:rPr>
        <w:t>验收，全力提升我县重点流域防洪保灌能力和提升改善河流沿线居民的生活环境。</w:t>
      </w: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b w:val="0"/>
          <w:bCs w:val="0"/>
          <w:color w:val="auto"/>
          <w:sz w:val="32"/>
          <w:szCs w:val="32"/>
          <w:lang w:eastAsia="zh-CN"/>
        </w:rPr>
        <w:t>民生水利基础不断夯实。完成</w:t>
      </w:r>
      <w:r>
        <w:rPr>
          <w:rFonts w:hint="eastAsia" w:ascii="仿宋_GB2312" w:hAnsi="仿宋_GB2312" w:eastAsia="仿宋_GB2312" w:cs="仿宋_GB2312"/>
          <w:color w:val="auto"/>
          <w:sz w:val="32"/>
          <w:szCs w:val="32"/>
          <w:lang w:eastAsia="zh-CN"/>
        </w:rPr>
        <w:t>投资</w:t>
      </w:r>
      <w:r>
        <w:rPr>
          <w:rFonts w:hint="eastAsia" w:ascii="仿宋_GB2312" w:hAnsi="仿宋_GB2312" w:eastAsia="仿宋_GB2312" w:cs="仿宋_GB2312"/>
          <w:color w:val="auto"/>
          <w:sz w:val="32"/>
          <w:szCs w:val="32"/>
          <w:lang w:val="en-US" w:eastAsia="zh-CN"/>
        </w:rPr>
        <w:t>1187万元</w:t>
      </w:r>
      <w:r>
        <w:rPr>
          <w:rFonts w:hint="eastAsia" w:ascii="仿宋_GB2312" w:hAnsi="仿宋_GB2312" w:eastAsia="仿宋_GB2312" w:cs="仿宋_GB2312"/>
          <w:color w:val="auto"/>
          <w:sz w:val="32"/>
          <w:szCs w:val="32"/>
        </w:rPr>
        <w:t>新建农村饮水安全工程67处，受益人口5万余人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实施城乡供水一体化项目</w:t>
      </w:r>
      <w:r>
        <w:rPr>
          <w:rFonts w:hint="eastAsia" w:ascii="仿宋_GB2312" w:hAnsi="仿宋_GB2312" w:eastAsia="仿宋_GB2312" w:cs="仿宋_GB2312"/>
          <w:color w:val="auto"/>
          <w:sz w:val="32"/>
          <w:szCs w:val="32"/>
          <w:lang w:eastAsia="zh-CN"/>
        </w:rPr>
        <w:t>和会同县团河镇等11处乡镇级饮用水水源地规范化建设和环境综合整治项目，进一步实现农村供水与城镇供水“同质量、同服务”，全力提升水质和保障水量，全县农村居民从“有水喝”到“喝好水”转变，农村自来水普及率</w:t>
      </w:r>
      <w:r>
        <w:rPr>
          <w:rFonts w:hint="eastAsia" w:ascii="仿宋_GB2312" w:hAnsi="仿宋_GB2312" w:eastAsia="仿宋_GB2312" w:cs="仿宋_GB2312"/>
          <w:color w:val="auto"/>
          <w:sz w:val="32"/>
          <w:szCs w:val="32"/>
          <w:lang w:val="en-US" w:eastAsia="zh-CN"/>
        </w:rPr>
        <w:t>89%，</w:t>
      </w:r>
      <w:r>
        <w:rPr>
          <w:rFonts w:hint="eastAsia" w:ascii="仿宋_GB2312" w:hAnsi="仿宋_GB2312" w:eastAsia="仿宋_GB2312" w:cs="仿宋_GB2312"/>
          <w:color w:val="auto"/>
          <w:sz w:val="32"/>
          <w:szCs w:val="32"/>
        </w:rPr>
        <w:t>安全覆盖率为100%、水费收缴率达到95%以上</w:t>
      </w:r>
      <w:r>
        <w:rPr>
          <w:rFonts w:hint="eastAsia" w:ascii="仿宋_GB2312" w:hAnsi="仿宋_GB2312" w:eastAsia="仿宋_GB2312" w:cs="仿宋_GB2312"/>
          <w:color w:val="auto"/>
          <w:sz w:val="32"/>
          <w:szCs w:val="32"/>
          <w:lang w:eastAsia="zh-CN"/>
        </w:rPr>
        <w:t>，水质保证率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。投资</w:t>
      </w:r>
      <w:r>
        <w:rPr>
          <w:rFonts w:hint="eastAsia" w:ascii="仿宋_GB2312" w:hAnsi="仿宋_GB2312" w:eastAsia="仿宋_GB2312" w:cs="仿宋_GB2312"/>
          <w:color w:val="auto"/>
          <w:sz w:val="32"/>
          <w:szCs w:val="32"/>
          <w:lang w:val="en-US" w:eastAsia="zh-CN"/>
        </w:rPr>
        <w:t>1000余</w:t>
      </w:r>
      <w:r>
        <w:rPr>
          <w:rFonts w:hint="eastAsia" w:ascii="仿宋_GB2312" w:hAnsi="仿宋_GB2312" w:eastAsia="仿宋_GB2312" w:cs="仿宋_GB2312"/>
          <w:color w:val="auto"/>
          <w:sz w:val="32"/>
          <w:szCs w:val="32"/>
        </w:rPr>
        <w:t>万元实施小型农田水利项目37</w:t>
      </w:r>
      <w:r>
        <w:rPr>
          <w:rFonts w:hint="eastAsia" w:ascii="仿宋_GB2312" w:hAnsi="仿宋_GB2312" w:eastAsia="仿宋_GB2312" w:cs="仿宋_GB2312"/>
          <w:color w:val="auto"/>
          <w:sz w:val="32"/>
          <w:szCs w:val="32"/>
          <w:lang w:eastAsia="zh-CN"/>
        </w:rPr>
        <w:t>处、</w:t>
      </w:r>
      <w:r>
        <w:rPr>
          <w:rFonts w:hint="eastAsia" w:ascii="仿宋_GB2312" w:hAnsi="仿宋_GB2312" w:eastAsia="仿宋_GB2312" w:cs="仿宋_GB2312"/>
          <w:color w:val="auto"/>
          <w:sz w:val="32"/>
          <w:szCs w:val="32"/>
        </w:rPr>
        <w:t>恢复农村小水源蓄水能力项目55</w:t>
      </w:r>
      <w:r>
        <w:rPr>
          <w:rFonts w:hint="eastAsia" w:ascii="仿宋_GB2312" w:hAnsi="仿宋_GB2312" w:eastAsia="仿宋_GB2312" w:cs="仿宋_GB2312"/>
          <w:color w:val="auto"/>
          <w:sz w:val="32"/>
          <w:szCs w:val="32"/>
          <w:lang w:eastAsia="zh-CN"/>
        </w:rPr>
        <w:t>处和山上经济作物灌溉水源保障项目，</w:t>
      </w:r>
      <w:r>
        <w:rPr>
          <w:rFonts w:hint="eastAsia" w:ascii="仿宋_GB2312" w:hAnsi="仿宋_GB2312" w:eastAsia="仿宋_GB2312" w:cs="仿宋_GB2312"/>
          <w:color w:val="auto"/>
          <w:sz w:val="32"/>
          <w:szCs w:val="32"/>
        </w:rPr>
        <w:t>新增蓄水能力16.13万</w:t>
      </w:r>
      <w:r>
        <w:rPr>
          <w:rFonts w:hint="eastAsia" w:ascii="仿宋_GB2312" w:hAnsi="仿宋_GB2312" w:eastAsia="仿宋_GB2312" w:cs="仿宋_GB2312"/>
          <w:color w:val="auto"/>
          <w:sz w:val="32"/>
          <w:szCs w:val="32"/>
          <w:lang w:eastAsia="zh-CN"/>
        </w:rPr>
        <w:t>立</w:t>
      </w:r>
      <w:r>
        <w:rPr>
          <w:rFonts w:hint="eastAsia" w:ascii="仿宋_GB2312" w:hAnsi="仿宋_GB2312" w:eastAsia="仿宋_GB2312" w:cs="仿宋_GB2312"/>
          <w:color w:val="auto"/>
          <w:sz w:val="32"/>
          <w:szCs w:val="32"/>
        </w:rPr>
        <w:t>方。</w:t>
      </w:r>
      <w:r>
        <w:rPr>
          <w:rFonts w:hint="eastAsia" w:ascii="仿宋_GB2312" w:hAnsi="仿宋_GB2312" w:eastAsia="仿宋_GB2312" w:cs="仿宋_GB2312"/>
          <w:color w:val="auto"/>
          <w:sz w:val="32"/>
          <w:szCs w:val="32"/>
          <w:lang w:val="en-US" w:eastAsia="zh-CN"/>
        </w:rPr>
        <w:t>同时，在新华网、央广网、湖南日报等中央、省级新闻平台对我县民生水利项目建设做法进行的宣传报道，提升群众满意度和认可度。</w:t>
      </w:r>
    </w:p>
    <w:p w14:paraId="189D70CD">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kern w:val="2"/>
          <w:sz w:val="32"/>
          <w:szCs w:val="32"/>
          <w:shd w:val="clear" w:color="auto" w:fill="FFFFFF"/>
          <w:lang w:val="en-US" w:eastAsia="zh-CN" w:bidi="ar-SA"/>
        </w:rPr>
        <w:t>5.水旱灾害防御扎实有效。</w:t>
      </w:r>
      <w:r>
        <w:rPr>
          <w:rFonts w:hint="eastAsia" w:ascii="仿宋_GB2312" w:hAnsi="仿宋_GB2312" w:eastAsia="仿宋_GB2312" w:cs="仿宋_GB2312"/>
          <w:color w:val="auto"/>
          <w:sz w:val="32"/>
          <w:szCs w:val="32"/>
          <w:lang w:val="en-US" w:eastAsia="zh-CN"/>
        </w:rPr>
        <w:t>水利部门立足主责主业，坚持“防”字为王，“预”字当先、“实”字托底，密切跟踪水雨情变化，同时加强与气象水文的联合会商，强化水利工程调度运用管理，牢牢把握水旱灾害防御主动权，发布各类雨水情灾害性预警信息1.5万余条，积极响应气象“6、3、1”叫应机制22次，下发各类调度令3期，科学成功应对巫水流域洪水2轮，下发应急抗旱水泵30台套。投资50万元实施了林城镇龙坡村、高椅乡高椅村水毁河道护岸修复工程。落实资金63万元用于抗旱用油用电补助，坚决做到防汛抗旱两手抓，确保全县防洪灌溉安全和城乡供水安全，取得了水旱灾害防御的阶段性胜利,为全县防汛抗旱工作总体目体的实现奠定了坚实的基础。</w:t>
      </w:r>
    </w:p>
    <w:p w14:paraId="672B0BA2">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auto"/>
          <w:kern w:val="2"/>
          <w:sz w:val="32"/>
          <w:szCs w:val="32"/>
          <w:shd w:val="clear" w:color="auto" w:fill="FFFFFF"/>
          <w:lang w:val="en-US" w:eastAsia="zh-CN" w:bidi="ar-SA"/>
        </w:rPr>
        <w:t>6.涉水监督管理有效提升。</w:t>
      </w:r>
      <w:r>
        <w:rPr>
          <w:rFonts w:hint="eastAsia" w:ascii="仿宋_GB2312" w:hAnsi="仿宋_GB2312" w:eastAsia="仿宋_GB2312" w:cs="仿宋_GB2312"/>
          <w:b/>
          <w:bCs/>
          <w:color w:val="auto"/>
          <w:sz w:val="32"/>
          <w:szCs w:val="32"/>
          <w:lang w:eastAsia="zh-CN"/>
        </w:rPr>
        <w:t>一是</w:t>
      </w:r>
      <w:r>
        <w:rPr>
          <w:rFonts w:hint="eastAsia" w:ascii="仿宋_GB2312" w:hAnsi="仿宋_GB2312" w:eastAsia="仿宋_GB2312" w:cs="仿宋_GB2312"/>
          <w:b w:val="0"/>
          <w:bCs w:val="0"/>
          <w:color w:val="auto"/>
          <w:sz w:val="32"/>
          <w:szCs w:val="32"/>
        </w:rPr>
        <w:t>不断完善取水许可，电子证照数据治理66个，办理延续取水许可47件。立案查处水事违法案件5件，罚款3万元，加强水资源费征收，到目前为止收取水资源费</w:t>
      </w:r>
      <w:r>
        <w:rPr>
          <w:rFonts w:hint="eastAsia" w:ascii="仿宋_GB2312" w:hAnsi="仿宋_GB2312" w:eastAsia="仿宋_GB2312" w:cs="仿宋_GB2312"/>
          <w:b w:val="0"/>
          <w:bCs w:val="0"/>
          <w:color w:val="auto"/>
          <w:sz w:val="32"/>
          <w:szCs w:val="32"/>
          <w:lang w:val="en-US" w:eastAsia="zh-CN"/>
        </w:rPr>
        <w:t>77.6</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b w:val="0"/>
          <w:bCs w:val="0"/>
          <w:color w:val="auto"/>
          <w:sz w:val="32"/>
          <w:szCs w:val="32"/>
          <w:lang w:eastAsia="zh-CN"/>
        </w:rPr>
        <w:t>强化水土流失治理。完成2023年水土流失治理 2.2 平方公里，同类县市区排名靠前，受理生产建设项目水土保持方案许可</w:t>
      </w:r>
      <w:r>
        <w:rPr>
          <w:rFonts w:hint="eastAsia" w:ascii="仿宋_GB2312" w:hAnsi="仿宋_GB2312" w:eastAsia="仿宋_GB2312" w:cs="仿宋_GB2312"/>
          <w:b w:val="0"/>
          <w:bCs w:val="0"/>
          <w:color w:val="auto"/>
          <w:sz w:val="32"/>
          <w:szCs w:val="32"/>
          <w:lang w:val="en-US" w:eastAsia="zh-CN"/>
        </w:rPr>
        <w:t>10件，下发催缴通知24份，完成催收水土保持补偿费35.4万元，完成3个水土保持遥感监管发现的问题整改销号</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bCs/>
          <w:color w:val="auto"/>
          <w:sz w:val="32"/>
          <w:szCs w:val="32"/>
          <w:lang w:eastAsia="zh-CN"/>
        </w:rPr>
        <w:t>三是</w:t>
      </w:r>
      <w:r>
        <w:rPr>
          <w:rFonts w:hint="eastAsia" w:ascii="仿宋_GB2312" w:hAnsi="仿宋_GB2312" w:eastAsia="仿宋_GB2312" w:cs="仿宋_GB2312"/>
          <w:color w:val="auto"/>
          <w:sz w:val="32"/>
          <w:szCs w:val="32"/>
        </w:rPr>
        <w:t>强化水资源管理。全县2023年单位地区生产总值用水量控制在1.23亿立方米以内，截止</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月底全县用水量达</w:t>
      </w:r>
      <w:r>
        <w:rPr>
          <w:rFonts w:hint="eastAsia" w:ascii="仿宋_GB2312" w:hAnsi="仿宋_GB2312" w:eastAsia="仿宋_GB2312" w:cs="仿宋_GB2312"/>
          <w:color w:val="auto"/>
          <w:sz w:val="32"/>
          <w:szCs w:val="32"/>
          <w:lang w:val="en-US" w:eastAsia="zh-CN"/>
        </w:rPr>
        <w:t>0.82</w:t>
      </w:r>
      <w:r>
        <w:rPr>
          <w:rFonts w:hint="eastAsia" w:ascii="仿宋_GB2312" w:hAnsi="仿宋_GB2312" w:eastAsia="仿宋_GB2312" w:cs="仿宋_GB2312"/>
          <w:color w:val="auto"/>
          <w:sz w:val="32"/>
          <w:szCs w:val="32"/>
        </w:rPr>
        <w:t>亿立方米。</w:t>
      </w:r>
      <w:r>
        <w:rPr>
          <w:rFonts w:hint="eastAsia" w:ascii="仿宋_GB2312" w:hAnsi="仿宋_GB2312" w:eastAsia="仿宋_GB2312" w:cs="仿宋_GB2312"/>
          <w:color w:val="auto"/>
          <w:sz w:val="32"/>
          <w:szCs w:val="32"/>
          <w:lang w:eastAsia="zh-CN"/>
        </w:rPr>
        <w:t>严格控制</w:t>
      </w:r>
      <w:r>
        <w:rPr>
          <w:rFonts w:hint="eastAsia" w:ascii="仿宋_GB2312" w:hAnsi="仿宋_GB2312" w:eastAsia="仿宋_GB2312" w:cs="仿宋_GB2312"/>
          <w:color w:val="auto"/>
          <w:sz w:val="32"/>
          <w:szCs w:val="32"/>
        </w:rPr>
        <w:t>万元工业增加值用水量降至45立方米以下；万元GDP用水量降至120立方米以下；农田灌溉水有效利用系数提高到0.529以上。</w:t>
      </w:r>
    </w:p>
    <w:p w14:paraId="413859E9">
      <w:pPr>
        <w:keepNext w:val="0"/>
        <w:keepLines w:val="0"/>
        <w:pageBreakBefore w:val="0"/>
        <w:kinsoku/>
        <w:wordWrap/>
        <w:topLinePunct w:val="0"/>
        <w:bidi w:val="0"/>
        <w:spacing w:line="520" w:lineRule="exact"/>
        <w:textAlignment w:val="auto"/>
        <w:rPr>
          <w:rFonts w:hint="eastAsia" w:ascii="黑体" w:hAnsi="黑体" w:eastAsia="黑体" w:cs="黑体"/>
          <w:sz w:val="32"/>
          <w:szCs w:val="32"/>
        </w:rPr>
      </w:pPr>
      <w:r>
        <w:rPr>
          <w:rFonts w:hint="eastAsia" w:ascii="黑体" w:hAnsi="黑体" w:eastAsia="黑体" w:cs="黑体"/>
          <w:sz w:val="32"/>
          <w:szCs w:val="32"/>
        </w:rPr>
        <w:t>七、存在的问题及原因分析</w:t>
      </w:r>
    </w:p>
    <w:p w14:paraId="2CC2972D">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无支出偏离绩效目标，预算安排的资金与实际支出存在差异</w:t>
      </w:r>
      <w:r>
        <w:rPr>
          <w:rFonts w:hint="eastAsia" w:ascii="仿宋_GB2312" w:hAnsi="仿宋_GB2312" w:eastAsia="仿宋_GB2312" w:cs="仿宋_GB2312"/>
          <w:sz w:val="32"/>
          <w:szCs w:val="32"/>
          <w:lang w:eastAsia="zh-CN"/>
        </w:rPr>
        <w:t>。</w:t>
      </w:r>
    </w:p>
    <w:p w14:paraId="6F858F3F">
      <w:pPr>
        <w:keepNext w:val="0"/>
        <w:keepLines w:val="0"/>
        <w:pageBreakBefore w:val="0"/>
        <w:numPr>
          <w:ilvl w:val="0"/>
          <w:numId w:val="4"/>
        </w:numPr>
        <w:kinsoku/>
        <w:wordWrap/>
        <w:topLinePunct w:val="0"/>
        <w:bidi w:val="0"/>
        <w:spacing w:line="520" w:lineRule="exact"/>
        <w:textAlignment w:val="auto"/>
        <w:rPr>
          <w:rFonts w:hint="eastAsia" w:ascii="黑体" w:hAnsi="黑体" w:eastAsia="黑体" w:cs="黑体"/>
          <w:sz w:val="32"/>
          <w:szCs w:val="32"/>
        </w:rPr>
      </w:pPr>
      <w:r>
        <w:rPr>
          <w:rFonts w:hint="eastAsia" w:ascii="黑体" w:hAnsi="黑体" w:eastAsia="黑体" w:cs="黑体"/>
          <w:sz w:val="32"/>
          <w:szCs w:val="32"/>
        </w:rPr>
        <w:t>下一步改进措施</w:t>
      </w:r>
    </w:p>
    <w:p w14:paraId="64A8827E">
      <w:pPr>
        <w:keepNext w:val="0"/>
        <w:keepLines w:val="0"/>
        <w:pageBreakBefore w:val="0"/>
        <w:numPr>
          <w:ilvl w:val="0"/>
          <w:numId w:val="0"/>
        </w:numPr>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预算安排要更精细、准确，安排的支出经济科目要准确，无预算不支出。</w:t>
      </w:r>
    </w:p>
    <w:p w14:paraId="70545591">
      <w:pPr>
        <w:pStyle w:val="10"/>
        <w:keepNext w:val="0"/>
        <w:keepLines w:val="0"/>
        <w:pageBreakBefore w:val="0"/>
        <w:kinsoku/>
        <w:wordWrap/>
        <w:topLinePunct w:val="0"/>
        <w:bidi w:val="0"/>
        <w:spacing w:line="520" w:lineRule="exact"/>
        <w:ind w:firstLine="640" w:firstLineChars="200"/>
        <w:textAlignment w:val="auto"/>
        <w:rPr>
          <w:rFonts w:ascii="宋体" w:hAnsi="宋体"/>
          <w:color w:val="auto"/>
          <w:sz w:val="32"/>
          <w:szCs w:val="32"/>
          <w:highlight w:val="none"/>
        </w:rPr>
      </w:pPr>
      <w:bookmarkStart w:id="0" w:name="_GoBack"/>
      <w:bookmarkEnd w:id="0"/>
    </w:p>
    <w:p w14:paraId="6531394B">
      <w:pPr>
        <w:keepNext w:val="0"/>
        <w:keepLines w:val="0"/>
        <w:pageBreakBefore w:val="0"/>
        <w:kinsoku/>
        <w:wordWrap/>
        <w:topLinePunct w:val="0"/>
        <w:bidi w:val="0"/>
        <w:spacing w:line="520" w:lineRule="exact"/>
        <w:textAlignment w:val="auto"/>
      </w:pPr>
    </w:p>
    <w:sectPr>
      <w:pgSz w:w="11906" w:h="16838"/>
      <w:pgMar w:top="2098" w:right="1361" w:bottom="1417" w:left="1701"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4112C7"/>
    <w:multiLevelType w:val="singleLevel"/>
    <w:tmpl w:val="8B4112C7"/>
    <w:lvl w:ilvl="0" w:tentative="0">
      <w:start w:val="2"/>
      <w:numFmt w:val="chineseCounting"/>
      <w:suff w:val="nothing"/>
      <w:lvlText w:val="（%1）"/>
      <w:lvlJc w:val="left"/>
      <w:pPr>
        <w:ind w:left="210"/>
      </w:pPr>
      <w:rPr>
        <w:rFonts w:hint="eastAsia"/>
      </w:rPr>
    </w:lvl>
  </w:abstractNum>
  <w:abstractNum w:abstractNumId="1">
    <w:nsid w:val="AE12BAC7"/>
    <w:multiLevelType w:val="singleLevel"/>
    <w:tmpl w:val="AE12BAC7"/>
    <w:lvl w:ilvl="0" w:tentative="0">
      <w:start w:val="2"/>
      <w:numFmt w:val="chineseCounting"/>
      <w:suff w:val="nothing"/>
      <w:lvlText w:val="（%1）"/>
      <w:lvlJc w:val="left"/>
      <w:rPr>
        <w:rFonts w:hint="eastAsia"/>
      </w:rPr>
    </w:lvl>
  </w:abstractNum>
  <w:abstractNum w:abstractNumId="2">
    <w:nsid w:val="3413E64E"/>
    <w:multiLevelType w:val="singleLevel"/>
    <w:tmpl w:val="3413E64E"/>
    <w:lvl w:ilvl="0" w:tentative="0">
      <w:start w:val="8"/>
      <w:numFmt w:val="chineseCounting"/>
      <w:suff w:val="nothing"/>
      <w:lvlText w:val="%1、"/>
      <w:lvlJc w:val="left"/>
      <w:rPr>
        <w:rFonts w:hint="eastAsia"/>
      </w:rPr>
    </w:lvl>
  </w:abstractNum>
  <w:abstractNum w:abstractNumId="3">
    <w:nsid w:val="5808CF29"/>
    <w:multiLevelType w:val="singleLevel"/>
    <w:tmpl w:val="5808CF29"/>
    <w:lvl w:ilvl="0" w:tentative="0">
      <w:start w:val="3"/>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hNzlhYzUzYzkwNTE1OTY4YzIxMWFhODQ3NmQ5NTgifQ=="/>
  </w:docVars>
  <w:rsids>
    <w:rsidRoot w:val="368754CC"/>
    <w:rsid w:val="2A596B26"/>
    <w:rsid w:val="368754CC"/>
    <w:rsid w:val="46CA0433"/>
    <w:rsid w:val="537E3DC9"/>
    <w:rsid w:val="559E1556"/>
    <w:rsid w:val="5F907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1"/>
    <w:pPr>
      <w:spacing w:before="21"/>
      <w:ind w:left="1495" w:right="895"/>
      <w:jc w:val="center"/>
      <w:outlineLvl w:val="2"/>
    </w:pPr>
    <w:rPr>
      <w:rFonts w:ascii="Arial Unicode MS" w:hAnsi="Arial Unicode MS" w:eastAsia="Arial Unicode MS" w:cs="Arial Unicode MS"/>
      <w:b/>
      <w:bCs/>
      <w:sz w:val="36"/>
      <w:szCs w:val="36"/>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rPr>
  </w:style>
  <w:style w:type="paragraph" w:styleId="5">
    <w:name w:val="Body Text Indent"/>
    <w:basedOn w:val="1"/>
    <w:qFormat/>
    <w:uiPriority w:val="0"/>
    <w:pPr>
      <w:spacing w:after="120" w:afterLines="0" w:afterAutospacing="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2"/>
    <w:basedOn w:val="5"/>
    <w:qFormat/>
    <w:uiPriority w:val="0"/>
    <w:pPr>
      <w:ind w:firstLine="420" w:firstLineChars="200"/>
    </w:pPr>
  </w:style>
  <w:style w:type="paragraph" w:customStyle="1" w:styleId="10">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5204</Words>
  <Characters>5532</Characters>
  <Lines>0</Lines>
  <Paragraphs>0</Paragraphs>
  <TotalTime>1</TotalTime>
  <ScaleCrop>false</ScaleCrop>
  <LinksUpToDate>false</LinksUpToDate>
  <CharactersWithSpaces>5534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2024-09-23T08:39:00Z</dcterms:created>
  <dc:creator>飞扬</dc:creator>
  <cp:lastModifiedBy>飞扬</cp:lastModifiedBy>
  <cp:lastPrinted>2024-10-17T00:38:00Z</cp:lastPrinted>
  <dcterms:modified xsi:type="dcterms:W3CDTF">2024-10-17T01:15:25Z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6ED6A4DE67F948F1B9FBAC00119AA128_11</vt:lpwstr>
  </property>
</Properties>
</file>