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firstLine="883" w:firstLineChars="200"/>
        <w:jc w:val="center"/>
        <w:rPr>
          <w:rFonts w:ascii="黑体" w:eastAsia="黑体"/>
          <w:b/>
          <w:sz w:val="44"/>
          <w:szCs w:val="44"/>
        </w:rPr>
      </w:pPr>
      <w:r>
        <w:rPr>
          <w:rFonts w:hint="eastAsia" w:ascii="黑体" w:eastAsia="黑体"/>
          <w:b/>
          <w:sz w:val="44"/>
          <w:szCs w:val="44"/>
        </w:rPr>
        <w:t>202</w:t>
      </w:r>
      <w:r>
        <w:rPr>
          <w:rFonts w:hint="eastAsia" w:ascii="黑体" w:eastAsia="黑体"/>
          <w:b/>
          <w:sz w:val="44"/>
          <w:szCs w:val="44"/>
          <w:lang w:val="en-US" w:eastAsia="zh-CN"/>
        </w:rPr>
        <w:t>3</w:t>
      </w:r>
      <w:r>
        <w:rPr>
          <w:rFonts w:hint="eastAsia" w:ascii="黑体" w:eastAsia="黑体"/>
          <w:b/>
          <w:sz w:val="44"/>
          <w:szCs w:val="44"/>
        </w:rPr>
        <w:t>年度会同县农业</w:t>
      </w:r>
      <w:r>
        <w:rPr>
          <w:rFonts w:hint="eastAsia" w:ascii="黑体" w:eastAsia="黑体"/>
          <w:b/>
          <w:sz w:val="44"/>
          <w:szCs w:val="44"/>
          <w:lang w:eastAsia="zh-CN"/>
        </w:rPr>
        <w:t>农村</w:t>
      </w:r>
      <w:r>
        <w:rPr>
          <w:rFonts w:hint="eastAsia" w:ascii="黑体" w:eastAsia="黑体"/>
          <w:b/>
          <w:sz w:val="44"/>
          <w:szCs w:val="44"/>
        </w:rPr>
        <w:t>局整体支出</w:t>
      </w:r>
    </w:p>
    <w:p>
      <w:pPr>
        <w:adjustRightInd w:val="0"/>
        <w:snapToGrid w:val="0"/>
        <w:spacing w:line="600" w:lineRule="exact"/>
        <w:ind w:firstLine="883" w:firstLineChars="200"/>
        <w:jc w:val="center"/>
        <w:rPr>
          <w:rFonts w:hint="eastAsia" w:ascii="黑体" w:eastAsia="黑体"/>
          <w:b/>
          <w:sz w:val="44"/>
          <w:szCs w:val="44"/>
        </w:rPr>
      </w:pPr>
      <w:r>
        <w:rPr>
          <w:rFonts w:hint="eastAsia" w:ascii="黑体" w:eastAsia="黑体"/>
          <w:b/>
          <w:sz w:val="44"/>
          <w:szCs w:val="44"/>
        </w:rPr>
        <w:t>绩效目标自评报告</w:t>
      </w:r>
    </w:p>
    <w:p>
      <w:pPr>
        <w:adjustRightInd w:val="0"/>
        <w:snapToGrid w:val="0"/>
        <w:spacing w:line="600" w:lineRule="exact"/>
        <w:ind w:firstLine="640" w:firstLineChars="200"/>
        <w:rPr>
          <w:rFonts w:hint="eastAsia" w:ascii="仿宋" w:hAnsi="仿宋" w:eastAsia="仿宋"/>
          <w:sz w:val="32"/>
          <w:szCs w:val="32"/>
        </w:rPr>
      </w:pPr>
    </w:p>
    <w:p>
      <w:pPr>
        <w:autoSpaceDN w:val="0"/>
        <w:spacing w:line="560" w:lineRule="exact"/>
        <w:ind w:firstLine="643"/>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为加强预算绩效管理，强化预算支出绩效责任，提高财政资金使用效益，根据《中共湖南省委办公厅湖南省人民政府办公厅关于全面实施预算绩效管理的实施意见》（湘办发[2019]10号）、《会同县财政局关于开展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年度本级财政资金绩效自评工作的通知》（会财绩[202</w:t>
      </w:r>
      <w:r>
        <w:rPr>
          <w:rFonts w:hint="eastAsia" w:ascii="仿宋_GB2312" w:eastAsia="仿宋_GB2312" w:cs="Times New Roman"/>
          <w:sz w:val="32"/>
          <w:szCs w:val="32"/>
          <w:lang w:val="en-US" w:eastAsia="zh-CN"/>
        </w:rPr>
        <w:t>4</w:t>
      </w:r>
      <w:r>
        <w:rPr>
          <w:rFonts w:hint="eastAsia" w:ascii="仿宋_GB2312" w:hAnsi="Times New Roman" w:eastAsia="仿宋_GB2312" w:cs="Times New Roman"/>
          <w:sz w:val="32"/>
          <w:szCs w:val="32"/>
          <w:lang w:eastAsia="zh-CN"/>
        </w:rPr>
        <w:t>］</w:t>
      </w:r>
      <w:r>
        <w:rPr>
          <w:rFonts w:hint="eastAsia" w:ascii="仿宋_GB2312" w:eastAsia="仿宋_GB2312" w:cs="Times New Roman"/>
          <w:sz w:val="32"/>
          <w:szCs w:val="32"/>
          <w:lang w:val="en-US" w:eastAsia="zh-CN"/>
        </w:rPr>
        <w:t>10</w:t>
      </w:r>
      <w:r>
        <w:rPr>
          <w:rFonts w:hint="eastAsia" w:ascii="仿宋_GB2312" w:hAnsi="Times New Roman" w:eastAsia="仿宋_GB2312" w:cs="Times New Roman"/>
          <w:sz w:val="32"/>
          <w:szCs w:val="32"/>
          <w:lang w:eastAsia="zh-CN"/>
        </w:rPr>
        <w:t>号），202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年度，会同县农业农村局坚持以执行预算为中心，以节约费用为重点，抓好单位财务管理工作，现就202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年整体、项目支出绩效自评如下：</w:t>
      </w:r>
    </w:p>
    <w:p>
      <w:pPr>
        <w:autoSpaceDN w:val="0"/>
        <w:adjustRightInd w:val="0"/>
        <w:snapToGrid w:val="0"/>
        <w:spacing w:line="600" w:lineRule="exact"/>
        <w:ind w:firstLine="643" w:firstLineChars="200"/>
        <w:rPr>
          <w:rFonts w:hint="eastAsia" w:ascii="仿宋" w:hAnsi="仿宋" w:eastAsia="仿宋"/>
          <w:b/>
          <w:bCs/>
          <w:sz w:val="32"/>
          <w:szCs w:val="32"/>
        </w:rPr>
      </w:pPr>
      <w:r>
        <w:rPr>
          <w:rFonts w:hint="eastAsia" w:ascii="仿宋" w:hAnsi="仿宋" w:eastAsia="仿宋"/>
          <w:b/>
          <w:bCs/>
          <w:sz w:val="32"/>
          <w:szCs w:val="32"/>
        </w:rPr>
        <w:t>一、主要职责、工作任务及目标</w:t>
      </w:r>
    </w:p>
    <w:p>
      <w:pPr>
        <w:widowControl/>
        <w:shd w:val="clear" w:color="auto" w:fill="FFFFFF"/>
        <w:adjustRightInd w:val="0"/>
        <w:snapToGrid w:val="0"/>
        <w:spacing w:line="600" w:lineRule="exact"/>
        <w:ind w:firstLine="640" w:firstLineChars="200"/>
        <w:rPr>
          <w:rFonts w:hint="eastAsia" w:ascii="仿宋" w:hAnsi="仿宋" w:eastAsia="仿宋" w:cs="Arial"/>
          <w:color w:val="000000"/>
          <w:kern w:val="0"/>
          <w:sz w:val="32"/>
          <w:szCs w:val="32"/>
        </w:rPr>
      </w:pPr>
      <w:r>
        <w:rPr>
          <w:rFonts w:hint="eastAsia" w:ascii="仿宋" w:hAnsi="仿宋" w:eastAsia="仿宋" w:cs="Arial"/>
          <w:color w:val="000000"/>
          <w:kern w:val="0"/>
          <w:sz w:val="32"/>
          <w:szCs w:val="32"/>
        </w:rPr>
        <w:t>负责全县农业、农村工作的协调和综合工作，组织全县农业、农村发展和改革中的问题，提出农业、农村发展和改革的政策建议，指导农村发展和改革工作；组织拟订全县统筹城乡发展规划、政策建议，组织、指导、协调统筹城乡发展有关工作；贯彻执行国家农业发展的方针政策，拟订我县农业发展的政策和规划并指导实施，推进农业依法行政；研究提出稳定和完善农村经营管理体制的建议，拟订全县农业产业化经营的发展规划和政策并组织实施；指导粮食等主要农产品生产；培育、保护和发展农产品品牌；负责农产品质量安全监测；依法组织、指导农业生产资料监督管理；负责农作物重大病虫害防治；承担农业防灾减灾责任，组织救灾物资储备和调拨，指导救灾；制定农业科研、农技的规划和有关政策并指导实施；组织农业资源区划工作，拟订耕地保护和改良政策，依法管理耕地质量；承担指导农业面源污染治理相关工作，牵头管理外来物种；组织开展农产品贸易促进工作；</w:t>
      </w:r>
      <w:r>
        <w:rPr>
          <w:rFonts w:hint="eastAsia" w:ascii="仿宋" w:hAnsi="仿宋" w:eastAsia="仿宋"/>
          <w:sz w:val="32"/>
          <w:szCs w:val="32"/>
        </w:rPr>
        <w:t>负责编制全县农业综合开发项目中长期计划、年度计划与项目组织实施；负责全县农发项目立项申报、组织评估论证和建立项目库；负责项目实施进度和质量的监督管</w:t>
      </w:r>
    </w:p>
    <w:p>
      <w:pPr>
        <w:widowControl/>
        <w:adjustRightInd w:val="0"/>
        <w:snapToGrid w:val="0"/>
        <w:spacing w:before="100" w:beforeAutospacing="1" w:after="100" w:afterAutospacing="1" w:line="600" w:lineRule="exact"/>
        <w:ind w:firstLine="643" w:firstLineChars="200"/>
        <w:jc w:val="left"/>
        <w:rPr>
          <w:rFonts w:hint="eastAsia" w:ascii="仿宋" w:hAnsi="仿宋" w:eastAsia="仿宋" w:cs="宋体"/>
          <w:b/>
          <w:bCs/>
          <w:kern w:val="0"/>
          <w:sz w:val="32"/>
          <w:szCs w:val="32"/>
        </w:rPr>
      </w:pPr>
      <w:r>
        <w:rPr>
          <w:rFonts w:hint="eastAsia" w:ascii="仿宋" w:hAnsi="仿宋" w:eastAsia="仿宋"/>
          <w:b/>
          <w:bCs/>
          <w:color w:val="333333"/>
          <w:sz w:val="32"/>
          <w:szCs w:val="32"/>
        </w:rPr>
        <w:t>二、基本情况</w:t>
      </w:r>
    </w:p>
    <w:p>
      <w:pPr>
        <w:autoSpaceDN w:val="0"/>
        <w:adjustRightInd w:val="0"/>
        <w:snapToGrid w:val="0"/>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现有行政编制人员13个、后勤编2个、全额拨款事业编制5</w:t>
      </w:r>
      <w:r>
        <w:rPr>
          <w:rFonts w:hint="eastAsia" w:ascii="仿宋" w:hAnsi="仿宋" w:eastAsia="仿宋"/>
          <w:sz w:val="32"/>
          <w:szCs w:val="32"/>
          <w:lang w:val="en-US" w:eastAsia="zh-CN"/>
        </w:rPr>
        <w:t>2</w:t>
      </w:r>
      <w:r>
        <w:rPr>
          <w:rFonts w:hint="eastAsia" w:ascii="仿宋" w:hAnsi="仿宋" w:eastAsia="仿宋"/>
          <w:sz w:val="32"/>
          <w:szCs w:val="32"/>
        </w:rPr>
        <w:t>个、差额拨编制3人，农业综合执法局13人，自收自支事业编9个，实有在职人数</w:t>
      </w:r>
      <w:r>
        <w:rPr>
          <w:rFonts w:hint="eastAsia" w:ascii="仿宋" w:hAnsi="仿宋" w:eastAsia="仿宋"/>
          <w:sz w:val="32"/>
          <w:szCs w:val="32"/>
          <w:lang w:val="en-US" w:eastAsia="zh-CN"/>
        </w:rPr>
        <w:t>77</w:t>
      </w:r>
      <w:r>
        <w:rPr>
          <w:rFonts w:hint="eastAsia" w:ascii="仿宋" w:hAnsi="仿宋" w:eastAsia="仿宋"/>
          <w:sz w:val="32"/>
          <w:szCs w:val="32"/>
        </w:rPr>
        <w:t>人（其中内退</w:t>
      </w:r>
      <w:r>
        <w:rPr>
          <w:rFonts w:hint="eastAsia" w:ascii="仿宋" w:hAnsi="仿宋" w:eastAsia="仿宋"/>
          <w:sz w:val="32"/>
          <w:szCs w:val="32"/>
          <w:lang w:val="en-US" w:eastAsia="zh-CN"/>
        </w:rPr>
        <w:t>3</w:t>
      </w:r>
      <w:r>
        <w:rPr>
          <w:rFonts w:hint="eastAsia" w:ascii="仿宋" w:hAnsi="仿宋" w:eastAsia="仿宋"/>
          <w:sz w:val="32"/>
          <w:szCs w:val="32"/>
        </w:rPr>
        <w:t>人），离、退休人员</w:t>
      </w:r>
      <w:r>
        <w:rPr>
          <w:rFonts w:hint="eastAsia" w:ascii="仿宋" w:hAnsi="仿宋" w:eastAsia="仿宋"/>
          <w:sz w:val="32"/>
          <w:szCs w:val="32"/>
          <w:lang w:val="en-US" w:eastAsia="zh-CN"/>
        </w:rPr>
        <w:t>103</w:t>
      </w:r>
      <w:r>
        <w:rPr>
          <w:rFonts w:hint="eastAsia" w:ascii="仿宋" w:hAnsi="仿宋" w:eastAsia="仿宋"/>
          <w:sz w:val="32"/>
          <w:szCs w:val="32"/>
        </w:rPr>
        <w:t>人。有车4辆台</w:t>
      </w:r>
      <w:r>
        <w:rPr>
          <w:rFonts w:hint="eastAsia" w:ascii="仿宋" w:hAnsi="仿宋" w:eastAsia="仿宋"/>
          <w:sz w:val="32"/>
          <w:szCs w:val="32"/>
          <w:lang w:eastAsia="zh-CN"/>
        </w:rPr>
        <w:t>，实有在职人数与编制数相符。</w:t>
      </w:r>
    </w:p>
    <w:p>
      <w:pPr>
        <w:adjustRightInd w:val="0"/>
        <w:snapToGrid w:val="0"/>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三、年初预算安排情况</w:t>
      </w:r>
    </w:p>
    <w:p>
      <w:pPr>
        <w:adjustRightInd w:val="0"/>
        <w:snapToGrid w:val="0"/>
        <w:spacing w:line="600" w:lineRule="exact"/>
        <w:ind w:firstLine="960" w:firstLineChars="300"/>
        <w:rPr>
          <w:rFonts w:hint="eastAsia" w:ascii="仿宋" w:hAnsi="仿宋" w:eastAsia="仿宋"/>
          <w:sz w:val="32"/>
          <w:szCs w:val="32"/>
        </w:rPr>
      </w:pPr>
      <w:r>
        <w:rPr>
          <w:rFonts w:hint="eastAsia" w:ascii="仿宋" w:hAnsi="仿宋" w:eastAsia="仿宋"/>
          <w:sz w:val="32"/>
          <w:szCs w:val="32"/>
        </w:rPr>
        <w:t>县本级安排年初预算收入</w:t>
      </w:r>
      <w:r>
        <w:rPr>
          <w:rFonts w:hint="eastAsia" w:ascii="仿宋" w:hAnsi="仿宋" w:eastAsia="仿宋"/>
          <w:sz w:val="32"/>
          <w:szCs w:val="32"/>
          <w:lang w:val="en-US" w:eastAsia="zh-CN"/>
        </w:rPr>
        <w:t>1254</w:t>
      </w:r>
      <w:r>
        <w:rPr>
          <w:rFonts w:hint="eastAsia" w:ascii="仿宋" w:hAnsi="仿宋" w:eastAsia="仿宋"/>
          <w:sz w:val="32"/>
          <w:szCs w:val="32"/>
        </w:rPr>
        <w:t>万元。其中：工资福利性支出为</w:t>
      </w:r>
      <w:r>
        <w:rPr>
          <w:rFonts w:hint="eastAsia" w:ascii="仿宋" w:hAnsi="仿宋" w:eastAsia="仿宋"/>
          <w:sz w:val="32"/>
          <w:szCs w:val="32"/>
          <w:lang w:val="en-US" w:eastAsia="zh-CN"/>
        </w:rPr>
        <w:t>986.34</w:t>
      </w:r>
      <w:r>
        <w:rPr>
          <w:rFonts w:hint="eastAsia" w:ascii="仿宋" w:hAnsi="仿宋" w:eastAsia="仿宋"/>
          <w:sz w:val="32"/>
          <w:szCs w:val="32"/>
        </w:rPr>
        <w:t>万元</w:t>
      </w:r>
      <w:r>
        <w:rPr>
          <w:rFonts w:hint="eastAsia" w:ascii="仿宋" w:hAnsi="仿宋" w:eastAsia="仿宋"/>
          <w:sz w:val="32"/>
          <w:szCs w:val="32"/>
          <w:lang w:eastAsia="zh-CN"/>
        </w:rPr>
        <w:t>；项目支出</w:t>
      </w:r>
      <w:r>
        <w:rPr>
          <w:rFonts w:hint="eastAsia" w:ascii="仿宋" w:hAnsi="仿宋" w:eastAsia="仿宋"/>
          <w:sz w:val="32"/>
          <w:szCs w:val="32"/>
          <w:lang w:val="en-US" w:eastAsia="zh-CN"/>
        </w:rPr>
        <w:t>87.8万元，主要是围绕农业农村工作进行安排（</w:t>
      </w:r>
      <w:r>
        <w:rPr>
          <w:rFonts w:hint="eastAsia" w:ascii="仿宋" w:hAnsi="仿宋" w:eastAsia="仿宋"/>
          <w:sz w:val="32"/>
          <w:szCs w:val="32"/>
        </w:rPr>
        <w:t>其中：1、农作物病虫害防治项目</w:t>
      </w:r>
      <w:r>
        <w:rPr>
          <w:rFonts w:hint="eastAsia" w:ascii="仿宋" w:hAnsi="仿宋" w:eastAsia="仿宋"/>
          <w:sz w:val="32"/>
          <w:szCs w:val="32"/>
          <w:lang w:val="en-US" w:eastAsia="zh-CN"/>
        </w:rPr>
        <w:t>10.2</w:t>
      </w:r>
      <w:r>
        <w:rPr>
          <w:rFonts w:hint="eastAsia" w:ascii="仿宋" w:hAnsi="仿宋" w:eastAsia="仿宋"/>
          <w:sz w:val="32"/>
          <w:szCs w:val="32"/>
        </w:rPr>
        <w:t>万元，2、农产品质量安全检测与执法项目</w:t>
      </w:r>
      <w:r>
        <w:rPr>
          <w:rFonts w:hint="eastAsia" w:ascii="仿宋" w:hAnsi="仿宋" w:eastAsia="仿宋"/>
          <w:sz w:val="32"/>
          <w:szCs w:val="32"/>
          <w:lang w:val="en-US" w:eastAsia="zh-CN"/>
        </w:rPr>
        <w:t>12.8</w:t>
      </w:r>
      <w:r>
        <w:rPr>
          <w:rFonts w:hint="eastAsia" w:ascii="仿宋" w:hAnsi="仿宋" w:eastAsia="仿宋"/>
          <w:sz w:val="32"/>
          <w:szCs w:val="32"/>
        </w:rPr>
        <w:t>万元，3、农机购置补贴管理费用</w:t>
      </w:r>
      <w:r>
        <w:rPr>
          <w:rFonts w:hint="eastAsia" w:ascii="仿宋" w:hAnsi="仿宋" w:eastAsia="仿宋"/>
          <w:sz w:val="32"/>
          <w:szCs w:val="32"/>
          <w:lang w:val="en-US" w:eastAsia="zh-CN"/>
        </w:rPr>
        <w:t>5</w:t>
      </w:r>
      <w:r>
        <w:rPr>
          <w:rFonts w:hint="eastAsia" w:ascii="仿宋" w:hAnsi="仿宋" w:eastAsia="仿宋"/>
          <w:sz w:val="32"/>
          <w:szCs w:val="32"/>
        </w:rPr>
        <w:t>万元，4、标准建设管理</w:t>
      </w:r>
      <w:r>
        <w:rPr>
          <w:rFonts w:hint="eastAsia" w:ascii="仿宋" w:hAnsi="仿宋" w:eastAsia="仿宋"/>
          <w:sz w:val="32"/>
          <w:szCs w:val="32"/>
          <w:lang w:val="en-US" w:eastAsia="zh-CN"/>
        </w:rPr>
        <w:t>12.8</w:t>
      </w:r>
      <w:r>
        <w:rPr>
          <w:rFonts w:hint="eastAsia" w:ascii="仿宋" w:hAnsi="仿宋" w:eastAsia="仿宋"/>
          <w:sz w:val="32"/>
          <w:szCs w:val="32"/>
        </w:rPr>
        <w:t>万元；</w:t>
      </w:r>
      <w:r>
        <w:rPr>
          <w:rFonts w:hint="eastAsia" w:ascii="仿宋" w:hAnsi="仿宋" w:eastAsia="仿宋"/>
          <w:sz w:val="32"/>
          <w:szCs w:val="32"/>
          <w:lang w:val="en-US" w:eastAsia="zh-CN"/>
        </w:rPr>
        <w:t>5、农综合执法经费18.6万元；6</w:t>
      </w:r>
      <w:r>
        <w:rPr>
          <w:rFonts w:hint="eastAsia" w:ascii="仿宋" w:hAnsi="仿宋" w:eastAsia="仿宋"/>
          <w:sz w:val="32"/>
          <w:szCs w:val="32"/>
        </w:rPr>
        <w:t>、经常性补助16万元（农机2人差额人员工资）；</w:t>
      </w:r>
      <w:r>
        <w:rPr>
          <w:rFonts w:hint="eastAsia" w:ascii="仿宋" w:hAnsi="仿宋" w:eastAsia="仿宋"/>
          <w:sz w:val="32"/>
          <w:szCs w:val="32"/>
          <w:lang w:val="en-US" w:eastAsia="zh-CN"/>
        </w:rPr>
        <w:t>7</w:t>
      </w:r>
      <w:r>
        <w:rPr>
          <w:rFonts w:hint="eastAsia" w:ascii="仿宋" w:hAnsi="仿宋" w:eastAsia="仿宋"/>
          <w:sz w:val="32"/>
          <w:szCs w:val="32"/>
        </w:rPr>
        <w:t>、原种场、园艺场16万元（两场日常运行工作经费）</w:t>
      </w:r>
      <w:r>
        <w:rPr>
          <w:rFonts w:hint="eastAsia" w:ascii="仿宋" w:hAnsi="仿宋" w:eastAsia="仿宋"/>
          <w:sz w:val="32"/>
          <w:szCs w:val="32"/>
          <w:lang w:eastAsia="zh-CN"/>
        </w:rPr>
        <w:t>；</w:t>
      </w:r>
      <w:r>
        <w:rPr>
          <w:rFonts w:hint="eastAsia" w:ascii="仿宋" w:hAnsi="仿宋" w:eastAsia="仿宋"/>
          <w:sz w:val="32"/>
          <w:szCs w:val="32"/>
        </w:rPr>
        <w:t>商品服务支出</w:t>
      </w:r>
      <w:r>
        <w:rPr>
          <w:rFonts w:hint="eastAsia" w:ascii="仿宋" w:hAnsi="仿宋" w:eastAsia="仿宋"/>
          <w:sz w:val="32"/>
          <w:szCs w:val="32"/>
          <w:lang w:val="en-US" w:eastAsia="zh-CN"/>
        </w:rPr>
        <w:t>98.3</w:t>
      </w:r>
      <w:r>
        <w:rPr>
          <w:rFonts w:hint="eastAsia" w:ascii="仿宋" w:hAnsi="仿宋" w:eastAsia="仿宋"/>
          <w:sz w:val="32"/>
          <w:szCs w:val="32"/>
        </w:rPr>
        <w:t>万元）；</w:t>
      </w:r>
      <w:r>
        <w:rPr>
          <w:rFonts w:hint="eastAsia" w:ascii="仿宋" w:hAnsi="仿宋" w:eastAsia="仿宋"/>
          <w:sz w:val="32"/>
          <w:szCs w:val="32"/>
          <w:lang w:eastAsia="zh-CN"/>
        </w:rPr>
        <w:t>公用经费</w:t>
      </w:r>
      <w:r>
        <w:rPr>
          <w:rFonts w:hint="eastAsia" w:ascii="仿宋" w:hAnsi="仿宋" w:eastAsia="仿宋"/>
          <w:sz w:val="32"/>
          <w:szCs w:val="32"/>
          <w:lang w:val="en-US" w:eastAsia="zh-CN"/>
        </w:rPr>
        <w:t>98.3万元（其中“三公”经费预算中的公务接待费为11.7万元、公务用车购置及运地维护费为11.5万元）；</w:t>
      </w:r>
      <w:r>
        <w:rPr>
          <w:rFonts w:hint="eastAsia" w:ascii="仿宋" w:hAnsi="仿宋" w:eastAsia="仿宋"/>
          <w:sz w:val="32"/>
          <w:szCs w:val="32"/>
        </w:rPr>
        <w:t>基本能够保障我局履行主要工作职责。</w:t>
      </w:r>
    </w:p>
    <w:p>
      <w:pPr>
        <w:adjustRightInd w:val="0"/>
        <w:snapToGrid w:val="0"/>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四、本年预算执行情况</w:t>
      </w:r>
    </w:p>
    <w:p>
      <w:pPr>
        <w:adjustRightInd w:val="0"/>
        <w:snapToGrid w:val="0"/>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实际执行情况：</w:t>
      </w:r>
    </w:p>
    <w:p>
      <w:pPr>
        <w:adjustRightInd w:val="0"/>
        <w:snapToGrid w:val="0"/>
        <w:spacing w:line="600" w:lineRule="exact"/>
        <w:ind w:firstLine="643" w:firstLineChars="200"/>
        <w:rPr>
          <w:rFonts w:hint="eastAsia" w:ascii="仿宋" w:hAnsi="仿宋" w:eastAsia="仿宋"/>
          <w:bCs/>
          <w:color w:val="000000" w:themeColor="text1"/>
          <w:sz w:val="32"/>
          <w:szCs w:val="32"/>
          <w14:textFill>
            <w14:solidFill>
              <w14:schemeClr w14:val="tx1"/>
            </w14:solidFill>
          </w14:textFill>
        </w:rPr>
      </w:pPr>
      <w:r>
        <w:rPr>
          <w:rFonts w:hint="eastAsia" w:ascii="仿宋" w:hAnsi="仿宋" w:eastAsia="仿宋"/>
          <w:b/>
          <w:sz w:val="32"/>
          <w:szCs w:val="32"/>
        </w:rPr>
        <w:t>收入方面：</w:t>
      </w:r>
      <w:r>
        <w:rPr>
          <w:rFonts w:hint="eastAsia" w:ascii="仿宋" w:hAnsi="仿宋" w:eastAsia="仿宋"/>
          <w:bCs/>
          <w:sz w:val="32"/>
          <w:szCs w:val="32"/>
          <w:lang w:eastAsia="zh-CN"/>
        </w:rPr>
        <w:t>在</w:t>
      </w:r>
      <w:r>
        <w:rPr>
          <w:rFonts w:hint="eastAsia" w:ascii="仿宋" w:hAnsi="仿宋" w:eastAsia="仿宋"/>
          <w:bCs/>
          <w:sz w:val="32"/>
          <w:szCs w:val="32"/>
        </w:rPr>
        <w:t>实际</w:t>
      </w:r>
      <w:r>
        <w:rPr>
          <w:rFonts w:hint="eastAsia" w:ascii="仿宋" w:hAnsi="仿宋" w:eastAsia="仿宋"/>
          <w:bCs/>
          <w:sz w:val="32"/>
          <w:szCs w:val="32"/>
          <w:lang w:eastAsia="zh-CN"/>
        </w:rPr>
        <w:t>执行中，我局全年</w:t>
      </w:r>
      <w:r>
        <w:rPr>
          <w:rFonts w:hint="eastAsia" w:ascii="仿宋" w:hAnsi="仿宋" w:eastAsia="仿宋"/>
          <w:bCs/>
          <w:sz w:val="32"/>
          <w:szCs w:val="32"/>
        </w:rPr>
        <w:t>收入</w:t>
      </w:r>
      <w:r>
        <w:rPr>
          <w:rFonts w:hint="eastAsia" w:ascii="仿宋" w:hAnsi="仿宋" w:eastAsia="仿宋"/>
          <w:bCs/>
          <w:sz w:val="32"/>
          <w:szCs w:val="32"/>
          <w:lang w:val="en-US" w:eastAsia="zh-CN"/>
        </w:rPr>
        <w:t>12415.9</w:t>
      </w:r>
      <w:r>
        <w:rPr>
          <w:rFonts w:hint="eastAsia" w:ascii="仿宋" w:hAnsi="仿宋" w:eastAsia="仿宋"/>
          <w:bCs/>
          <w:sz w:val="32"/>
          <w:szCs w:val="32"/>
        </w:rPr>
        <w:t>万元</w:t>
      </w:r>
      <w:r>
        <w:rPr>
          <w:rFonts w:hint="eastAsia" w:ascii="仿宋" w:hAnsi="仿宋" w:eastAsia="仿宋"/>
          <w:bCs/>
          <w:sz w:val="32"/>
          <w:szCs w:val="32"/>
          <w:lang w:eastAsia="zh-CN"/>
        </w:rPr>
        <w:t>，其中</w:t>
      </w:r>
      <w:r>
        <w:rPr>
          <w:rFonts w:hint="eastAsia" w:ascii="仿宋" w:hAnsi="仿宋" w:eastAsia="仿宋"/>
          <w:bCs/>
          <w:color w:val="000000" w:themeColor="text1"/>
          <w:sz w:val="32"/>
          <w:szCs w:val="32"/>
          <w14:textFill>
            <w14:solidFill>
              <w14:schemeClr w14:val="tx1"/>
            </w14:solidFill>
          </w14:textFill>
        </w:rPr>
        <w:t>上级补助收入</w:t>
      </w:r>
      <w:r>
        <w:rPr>
          <w:rFonts w:hint="eastAsia" w:ascii="仿宋" w:hAnsi="仿宋" w:eastAsia="仿宋"/>
          <w:bCs/>
          <w:color w:val="000000" w:themeColor="text1"/>
          <w:sz w:val="32"/>
          <w:szCs w:val="32"/>
          <w:lang w:val="en-US" w:eastAsia="zh-CN"/>
          <w14:textFill>
            <w14:solidFill>
              <w14:schemeClr w14:val="tx1"/>
            </w14:solidFill>
          </w14:textFill>
        </w:rPr>
        <w:t>7078.3</w:t>
      </w:r>
      <w:r>
        <w:rPr>
          <w:rFonts w:hint="eastAsia" w:ascii="仿宋" w:hAnsi="仿宋" w:eastAsia="仿宋"/>
          <w:bCs/>
          <w:color w:val="000000" w:themeColor="text1"/>
          <w:sz w:val="32"/>
          <w:szCs w:val="32"/>
          <w14:textFill>
            <w14:solidFill>
              <w14:schemeClr w14:val="tx1"/>
            </w14:solidFill>
          </w14:textFill>
        </w:rPr>
        <w:t>万元</w:t>
      </w:r>
      <w:r>
        <w:rPr>
          <w:rFonts w:hint="eastAsia" w:ascii="仿宋" w:hAnsi="仿宋" w:eastAsia="仿宋"/>
          <w:bCs/>
          <w:color w:val="000000" w:themeColor="text1"/>
          <w:sz w:val="32"/>
          <w:szCs w:val="32"/>
          <w:lang w:eastAsia="zh-CN"/>
          <w14:textFill>
            <w14:solidFill>
              <w14:schemeClr w14:val="tx1"/>
            </w14:solidFill>
          </w14:textFill>
        </w:rPr>
        <w:t>（年初因属上级专项补助，不能确定数据，未入年初预算）；</w:t>
      </w:r>
      <w:r>
        <w:rPr>
          <w:rFonts w:hint="eastAsia" w:ascii="仿宋" w:hAnsi="仿宋" w:eastAsia="仿宋"/>
          <w:bCs/>
          <w:sz w:val="32"/>
          <w:szCs w:val="32"/>
        </w:rPr>
        <w:t>本级财政拨款收入</w:t>
      </w:r>
      <w:r>
        <w:rPr>
          <w:rFonts w:hint="eastAsia" w:ascii="仿宋" w:hAnsi="仿宋" w:eastAsia="仿宋"/>
          <w:bCs/>
          <w:sz w:val="32"/>
          <w:szCs w:val="32"/>
          <w:lang w:val="en-US" w:eastAsia="zh-CN"/>
        </w:rPr>
        <w:t>5337.6</w:t>
      </w:r>
      <w:r>
        <w:rPr>
          <w:rFonts w:hint="eastAsia" w:ascii="仿宋" w:hAnsi="仿宋" w:eastAsia="仿宋"/>
          <w:bCs/>
          <w:color w:val="000000" w:themeColor="text1"/>
          <w:sz w:val="32"/>
          <w:szCs w:val="32"/>
          <w14:textFill>
            <w14:solidFill>
              <w14:schemeClr w14:val="tx1"/>
            </w14:solidFill>
          </w14:textFill>
        </w:rPr>
        <w:t>万元，</w:t>
      </w:r>
      <w:r>
        <w:rPr>
          <w:rFonts w:hint="eastAsia" w:ascii="仿宋" w:hAnsi="仿宋" w:eastAsia="仿宋"/>
          <w:bCs/>
          <w:color w:val="000000" w:themeColor="text1"/>
          <w:sz w:val="32"/>
          <w:szCs w:val="32"/>
          <w:lang w:eastAsia="zh-CN"/>
          <w14:textFill>
            <w14:solidFill>
              <w14:schemeClr w14:val="tx1"/>
            </w14:solidFill>
          </w14:textFill>
        </w:rPr>
        <w:t>比年初预算追加</w:t>
      </w:r>
      <w:r>
        <w:rPr>
          <w:rFonts w:hint="eastAsia" w:ascii="仿宋" w:hAnsi="仿宋" w:eastAsia="仿宋"/>
          <w:bCs/>
          <w:color w:val="000000" w:themeColor="text1"/>
          <w:sz w:val="32"/>
          <w:szCs w:val="32"/>
          <w:lang w:val="en-US" w:eastAsia="zh-CN"/>
          <w14:textFill>
            <w14:solidFill>
              <w14:schemeClr w14:val="tx1"/>
            </w14:solidFill>
          </w14:textFill>
        </w:rPr>
        <w:t>4083.4万元，主要原因为：一是产业融合示范区建设项目支出3500万元， 二是 死亡抚恤金增加21.4万元， 三是其他巩固脱贫乡村振兴支出370.8万元，四是 派驻村帮扶队员生活补助20.2万元，五是工资调增，年终绩效奖发放以及相对社保保障缴费及年中调整增107.4万元，六是屠宰场搬迁项目建设项目支出48.8万元，七是</w:t>
      </w:r>
      <w:r>
        <w:rPr>
          <w:rFonts w:hint="eastAsia" w:ascii="仿宋" w:hAnsi="仿宋" w:eastAsia="仿宋"/>
          <w:bCs/>
          <w:color w:val="000000" w:themeColor="text1"/>
          <w:sz w:val="32"/>
          <w:szCs w:val="32"/>
          <w14:textFill>
            <w14:solidFill>
              <w14:schemeClr w14:val="tx1"/>
            </w14:solidFill>
          </w14:textFill>
        </w:rPr>
        <w:t>其他收入</w:t>
      </w:r>
      <w:r>
        <w:rPr>
          <w:rFonts w:hint="eastAsia" w:ascii="仿宋" w:hAnsi="仿宋" w:eastAsia="仿宋"/>
          <w:bCs/>
          <w:color w:val="000000" w:themeColor="text1"/>
          <w:sz w:val="32"/>
          <w:szCs w:val="32"/>
          <w:lang w:val="en-US" w:eastAsia="zh-CN"/>
          <w14:textFill>
            <w14:solidFill>
              <w14:schemeClr w14:val="tx1"/>
            </w14:solidFill>
          </w14:textFill>
        </w:rPr>
        <w:t>14.8</w:t>
      </w:r>
      <w:r>
        <w:rPr>
          <w:rFonts w:hint="eastAsia" w:ascii="仿宋" w:hAnsi="仿宋" w:eastAsia="仿宋"/>
          <w:bCs/>
          <w:color w:val="000000" w:themeColor="text1"/>
          <w:sz w:val="32"/>
          <w:szCs w:val="32"/>
          <w14:textFill>
            <w14:solidFill>
              <w14:schemeClr w14:val="tx1"/>
            </w14:solidFill>
          </w14:textFill>
        </w:rPr>
        <w:t>万元</w:t>
      </w:r>
      <w:r>
        <w:rPr>
          <w:rFonts w:hint="eastAsia" w:ascii="仿宋" w:hAnsi="仿宋" w:eastAsia="仿宋"/>
          <w:bCs/>
          <w:color w:val="000000" w:themeColor="text1"/>
          <w:sz w:val="32"/>
          <w:szCs w:val="32"/>
          <w:lang w:eastAsia="zh-CN"/>
          <w14:textFill>
            <w14:solidFill>
              <w14:schemeClr w14:val="tx1"/>
            </w14:solidFill>
          </w14:textFill>
        </w:rPr>
        <w:t>。</w:t>
      </w:r>
    </w:p>
    <w:p>
      <w:pPr>
        <w:adjustRightInd w:val="0"/>
        <w:snapToGrid w:val="0"/>
        <w:spacing w:line="600" w:lineRule="exact"/>
        <w:ind w:firstLine="643" w:firstLineChars="2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lang w:eastAsia="zh-CN"/>
          <w14:textFill>
            <w14:solidFill>
              <w14:schemeClr w14:val="tx1"/>
            </w14:solidFill>
          </w14:textFill>
        </w:rPr>
        <w:t>支出方面：</w:t>
      </w:r>
      <w:r>
        <w:rPr>
          <w:rFonts w:hint="eastAsia" w:ascii="仿宋" w:hAnsi="仿宋" w:eastAsia="仿宋"/>
          <w:b w:val="0"/>
          <w:bCs w:val="0"/>
          <w:color w:val="000000" w:themeColor="text1"/>
          <w:sz w:val="32"/>
          <w:szCs w:val="32"/>
          <w:lang w:eastAsia="zh-CN"/>
          <w14:textFill>
            <w14:solidFill>
              <w14:schemeClr w14:val="tx1"/>
            </w14:solidFill>
          </w14:textFill>
        </w:rPr>
        <w:t>全年实际支出为</w:t>
      </w:r>
      <w:r>
        <w:rPr>
          <w:rFonts w:hint="eastAsia" w:ascii="仿宋" w:hAnsi="仿宋" w:eastAsia="仿宋"/>
          <w:b w:val="0"/>
          <w:bCs w:val="0"/>
          <w:color w:val="000000" w:themeColor="text1"/>
          <w:sz w:val="32"/>
          <w:szCs w:val="32"/>
          <w:lang w:val="en-US" w:eastAsia="zh-CN"/>
          <w14:textFill>
            <w14:solidFill>
              <w14:schemeClr w14:val="tx1"/>
            </w14:solidFill>
          </w14:textFill>
        </w:rPr>
        <w:t>12415.9 万元。</w:t>
      </w:r>
    </w:p>
    <w:p>
      <w:pPr>
        <w:numPr>
          <w:ilvl w:val="0"/>
          <w:numId w:val="1"/>
        </w:numPr>
        <w:adjustRightInd w:val="0"/>
        <w:snapToGrid w:val="0"/>
        <w:spacing w:line="600" w:lineRule="exact"/>
        <w:ind w:firstLine="640" w:firstLineChars="2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val="0"/>
          <w:bCs w:val="0"/>
          <w:color w:val="000000" w:themeColor="text1"/>
          <w:sz w:val="32"/>
          <w:szCs w:val="32"/>
          <w:lang w:val="en-US" w:eastAsia="zh-CN"/>
          <w14:textFill>
            <w14:solidFill>
              <w14:schemeClr w14:val="tx1"/>
            </w14:solidFill>
          </w14:textFill>
        </w:rPr>
        <w:t>基本支出1332.8万元，</w:t>
      </w:r>
    </w:p>
    <w:p>
      <w:pPr>
        <w:numPr>
          <w:ilvl w:val="0"/>
          <w:numId w:val="2"/>
        </w:numPr>
        <w:adjustRightInd w:val="0"/>
        <w:snapToGrid w:val="0"/>
        <w:spacing w:line="600" w:lineRule="exact"/>
        <w:ind w:firstLine="960" w:firstLineChars="3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val="0"/>
          <w:bCs w:val="0"/>
          <w:color w:val="000000" w:themeColor="text1"/>
          <w:sz w:val="32"/>
          <w:szCs w:val="32"/>
          <w:lang w:val="en-US" w:eastAsia="zh-CN"/>
          <w14:textFill>
            <w14:solidFill>
              <w14:schemeClr w14:val="tx1"/>
            </w14:solidFill>
          </w14:textFill>
        </w:rPr>
        <w:t>工资福利支出1022.9万元，占基本支出77%（其中：基本工资376.3万元、津贴补贴250.6万元、奖金190万元、伙食补助费19.1万元、养老保险缴费118.6万元、基本医疗保险及其他50.1万元、住房公积金14.万元、其工资福利2.5万元、其他社会保障缴费1.7万元。</w:t>
      </w:r>
    </w:p>
    <w:p>
      <w:pPr>
        <w:numPr>
          <w:ilvl w:val="0"/>
          <w:numId w:val="2"/>
        </w:numPr>
        <w:adjustRightInd w:val="0"/>
        <w:snapToGrid w:val="0"/>
        <w:spacing w:line="600" w:lineRule="exact"/>
        <w:ind w:firstLine="960" w:firstLineChars="3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val="0"/>
          <w:bCs w:val="0"/>
          <w:color w:val="000000" w:themeColor="text1"/>
          <w:sz w:val="32"/>
          <w:szCs w:val="32"/>
          <w:lang w:val="en-US" w:eastAsia="zh-CN"/>
          <w14:textFill>
            <w14:solidFill>
              <w14:schemeClr w14:val="tx1"/>
            </w14:solidFill>
          </w14:textFill>
        </w:rPr>
        <w:t>商品和服务支出155.8万元，占基本支出12%（其中：办公费2.9万元、印刷费9.1万元、水电费1.5万元、邮电费0万元、差旅费0.2万元、会议费0万元、培训费0万元、公务接待费5.7万元、劳务费89.3万元、委托业务费7.5万元、工会经费30万元、公务用车运行维护费1万元、其他交通费0.3万元、其他商品和服务支出6.7万元）。</w:t>
      </w:r>
    </w:p>
    <w:p>
      <w:pPr>
        <w:numPr>
          <w:ilvl w:val="0"/>
          <w:numId w:val="2"/>
        </w:numPr>
        <w:adjustRightInd w:val="0"/>
        <w:snapToGrid w:val="0"/>
        <w:spacing w:line="600" w:lineRule="exact"/>
        <w:ind w:firstLine="960" w:firstLineChars="3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val="0"/>
          <w:bCs w:val="0"/>
          <w:color w:val="000000" w:themeColor="text1"/>
          <w:sz w:val="32"/>
          <w:szCs w:val="32"/>
          <w:lang w:val="en-US" w:eastAsia="zh-CN"/>
          <w14:textFill>
            <w14:solidFill>
              <w14:schemeClr w14:val="tx1"/>
            </w14:solidFill>
          </w14:textFill>
        </w:rPr>
        <w:t>对个人和家庭的补助支出154.1万元，占其本支出的11%，（抚恤金21.4万元、生活补助18万元、个人农业生产补贴110万元、代缴社会保险费0.1万元、其他对个人和家庭的补助4.6万元）。</w:t>
      </w:r>
    </w:p>
    <w:p>
      <w:pPr>
        <w:numPr>
          <w:ilvl w:val="0"/>
          <w:numId w:val="1"/>
        </w:numPr>
        <w:adjustRightInd w:val="0"/>
        <w:snapToGrid w:val="0"/>
        <w:spacing w:line="600" w:lineRule="exact"/>
        <w:ind w:firstLine="640" w:firstLineChars="200"/>
        <w:rPr>
          <w:rFonts w:hint="eastAsia" w:ascii="仿宋" w:hAnsi="仿宋" w:eastAsia="仿宋"/>
          <w:b w:val="0"/>
          <w:bCs w:val="0"/>
          <w:color w:val="000000" w:themeColor="text1"/>
          <w:sz w:val="32"/>
          <w:szCs w:val="32"/>
          <w:lang w:val="en-US" w:eastAsia="zh-CN"/>
          <w14:textFill>
            <w14:solidFill>
              <w14:schemeClr w14:val="tx1"/>
            </w14:solidFill>
          </w14:textFill>
        </w:rPr>
      </w:pPr>
      <w:r>
        <w:rPr>
          <w:rFonts w:hint="eastAsia" w:ascii="仿宋" w:hAnsi="仿宋" w:eastAsia="仿宋"/>
          <w:b w:val="0"/>
          <w:bCs w:val="0"/>
          <w:color w:val="000000" w:themeColor="text1"/>
          <w:sz w:val="32"/>
          <w:szCs w:val="32"/>
          <w:lang w:val="en-US" w:eastAsia="zh-CN"/>
          <w14:textFill>
            <w14:solidFill>
              <w14:schemeClr w14:val="tx1"/>
            </w14:solidFill>
          </w14:textFill>
        </w:rPr>
        <w:t>项目支出11083.1万元 ，财政均按实际支出进度予以拨付，主要项目为：</w:t>
      </w:r>
    </w:p>
    <w:p>
      <w:pPr>
        <w:pStyle w:val="2"/>
        <w:numPr>
          <w:ilvl w:val="0"/>
          <w:numId w:val="0"/>
        </w:numPr>
        <w:spacing w:after="0"/>
        <w:ind w:leftChars="0" w:firstLine="600" w:firstLineChars="200"/>
        <w:rPr>
          <w:rFonts w:hint="eastAsia"/>
          <w:b w:val="0"/>
          <w:bCs w:val="0"/>
          <w:sz w:val="30"/>
          <w:szCs w:val="30"/>
          <w:lang w:val="en-US" w:eastAsia="zh-CN"/>
        </w:rPr>
      </w:pPr>
      <w:r>
        <w:rPr>
          <w:rFonts w:hint="eastAsia"/>
          <w:b w:val="0"/>
          <w:bCs w:val="0"/>
          <w:sz w:val="30"/>
          <w:szCs w:val="30"/>
          <w:lang w:val="en-US" w:eastAsia="zh-CN"/>
        </w:rPr>
        <w:t>1、2119999省级及以上专项资金支出（稻谷目标价格补贴）683万元。</w:t>
      </w:r>
    </w:p>
    <w:p>
      <w:pPr>
        <w:pStyle w:val="2"/>
        <w:numPr>
          <w:ilvl w:val="0"/>
          <w:numId w:val="0"/>
        </w:numPr>
        <w:ind w:firstLine="600" w:firstLineChars="200"/>
        <w:rPr>
          <w:rFonts w:hint="eastAsia"/>
          <w:b w:val="0"/>
          <w:bCs w:val="0"/>
          <w:sz w:val="30"/>
          <w:szCs w:val="30"/>
          <w:lang w:val="en-US" w:eastAsia="zh-CN"/>
        </w:rPr>
      </w:pPr>
      <w:r>
        <w:rPr>
          <w:rFonts w:hint="eastAsia"/>
          <w:b w:val="0"/>
          <w:bCs w:val="0"/>
          <w:sz w:val="30"/>
          <w:szCs w:val="30"/>
          <w:lang w:val="en-US" w:eastAsia="zh-CN"/>
        </w:rPr>
        <w:t>2、2120399其他城乡社区公共设施支出12万元。</w:t>
      </w:r>
    </w:p>
    <w:p>
      <w:pPr>
        <w:pStyle w:val="2"/>
        <w:numPr>
          <w:ilvl w:val="0"/>
          <w:numId w:val="0"/>
        </w:numPr>
        <w:spacing w:after="0"/>
        <w:ind w:firstLine="600" w:firstLineChars="200"/>
        <w:rPr>
          <w:rFonts w:hint="eastAsia"/>
          <w:b w:val="0"/>
          <w:bCs w:val="0"/>
          <w:sz w:val="30"/>
          <w:szCs w:val="30"/>
          <w:lang w:val="en-US" w:eastAsia="zh-CN"/>
        </w:rPr>
      </w:pPr>
      <w:r>
        <w:rPr>
          <w:rFonts w:hint="eastAsia"/>
          <w:b w:val="0"/>
          <w:bCs w:val="0"/>
          <w:sz w:val="30"/>
          <w:szCs w:val="30"/>
          <w:lang w:val="en-US" w:eastAsia="zh-CN"/>
        </w:rPr>
        <w:t>3、2120802土地开发支出（屠宰场搬迁项目）19万元。</w:t>
      </w:r>
    </w:p>
    <w:p>
      <w:pPr>
        <w:pStyle w:val="2"/>
        <w:numPr>
          <w:ilvl w:val="0"/>
          <w:numId w:val="0"/>
        </w:numPr>
        <w:spacing w:after="0"/>
        <w:ind w:firstLine="600" w:firstLineChars="200"/>
        <w:rPr>
          <w:rFonts w:hint="eastAsia"/>
          <w:b w:val="0"/>
          <w:bCs w:val="0"/>
          <w:sz w:val="30"/>
          <w:szCs w:val="30"/>
          <w:lang w:val="en-US" w:eastAsia="zh-CN"/>
        </w:rPr>
      </w:pPr>
      <w:r>
        <w:rPr>
          <w:rFonts w:hint="eastAsia"/>
          <w:b w:val="0"/>
          <w:bCs w:val="0"/>
          <w:sz w:val="30"/>
          <w:szCs w:val="30"/>
          <w:lang w:val="en-US" w:eastAsia="zh-CN"/>
        </w:rPr>
        <w:t>4、2130102一般管理事务支出177.2万元。</w:t>
      </w:r>
    </w:p>
    <w:p>
      <w:pPr>
        <w:pStyle w:val="2"/>
        <w:numPr>
          <w:ilvl w:val="0"/>
          <w:numId w:val="0"/>
        </w:numPr>
        <w:spacing w:after="0"/>
        <w:ind w:firstLine="600" w:firstLineChars="200"/>
        <w:rPr>
          <w:rFonts w:hint="eastAsia"/>
          <w:b w:val="0"/>
          <w:bCs w:val="0"/>
          <w:sz w:val="30"/>
          <w:szCs w:val="30"/>
          <w:lang w:val="en-US" w:eastAsia="zh-CN"/>
        </w:rPr>
      </w:pPr>
      <w:r>
        <w:rPr>
          <w:rFonts w:hint="eastAsia"/>
          <w:b w:val="0"/>
          <w:bCs w:val="0"/>
          <w:sz w:val="30"/>
          <w:szCs w:val="30"/>
          <w:lang w:val="en-US" w:eastAsia="zh-CN"/>
        </w:rPr>
        <w:t>5、2130106科技转化与推广服务支出14万元。</w:t>
      </w:r>
    </w:p>
    <w:p>
      <w:pPr>
        <w:pStyle w:val="2"/>
        <w:numPr>
          <w:ilvl w:val="0"/>
          <w:numId w:val="0"/>
        </w:numPr>
        <w:spacing w:after="0"/>
        <w:ind w:firstLine="600" w:firstLineChars="200"/>
        <w:rPr>
          <w:rFonts w:hint="eastAsia"/>
          <w:b w:val="0"/>
          <w:bCs w:val="0"/>
          <w:sz w:val="30"/>
          <w:szCs w:val="30"/>
          <w:lang w:val="en-US" w:eastAsia="zh-CN"/>
        </w:rPr>
      </w:pPr>
      <w:r>
        <w:rPr>
          <w:rFonts w:hint="eastAsia"/>
          <w:b w:val="0"/>
          <w:bCs w:val="0"/>
          <w:sz w:val="30"/>
          <w:szCs w:val="30"/>
          <w:lang w:val="en-US" w:eastAsia="zh-CN"/>
        </w:rPr>
        <w:t>6、2130108农作物重大病虫害防控防治支出211.9万元。</w:t>
      </w:r>
    </w:p>
    <w:p>
      <w:pPr>
        <w:pStyle w:val="2"/>
        <w:numPr>
          <w:ilvl w:val="0"/>
          <w:numId w:val="0"/>
        </w:numPr>
        <w:spacing w:after="0"/>
        <w:ind w:firstLine="600" w:firstLineChars="200"/>
        <w:rPr>
          <w:rFonts w:hint="default" w:eastAsia="仿宋_GB2312"/>
          <w:b w:val="0"/>
          <w:bCs w:val="0"/>
          <w:sz w:val="30"/>
          <w:szCs w:val="30"/>
          <w:lang w:val="en-US" w:eastAsia="zh-CN"/>
        </w:rPr>
      </w:pPr>
      <w:r>
        <w:rPr>
          <w:rFonts w:hint="eastAsia"/>
          <w:b w:val="0"/>
          <w:bCs w:val="0"/>
          <w:sz w:val="30"/>
          <w:szCs w:val="30"/>
          <w:lang w:val="en-US" w:eastAsia="zh-CN"/>
        </w:rPr>
        <w:t>7、2130109农产品质量安全监管支出32.8万元。</w:t>
      </w:r>
    </w:p>
    <w:p>
      <w:pPr>
        <w:numPr>
          <w:ilvl w:val="0"/>
          <w:numId w:val="0"/>
        </w:numPr>
        <w:adjustRightInd w:val="0"/>
        <w:snapToGrid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8、2130110执法经费支出12万元。</w:t>
      </w:r>
    </w:p>
    <w:p>
      <w:pPr>
        <w:adjustRightInd w:val="0"/>
        <w:snapToGrid w:val="0"/>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9、2130122农业生发展省级以上专项资金支出3092.3万元。</w:t>
      </w:r>
    </w:p>
    <w:p>
      <w:pPr>
        <w:pStyle w:val="2"/>
        <w:ind w:left="0" w:leftChars="0" w:firstLine="64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10、2130135农业资源保护修复与利用支出5.3万元。</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11、2130153农田建设项目事业支出4.1万元。</w:t>
      </w:r>
    </w:p>
    <w:p>
      <w:pPr>
        <w:pStyle w:val="2"/>
        <w:ind w:left="0" w:leftChars="0" w:firstLine="64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12、2130199其他农业农村支出162.6万元。</w:t>
      </w:r>
    </w:p>
    <w:p>
      <w:pPr>
        <w:pStyle w:val="2"/>
        <w:numPr>
          <w:ilvl w:val="0"/>
          <w:numId w:val="3"/>
        </w:numPr>
        <w:ind w:left="0" w:leftChars="0" w:firstLine="64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2130504巩固脱贫攻坚成果乡村振兴支出72.9万元。</w:t>
      </w:r>
      <w:bookmarkStart w:id="0" w:name="_GoBack"/>
      <w:bookmarkEnd w:id="0"/>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14、2130599其他巩固脱贫攻坚成果衔接乡村振兴支出3058.4万元。</w:t>
      </w:r>
    </w:p>
    <w:p>
      <w:pPr>
        <w:pStyle w:val="2"/>
        <w:ind w:left="0" w:leftChars="0" w:firstLine="640" w:firstLineChars="200"/>
        <w:rPr>
          <w:rFonts w:hint="default"/>
          <w:lang w:val="en-US" w:eastAsia="zh-CN"/>
        </w:rPr>
      </w:pPr>
      <w:r>
        <w:rPr>
          <w:rFonts w:hint="eastAsia" w:ascii="仿宋" w:hAnsi="仿宋" w:eastAsia="仿宋" w:cs="仿宋"/>
          <w:sz w:val="32"/>
          <w:szCs w:val="32"/>
          <w:lang w:val="en-US" w:eastAsia="zh-CN"/>
        </w:rPr>
        <w:t>15、2139999其他农林水支出25.6万元。</w:t>
      </w:r>
    </w:p>
    <w:p>
      <w:pPr>
        <w:pStyle w:val="2"/>
        <w:ind w:left="0" w:leftChars="0" w:firstLine="64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16、2290402年中调整政政府性基金，县宝田茶产业融合示范区建设项目支出3500万元。</w:t>
      </w:r>
    </w:p>
    <w:p>
      <w:pPr>
        <w:adjustRightInd w:val="0"/>
        <w:snapToGrid w:val="0"/>
        <w:spacing w:line="600" w:lineRule="exact"/>
        <w:ind w:firstLine="643" w:firstLineChars="200"/>
        <w:rPr>
          <w:rFonts w:hint="eastAsia" w:ascii="仿宋" w:hAnsi="仿宋" w:eastAsia="仿宋"/>
          <w:b/>
          <w:sz w:val="32"/>
          <w:szCs w:val="32"/>
          <w:lang w:eastAsia="zh-CN"/>
        </w:rPr>
      </w:pPr>
      <w:r>
        <w:rPr>
          <w:rFonts w:hint="eastAsia" w:ascii="仿宋" w:hAnsi="仿宋" w:eastAsia="仿宋"/>
          <w:b/>
          <w:sz w:val="32"/>
          <w:szCs w:val="32"/>
        </w:rPr>
        <w:t xml:space="preserve"> “三公”经费控制情况</w:t>
      </w:r>
      <w:r>
        <w:rPr>
          <w:rFonts w:hint="eastAsia" w:ascii="仿宋" w:hAnsi="仿宋" w:eastAsia="仿宋"/>
          <w:sz w:val="32"/>
          <w:szCs w:val="32"/>
        </w:rPr>
        <w:t>：没有因公出国（境）人员，</w:t>
      </w:r>
      <w:r>
        <w:rPr>
          <w:rFonts w:hint="eastAsia" w:ascii="仿宋" w:hAnsi="仿宋" w:eastAsia="仿宋"/>
          <w:color w:val="000000" w:themeColor="text1"/>
          <w:sz w:val="32"/>
          <w:szCs w:val="32"/>
          <w:lang w:eastAsia="zh-CN"/>
          <w14:textFill>
            <w14:solidFill>
              <w14:schemeClr w14:val="tx1"/>
            </w14:solidFill>
          </w14:textFill>
        </w:rPr>
        <w:t>接待费支出</w:t>
      </w:r>
      <w:r>
        <w:rPr>
          <w:rFonts w:hint="eastAsia" w:ascii="仿宋" w:hAnsi="仿宋" w:eastAsia="仿宋"/>
          <w:color w:val="000000" w:themeColor="text1"/>
          <w:sz w:val="32"/>
          <w:szCs w:val="32"/>
          <w:lang w:val="en-US" w:eastAsia="zh-CN"/>
          <w14:textFill>
            <w14:solidFill>
              <w14:schemeClr w14:val="tx1"/>
            </w14:solidFill>
          </w14:textFill>
        </w:rPr>
        <w:t>7.1万元，</w:t>
      </w:r>
      <w:r>
        <w:rPr>
          <w:rFonts w:hint="eastAsia" w:ascii="仿宋" w:hAnsi="仿宋" w:eastAsia="仿宋"/>
          <w:color w:val="000000" w:themeColor="text1"/>
          <w:sz w:val="32"/>
          <w:szCs w:val="32"/>
          <w14:textFill>
            <w14:solidFill>
              <w14:schemeClr w14:val="tx1"/>
            </w14:solidFill>
          </w14:textFill>
        </w:rPr>
        <w:t>占年初预算安排数</w:t>
      </w:r>
      <w:r>
        <w:rPr>
          <w:rFonts w:hint="eastAsia" w:ascii="仿宋" w:hAnsi="仿宋" w:eastAsia="仿宋"/>
          <w:color w:val="000000" w:themeColor="text1"/>
          <w:sz w:val="32"/>
          <w:szCs w:val="32"/>
          <w:lang w:val="en-US" w:eastAsia="zh-CN"/>
          <w14:textFill>
            <w14:solidFill>
              <w14:schemeClr w14:val="tx1"/>
            </w14:solidFill>
          </w14:textFill>
        </w:rPr>
        <w:t>11.7万元</w:t>
      </w:r>
      <w:r>
        <w:rPr>
          <w:rFonts w:hint="eastAsia"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61</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；公务用车购置及运行维护费5.2万元，</w:t>
      </w:r>
      <w:r>
        <w:rPr>
          <w:rFonts w:hint="eastAsia" w:ascii="仿宋" w:hAnsi="仿宋" w:eastAsia="仿宋"/>
          <w:color w:val="000000" w:themeColor="text1"/>
          <w:sz w:val="32"/>
          <w:szCs w:val="32"/>
          <w14:textFill>
            <w14:solidFill>
              <w14:schemeClr w14:val="tx1"/>
            </w14:solidFill>
          </w14:textFill>
        </w:rPr>
        <w:t>占年初预算安排数</w:t>
      </w:r>
      <w:r>
        <w:rPr>
          <w:rFonts w:hint="eastAsia" w:ascii="仿宋" w:hAnsi="仿宋" w:eastAsia="仿宋"/>
          <w:color w:val="000000" w:themeColor="text1"/>
          <w:sz w:val="32"/>
          <w:szCs w:val="32"/>
          <w:lang w:val="en-US" w:eastAsia="zh-CN"/>
          <w14:textFill>
            <w14:solidFill>
              <w14:schemeClr w14:val="tx1"/>
            </w14:solidFill>
          </w14:textFill>
        </w:rPr>
        <w:t>11.5万元的45</w:t>
      </w:r>
      <w:r>
        <w:rPr>
          <w:rFonts w:hint="eastAsia"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lang w:eastAsia="zh-CN"/>
          <w14:textFill>
            <w14:solidFill>
              <w14:schemeClr w14:val="tx1"/>
            </w14:solidFill>
          </w14:textFill>
        </w:rPr>
        <w:t>，没有超年初预算</w:t>
      </w:r>
      <w:r>
        <w:rPr>
          <w:rFonts w:hint="eastAsia" w:ascii="仿宋" w:hAnsi="仿宋" w:eastAsia="仿宋"/>
          <w:b/>
          <w:sz w:val="32"/>
          <w:szCs w:val="32"/>
        </w:rPr>
        <w:t xml:space="preserve"> </w:t>
      </w:r>
      <w:r>
        <w:rPr>
          <w:rFonts w:hint="eastAsia" w:ascii="仿宋" w:hAnsi="仿宋" w:eastAsia="仿宋"/>
          <w:b/>
          <w:sz w:val="32"/>
          <w:szCs w:val="32"/>
          <w:lang w:eastAsia="zh-CN"/>
        </w:rPr>
        <w:t>。</w:t>
      </w:r>
    </w:p>
    <w:p>
      <w:pPr>
        <w:adjustRightInd w:val="0"/>
        <w:snapToGrid w:val="0"/>
        <w:spacing w:line="600" w:lineRule="exact"/>
        <w:ind w:firstLine="643" w:firstLineChars="200"/>
        <w:rPr>
          <w:rFonts w:hint="eastAsia" w:ascii="仿宋" w:hAnsi="仿宋" w:eastAsia="仿宋"/>
          <w:sz w:val="32"/>
          <w:szCs w:val="32"/>
        </w:rPr>
      </w:pPr>
      <w:r>
        <w:rPr>
          <w:rFonts w:hint="eastAsia" w:ascii="仿宋" w:hAnsi="仿宋" w:eastAsia="仿宋"/>
          <w:b/>
          <w:sz w:val="32"/>
          <w:szCs w:val="32"/>
        </w:rPr>
        <w:t>政府采购方面：</w:t>
      </w:r>
      <w:r>
        <w:rPr>
          <w:rFonts w:hint="eastAsia" w:ascii="仿宋" w:hAnsi="仿宋" w:eastAsia="仿宋"/>
          <w:sz w:val="32"/>
          <w:szCs w:val="32"/>
        </w:rPr>
        <w:t>全年通过政府采购支出</w:t>
      </w:r>
      <w:r>
        <w:rPr>
          <w:rFonts w:hint="eastAsia" w:ascii="仿宋" w:hAnsi="仿宋" w:eastAsia="仿宋"/>
          <w:color w:val="000000" w:themeColor="text1"/>
          <w:sz w:val="32"/>
          <w:szCs w:val="32"/>
          <w:lang w:val="en-US" w:eastAsia="zh-CN"/>
          <w14:textFill>
            <w14:solidFill>
              <w14:schemeClr w14:val="tx1"/>
            </w14:solidFill>
          </w14:textFill>
        </w:rPr>
        <w:t>674</w:t>
      </w:r>
      <w:r>
        <w:rPr>
          <w:rFonts w:hint="eastAsia" w:ascii="仿宋" w:hAnsi="仿宋" w:eastAsia="仿宋"/>
          <w:color w:val="000000" w:themeColor="text1"/>
          <w:sz w:val="32"/>
          <w:szCs w:val="32"/>
          <w14:textFill>
            <w14:solidFill>
              <w14:schemeClr w14:val="tx1"/>
            </w14:solidFill>
          </w14:textFill>
        </w:rPr>
        <w:t>万</w:t>
      </w:r>
      <w:r>
        <w:rPr>
          <w:rFonts w:hint="eastAsia" w:ascii="仿宋" w:hAnsi="仿宋" w:eastAsia="仿宋"/>
          <w:sz w:val="32"/>
          <w:szCs w:val="32"/>
        </w:rPr>
        <w:t>元，采购内容为：</w:t>
      </w:r>
      <w:r>
        <w:rPr>
          <w:rFonts w:hint="eastAsia" w:ascii="仿宋" w:hAnsi="仿宋" w:eastAsia="仿宋"/>
          <w:sz w:val="32"/>
          <w:szCs w:val="32"/>
          <w:lang w:eastAsia="zh-CN"/>
        </w:rPr>
        <w:t>农业种子采购、</w:t>
      </w:r>
      <w:r>
        <w:rPr>
          <w:rFonts w:hint="eastAsia" w:ascii="仿宋" w:hAnsi="仿宋" w:eastAsia="仿宋"/>
          <w:sz w:val="32"/>
          <w:szCs w:val="32"/>
        </w:rPr>
        <w:t>高标准农田建设工程设施、严格按照湖南省政府采购公开招标审批管理办法执行的。</w:t>
      </w:r>
    </w:p>
    <w:p>
      <w:pPr>
        <w:adjustRightInd w:val="0"/>
        <w:snapToGrid w:val="0"/>
        <w:spacing w:line="600" w:lineRule="exact"/>
        <w:ind w:firstLine="643" w:firstLineChars="200"/>
        <w:rPr>
          <w:rFonts w:hint="eastAsia" w:ascii="仿宋" w:hAnsi="仿宋" w:eastAsia="仿宋"/>
          <w:sz w:val="32"/>
          <w:szCs w:val="32"/>
        </w:rPr>
      </w:pPr>
      <w:r>
        <w:rPr>
          <w:rFonts w:hint="eastAsia" w:ascii="仿宋" w:hAnsi="仿宋" w:eastAsia="仿宋"/>
          <w:b/>
          <w:sz w:val="32"/>
          <w:szCs w:val="32"/>
        </w:rPr>
        <w:t>财务管理方面：</w:t>
      </w:r>
      <w:r>
        <w:rPr>
          <w:rFonts w:hint="eastAsia" w:ascii="仿宋" w:hAnsi="仿宋" w:eastAsia="仿宋"/>
          <w:sz w:val="32"/>
          <w:szCs w:val="32"/>
        </w:rPr>
        <w:t>认真履行部门“三定”方案确定的职责。没有存在截留、挤占、挪用、虚列支出等情况；基础数据信息和会计信息资料真实、完整、准确。并按规定内容公开预、决算信息。对有关财务方面文件及时掌握。</w:t>
      </w:r>
    </w:p>
    <w:p>
      <w:pPr>
        <w:adjustRightInd w:val="0"/>
        <w:snapToGrid w:val="0"/>
        <w:spacing w:line="600" w:lineRule="exact"/>
        <w:ind w:firstLine="643" w:firstLineChars="200"/>
        <w:rPr>
          <w:rFonts w:hint="eastAsia" w:ascii="仿宋" w:hAnsi="仿宋" w:eastAsia="仿宋" w:cs="宋体"/>
          <w:b/>
          <w:bCs/>
          <w:color w:val="343233"/>
          <w:kern w:val="0"/>
          <w:sz w:val="32"/>
          <w:szCs w:val="32"/>
        </w:rPr>
      </w:pPr>
      <w:r>
        <w:rPr>
          <w:rFonts w:hint="eastAsia" w:ascii="仿宋" w:hAnsi="仿宋" w:eastAsia="仿宋"/>
          <w:b/>
          <w:bCs/>
          <w:sz w:val="32"/>
          <w:szCs w:val="32"/>
        </w:rPr>
        <w:t>五、</w:t>
      </w:r>
      <w:r>
        <w:rPr>
          <w:rFonts w:hint="eastAsia" w:ascii="仿宋" w:hAnsi="仿宋" w:eastAsia="仿宋" w:cs="宋体"/>
          <w:b/>
          <w:bCs/>
          <w:color w:val="343233"/>
          <w:kern w:val="0"/>
          <w:sz w:val="32"/>
          <w:szCs w:val="32"/>
        </w:rPr>
        <w:t>工作目标履职情况</w:t>
      </w:r>
    </w:p>
    <w:p>
      <w:pPr>
        <w:pStyle w:val="4"/>
        <w:adjustRightInd w:val="0"/>
        <w:snapToGrid w:val="0"/>
        <w:spacing w:before="0" w:beforeAutospacing="0" w:after="0" w:afterAutospacing="0" w:line="600" w:lineRule="exact"/>
        <w:ind w:firstLine="640" w:firstLineChars="200"/>
        <w:rPr>
          <w:rFonts w:hint="eastAsia" w:ascii="仿宋" w:hAnsi="仿宋" w:eastAsia="仿宋"/>
          <w:bCs/>
          <w:sz w:val="32"/>
          <w:szCs w:val="32"/>
        </w:rPr>
      </w:pPr>
      <w:r>
        <w:rPr>
          <w:rFonts w:hint="eastAsia" w:ascii="仿宋" w:hAnsi="仿宋" w:eastAsia="仿宋" w:cs="宋体"/>
          <w:color w:val="343233"/>
          <w:kern w:val="0"/>
          <w:sz w:val="32"/>
          <w:szCs w:val="32"/>
        </w:rPr>
        <w:t>由于年初预算安排及有目的进行了预算调整，有效的保障了</w:t>
      </w:r>
      <w:r>
        <w:rPr>
          <w:rFonts w:hint="eastAsia" w:ascii="仿宋" w:hAnsi="仿宋" w:eastAsia="仿宋"/>
          <w:bCs/>
          <w:sz w:val="32"/>
          <w:szCs w:val="32"/>
        </w:rPr>
        <w:t>各项业务工作顺利开展，反映良好，主要表现在：</w:t>
      </w:r>
    </w:p>
    <w:p>
      <w:pPr>
        <w:pStyle w:val="4"/>
        <w:adjustRightInd w:val="0"/>
        <w:snapToGrid w:val="0"/>
        <w:spacing w:before="0" w:beforeAutospacing="0" w:after="0" w:afterAutospacing="0" w:line="600" w:lineRule="exact"/>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全力抓好粮食生产和重要农产品供给</w:t>
      </w:r>
      <w:r>
        <w:rPr>
          <w:rFonts w:hint="eastAsia" w:ascii="仿宋" w:hAnsi="仿宋" w:eastAsia="仿宋" w:cs="仿宋"/>
          <w:b w:val="0"/>
          <w:bCs w:val="0"/>
          <w:sz w:val="32"/>
          <w:szCs w:val="32"/>
          <w:lang w:eastAsia="zh-CN"/>
        </w:rPr>
        <w:t>。</w:t>
      </w:r>
    </w:p>
    <w:p>
      <w:pPr>
        <w:pStyle w:val="4"/>
        <w:adjustRightInd w:val="0"/>
        <w:snapToGrid w:val="0"/>
        <w:spacing w:before="0" w:beforeAutospacing="0" w:after="0" w:afterAutospacing="0" w:line="600" w:lineRule="exact"/>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w:t>
      </w:r>
      <w:r>
        <w:rPr>
          <w:rFonts w:hint="eastAsia" w:ascii="仿宋" w:hAnsi="仿宋" w:eastAsia="仿宋" w:cs="仿宋"/>
          <w:b w:val="0"/>
          <w:bCs w:val="0"/>
          <w:sz w:val="32"/>
          <w:szCs w:val="32"/>
        </w:rPr>
        <w:t>着力</w:t>
      </w:r>
      <w:r>
        <w:rPr>
          <w:rFonts w:hint="eastAsia" w:ascii="仿宋" w:hAnsi="仿宋" w:eastAsia="仿宋" w:cs="仿宋"/>
          <w:b w:val="0"/>
          <w:bCs w:val="0"/>
          <w:color w:val="000000"/>
          <w:sz w:val="32"/>
          <w:szCs w:val="32"/>
        </w:rPr>
        <w:t>巩固</w:t>
      </w:r>
      <w:r>
        <w:rPr>
          <w:rFonts w:hint="eastAsia" w:ascii="仿宋" w:hAnsi="仿宋" w:eastAsia="仿宋" w:cs="仿宋"/>
          <w:b w:val="0"/>
          <w:bCs w:val="0"/>
          <w:color w:val="000000"/>
          <w:sz w:val="32"/>
          <w:szCs w:val="32"/>
          <w:lang w:eastAsia="zh-CN"/>
        </w:rPr>
        <w:t>拓展</w:t>
      </w:r>
      <w:r>
        <w:rPr>
          <w:rFonts w:hint="eastAsia" w:ascii="仿宋" w:hAnsi="仿宋" w:eastAsia="仿宋" w:cs="仿宋"/>
          <w:b w:val="0"/>
          <w:bCs w:val="0"/>
          <w:color w:val="000000"/>
          <w:sz w:val="32"/>
          <w:szCs w:val="32"/>
        </w:rPr>
        <w:t>脱贫成果</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sz w:val="32"/>
          <w:szCs w:val="32"/>
        </w:rPr>
        <w:t>产业扶贫成果持续巩固</w:t>
      </w:r>
      <w:r>
        <w:rPr>
          <w:rFonts w:hint="eastAsia" w:ascii="仿宋" w:hAnsi="仿宋" w:eastAsia="仿宋" w:cs="仿宋"/>
          <w:b w:val="0"/>
          <w:bCs w:val="0"/>
          <w:sz w:val="32"/>
          <w:szCs w:val="32"/>
          <w:lang w:eastAsia="zh-CN"/>
        </w:rPr>
        <w:t>。</w:t>
      </w:r>
    </w:p>
    <w:p>
      <w:pPr>
        <w:pStyle w:val="4"/>
        <w:adjustRightInd w:val="0"/>
        <w:snapToGrid w:val="0"/>
        <w:spacing w:before="0" w:beforeAutospacing="0" w:after="0" w:afterAutospacing="0" w:line="600" w:lineRule="exact"/>
        <w:ind w:firstLine="640" w:firstLineChars="200"/>
        <w:rPr>
          <w:rFonts w:hint="eastAsia" w:ascii="仿宋" w:hAnsi="仿宋" w:eastAsia="仿宋"/>
          <w:bCs/>
          <w:sz w:val="32"/>
          <w:szCs w:val="32"/>
        </w:rPr>
      </w:pPr>
      <w:r>
        <w:rPr>
          <w:rFonts w:hint="eastAsia" w:ascii="仿宋" w:hAnsi="仿宋" w:eastAsia="仿宋" w:cs="仿宋"/>
          <w:b w:val="0"/>
          <w:bCs w:val="0"/>
          <w:color w:val="000000"/>
          <w:kern w:val="2"/>
          <w:sz w:val="32"/>
          <w:szCs w:val="32"/>
          <w:lang w:eastAsia="zh-CN"/>
        </w:rPr>
        <w:t>三、</w:t>
      </w:r>
      <w:r>
        <w:rPr>
          <w:rFonts w:hint="eastAsia" w:ascii="仿宋" w:hAnsi="仿宋" w:eastAsia="仿宋" w:cs="仿宋"/>
          <w:b w:val="0"/>
          <w:bCs w:val="0"/>
          <w:color w:val="000000"/>
          <w:kern w:val="2"/>
          <w:sz w:val="32"/>
          <w:szCs w:val="32"/>
        </w:rPr>
        <w:t>全面推进</w:t>
      </w:r>
      <w:r>
        <w:rPr>
          <w:rFonts w:hint="eastAsia" w:ascii="仿宋" w:hAnsi="仿宋" w:eastAsia="仿宋" w:cs="仿宋"/>
          <w:b w:val="0"/>
          <w:bCs w:val="0"/>
          <w:color w:val="000000"/>
          <w:sz w:val="32"/>
          <w:szCs w:val="32"/>
        </w:rPr>
        <w:t>乡村发展、乡村建设、乡村治理</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农业产业现代化步伐加快</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lang w:val="en-US" w:eastAsia="zh-CN"/>
        </w:rPr>
        <w:t>2、</w:t>
      </w:r>
      <w:r>
        <w:rPr>
          <w:rFonts w:hint="eastAsia" w:ascii="仿宋" w:hAnsi="仿宋" w:eastAsia="仿宋" w:cs="仿宋"/>
          <w:b w:val="0"/>
          <w:bCs w:val="0"/>
          <w:i w:val="0"/>
          <w:caps w:val="0"/>
          <w:color w:val="000000"/>
          <w:spacing w:val="0"/>
          <w:sz w:val="32"/>
          <w:szCs w:val="32"/>
          <w:shd w:val="clear" w:color="auto" w:fill="FFFFFF"/>
          <w:lang w:eastAsia="zh-CN"/>
        </w:rPr>
        <w:t>农技服务扎实有效，</w:t>
      </w:r>
      <w:r>
        <w:rPr>
          <w:rFonts w:hint="eastAsia" w:ascii="仿宋" w:hAnsi="仿宋" w:eastAsia="仿宋" w:cs="仿宋"/>
          <w:b w:val="0"/>
          <w:bCs w:val="0"/>
          <w:i w:val="0"/>
          <w:caps w:val="0"/>
          <w:color w:val="000000"/>
          <w:spacing w:val="0"/>
          <w:sz w:val="32"/>
          <w:szCs w:val="32"/>
          <w:shd w:val="clear" w:color="auto" w:fill="FFFFFF"/>
          <w:lang w:val="en-US" w:eastAsia="zh-CN"/>
        </w:rPr>
        <w:t>3</w:t>
      </w:r>
      <w:r>
        <w:rPr>
          <w:rFonts w:hint="eastAsia" w:ascii="仿宋" w:hAnsi="仿宋" w:eastAsia="仿宋" w:cs="仿宋"/>
          <w:b w:val="0"/>
          <w:bCs w:val="0"/>
          <w:i w:val="0"/>
          <w:caps w:val="0"/>
          <w:color w:val="000000"/>
          <w:spacing w:val="0"/>
          <w:sz w:val="32"/>
          <w:szCs w:val="32"/>
          <w:shd w:val="clear" w:color="auto" w:fill="FFFFFF"/>
          <w:lang w:eastAsia="zh-CN"/>
        </w:rPr>
        <w:t>安全生产监管有力，</w:t>
      </w:r>
      <w:r>
        <w:rPr>
          <w:rFonts w:hint="eastAsia" w:ascii="仿宋" w:hAnsi="仿宋" w:eastAsia="仿宋" w:cs="仿宋"/>
          <w:b w:val="0"/>
          <w:bCs w:val="0"/>
          <w:i w:val="0"/>
          <w:caps w:val="0"/>
          <w:color w:val="000000"/>
          <w:spacing w:val="0"/>
          <w:sz w:val="32"/>
          <w:szCs w:val="32"/>
          <w:shd w:val="clear" w:color="auto" w:fill="FFFFFF"/>
          <w:lang w:val="en-US" w:eastAsia="zh-CN"/>
        </w:rPr>
        <w:t>4、</w:t>
      </w:r>
      <w:r>
        <w:rPr>
          <w:rFonts w:hint="eastAsia" w:ascii="仿宋" w:hAnsi="仿宋" w:eastAsia="仿宋" w:cs="仿宋"/>
          <w:b w:val="0"/>
          <w:bCs w:val="0"/>
          <w:i w:val="0"/>
          <w:caps w:val="0"/>
          <w:color w:val="000000"/>
          <w:spacing w:val="0"/>
          <w:sz w:val="32"/>
          <w:szCs w:val="32"/>
          <w:shd w:val="clear" w:color="auto" w:fill="FFFFFF"/>
          <w:lang w:eastAsia="zh-CN"/>
        </w:rPr>
        <w:t>农业综合执法效果明显，</w:t>
      </w:r>
      <w:r>
        <w:rPr>
          <w:rFonts w:hint="eastAsia" w:ascii="仿宋" w:hAnsi="仿宋" w:eastAsia="仿宋" w:cs="仿宋"/>
          <w:b w:val="0"/>
          <w:bCs w:val="0"/>
          <w:color w:val="000000"/>
          <w:sz w:val="32"/>
          <w:szCs w:val="32"/>
          <w:lang w:val="en-US" w:eastAsia="zh-CN"/>
        </w:rPr>
        <w:t>5、</w:t>
      </w:r>
      <w:r>
        <w:rPr>
          <w:rFonts w:hint="eastAsia" w:ascii="仿宋" w:hAnsi="仿宋" w:eastAsia="仿宋" w:cs="仿宋"/>
          <w:b w:val="0"/>
          <w:bCs w:val="0"/>
          <w:color w:val="000000"/>
          <w:sz w:val="32"/>
          <w:szCs w:val="32"/>
          <w:lang w:eastAsia="zh-CN"/>
        </w:rPr>
        <w:t>乡村更加</w:t>
      </w:r>
      <w:r>
        <w:rPr>
          <w:rFonts w:hint="eastAsia" w:ascii="仿宋" w:hAnsi="仿宋" w:eastAsia="仿宋" w:cs="仿宋"/>
          <w:b w:val="0"/>
          <w:bCs w:val="0"/>
          <w:color w:val="000000"/>
          <w:sz w:val="32"/>
          <w:szCs w:val="32"/>
        </w:rPr>
        <w:t>美丽宜居</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sz w:val="32"/>
          <w:szCs w:val="32"/>
          <w:u w:val="none"/>
          <w:lang w:val="en-US" w:eastAsia="zh-CN"/>
        </w:rPr>
        <w:t>六是</w:t>
      </w:r>
      <w:r>
        <w:rPr>
          <w:rFonts w:hint="eastAsia" w:ascii="仿宋" w:hAnsi="仿宋" w:eastAsia="仿宋" w:cs="仿宋"/>
          <w:b w:val="0"/>
          <w:bCs w:val="0"/>
          <w:i w:val="0"/>
          <w:caps w:val="0"/>
          <w:color w:val="000000"/>
          <w:spacing w:val="0"/>
          <w:sz w:val="32"/>
          <w:szCs w:val="32"/>
          <w:shd w:val="clear" w:color="auto" w:fill="FFFFFF"/>
          <w:lang w:eastAsia="zh-CN"/>
        </w:rPr>
        <w:t>农村改革稳步推进。</w:t>
      </w:r>
      <w:r>
        <w:rPr>
          <w:rFonts w:hint="eastAsia" w:ascii="仿宋" w:hAnsi="仿宋" w:eastAsia="仿宋" w:cs="仿宋"/>
          <w:b w:val="0"/>
          <w:bCs w:val="0"/>
          <w:i w:val="0"/>
          <w:iCs w:val="0"/>
          <w:color w:val="000000"/>
          <w:spacing w:val="0"/>
          <w:sz w:val="32"/>
          <w:szCs w:val="32"/>
          <w:shd w:val="clear" w:color="auto" w:fill="FFFFFF"/>
          <w:lang w:val="en-US" w:eastAsia="zh-CN"/>
        </w:rPr>
        <w:t>持续推进农村集体产权制度改革）。</w:t>
      </w:r>
    </w:p>
    <w:p>
      <w:pPr>
        <w:pStyle w:val="4"/>
        <w:adjustRightInd w:val="0"/>
        <w:snapToGrid w:val="0"/>
        <w:spacing w:before="0" w:beforeAutospacing="0" w:after="0" w:afterAutospacing="0" w:line="600" w:lineRule="exact"/>
        <w:ind w:firstLine="640" w:firstLineChars="200"/>
        <w:rPr>
          <w:rFonts w:hint="eastAsia" w:ascii="仿宋" w:hAnsi="仿宋" w:eastAsia="仿宋"/>
          <w:bCs/>
          <w:sz w:val="32"/>
          <w:szCs w:val="32"/>
          <w:lang w:eastAsia="zh-CN"/>
        </w:rPr>
      </w:pPr>
      <w:r>
        <w:rPr>
          <w:rFonts w:hint="eastAsia" w:ascii="仿宋" w:hAnsi="仿宋" w:eastAsia="仿宋"/>
          <w:bCs/>
          <w:sz w:val="32"/>
          <w:szCs w:val="32"/>
          <w:lang w:eastAsia="zh-CN"/>
        </w:rPr>
        <w:t>四、</w:t>
      </w:r>
      <w:r>
        <w:rPr>
          <w:rFonts w:hint="eastAsia" w:ascii="仿宋" w:hAnsi="仿宋" w:eastAsia="仿宋"/>
          <w:bCs/>
          <w:sz w:val="32"/>
          <w:szCs w:val="32"/>
        </w:rPr>
        <w:t>农作物布局进一步优化</w:t>
      </w:r>
      <w:r>
        <w:rPr>
          <w:rFonts w:hint="eastAsia" w:ascii="仿宋" w:hAnsi="仿宋" w:eastAsia="仿宋"/>
          <w:bCs/>
          <w:sz w:val="32"/>
          <w:szCs w:val="32"/>
          <w:lang w:eastAsia="zh-CN"/>
        </w:rPr>
        <w:t>。</w:t>
      </w:r>
    </w:p>
    <w:p>
      <w:pPr>
        <w:pStyle w:val="4"/>
        <w:adjustRightInd w:val="0"/>
        <w:snapToGrid w:val="0"/>
        <w:spacing w:before="0" w:beforeAutospacing="0" w:after="0" w:afterAutospacing="0" w:line="600" w:lineRule="exact"/>
        <w:ind w:firstLine="640" w:firstLineChars="200"/>
        <w:rPr>
          <w:rFonts w:hint="eastAsia" w:ascii="仿宋" w:hAnsi="仿宋" w:eastAsia="仿宋"/>
          <w:bCs/>
          <w:sz w:val="32"/>
          <w:szCs w:val="32"/>
          <w:lang w:eastAsia="zh-CN"/>
        </w:rPr>
      </w:pPr>
      <w:r>
        <w:rPr>
          <w:rFonts w:hint="eastAsia" w:ascii="仿宋" w:hAnsi="仿宋" w:eastAsia="仿宋"/>
          <w:bCs/>
          <w:sz w:val="32"/>
          <w:szCs w:val="32"/>
          <w:lang w:eastAsia="zh-CN"/>
        </w:rPr>
        <w:t>五、</w:t>
      </w:r>
      <w:r>
        <w:rPr>
          <w:rFonts w:hint="eastAsia" w:ascii="仿宋" w:hAnsi="仿宋" w:eastAsia="仿宋"/>
          <w:bCs/>
          <w:sz w:val="32"/>
          <w:szCs w:val="32"/>
        </w:rPr>
        <w:t>物品种品质不断优化</w:t>
      </w:r>
      <w:r>
        <w:rPr>
          <w:rFonts w:hint="eastAsia" w:ascii="仿宋" w:hAnsi="仿宋" w:eastAsia="仿宋"/>
          <w:bCs/>
          <w:sz w:val="32"/>
          <w:szCs w:val="32"/>
          <w:lang w:eastAsia="zh-CN"/>
        </w:rPr>
        <w:t>。</w:t>
      </w:r>
    </w:p>
    <w:p>
      <w:pPr>
        <w:pStyle w:val="4"/>
        <w:adjustRightInd w:val="0"/>
        <w:snapToGrid w:val="0"/>
        <w:spacing w:before="0" w:beforeAutospacing="0" w:after="0" w:afterAutospacing="0" w:line="600" w:lineRule="exact"/>
        <w:ind w:firstLine="640" w:firstLineChars="200"/>
        <w:rPr>
          <w:rFonts w:hint="eastAsia" w:ascii="仿宋" w:hAnsi="仿宋" w:eastAsia="仿宋"/>
          <w:bCs/>
          <w:sz w:val="32"/>
          <w:szCs w:val="32"/>
          <w:lang w:eastAsia="zh-CN"/>
        </w:rPr>
      </w:pPr>
      <w:r>
        <w:rPr>
          <w:rFonts w:hint="eastAsia" w:ascii="仿宋" w:hAnsi="仿宋" w:eastAsia="仿宋"/>
          <w:bCs/>
          <w:sz w:val="32"/>
          <w:szCs w:val="32"/>
          <w:lang w:eastAsia="zh-CN"/>
        </w:rPr>
        <w:t>六、</w:t>
      </w:r>
      <w:r>
        <w:rPr>
          <w:rFonts w:hint="eastAsia" w:ascii="仿宋" w:hAnsi="仿宋" w:eastAsia="仿宋"/>
          <w:bCs/>
          <w:sz w:val="32"/>
          <w:szCs w:val="32"/>
        </w:rPr>
        <w:t>优势农产品产业带逐步形成</w:t>
      </w:r>
      <w:r>
        <w:rPr>
          <w:rFonts w:hint="eastAsia" w:ascii="仿宋" w:hAnsi="仿宋" w:eastAsia="仿宋"/>
          <w:bCs/>
          <w:sz w:val="32"/>
          <w:szCs w:val="32"/>
          <w:lang w:eastAsia="zh-CN"/>
        </w:rPr>
        <w:t>。</w:t>
      </w:r>
    </w:p>
    <w:p>
      <w:pPr>
        <w:adjustRightInd w:val="0"/>
        <w:snapToGrid w:val="0"/>
        <w:spacing w:line="600" w:lineRule="exact"/>
        <w:ind w:firstLine="640" w:firstLineChars="200"/>
        <w:rPr>
          <w:rFonts w:hint="eastAsia" w:ascii="仿宋" w:hAnsi="仿宋" w:eastAsia="仿宋" w:cs="仿宋"/>
          <w:color w:val="000000"/>
          <w:sz w:val="32"/>
          <w:szCs w:val="32"/>
        </w:rPr>
      </w:pPr>
      <w:r>
        <w:rPr>
          <w:rFonts w:hint="eastAsia" w:ascii="仿宋" w:hAnsi="仿宋" w:eastAsia="仿宋" w:cs="宋体"/>
          <w:color w:val="343233"/>
          <w:kern w:val="0"/>
          <w:sz w:val="32"/>
          <w:szCs w:val="32"/>
          <w:lang w:eastAsia="zh-CN"/>
        </w:rPr>
        <w:t>七、</w:t>
      </w:r>
      <w:r>
        <w:rPr>
          <w:rFonts w:hint="eastAsia" w:ascii="仿宋" w:hAnsi="仿宋" w:eastAsia="仿宋" w:cs="宋体"/>
          <w:color w:val="343233"/>
          <w:kern w:val="0"/>
          <w:sz w:val="32"/>
          <w:szCs w:val="32"/>
        </w:rPr>
        <w:t>专业农村建设成效显著</w:t>
      </w:r>
      <w:r>
        <w:rPr>
          <w:rFonts w:hint="eastAsia" w:ascii="仿宋" w:hAnsi="仿宋" w:eastAsia="仿宋" w:cs="仿宋"/>
          <w:b/>
          <w:bCs/>
          <w:color w:val="000000"/>
          <w:sz w:val="32"/>
          <w:szCs w:val="32"/>
        </w:rPr>
        <w:t>.</w:t>
      </w:r>
      <w:r>
        <w:rPr>
          <w:rFonts w:hint="eastAsia" w:ascii="仿宋" w:hAnsi="仿宋" w:eastAsia="仿宋" w:cs="仿宋"/>
          <w:color w:val="000000"/>
          <w:sz w:val="32"/>
          <w:szCs w:val="32"/>
        </w:rPr>
        <w:t>充分发挥龙头企业在基地建设、专业化分工、标准化生产、市场开拓等方面的带动作用,积极推行“公司+基地+农户连市场”的模式,引导贫困户和企业通过股份合作、承租、承包、出让等形式,建立利益联接机制,提高产业效益。</w:t>
      </w:r>
    </w:p>
    <w:p>
      <w:pPr>
        <w:widowControl/>
        <w:adjustRightInd w:val="0"/>
        <w:snapToGrid w:val="0"/>
        <w:spacing w:line="600" w:lineRule="exact"/>
        <w:ind w:firstLine="643" w:firstLineChars="200"/>
        <w:jc w:val="left"/>
        <w:rPr>
          <w:rFonts w:hint="eastAsia" w:ascii="仿宋" w:hAnsi="仿宋" w:eastAsia="仿宋" w:cs="宋体"/>
          <w:b/>
          <w:color w:val="343233"/>
          <w:kern w:val="0"/>
          <w:sz w:val="32"/>
          <w:szCs w:val="32"/>
        </w:rPr>
      </w:pPr>
      <w:r>
        <w:rPr>
          <w:rFonts w:hint="eastAsia" w:ascii="仿宋" w:hAnsi="仿宋" w:eastAsia="仿宋" w:cs="宋体"/>
          <w:b/>
          <w:color w:val="343233"/>
          <w:kern w:val="0"/>
          <w:sz w:val="32"/>
          <w:szCs w:val="32"/>
        </w:rPr>
        <w:t>六、履职效益</w:t>
      </w:r>
    </w:p>
    <w:p>
      <w:pPr>
        <w:adjustRightInd w:val="0"/>
        <w:snapToGrid w:val="0"/>
        <w:spacing w:line="600" w:lineRule="exact"/>
        <w:ind w:left="-105" w:leftChars="-50" w:right="-105" w:rightChars="-50" w:firstLine="640" w:firstLineChars="200"/>
        <w:rPr>
          <w:rFonts w:hint="eastAsia" w:ascii="仿宋" w:hAnsi="仿宋" w:eastAsia="仿宋" w:cs="仿宋"/>
          <w:sz w:val="32"/>
          <w:szCs w:val="32"/>
        </w:rPr>
      </w:pPr>
      <w:r>
        <w:rPr>
          <w:rFonts w:hint="eastAsia" w:ascii="仿宋" w:hAnsi="仿宋" w:eastAsia="仿宋" w:cs="仿宋"/>
          <w:sz w:val="32"/>
          <w:szCs w:val="32"/>
        </w:rPr>
        <w:t>通过推广绿色防控技术和专业化统防统治等各项专业技术,大大减轻农民的劳动强度，使很多农民从繁重的农事中解脱出来，有充足的时间从事其他致富门路，这样既保证了粮食丰产又促进了增收致富。同时由于推广绿色防控药剂，每亩降低农药使用量,大大减少了农药残留，确保了农产品质量安全，保护了农业生态环境,农产品品质得到了不断改善。</w:t>
      </w:r>
    </w:p>
    <w:p>
      <w:pPr>
        <w:adjustRightInd w:val="0"/>
        <w:snapToGrid w:val="0"/>
        <w:spacing w:line="600" w:lineRule="exact"/>
        <w:ind w:firstLine="640" w:firstLineChars="200"/>
        <w:rPr>
          <w:rFonts w:hint="eastAsia" w:ascii="仿宋" w:hAnsi="仿宋" w:eastAsia="仿宋" w:cs="仿宋"/>
          <w:color w:val="333333"/>
          <w:kern w:val="0"/>
          <w:sz w:val="32"/>
          <w:szCs w:val="32"/>
        </w:rPr>
      </w:pPr>
      <w:r>
        <w:rPr>
          <w:rFonts w:hint="eastAsia" w:eastAsia="仿宋_GB2312"/>
          <w:bCs/>
          <w:sz w:val="32"/>
        </w:rPr>
        <w:t>我县购机补贴共</w:t>
      </w:r>
      <w:r>
        <w:rPr>
          <w:rFonts w:hint="eastAsia" w:eastAsia="仿宋_GB2312"/>
          <w:sz w:val="32"/>
        </w:rPr>
        <w:t>补贴机具</w:t>
      </w:r>
      <w:r>
        <w:rPr>
          <w:rFonts w:hint="eastAsia" w:eastAsia="仿宋_GB2312"/>
          <w:color w:val="000000" w:themeColor="text1"/>
          <w:sz w:val="32"/>
          <w:lang w:val="en-US" w:eastAsia="zh-CN"/>
          <w14:textFill>
            <w14:solidFill>
              <w14:schemeClr w14:val="tx1"/>
            </w14:solidFill>
          </w14:textFill>
        </w:rPr>
        <w:t>3306</w:t>
      </w:r>
      <w:r>
        <w:rPr>
          <w:rFonts w:hint="eastAsia" w:eastAsia="仿宋_GB2312"/>
          <w:color w:val="000000" w:themeColor="text1"/>
          <w:sz w:val="32"/>
          <w14:textFill>
            <w14:solidFill>
              <w14:schemeClr w14:val="tx1"/>
            </w14:solidFill>
          </w14:textFill>
        </w:rPr>
        <w:t>台，拉动消费</w:t>
      </w:r>
      <w:r>
        <w:rPr>
          <w:rFonts w:hint="eastAsia" w:eastAsia="仿宋_GB2312"/>
          <w:sz w:val="32"/>
          <w:lang w:val="en-US" w:eastAsia="zh-CN"/>
        </w:rPr>
        <w:t>1063.112</w:t>
      </w:r>
      <w:r>
        <w:rPr>
          <w:rFonts w:hint="eastAsia" w:eastAsia="仿宋_GB2312"/>
          <w:color w:val="000000" w:themeColor="text1"/>
          <w:sz w:val="32"/>
          <w14:textFill>
            <w14:solidFill>
              <w14:schemeClr w14:val="tx1"/>
            </w14:solidFill>
          </w14:textFill>
        </w:rPr>
        <w:t>万</w:t>
      </w:r>
      <w:r>
        <w:rPr>
          <w:rFonts w:hint="eastAsia" w:eastAsia="仿宋_GB2312"/>
          <w:sz w:val="32"/>
        </w:rPr>
        <w:t>元，通过购机的发放，新机具的投入使用，增加了农民收入，促进了农业大发展，提高了全县农机化水平。节能型机具使用，环保了自然环境。</w:t>
      </w:r>
    </w:p>
    <w:p>
      <w:pPr>
        <w:adjustRightInd w:val="0"/>
        <w:snapToGrid w:val="0"/>
        <w:spacing w:line="600" w:lineRule="exact"/>
        <w:ind w:left="-105" w:leftChars="-50" w:right="-105" w:rightChars="-50" w:firstLine="640" w:firstLineChars="200"/>
        <w:rPr>
          <w:rFonts w:hint="default" w:ascii="仿宋" w:hAnsi="仿宋" w:eastAsia="仿宋" w:cs="仿宋"/>
          <w:color w:val="333333"/>
          <w:kern w:val="0"/>
          <w:sz w:val="32"/>
          <w:szCs w:val="32"/>
          <w:lang w:val="en-US" w:eastAsia="zh-CN"/>
        </w:rPr>
      </w:pPr>
      <w:r>
        <w:rPr>
          <w:rFonts w:hint="eastAsia" w:ascii="仿宋" w:hAnsi="仿宋" w:eastAsia="仿宋" w:cs="仿宋"/>
          <w:color w:val="333333"/>
          <w:kern w:val="0"/>
          <w:sz w:val="32"/>
          <w:szCs w:val="32"/>
        </w:rPr>
        <w:t>通过高标准农田项目建设，可为项目区带来很好的社会效益，使农村面貌焕然一新，农业生产环境明显改善，农民的生活水平显著提高。三是环境效益。通过实施排灌工程措施，可改善水利灌排条件，优化农作物的种植结构，保持水土，防止土壤退化，增强土壤肥力和抗灾能力,对于项目区的防风和防治水土流失将会产生极大的作用，使生态防护较之整理以前更有规则，更有秩序。促进土地排灌畅通，有利于防洪排涝，同时也有利于减少水的渗漏流失</w:t>
      </w:r>
      <w:r>
        <w:rPr>
          <w:rFonts w:hint="eastAsia" w:ascii="仿宋" w:hAnsi="仿宋" w:eastAsia="仿宋" w:cs="仿宋"/>
          <w:color w:val="333333"/>
          <w:kern w:val="0"/>
          <w:sz w:val="32"/>
          <w:szCs w:val="32"/>
          <w:lang w:eastAsia="zh-CN"/>
        </w:rPr>
        <w:t>，群众满意度</w:t>
      </w:r>
      <w:r>
        <w:rPr>
          <w:rFonts w:hint="eastAsia" w:ascii="仿宋" w:hAnsi="仿宋" w:eastAsia="仿宋" w:cs="仿宋"/>
          <w:color w:val="333333"/>
          <w:kern w:val="0"/>
          <w:sz w:val="32"/>
          <w:szCs w:val="32"/>
          <w:lang w:val="en-US" w:eastAsia="zh-CN"/>
        </w:rPr>
        <w:t>96%。</w:t>
      </w:r>
    </w:p>
    <w:p>
      <w:pPr>
        <w:adjustRightInd w:val="0"/>
        <w:snapToGrid w:val="0"/>
        <w:spacing w:line="600" w:lineRule="exact"/>
        <w:ind w:left="840" w:leftChars="400" w:firstLine="640" w:firstLineChars="200"/>
        <w:rPr>
          <w:rFonts w:hint="eastAsia" w:ascii="仿宋" w:hAnsi="仿宋" w:eastAsia="仿宋" w:cs="宋体"/>
          <w:color w:val="0000FF"/>
          <w:kern w:val="0"/>
          <w:sz w:val="32"/>
          <w:szCs w:val="32"/>
        </w:rPr>
      </w:pPr>
    </w:p>
    <w:p>
      <w:pPr>
        <w:widowControl/>
        <w:tabs>
          <w:tab w:val="left" w:pos="5625"/>
        </w:tabs>
        <w:adjustRightInd w:val="0"/>
        <w:snapToGrid w:val="0"/>
        <w:spacing w:line="600" w:lineRule="exact"/>
        <w:ind w:firstLine="640" w:firstLineChars="200"/>
        <w:jc w:val="left"/>
        <w:rPr>
          <w:rFonts w:hint="eastAsia" w:ascii="仿宋" w:hAnsi="仿宋" w:eastAsia="仿宋" w:cs="宋体"/>
          <w:color w:val="343233"/>
          <w:kern w:val="0"/>
          <w:sz w:val="32"/>
          <w:szCs w:val="32"/>
        </w:rPr>
      </w:pPr>
      <w:r>
        <w:rPr>
          <w:rFonts w:hint="eastAsia" w:ascii="仿宋" w:hAnsi="仿宋" w:eastAsia="仿宋" w:cs="宋体"/>
          <w:color w:val="343233"/>
          <w:kern w:val="0"/>
          <w:sz w:val="32"/>
          <w:szCs w:val="32"/>
        </w:rPr>
        <w:t xml:space="preserve">             </w:t>
      </w:r>
      <w:r>
        <w:rPr>
          <w:rFonts w:hint="eastAsia" w:ascii="仿宋" w:hAnsi="仿宋" w:eastAsia="仿宋" w:cs="宋体"/>
          <w:color w:val="343233"/>
          <w:kern w:val="0"/>
          <w:sz w:val="32"/>
          <w:szCs w:val="32"/>
        </w:rPr>
        <w:tab/>
      </w:r>
    </w:p>
    <w:p>
      <w:pPr>
        <w:adjustRightInd w:val="0"/>
        <w:snapToGrid w:val="0"/>
        <w:spacing w:line="600" w:lineRule="exact"/>
        <w:ind w:firstLine="640" w:firstLineChars="200"/>
        <w:rPr>
          <w:rFonts w:hint="eastAsia" w:ascii="仿宋" w:hAnsi="仿宋" w:eastAsia="仿宋" w:cs="宋体"/>
          <w:color w:val="343233"/>
          <w:kern w:val="0"/>
          <w:sz w:val="32"/>
          <w:szCs w:val="32"/>
        </w:rPr>
      </w:pPr>
      <w:r>
        <w:rPr>
          <w:rFonts w:hint="eastAsia" w:ascii="仿宋" w:hAnsi="仿宋" w:eastAsia="仿宋" w:cs="宋体"/>
          <w:color w:val="343233"/>
          <w:kern w:val="0"/>
          <w:sz w:val="32"/>
          <w:szCs w:val="32"/>
        </w:rPr>
        <w:tab/>
      </w:r>
      <w:r>
        <w:rPr>
          <w:rFonts w:hint="eastAsia" w:ascii="仿宋" w:hAnsi="仿宋" w:eastAsia="仿宋" w:cs="宋体"/>
          <w:color w:val="343233"/>
          <w:kern w:val="0"/>
          <w:sz w:val="32"/>
          <w:szCs w:val="32"/>
        </w:rPr>
        <w:t xml:space="preserve">                              会同县农业</w:t>
      </w:r>
      <w:r>
        <w:rPr>
          <w:rFonts w:hint="eastAsia" w:ascii="仿宋" w:hAnsi="仿宋" w:eastAsia="仿宋" w:cs="宋体"/>
          <w:color w:val="343233"/>
          <w:kern w:val="0"/>
          <w:sz w:val="32"/>
          <w:szCs w:val="32"/>
          <w:lang w:eastAsia="zh-CN"/>
        </w:rPr>
        <w:t>农村</w:t>
      </w:r>
      <w:r>
        <w:rPr>
          <w:rFonts w:hint="eastAsia" w:ascii="仿宋" w:hAnsi="仿宋" w:eastAsia="仿宋" w:cs="宋体"/>
          <w:color w:val="343233"/>
          <w:kern w:val="0"/>
          <w:sz w:val="32"/>
          <w:szCs w:val="32"/>
        </w:rPr>
        <w:t>局</w:t>
      </w:r>
    </w:p>
    <w:p>
      <w:pPr>
        <w:ind w:firstLine="5760" w:firstLineChars="1800"/>
        <w:rPr>
          <w:rFonts w:hint="eastAsia" w:ascii="仿宋" w:hAnsi="仿宋" w:eastAsia="仿宋"/>
          <w:sz w:val="32"/>
          <w:szCs w:val="32"/>
        </w:rPr>
      </w:pPr>
      <w:r>
        <w:rPr>
          <w:rFonts w:hint="eastAsia" w:ascii="仿宋" w:hAnsi="仿宋" w:eastAsia="仿宋" w:cs="宋体"/>
          <w:color w:val="343233"/>
          <w:kern w:val="0"/>
          <w:sz w:val="32"/>
          <w:szCs w:val="32"/>
        </w:rPr>
        <w:t>202</w:t>
      </w:r>
      <w:r>
        <w:rPr>
          <w:rFonts w:hint="eastAsia" w:ascii="仿宋" w:hAnsi="仿宋" w:eastAsia="仿宋" w:cs="宋体"/>
          <w:color w:val="343233"/>
          <w:kern w:val="0"/>
          <w:sz w:val="32"/>
          <w:szCs w:val="32"/>
          <w:lang w:val="en-US" w:eastAsia="zh-CN"/>
        </w:rPr>
        <w:t>4</w:t>
      </w:r>
      <w:r>
        <w:rPr>
          <w:rFonts w:hint="eastAsia" w:ascii="仿宋" w:hAnsi="仿宋" w:eastAsia="仿宋" w:cs="宋体"/>
          <w:color w:val="343233"/>
          <w:kern w:val="0"/>
          <w:sz w:val="32"/>
          <w:szCs w:val="32"/>
        </w:rPr>
        <w:t>年</w:t>
      </w:r>
      <w:r>
        <w:rPr>
          <w:rFonts w:hint="eastAsia" w:ascii="仿宋" w:hAnsi="仿宋" w:eastAsia="仿宋" w:cs="宋体"/>
          <w:color w:val="343233"/>
          <w:kern w:val="0"/>
          <w:sz w:val="32"/>
          <w:szCs w:val="32"/>
          <w:lang w:val="en-US" w:eastAsia="zh-CN"/>
        </w:rPr>
        <w:t>2</w:t>
      </w:r>
      <w:r>
        <w:rPr>
          <w:rFonts w:hint="eastAsia" w:ascii="仿宋" w:hAnsi="仿宋" w:eastAsia="仿宋" w:cs="宋体"/>
          <w:color w:val="343233"/>
          <w:kern w:val="0"/>
          <w:sz w:val="32"/>
          <w:szCs w:val="32"/>
        </w:rPr>
        <w:t>月2</w:t>
      </w:r>
      <w:r>
        <w:rPr>
          <w:rFonts w:hint="eastAsia" w:ascii="仿宋" w:hAnsi="仿宋" w:eastAsia="仿宋" w:cs="宋体"/>
          <w:color w:val="343233"/>
          <w:kern w:val="0"/>
          <w:sz w:val="32"/>
          <w:szCs w:val="32"/>
          <w:lang w:val="en-US" w:eastAsia="zh-CN"/>
        </w:rPr>
        <w:t>8</w:t>
      </w:r>
      <w:r>
        <w:rPr>
          <w:rFonts w:hint="eastAsia" w:ascii="仿宋" w:hAnsi="仿宋" w:eastAsia="仿宋" w:cs="宋体"/>
          <w:color w:val="343233"/>
          <w:kern w:val="0"/>
          <w:sz w:val="32"/>
          <w:szCs w:val="32"/>
        </w:rPr>
        <w:t>日</w:t>
      </w:r>
    </w:p>
    <w:p>
      <w:pPr>
        <w:rPr>
          <w:rFonts w:hint="eastAsia"/>
        </w:rPr>
      </w:pPr>
    </w:p>
    <w:sectPr>
      <w:pgSz w:w="11906" w:h="16838"/>
      <w:pgMar w:top="1213" w:right="1800"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58BEA"/>
    <w:multiLevelType w:val="singleLevel"/>
    <w:tmpl w:val="0EB58BEA"/>
    <w:lvl w:ilvl="0" w:tentative="0">
      <w:start w:val="13"/>
      <w:numFmt w:val="decimal"/>
      <w:suff w:val="space"/>
      <w:lvlText w:val="%1、"/>
      <w:lvlJc w:val="left"/>
    </w:lvl>
  </w:abstractNum>
  <w:abstractNum w:abstractNumId="1">
    <w:nsid w:val="151F8E07"/>
    <w:multiLevelType w:val="singleLevel"/>
    <w:tmpl w:val="151F8E07"/>
    <w:lvl w:ilvl="0" w:tentative="0">
      <w:start w:val="1"/>
      <w:numFmt w:val="chineseCounting"/>
      <w:suff w:val="nothing"/>
      <w:lvlText w:val="（%1）"/>
      <w:lvlJc w:val="left"/>
      <w:rPr>
        <w:rFonts w:hint="eastAsia"/>
      </w:rPr>
    </w:lvl>
  </w:abstractNum>
  <w:abstractNum w:abstractNumId="2">
    <w:nsid w:val="2F479959"/>
    <w:multiLevelType w:val="singleLevel"/>
    <w:tmpl w:val="2F479959"/>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0MjQ3MmU0ZGM2Y2RiMzY2ODBjNWNkZjEyNjY5ODkifQ=="/>
  </w:docVars>
  <w:rsids>
    <w:rsidRoot w:val="00470477"/>
    <w:rsid w:val="00034C50"/>
    <w:rsid w:val="001638DA"/>
    <w:rsid w:val="00181CBF"/>
    <w:rsid w:val="001D0B00"/>
    <w:rsid w:val="003D0BF1"/>
    <w:rsid w:val="00470477"/>
    <w:rsid w:val="00540EDF"/>
    <w:rsid w:val="00572A8E"/>
    <w:rsid w:val="00573672"/>
    <w:rsid w:val="007114D1"/>
    <w:rsid w:val="00733509"/>
    <w:rsid w:val="007955DD"/>
    <w:rsid w:val="00967E74"/>
    <w:rsid w:val="009A3E37"/>
    <w:rsid w:val="00AC4C7B"/>
    <w:rsid w:val="00AF15E6"/>
    <w:rsid w:val="00B6021E"/>
    <w:rsid w:val="00B818AA"/>
    <w:rsid w:val="00CA1BC5"/>
    <w:rsid w:val="00CE661A"/>
    <w:rsid w:val="00D22E3F"/>
    <w:rsid w:val="00D5337D"/>
    <w:rsid w:val="00D658FD"/>
    <w:rsid w:val="00D76D4B"/>
    <w:rsid w:val="00D918E9"/>
    <w:rsid w:val="00DC64D2"/>
    <w:rsid w:val="00E524BD"/>
    <w:rsid w:val="00E850D6"/>
    <w:rsid w:val="00F6594D"/>
    <w:rsid w:val="00F804E8"/>
    <w:rsid w:val="0337040D"/>
    <w:rsid w:val="036854F4"/>
    <w:rsid w:val="07403E83"/>
    <w:rsid w:val="0781507A"/>
    <w:rsid w:val="083C271E"/>
    <w:rsid w:val="0B171F71"/>
    <w:rsid w:val="0B290A3F"/>
    <w:rsid w:val="0B3432BE"/>
    <w:rsid w:val="100F307D"/>
    <w:rsid w:val="11170BF5"/>
    <w:rsid w:val="230F7B3E"/>
    <w:rsid w:val="33AA4AC5"/>
    <w:rsid w:val="3900331E"/>
    <w:rsid w:val="3DF02249"/>
    <w:rsid w:val="409C1146"/>
    <w:rsid w:val="44BB3970"/>
    <w:rsid w:val="4FB5434D"/>
    <w:rsid w:val="57525AE6"/>
    <w:rsid w:val="57E1517E"/>
    <w:rsid w:val="58676F42"/>
    <w:rsid w:val="5F021012"/>
    <w:rsid w:val="62477D03"/>
    <w:rsid w:val="697D0192"/>
    <w:rsid w:val="6C8E6E97"/>
    <w:rsid w:val="6E815015"/>
    <w:rsid w:val="71A93879"/>
    <w:rsid w:val="7AEF7624"/>
    <w:rsid w:val="7BB41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Normal (Web)"/>
    <w:basedOn w:val="1"/>
    <w:qFormat/>
    <w:uiPriority w:val="0"/>
    <w:pPr>
      <w:spacing w:before="100" w:beforeAutospacing="1" w:after="100" w:afterAutospacing="1"/>
      <w:jc w:val="left"/>
    </w:pPr>
    <w:rPr>
      <w:rFonts w:ascii="宋体"/>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89C3F-3D29-4609-8122-119BA05499D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3482</Words>
  <Characters>3954</Characters>
  <Lines>38</Lines>
  <Paragraphs>10</Paragraphs>
  <TotalTime>0</TotalTime>
  <ScaleCrop>false</ScaleCrop>
  <LinksUpToDate>false</LinksUpToDate>
  <CharactersWithSpaces>4021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2003-12-31T16:29:00Z</dcterms:created>
  <dc:creator>Administrator</dc:creator>
  <cp:lastModifiedBy>Administrator</cp:lastModifiedBy>
  <cp:lastPrinted>2022-07-13T08:30:00Z</cp:lastPrinted>
  <dcterms:modified xsi:type="dcterms:W3CDTF">2024-03-19T07:58:52Z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B9D5CEFF53B74C8B977B7849EB2E0845_13</vt:lpwstr>
  </property>
</Properties>
</file>