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5FB3E">
      <w:pPr>
        <w:spacing w:line="640" w:lineRule="exac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附件2</w:t>
      </w:r>
    </w:p>
    <w:p w14:paraId="03E6F594">
      <w:pPr>
        <w:spacing w:line="640" w:lineRule="exact"/>
        <w:rPr>
          <w:rFonts w:eastAsia="仿宋_GB2312"/>
          <w:sz w:val="32"/>
          <w:szCs w:val="32"/>
        </w:rPr>
      </w:pPr>
    </w:p>
    <w:p w14:paraId="1E97F733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会同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县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val="en-US" w:eastAsia="zh-CN"/>
        </w:rPr>
        <w:t>发展和改革局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1-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月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预算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支出绩效运行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监控报告</w:t>
      </w:r>
    </w:p>
    <w:p w14:paraId="1F9D9FD2">
      <w:pPr>
        <w:spacing w:line="640" w:lineRule="exact"/>
        <w:jc w:val="left"/>
        <w:rPr>
          <w:rFonts w:eastAsia="方正小标宋_GBK"/>
          <w:sz w:val="36"/>
          <w:szCs w:val="36"/>
        </w:rPr>
      </w:pPr>
    </w:p>
    <w:p w14:paraId="194DA250">
      <w:pPr>
        <w:numPr>
          <w:ilvl w:val="0"/>
          <w:numId w:val="1"/>
        </w:num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项目支出基本情况</w:t>
      </w:r>
    </w:p>
    <w:p w14:paraId="04920363"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截至2024年6月底，我局预算项目总支出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63.26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万元，占年初预算总额的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45.54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%。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主要包括经常性补助、非税收入征收成本、易地搬迁后续帮扶专项工作经费、粮食工作专项经费、重大项目前期工作经费、粮食流通监管工作经费、人防工程维护管理、指挥信息建设费、粮油仓储设施维护费、粮油检验专项经费。</w:t>
      </w:r>
    </w:p>
    <w:p w14:paraId="161B3CB7">
      <w:pPr>
        <w:numPr>
          <w:ilvl w:val="0"/>
          <w:numId w:val="1"/>
        </w:numPr>
        <w:spacing w:line="640" w:lineRule="exact"/>
        <w:ind w:left="0" w:leftChars="0"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绩效运行监控工作开展情况</w:t>
      </w:r>
    </w:p>
    <w:p w14:paraId="0496CD5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上半年，我们严格执行财政资金绩效管理办法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每月对预算项目支出情况进行跟踪审核，重点评估项目进度、资金使用效率及预期效果达成情况。通过现场走访、资料审查、数据分析等多种方式，确保监控工作的全面性和准确性。</w:t>
      </w:r>
    </w:p>
    <w:p w14:paraId="5171C3DF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三、绩效运行监控情况</w:t>
      </w:r>
    </w:p>
    <w:p w14:paraId="1D360814">
      <w:pPr>
        <w:tabs>
          <w:tab w:val="left" w:pos="1560"/>
        </w:tabs>
        <w:spacing w:line="640" w:lineRule="exact"/>
        <w:ind w:firstLine="548" w:firstLineChars="200"/>
        <w:rPr>
          <w:rFonts w:eastAsia="楷体_GB2312"/>
          <w:b w:val="0"/>
          <w:bCs w:val="0"/>
          <w:sz w:val="32"/>
          <w:szCs w:val="32"/>
        </w:rPr>
      </w:pPr>
      <w:r>
        <w:rPr>
          <w:rFonts w:eastAsia="楷体_GB2312"/>
          <w:b w:val="0"/>
          <w:bCs w:val="0"/>
          <w:spacing w:val="-23"/>
          <w:sz w:val="32"/>
          <w:szCs w:val="32"/>
        </w:rPr>
        <w:t>（一）</w:t>
      </w:r>
      <w:r>
        <w:rPr>
          <w:rFonts w:eastAsia="楷体_GB2312"/>
          <w:b w:val="0"/>
          <w:bCs w:val="0"/>
          <w:sz w:val="32"/>
          <w:szCs w:val="32"/>
        </w:rPr>
        <w:t>项目支出预算执行情况</w:t>
      </w:r>
    </w:p>
    <w:p w14:paraId="48810B0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eastAsia="楷体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各项目支出基本按照预算计划执行，执行率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为45.54%，这反映出预算编制较为精准，同时也体现了较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好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的财务管理能力。大部分项目资金使用效率高，达到了预期的效果，为单位的正常运转提供了坚实的财务支持。</w:t>
      </w:r>
    </w:p>
    <w:p w14:paraId="16825E50">
      <w:pPr>
        <w:numPr>
          <w:ilvl w:val="0"/>
          <w:numId w:val="2"/>
        </w:numPr>
        <w:tabs>
          <w:tab w:val="left" w:pos="1560"/>
        </w:tabs>
        <w:spacing w:line="640" w:lineRule="exact"/>
        <w:ind w:firstLine="548" w:firstLineChars="200"/>
        <w:rPr>
          <w:rFonts w:ascii="Times New Roman" w:hAnsi="Times New Roman" w:eastAsia="楷体_GB2312" w:cs="Times New Roman"/>
          <w:b w:val="0"/>
          <w:bCs w:val="0"/>
          <w:spacing w:val="-23"/>
          <w:sz w:val="32"/>
          <w:szCs w:val="32"/>
        </w:rPr>
      </w:pPr>
      <w:r>
        <w:rPr>
          <w:rFonts w:ascii="Times New Roman" w:hAnsi="Times New Roman" w:eastAsia="楷体_GB2312" w:cs="Times New Roman"/>
          <w:b w:val="0"/>
          <w:bCs w:val="0"/>
          <w:spacing w:val="-23"/>
          <w:sz w:val="32"/>
          <w:szCs w:val="32"/>
        </w:rPr>
        <w:t>项目支出绩效目标完成情况</w:t>
      </w:r>
    </w:p>
    <w:p w14:paraId="15FDF324"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大多数项目已经接近或达到了中期绩效目标，特别是在重大项目前期工作、粮食安全保障、人防工程维护等关键领域，成效尤为显著。不过，在一些辅助性质的支出项目上，如非税收入征收成本和部分行政管理支出，仍存在一定的提升空间。</w:t>
      </w:r>
    </w:p>
    <w:p w14:paraId="26EA647F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四、存在问题及其原因</w:t>
      </w:r>
    </w:p>
    <w:p w14:paraId="4115B37F">
      <w:pPr>
        <w:widowControl/>
        <w:numPr>
          <w:numId w:val="0"/>
        </w:numPr>
        <w:spacing w:line="64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虽然总体上项目支出绩效运行情况良好，但也暴露出一些问题，主要是部分项目预算执行率偏低，如个别项目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如粮食工作专项经费、粮油仓储设施维护费等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的预算执行率未达到预期，主要原因是项目需要在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完成财政非税征收任务后，财政根据完成情况下拨资金。</w:t>
      </w:r>
    </w:p>
    <w:p w14:paraId="293F7718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五、有关建议及工作措施</w:t>
      </w:r>
    </w:p>
    <w:p w14:paraId="5A70358F">
      <w:pPr>
        <w:widowControl/>
        <w:numPr>
          <w:ilvl w:val="0"/>
          <w:numId w:val="0"/>
        </w:numPr>
        <w:spacing w:line="64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针对上述问题，我们提出以下几点建议及相应工作措施：</w:t>
      </w:r>
    </w:p>
    <w:p w14:paraId="602EEB5F">
      <w:pPr>
        <w:widowControl/>
        <w:numPr>
          <w:ilvl w:val="0"/>
          <w:numId w:val="0"/>
        </w:numPr>
        <w:spacing w:line="64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1. 加强项目前期策划，在项目立项之初就进行全面的风险评估，确保预算的合理性和可行性，同时，建立紧急预案机制，以应对突发状况。</w:t>
      </w:r>
    </w:p>
    <w:p w14:paraId="29451C65">
      <w:pPr>
        <w:widowControl/>
        <w:numPr>
          <w:ilvl w:val="0"/>
          <w:numId w:val="0"/>
        </w:numPr>
        <w:spacing w:line="64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2. 优化预算管理，定期评估各项目预算执行情况，适时调整预算结构，确保资金使用更加精准高效。</w:t>
      </w:r>
    </w:p>
    <w:p w14:paraId="7E0679AA">
      <w:pPr>
        <w:widowControl/>
        <w:numPr>
          <w:ilvl w:val="0"/>
          <w:numId w:val="0"/>
        </w:numPr>
        <w:spacing w:line="64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3. 完善财务制度，修订现有的财务管理制度，使之更加贴近实际工作需求，提高制度的实用性和有效性。</w:t>
      </w:r>
    </w:p>
    <w:p w14:paraId="776199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095BB"/>
    <w:multiLevelType w:val="singleLevel"/>
    <w:tmpl w:val="0EF095B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89EA476"/>
    <w:multiLevelType w:val="singleLevel"/>
    <w:tmpl w:val="189EA4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0MzM4OTNlY2FmNDBhNTUzNTQyNjNmYWMwOTA1YzkifQ=="/>
  </w:docVars>
  <w:rsids>
    <w:rsidRoot w:val="71F11E99"/>
    <w:rsid w:val="15A563D8"/>
    <w:rsid w:val="1A885B1F"/>
    <w:rsid w:val="71F1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3">
    <w:name w:val="toc 5"/>
    <w:basedOn w:val="1"/>
    <w:next w:val="1"/>
    <w:qFormat/>
    <w:uiPriority w:val="0"/>
    <w:pPr>
      <w:ind w:left="1680" w:leftChars="800"/>
    </w:pPr>
  </w:style>
  <w:style w:type="paragraph" w:customStyle="1" w:styleId="6">
    <w:name w:val="正文首行缩进1"/>
    <w:basedOn w:val="1"/>
    <w:qFormat/>
    <w:uiPriority w:val="0"/>
    <w:pPr>
      <w:spacing w:after="120"/>
      <w:ind w:firstLine="420" w:firstLineChars="100"/>
    </w:pPr>
    <w:rPr>
      <w:rFonts w:hint="eastAsia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236</Words>
  <Characters>241</Characters>
  <Lines>0</Lines>
  <Paragraphs>0</Paragraphs>
  <TotalTime>35</TotalTime>
  <ScaleCrop>false</ScaleCrop>
  <LinksUpToDate>false</LinksUpToDate>
  <CharactersWithSpaces>244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2024-09-19T07:16:00Z</dcterms:created>
  <dc:creator>Autism“”</dc:creator>
  <cp:lastModifiedBy>Autism“”</cp:lastModifiedBy>
  <dcterms:modified xsi:type="dcterms:W3CDTF">2024-09-20T03:30:45Z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244F59B88DB647558F089575DF2B266D_11</vt:lpwstr>
  </property>
</Properties>
</file>