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CD31D5">
      <w:pPr>
        <w:pStyle w:val="6"/>
        <w:widowControl/>
        <w:shd w:val="clear" w:color="auto" w:fill="FFFFFF"/>
        <w:spacing w:before="0" w:beforeAutospacing="0" w:after="0" w:afterAutospacing="0" w:line="480" w:lineRule="atLeast"/>
        <w:jc w:val="both"/>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附件1</w:t>
      </w:r>
    </w:p>
    <w:p w14:paraId="53735C06">
      <w:pPr>
        <w:pStyle w:val="6"/>
        <w:widowControl/>
        <w:shd w:val="clear" w:color="auto" w:fill="FFFFFF"/>
        <w:snapToGrid w:val="0"/>
        <w:spacing w:before="0" w:beforeAutospacing="0" w:after="0" w:afterAutospacing="0" w:line="52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shd w:val="clear" w:color="auto" w:fill="FFFFFF"/>
        </w:rPr>
        <w:t>部门整体支出绩效自评报告</w:t>
      </w:r>
    </w:p>
    <w:p w14:paraId="7A80A36A">
      <w:pPr>
        <w:pStyle w:val="6"/>
        <w:widowControl/>
        <w:shd w:val="clear" w:color="auto" w:fill="FFFFFF"/>
        <w:snapToGrid w:val="0"/>
        <w:spacing w:before="0" w:beforeAutospacing="0" w:after="0" w:afterAutospacing="0" w:line="520" w:lineRule="exact"/>
        <w:jc w:val="center"/>
        <w:rPr>
          <w:rFonts w:ascii="仿宋_GB2312" w:eastAsia="仿宋_GB2312" w:cs="仿宋_GB2312"/>
          <w:color w:val="000000"/>
        </w:rPr>
      </w:pPr>
    </w:p>
    <w:p w14:paraId="49F546CC">
      <w:pPr>
        <w:pStyle w:val="6"/>
        <w:widowControl/>
        <w:shd w:val="clear" w:color="auto" w:fill="FFFFFF"/>
        <w:snapToGrid w:val="0"/>
        <w:spacing w:before="0" w:beforeAutospacing="0" w:after="0" w:afterAutospacing="0" w:line="520" w:lineRule="exact"/>
        <w:jc w:val="center"/>
        <w:rPr>
          <w:rFonts w:ascii="仿宋_GB2312" w:eastAsia="仿宋_GB2312" w:cs="仿宋_GB2312"/>
          <w:color w:val="000000"/>
        </w:rPr>
      </w:pPr>
    </w:p>
    <w:p w14:paraId="4B600C3E">
      <w:pPr>
        <w:pStyle w:val="6"/>
        <w:widowControl/>
        <w:shd w:val="clear" w:color="auto" w:fill="FFFFFF"/>
        <w:snapToGrid w:val="0"/>
        <w:spacing w:before="0" w:beforeAutospacing="0" w:after="0" w:afterAutospacing="0" w:line="52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shd w:val="clear" w:color="auto" w:fill="FFFFFF"/>
        </w:rPr>
        <w:t>一、部门、单位基本情况</w:t>
      </w:r>
    </w:p>
    <w:p w14:paraId="2EB6CD37">
      <w:pPr>
        <w:pStyle w:val="6"/>
        <w:widowControl/>
        <w:shd w:val="clear" w:color="auto" w:fill="FFFFFF"/>
        <w:snapToGrid w:val="0"/>
        <w:spacing w:before="0" w:beforeAutospacing="0" w:after="0" w:afterAutospacing="0" w:line="520" w:lineRule="exact"/>
        <w:ind w:firstLine="548" w:firstLineChars="200"/>
        <w:rPr>
          <w:rFonts w:ascii="楷体_GB2312" w:eastAsia="楷体_GB2312" w:cs="楷体_GB2312"/>
          <w:color w:val="000000"/>
          <w:sz w:val="32"/>
          <w:szCs w:val="32"/>
          <w:shd w:val="clear" w:color="auto" w:fill="FFFFFF"/>
        </w:rPr>
      </w:pPr>
      <w:r>
        <w:rPr>
          <w:rFonts w:ascii="楷体_GB2312" w:eastAsia="楷体_GB2312" w:cs="楷体_GB2312"/>
          <w:color w:val="000000"/>
          <w:spacing w:val="-23"/>
          <w:sz w:val="32"/>
          <w:szCs w:val="32"/>
          <w:shd w:val="clear" w:color="auto" w:fill="FFFFFF"/>
        </w:rPr>
        <w:t>（一）</w:t>
      </w:r>
      <w:r>
        <w:rPr>
          <w:rFonts w:ascii="楷体_GB2312" w:eastAsia="楷体_GB2312" w:cs="楷体_GB2312"/>
          <w:color w:val="000000"/>
          <w:sz w:val="32"/>
          <w:szCs w:val="32"/>
          <w:shd w:val="clear" w:color="auto" w:fill="FFFFFF"/>
        </w:rPr>
        <w:t>机构设置情况</w:t>
      </w:r>
    </w:p>
    <w:p w14:paraId="368A3ABF">
      <w:pPr>
        <w:pStyle w:val="6"/>
        <w:widowControl/>
        <w:shd w:val="clear" w:color="auto" w:fill="FFFFFF"/>
        <w:snapToGrid w:val="0"/>
        <w:spacing w:before="0" w:beforeAutospacing="0" w:after="0" w:afterAutospacing="0" w:line="520" w:lineRule="exact"/>
        <w:ind w:firstLine="640" w:firstLineChars="200"/>
        <w:rPr>
          <w:rFonts w:ascii="楷体_GB2312" w:eastAsia="楷体_GB2312" w:cs="楷体_GB2312"/>
          <w:color w:val="000000"/>
          <w:sz w:val="32"/>
          <w:szCs w:val="32"/>
          <w:shd w:val="clear" w:color="auto" w:fill="FFFFFF"/>
        </w:rPr>
      </w:pPr>
      <w:r>
        <w:rPr>
          <w:rFonts w:hint="eastAsia" w:ascii="仿宋" w:hAnsi="仿宋" w:eastAsia="仿宋" w:cs="仿宋"/>
          <w:sz w:val="32"/>
          <w:szCs w:val="32"/>
        </w:rPr>
        <w:t>会同县</w:t>
      </w:r>
      <w:r>
        <w:rPr>
          <w:rFonts w:hint="eastAsia" w:ascii="仿宋" w:hAnsi="仿宋" w:eastAsia="仿宋" w:cs="仿宋"/>
          <w:sz w:val="32"/>
          <w:szCs w:val="32"/>
          <w:lang w:eastAsia="zh-CN"/>
        </w:rPr>
        <w:t>工伤保险</w:t>
      </w:r>
      <w:r>
        <w:rPr>
          <w:rFonts w:hint="eastAsia" w:ascii="仿宋" w:hAnsi="仿宋" w:eastAsia="仿宋" w:cs="仿宋"/>
          <w:sz w:val="32"/>
          <w:szCs w:val="32"/>
        </w:rPr>
        <w:t>服务中心是隶属于会同县人力资源和和社会保障局的副科级事业单位，</w:t>
      </w:r>
      <w:r>
        <w:rPr>
          <w:rFonts w:hint="eastAsia" w:ascii="仿宋" w:hAnsi="仿宋" w:eastAsia="仿宋" w:cs="仿宋"/>
          <w:sz w:val="32"/>
          <w:szCs w:val="32"/>
          <w:shd w:val="clear" w:color="auto" w:fill="FFFFFF"/>
        </w:rPr>
        <w:t>有办公</w:t>
      </w:r>
      <w:r>
        <w:rPr>
          <w:rFonts w:hint="eastAsia" w:ascii="仿宋" w:hAnsi="仿宋" w:eastAsia="仿宋" w:cs="仿宋"/>
          <w:sz w:val="32"/>
          <w:szCs w:val="32"/>
          <w:shd w:val="clear" w:color="auto" w:fill="FFFFFF"/>
          <w:lang w:eastAsia="zh-CN"/>
        </w:rPr>
        <w:t>室</w:t>
      </w:r>
      <w:r>
        <w:rPr>
          <w:rFonts w:hint="eastAsia" w:ascii="仿宋" w:hAnsi="仿宋" w:eastAsia="仿宋" w:cs="仿宋"/>
          <w:sz w:val="32"/>
          <w:szCs w:val="32"/>
          <w:shd w:val="clear" w:color="auto" w:fill="FFFFFF"/>
        </w:rPr>
        <w:t>、</w:t>
      </w:r>
      <w:r>
        <w:rPr>
          <w:rFonts w:hint="eastAsia" w:ascii="仿宋" w:hAnsi="仿宋" w:eastAsia="仿宋" w:cs="仿宋"/>
          <w:sz w:val="32"/>
          <w:szCs w:val="32"/>
          <w:shd w:val="clear" w:color="auto" w:fill="FFFFFF"/>
          <w:lang w:eastAsia="zh-CN"/>
        </w:rPr>
        <w:t>审核计发部</w:t>
      </w:r>
      <w:r>
        <w:rPr>
          <w:rFonts w:hint="eastAsia" w:ascii="仿宋" w:hAnsi="仿宋" w:eastAsia="仿宋" w:cs="仿宋"/>
          <w:sz w:val="32"/>
          <w:szCs w:val="32"/>
          <w:shd w:val="clear" w:color="auto" w:fill="FFFFFF"/>
        </w:rPr>
        <w:t>、业务</w:t>
      </w:r>
      <w:r>
        <w:rPr>
          <w:rFonts w:hint="eastAsia" w:ascii="仿宋" w:hAnsi="仿宋" w:eastAsia="仿宋" w:cs="仿宋"/>
          <w:sz w:val="32"/>
          <w:szCs w:val="32"/>
          <w:shd w:val="clear" w:color="auto" w:fill="FFFFFF"/>
          <w:lang w:eastAsia="zh-CN"/>
        </w:rPr>
        <w:t>征缴部</w:t>
      </w:r>
      <w:r>
        <w:rPr>
          <w:rFonts w:hint="eastAsia" w:ascii="仿宋" w:hAnsi="仿宋" w:eastAsia="仿宋" w:cs="仿宋"/>
          <w:sz w:val="32"/>
          <w:szCs w:val="32"/>
          <w:shd w:val="clear" w:color="auto" w:fill="FFFFFF"/>
          <w:lang w:val="en-US" w:eastAsia="zh-CN"/>
        </w:rPr>
        <w:t>3</w:t>
      </w:r>
      <w:r>
        <w:rPr>
          <w:rFonts w:hint="eastAsia" w:ascii="仿宋" w:hAnsi="仿宋" w:eastAsia="仿宋" w:cs="仿宋"/>
          <w:sz w:val="32"/>
          <w:szCs w:val="32"/>
          <w:shd w:val="clear" w:color="auto" w:fill="FFFFFF"/>
        </w:rPr>
        <w:t>个内设职能股室。</w:t>
      </w:r>
    </w:p>
    <w:p w14:paraId="708BCCF2">
      <w:pPr>
        <w:pStyle w:val="6"/>
        <w:widowControl/>
        <w:numPr>
          <w:ilvl w:val="0"/>
          <w:numId w:val="1"/>
        </w:numPr>
        <w:shd w:val="clear" w:color="auto" w:fill="FFFFFF"/>
        <w:snapToGrid w:val="0"/>
        <w:spacing w:before="0" w:beforeAutospacing="0" w:after="0" w:afterAutospacing="0" w:line="520" w:lineRule="exact"/>
        <w:ind w:firstLine="640" w:firstLineChars="200"/>
        <w:rPr>
          <w:rFonts w:ascii="楷体_GB2312" w:eastAsia="楷体_GB2312" w:cs="楷体_GB2312"/>
          <w:color w:val="000000"/>
          <w:sz w:val="32"/>
          <w:szCs w:val="32"/>
          <w:shd w:val="clear" w:color="auto" w:fill="FFFFFF"/>
        </w:rPr>
      </w:pPr>
      <w:r>
        <w:rPr>
          <w:rFonts w:ascii="楷体_GB2312" w:eastAsia="楷体_GB2312" w:cs="楷体_GB2312"/>
          <w:color w:val="000000"/>
          <w:sz w:val="32"/>
          <w:szCs w:val="32"/>
          <w:shd w:val="clear" w:color="auto" w:fill="FFFFFF"/>
        </w:rPr>
        <w:t>人员编制情况</w:t>
      </w:r>
    </w:p>
    <w:p w14:paraId="00AB232D">
      <w:pPr>
        <w:pStyle w:val="6"/>
        <w:widowControl/>
        <w:shd w:val="clear" w:color="auto" w:fill="FFFFFF"/>
        <w:snapToGrid w:val="0"/>
        <w:spacing w:before="0" w:beforeAutospacing="0" w:after="0" w:afterAutospacing="0" w:line="520" w:lineRule="exact"/>
        <w:ind w:firstLine="640" w:firstLineChars="200"/>
        <w:rPr>
          <w:rFonts w:ascii="楷体_GB2312" w:eastAsia="楷体_GB2312" w:cs="楷体_GB2312"/>
          <w:color w:val="000000"/>
          <w:sz w:val="32"/>
          <w:szCs w:val="32"/>
          <w:shd w:val="clear" w:color="auto" w:fill="FFFFFF"/>
        </w:rPr>
      </w:pPr>
      <w:r>
        <w:rPr>
          <w:rFonts w:hint="eastAsia" w:ascii="仿宋" w:hAnsi="仿宋" w:eastAsia="仿宋" w:cs="仿宋"/>
          <w:sz w:val="32"/>
          <w:szCs w:val="32"/>
          <w:shd w:val="clear" w:color="auto" w:fill="FFFFFF"/>
        </w:rPr>
        <w:t>现有编制</w:t>
      </w:r>
      <w:r>
        <w:rPr>
          <w:rFonts w:hint="eastAsia" w:ascii="仿宋" w:hAnsi="仿宋" w:eastAsia="仿宋" w:cs="仿宋"/>
          <w:sz w:val="32"/>
          <w:szCs w:val="32"/>
          <w:shd w:val="clear" w:color="auto" w:fill="FFFFFF"/>
          <w:lang w:val="en-US" w:eastAsia="zh-CN"/>
        </w:rPr>
        <w:t>6</w:t>
      </w:r>
      <w:r>
        <w:rPr>
          <w:rFonts w:hint="eastAsia" w:ascii="仿宋" w:hAnsi="仿宋" w:eastAsia="仿宋" w:cs="仿宋"/>
          <w:sz w:val="32"/>
          <w:szCs w:val="32"/>
          <w:shd w:val="clear" w:color="auto" w:fill="FFFFFF"/>
        </w:rPr>
        <w:t>名，在职人数</w:t>
      </w:r>
      <w:r>
        <w:rPr>
          <w:rFonts w:hint="eastAsia" w:ascii="仿宋" w:hAnsi="仿宋" w:eastAsia="仿宋" w:cs="仿宋"/>
          <w:sz w:val="32"/>
          <w:szCs w:val="32"/>
          <w:shd w:val="clear" w:color="auto" w:fill="FFFFFF"/>
          <w:lang w:val="en-US" w:eastAsia="zh-CN"/>
        </w:rPr>
        <w:t>5</w:t>
      </w:r>
      <w:r>
        <w:rPr>
          <w:rFonts w:hint="eastAsia" w:ascii="仿宋" w:hAnsi="仿宋" w:eastAsia="仿宋" w:cs="仿宋"/>
          <w:sz w:val="32"/>
          <w:szCs w:val="32"/>
          <w:shd w:val="clear" w:color="auto" w:fill="FFFFFF"/>
        </w:rPr>
        <w:t>人，退休人员</w:t>
      </w:r>
      <w:r>
        <w:rPr>
          <w:rFonts w:hint="eastAsia" w:ascii="仿宋" w:hAnsi="仿宋" w:eastAsia="仿宋" w:cs="仿宋"/>
          <w:sz w:val="32"/>
          <w:szCs w:val="32"/>
          <w:shd w:val="clear" w:color="auto" w:fill="FFFFFF"/>
          <w:lang w:val="en-US" w:eastAsia="zh-CN"/>
        </w:rPr>
        <w:t>2</w:t>
      </w:r>
      <w:r>
        <w:rPr>
          <w:rFonts w:hint="eastAsia" w:ascii="仿宋" w:hAnsi="仿宋" w:eastAsia="仿宋" w:cs="仿宋"/>
          <w:sz w:val="32"/>
          <w:szCs w:val="32"/>
          <w:shd w:val="clear" w:color="auto" w:fill="FFFFFF"/>
        </w:rPr>
        <w:t>人。</w:t>
      </w:r>
    </w:p>
    <w:p w14:paraId="463063B2">
      <w:pPr>
        <w:pStyle w:val="6"/>
        <w:widowControl/>
        <w:numPr>
          <w:ilvl w:val="0"/>
          <w:numId w:val="1"/>
        </w:numPr>
        <w:shd w:val="clear" w:color="auto" w:fill="FFFFFF"/>
        <w:snapToGrid w:val="0"/>
        <w:spacing w:before="0" w:beforeAutospacing="0" w:after="0" w:afterAutospacing="0" w:line="520" w:lineRule="exact"/>
        <w:ind w:firstLine="640" w:firstLineChars="200"/>
        <w:rPr>
          <w:rFonts w:ascii="楷体_GB2312" w:eastAsia="楷体_GB2312" w:cs="楷体_GB2312"/>
          <w:color w:val="000000"/>
          <w:sz w:val="32"/>
          <w:szCs w:val="32"/>
          <w:shd w:val="clear" w:color="auto" w:fill="FFFFFF"/>
        </w:rPr>
      </w:pPr>
      <w:r>
        <w:rPr>
          <w:rFonts w:ascii="楷体_GB2312" w:eastAsia="楷体_GB2312" w:cs="楷体_GB2312"/>
          <w:color w:val="000000"/>
          <w:sz w:val="32"/>
          <w:szCs w:val="32"/>
          <w:shd w:val="clear" w:color="auto" w:fill="FFFFFF"/>
        </w:rPr>
        <w:t>主要职能职责</w:t>
      </w:r>
    </w:p>
    <w:p w14:paraId="08D7A976">
      <w:pPr>
        <w:numPr>
          <w:ilvl w:val="0"/>
          <w:numId w:val="0"/>
        </w:numPr>
        <w:ind w:firstLine="600" w:firstLineChars="200"/>
        <w:rPr>
          <w:rFonts w:hint="eastAsia" w:ascii="宋体" w:hAnsi="宋体"/>
          <w:color w:val="000000"/>
          <w:kern w:val="0"/>
          <w:sz w:val="32"/>
          <w:lang w:eastAsia="zh-CN"/>
        </w:rPr>
      </w:pPr>
      <w:r>
        <w:rPr>
          <w:rFonts w:hint="eastAsia" w:ascii="新宋体" w:hAnsi="新宋体" w:eastAsia="新宋体" w:cs="新宋体"/>
          <w:color w:val="auto"/>
          <w:kern w:val="0"/>
          <w:sz w:val="30"/>
          <w:szCs w:val="30"/>
          <w:lang w:val="en-US" w:eastAsia="zh-CN"/>
        </w:rPr>
        <w:t>1.</w:t>
      </w:r>
      <w:r>
        <w:rPr>
          <w:rFonts w:hint="eastAsia" w:ascii="宋体" w:hAnsi="宋体"/>
          <w:color w:val="000000"/>
          <w:kern w:val="0"/>
          <w:sz w:val="32"/>
          <w:lang w:eastAsia="zh-CN"/>
        </w:rPr>
        <w:t>定期公布工伤保险基金收支情况</w:t>
      </w:r>
      <w:bookmarkStart w:id="0" w:name="_GoBack"/>
      <w:bookmarkEnd w:id="0"/>
      <w:r>
        <w:rPr>
          <w:rFonts w:hint="eastAsia" w:ascii="宋体" w:hAnsi="宋体"/>
          <w:color w:val="000000"/>
          <w:kern w:val="0"/>
          <w:sz w:val="32"/>
          <w:lang w:eastAsia="zh-CN"/>
        </w:rPr>
        <w:t>；</w:t>
      </w:r>
    </w:p>
    <w:p w14:paraId="01A15C83">
      <w:pPr>
        <w:numPr>
          <w:ilvl w:val="0"/>
          <w:numId w:val="0"/>
        </w:numPr>
        <w:ind w:firstLine="600" w:firstLineChars="200"/>
        <w:rPr>
          <w:rFonts w:hint="eastAsia" w:ascii="新宋体" w:hAnsi="新宋体" w:eastAsia="新宋体" w:cs="新宋体"/>
          <w:color w:val="auto"/>
          <w:kern w:val="0"/>
          <w:sz w:val="30"/>
          <w:szCs w:val="30"/>
        </w:rPr>
      </w:pPr>
      <w:r>
        <w:rPr>
          <w:rFonts w:hint="eastAsia" w:ascii="新宋体" w:hAnsi="新宋体" w:eastAsia="新宋体" w:cs="新宋体"/>
          <w:color w:val="auto"/>
          <w:kern w:val="0"/>
          <w:sz w:val="30"/>
          <w:szCs w:val="30"/>
          <w:lang w:val="en-US" w:eastAsia="zh-CN"/>
        </w:rPr>
        <w:t>2.</w:t>
      </w:r>
      <w:r>
        <w:rPr>
          <w:rFonts w:hint="eastAsia" w:ascii="宋体" w:hAnsi="宋体"/>
          <w:color w:val="000000"/>
          <w:kern w:val="0"/>
          <w:sz w:val="32"/>
          <w:lang w:eastAsia="zh-CN"/>
        </w:rPr>
        <w:t>稽核用人单位的工资总额和职工个人工资、年龄、工种等基本情况。办理工伤保险登记，并负责保存用人单位缴费、职工个人基本情况、工伤保险待遇情况的记录；</w:t>
      </w:r>
    </w:p>
    <w:p w14:paraId="782AD315">
      <w:pPr>
        <w:keepNext w:val="0"/>
        <w:keepLines w:val="0"/>
        <w:pageBreakBefore w:val="0"/>
        <w:widowControl/>
        <w:kinsoku/>
        <w:wordWrap/>
        <w:overflowPunct/>
        <w:topLinePunct w:val="0"/>
        <w:autoSpaceDE/>
        <w:autoSpaceDN/>
        <w:bidi w:val="0"/>
        <w:adjustRightInd/>
        <w:snapToGrid/>
        <w:spacing w:line="600" w:lineRule="exact"/>
        <w:ind w:firstLine="600" w:firstLineChars="200"/>
        <w:jc w:val="both"/>
        <w:textAlignment w:val="auto"/>
        <w:rPr>
          <w:rFonts w:hint="eastAsia" w:ascii="新宋体" w:hAnsi="新宋体" w:eastAsia="新宋体" w:cs="新宋体"/>
          <w:color w:val="auto"/>
          <w:kern w:val="0"/>
          <w:sz w:val="30"/>
          <w:szCs w:val="30"/>
        </w:rPr>
      </w:pPr>
      <w:r>
        <w:rPr>
          <w:rFonts w:hint="eastAsia" w:ascii="新宋体" w:hAnsi="新宋体" w:eastAsia="新宋体" w:cs="新宋体"/>
          <w:color w:val="auto"/>
          <w:kern w:val="0"/>
          <w:sz w:val="30"/>
          <w:szCs w:val="30"/>
          <w:lang w:val="en-US" w:eastAsia="zh-CN"/>
        </w:rPr>
        <w:t>3.</w:t>
      </w:r>
      <w:r>
        <w:rPr>
          <w:rFonts w:hint="eastAsia" w:ascii="宋体" w:hAnsi="宋体"/>
          <w:color w:val="000000"/>
          <w:kern w:val="0"/>
          <w:sz w:val="32"/>
          <w:lang w:eastAsia="zh-CN"/>
        </w:rPr>
        <w:t>进行工伤保险的调查、统计和信息系统管理；</w:t>
      </w:r>
    </w:p>
    <w:p w14:paraId="7B4C1917">
      <w:pPr>
        <w:pStyle w:val="2"/>
        <w:numPr>
          <w:ilvl w:val="0"/>
          <w:numId w:val="0"/>
        </w:numPr>
        <w:ind w:firstLine="600" w:firstLineChars="200"/>
        <w:rPr>
          <w:rFonts w:hint="eastAsia" w:ascii="宋体" w:hAnsi="宋体"/>
          <w:color w:val="000000"/>
          <w:kern w:val="0"/>
          <w:sz w:val="32"/>
          <w:lang w:eastAsia="zh-CN"/>
        </w:rPr>
      </w:pPr>
      <w:r>
        <w:rPr>
          <w:rFonts w:hint="eastAsia" w:ascii="新宋体" w:hAnsi="新宋体" w:eastAsia="新宋体" w:cs="新宋体"/>
          <w:color w:val="auto"/>
          <w:kern w:val="0"/>
          <w:sz w:val="30"/>
          <w:szCs w:val="30"/>
          <w:lang w:val="en-US" w:eastAsia="zh-CN"/>
        </w:rPr>
        <w:t>4.</w:t>
      </w:r>
      <w:r>
        <w:rPr>
          <w:rFonts w:hint="eastAsia" w:ascii="宋体" w:hAnsi="宋体"/>
          <w:color w:val="000000"/>
          <w:kern w:val="0"/>
          <w:sz w:val="32"/>
          <w:lang w:eastAsia="zh-CN"/>
        </w:rPr>
        <w:t>按照规定管理工伤保险基金的支出，负责工伤保险基金的预决算工作；</w:t>
      </w:r>
    </w:p>
    <w:p w14:paraId="693B176C">
      <w:pPr>
        <w:pStyle w:val="2"/>
        <w:numPr>
          <w:ilvl w:val="0"/>
          <w:numId w:val="0"/>
        </w:numPr>
        <w:ind w:firstLine="600" w:firstLineChars="200"/>
        <w:rPr>
          <w:rFonts w:hint="eastAsia" w:ascii="宋体" w:hAnsi="宋体"/>
          <w:color w:val="000000"/>
          <w:kern w:val="0"/>
          <w:sz w:val="32"/>
          <w:lang w:eastAsia="zh-CN"/>
        </w:rPr>
      </w:pPr>
      <w:r>
        <w:rPr>
          <w:rFonts w:hint="eastAsia" w:ascii="新宋体" w:hAnsi="新宋体" w:eastAsia="新宋体" w:cs="新宋体"/>
          <w:color w:val="auto"/>
          <w:kern w:val="0"/>
          <w:sz w:val="30"/>
          <w:szCs w:val="30"/>
          <w:lang w:val="en-US" w:eastAsia="zh-CN"/>
        </w:rPr>
        <w:t>5.</w:t>
      </w:r>
      <w:r>
        <w:rPr>
          <w:rFonts w:hint="eastAsia" w:ascii="宋体" w:hAnsi="宋体"/>
          <w:color w:val="000000"/>
          <w:kern w:val="0"/>
          <w:sz w:val="32"/>
          <w:lang w:eastAsia="zh-CN"/>
        </w:rPr>
        <w:t>按照规定核定工伤保险待遇；</w:t>
      </w:r>
    </w:p>
    <w:p w14:paraId="7E3B1003">
      <w:pPr>
        <w:pStyle w:val="2"/>
        <w:numPr>
          <w:ilvl w:val="0"/>
          <w:numId w:val="0"/>
        </w:numPr>
        <w:ind w:firstLine="600" w:firstLineChars="200"/>
        <w:rPr>
          <w:rFonts w:hint="eastAsia" w:ascii="宋体" w:hAnsi="宋体"/>
          <w:color w:val="000000"/>
          <w:kern w:val="0"/>
          <w:sz w:val="32"/>
          <w:lang w:eastAsia="zh-CN"/>
        </w:rPr>
      </w:pPr>
      <w:r>
        <w:rPr>
          <w:rFonts w:hint="eastAsia" w:ascii="新宋体" w:hAnsi="新宋体" w:eastAsia="新宋体" w:cs="新宋体"/>
          <w:color w:val="auto"/>
          <w:kern w:val="0"/>
          <w:sz w:val="30"/>
          <w:szCs w:val="30"/>
          <w:lang w:val="en-US" w:eastAsia="zh-CN"/>
        </w:rPr>
        <w:t>6、</w:t>
      </w:r>
      <w:r>
        <w:rPr>
          <w:rFonts w:hint="eastAsia" w:ascii="宋体" w:hAnsi="宋体"/>
          <w:color w:val="000000"/>
          <w:kern w:val="0"/>
          <w:sz w:val="32"/>
          <w:lang w:eastAsia="zh-CN"/>
        </w:rPr>
        <w:t>为工伤职工或者其近亲属免费提供咨询服务；</w:t>
      </w:r>
    </w:p>
    <w:p w14:paraId="7580A7EF">
      <w:pPr>
        <w:pStyle w:val="2"/>
        <w:numPr>
          <w:ilvl w:val="0"/>
          <w:numId w:val="0"/>
        </w:numPr>
        <w:ind w:firstLine="640" w:firstLineChars="200"/>
        <w:rPr>
          <w:rFonts w:hint="eastAsia" w:ascii="宋体" w:hAnsi="宋体"/>
          <w:color w:val="000000"/>
          <w:kern w:val="0"/>
          <w:sz w:val="32"/>
          <w:lang w:eastAsia="zh-CN"/>
        </w:rPr>
      </w:pPr>
      <w:r>
        <w:rPr>
          <w:rFonts w:hint="eastAsia" w:ascii="宋体" w:hAnsi="宋体"/>
          <w:color w:val="000000"/>
          <w:kern w:val="0"/>
          <w:sz w:val="32"/>
          <w:lang w:val="en-US" w:eastAsia="zh-CN"/>
        </w:rPr>
        <w:t>7、</w:t>
      </w:r>
      <w:r>
        <w:rPr>
          <w:rFonts w:hint="eastAsia" w:ascii="宋体" w:hAnsi="宋体"/>
          <w:color w:val="000000"/>
          <w:kern w:val="0"/>
          <w:sz w:val="32"/>
          <w:lang w:eastAsia="zh-CN"/>
        </w:rPr>
        <w:t>根据工伤保险基金收支情况，向社会保险行政部门提出调整行业差别费率的建议；</w:t>
      </w:r>
    </w:p>
    <w:p w14:paraId="42E65930">
      <w:pPr>
        <w:pStyle w:val="2"/>
        <w:numPr>
          <w:ilvl w:val="0"/>
          <w:numId w:val="0"/>
        </w:numPr>
        <w:ind w:firstLine="640" w:firstLineChars="200"/>
        <w:rPr>
          <w:rFonts w:ascii="宋体"/>
          <w:sz w:val="32"/>
          <w:szCs w:val="32"/>
        </w:rPr>
      </w:pPr>
      <w:r>
        <w:rPr>
          <w:rFonts w:hint="eastAsia" w:ascii="宋体" w:hAnsi="宋体"/>
          <w:color w:val="000000"/>
          <w:kern w:val="0"/>
          <w:sz w:val="32"/>
          <w:lang w:val="en-US" w:eastAsia="zh-CN"/>
        </w:rPr>
        <w:t>8、</w:t>
      </w:r>
      <w:r>
        <w:rPr>
          <w:rFonts w:hint="eastAsia" w:ascii="宋体" w:hAnsi="宋体"/>
          <w:color w:val="000000"/>
          <w:kern w:val="0"/>
          <w:sz w:val="32"/>
          <w:lang w:eastAsia="zh-CN"/>
        </w:rPr>
        <w:t>承办县人力资源和社会保障局交办的其他工作。</w:t>
      </w:r>
    </w:p>
    <w:p w14:paraId="21A78EBC">
      <w:pPr>
        <w:rPr>
          <w:rFonts w:ascii="仿宋_GB2312" w:eastAsia="仿宋_GB2312"/>
          <w:sz w:val="32"/>
          <w:szCs w:val="32"/>
        </w:rPr>
      </w:pPr>
      <w:r>
        <w:rPr>
          <w:rFonts w:hint="eastAsia" w:ascii="楷体_GB2312" w:eastAsia="楷体_GB2312"/>
          <w:b/>
          <w:bCs/>
          <w:color w:val="333333"/>
          <w:sz w:val="32"/>
          <w:szCs w:val="32"/>
        </w:rPr>
        <w:t>主要工作任务及目标是</w:t>
      </w:r>
      <w:r>
        <w:rPr>
          <w:rFonts w:hint="eastAsia" w:ascii="宋体"/>
          <w:color w:val="333333"/>
          <w:sz w:val="32"/>
          <w:szCs w:val="32"/>
        </w:rPr>
        <w:t>：</w:t>
      </w:r>
      <w:r>
        <w:rPr>
          <w:rFonts w:hint="eastAsia" w:ascii="仿宋_GB2312" w:eastAsia="仿宋_GB2312"/>
          <w:sz w:val="32"/>
          <w:szCs w:val="32"/>
        </w:rPr>
        <w:t>按时足额发放</w:t>
      </w:r>
      <w:r>
        <w:rPr>
          <w:rFonts w:hint="eastAsia" w:ascii="仿宋_GB2312" w:eastAsia="仿宋_GB2312"/>
          <w:sz w:val="32"/>
          <w:szCs w:val="32"/>
          <w:lang w:eastAsia="zh-CN"/>
        </w:rPr>
        <w:t>工伤保险待遇</w:t>
      </w:r>
      <w:r>
        <w:rPr>
          <w:rFonts w:hint="eastAsia" w:ascii="仿宋_GB2312" w:eastAsia="仿宋_GB2312"/>
          <w:sz w:val="32"/>
          <w:szCs w:val="32"/>
        </w:rPr>
        <w:t>、征缴</w:t>
      </w:r>
      <w:r>
        <w:rPr>
          <w:rFonts w:hint="eastAsia" w:ascii="仿宋_GB2312" w:eastAsia="仿宋_GB2312"/>
          <w:sz w:val="32"/>
          <w:szCs w:val="32"/>
          <w:lang w:eastAsia="zh-CN"/>
        </w:rPr>
        <w:t>工伤</w:t>
      </w:r>
      <w:r>
        <w:rPr>
          <w:rFonts w:hint="eastAsia" w:ascii="仿宋_GB2312" w:eastAsia="仿宋_GB2312"/>
          <w:sz w:val="32"/>
          <w:szCs w:val="32"/>
        </w:rPr>
        <w:t>保险费、确保</w:t>
      </w:r>
      <w:r>
        <w:rPr>
          <w:rFonts w:hint="eastAsia" w:ascii="仿宋_GB2312" w:eastAsia="仿宋_GB2312"/>
          <w:sz w:val="32"/>
          <w:szCs w:val="32"/>
          <w:lang w:eastAsia="zh-CN"/>
        </w:rPr>
        <w:t>工伤</w:t>
      </w:r>
      <w:r>
        <w:rPr>
          <w:rFonts w:hint="eastAsia" w:ascii="仿宋_GB2312" w:eastAsia="仿宋_GB2312"/>
          <w:sz w:val="32"/>
          <w:szCs w:val="32"/>
        </w:rPr>
        <w:t>保险基金安全。</w:t>
      </w:r>
    </w:p>
    <w:p w14:paraId="63C2F95F">
      <w:pPr>
        <w:pStyle w:val="6"/>
        <w:widowControl/>
        <w:numPr>
          <w:ilvl w:val="0"/>
          <w:numId w:val="1"/>
        </w:numPr>
        <w:shd w:val="clear" w:color="auto" w:fill="FFFFFF"/>
        <w:snapToGrid w:val="0"/>
        <w:spacing w:before="0" w:beforeAutospacing="0" w:after="0" w:afterAutospacing="0" w:line="520" w:lineRule="exact"/>
        <w:ind w:firstLine="640" w:firstLineChars="200"/>
        <w:rPr>
          <w:rFonts w:ascii="楷体_GB2312" w:eastAsia="楷体_GB2312" w:cs="楷体_GB2312"/>
          <w:color w:val="000000"/>
          <w:sz w:val="32"/>
          <w:szCs w:val="32"/>
          <w:shd w:val="clear" w:color="auto" w:fill="FFFFFF"/>
        </w:rPr>
      </w:pPr>
      <w:r>
        <w:rPr>
          <w:rFonts w:ascii="楷体_GB2312" w:eastAsia="楷体_GB2312" w:cs="楷体_GB2312"/>
          <w:color w:val="000000"/>
          <w:sz w:val="32"/>
          <w:szCs w:val="32"/>
          <w:shd w:val="clear" w:color="auto" w:fill="FFFFFF"/>
        </w:rPr>
        <w:t>绩效目标设定情况</w:t>
      </w:r>
    </w:p>
    <w:p w14:paraId="2133E4B6">
      <w:pPr>
        <w:snapToGrid w:val="0"/>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确保全县</w:t>
      </w:r>
      <w:r>
        <w:rPr>
          <w:rFonts w:hint="eastAsia" w:ascii="仿宋" w:hAnsi="仿宋" w:eastAsia="仿宋" w:cs="仿宋"/>
          <w:sz w:val="32"/>
          <w:szCs w:val="32"/>
          <w:lang w:eastAsia="zh-CN"/>
        </w:rPr>
        <w:t>工</w:t>
      </w:r>
      <w:r>
        <w:rPr>
          <w:rFonts w:hint="eastAsia" w:ascii="仿宋" w:hAnsi="仿宋" w:eastAsia="仿宋" w:cs="仿宋"/>
          <w:sz w:val="32"/>
          <w:szCs w:val="32"/>
        </w:rPr>
        <w:t>保服务工作的正常运转，为全县</w:t>
      </w:r>
      <w:r>
        <w:rPr>
          <w:rFonts w:hint="eastAsia" w:ascii="仿宋" w:hAnsi="仿宋" w:eastAsia="仿宋" w:cs="仿宋"/>
          <w:sz w:val="32"/>
          <w:szCs w:val="32"/>
          <w:lang w:eastAsia="zh-CN"/>
        </w:rPr>
        <w:t>参保单位及工伤职工</w:t>
      </w:r>
      <w:r>
        <w:rPr>
          <w:rFonts w:hint="eastAsia" w:ascii="仿宋" w:hAnsi="仿宋" w:eastAsia="仿宋" w:cs="仿宋"/>
          <w:sz w:val="32"/>
          <w:szCs w:val="32"/>
        </w:rPr>
        <w:t>提供及时、方便、全面的</w:t>
      </w:r>
      <w:r>
        <w:rPr>
          <w:rFonts w:hint="eastAsia" w:ascii="仿宋" w:hAnsi="仿宋" w:eastAsia="仿宋" w:cs="仿宋"/>
          <w:sz w:val="32"/>
          <w:szCs w:val="32"/>
          <w:lang w:eastAsia="zh-CN"/>
        </w:rPr>
        <w:t>工保</w:t>
      </w:r>
      <w:r>
        <w:rPr>
          <w:rFonts w:hint="eastAsia" w:ascii="仿宋" w:hAnsi="仿宋" w:eastAsia="仿宋" w:cs="仿宋"/>
          <w:sz w:val="32"/>
          <w:szCs w:val="32"/>
        </w:rPr>
        <w:t>服务，维护社会的和谐稳定。</w:t>
      </w:r>
      <w:r>
        <w:rPr>
          <w:rFonts w:hint="eastAsia" w:ascii="仿宋" w:hAnsi="仿宋" w:eastAsia="仿宋" w:cs="仿宋"/>
          <w:sz w:val="32"/>
          <w:szCs w:val="32"/>
          <w:lang w:eastAsia="zh-CN"/>
        </w:rPr>
        <w:t>工伤保险待遇</w:t>
      </w:r>
      <w:r>
        <w:rPr>
          <w:rFonts w:hint="eastAsia" w:ascii="仿宋" w:hAnsi="仿宋" w:eastAsia="仿宋" w:cs="仿宋"/>
          <w:sz w:val="32"/>
          <w:szCs w:val="32"/>
        </w:rPr>
        <w:t>审核发放正确、及时率100%。</w:t>
      </w:r>
    </w:p>
    <w:p w14:paraId="16041183">
      <w:pPr>
        <w:snapToGrid w:val="0"/>
        <w:spacing w:line="520" w:lineRule="exact"/>
        <w:ind w:firstLine="640" w:firstLineChars="200"/>
        <w:rPr>
          <w:rFonts w:ascii="黑体" w:hAnsi="黑体" w:eastAsia="黑体" w:cs="黑体"/>
          <w:color w:val="000000"/>
          <w:kern w:val="0"/>
          <w:sz w:val="32"/>
          <w:szCs w:val="32"/>
          <w:shd w:val="clear" w:color="auto" w:fill="FFFFFF"/>
        </w:rPr>
      </w:pPr>
      <w:r>
        <w:rPr>
          <w:rFonts w:hint="eastAsia" w:ascii="黑体" w:hAnsi="黑体" w:eastAsia="黑体" w:cs="黑体"/>
          <w:color w:val="000000"/>
          <w:kern w:val="0"/>
          <w:sz w:val="32"/>
          <w:szCs w:val="32"/>
          <w:shd w:val="clear" w:color="auto" w:fill="FFFFFF"/>
        </w:rPr>
        <w:t>二、部门整体支出管理及使用情况</w:t>
      </w:r>
    </w:p>
    <w:p w14:paraId="12EB1A63">
      <w:pPr>
        <w:pStyle w:val="6"/>
        <w:widowControl/>
        <w:shd w:val="clear" w:color="auto" w:fill="FFFFFF"/>
        <w:snapToGrid w:val="0"/>
        <w:spacing w:before="0" w:beforeAutospacing="0" w:after="0" w:afterAutospacing="0" w:line="520" w:lineRule="exact"/>
        <w:ind w:firstLine="548" w:firstLineChars="200"/>
        <w:rPr>
          <w:rFonts w:ascii="楷体_GB2312" w:eastAsia="楷体_GB2312" w:cs="楷体_GB2312"/>
          <w:color w:val="000000"/>
          <w:sz w:val="32"/>
          <w:szCs w:val="32"/>
          <w:shd w:val="clear" w:color="auto" w:fill="FFFFFF"/>
        </w:rPr>
      </w:pPr>
      <w:r>
        <w:rPr>
          <w:rFonts w:ascii="楷体_GB2312" w:eastAsia="楷体_GB2312" w:cs="楷体_GB2312"/>
          <w:color w:val="000000"/>
          <w:spacing w:val="-23"/>
          <w:sz w:val="32"/>
          <w:szCs w:val="32"/>
          <w:shd w:val="clear" w:color="auto" w:fill="FFFFFF"/>
        </w:rPr>
        <w:t>（一）</w:t>
      </w:r>
      <w:r>
        <w:rPr>
          <w:rFonts w:hint="eastAsia" w:ascii="楷体_GB2312" w:eastAsia="楷体_GB2312" w:cs="楷体_GB2312"/>
          <w:color w:val="000000"/>
          <w:sz w:val="32"/>
          <w:szCs w:val="32"/>
          <w:shd w:val="clear" w:color="auto" w:fill="FFFFFF"/>
        </w:rPr>
        <w:t>预算执行、使用、管理总体情况。</w:t>
      </w:r>
    </w:p>
    <w:p w14:paraId="3D22A87D">
      <w:pPr>
        <w:spacing w:line="460" w:lineRule="exact"/>
        <w:ind w:firstLine="643" w:firstLineChars="200"/>
        <w:rPr>
          <w:rFonts w:hint="eastAsia" w:ascii="仿宋" w:hAnsi="仿宋" w:eastAsia="仿宋" w:cs="仿宋"/>
          <w:color w:val="000000"/>
          <w:kern w:val="0"/>
          <w:sz w:val="32"/>
          <w:szCs w:val="32"/>
        </w:rPr>
      </w:pPr>
      <w:r>
        <w:rPr>
          <w:rFonts w:hint="eastAsia" w:ascii="仿宋" w:hAnsi="仿宋" w:eastAsia="仿宋" w:cs="仿宋"/>
          <w:b/>
          <w:bCs/>
          <w:sz w:val="32"/>
          <w:szCs w:val="32"/>
        </w:rPr>
        <w:t>总收支情况：</w:t>
      </w:r>
      <w:r>
        <w:rPr>
          <w:rFonts w:hint="eastAsia" w:ascii="仿宋" w:hAnsi="仿宋" w:eastAsia="仿宋" w:cs="仿宋"/>
          <w:color w:val="000000"/>
          <w:kern w:val="0"/>
          <w:sz w:val="32"/>
          <w:szCs w:val="32"/>
        </w:rPr>
        <w:t>2023年收入、支出年初预算安排为</w:t>
      </w:r>
      <w:r>
        <w:rPr>
          <w:rFonts w:hint="eastAsia" w:ascii="仿宋" w:hAnsi="仿宋" w:eastAsia="仿宋" w:cs="仿宋"/>
          <w:color w:val="000000"/>
          <w:kern w:val="0"/>
          <w:sz w:val="32"/>
          <w:szCs w:val="32"/>
          <w:lang w:val="en-US" w:eastAsia="zh-CN"/>
        </w:rPr>
        <w:t>72.73</w:t>
      </w:r>
      <w:r>
        <w:rPr>
          <w:rFonts w:hint="eastAsia" w:ascii="仿宋" w:hAnsi="仿宋" w:eastAsia="仿宋" w:cs="仿宋"/>
          <w:color w:val="000000"/>
          <w:kern w:val="0"/>
          <w:sz w:val="32"/>
          <w:szCs w:val="32"/>
        </w:rPr>
        <w:t>万元，</w:t>
      </w:r>
      <w:r>
        <w:rPr>
          <w:rFonts w:hint="eastAsia" w:ascii="仿宋" w:hAnsi="仿宋" w:eastAsia="仿宋" w:cs="仿宋"/>
          <w:sz w:val="32"/>
          <w:szCs w:val="32"/>
        </w:rPr>
        <w:t>其中人员经费</w:t>
      </w:r>
      <w:r>
        <w:rPr>
          <w:rFonts w:hint="eastAsia" w:ascii="仿宋" w:hAnsi="仿宋" w:eastAsia="仿宋" w:cs="仿宋"/>
          <w:sz w:val="32"/>
          <w:szCs w:val="32"/>
          <w:lang w:val="en-US" w:eastAsia="zh-CN"/>
        </w:rPr>
        <w:t>59.53</w:t>
      </w:r>
      <w:r>
        <w:rPr>
          <w:rFonts w:hint="eastAsia" w:ascii="仿宋" w:hAnsi="仿宋" w:eastAsia="仿宋" w:cs="仿宋"/>
          <w:sz w:val="32"/>
          <w:szCs w:val="32"/>
        </w:rPr>
        <w:t>万元，公用经费</w:t>
      </w:r>
      <w:r>
        <w:rPr>
          <w:rFonts w:hint="eastAsia" w:ascii="仿宋" w:hAnsi="仿宋" w:eastAsia="仿宋" w:cs="仿宋"/>
          <w:sz w:val="32"/>
          <w:szCs w:val="32"/>
          <w:lang w:val="en-US" w:eastAsia="zh-CN"/>
        </w:rPr>
        <w:t>7.7</w:t>
      </w:r>
      <w:r>
        <w:rPr>
          <w:rFonts w:hint="eastAsia" w:ascii="仿宋" w:hAnsi="仿宋" w:eastAsia="仿宋" w:cs="仿宋"/>
          <w:sz w:val="32"/>
          <w:szCs w:val="32"/>
        </w:rPr>
        <w:t>万元，项目支出</w:t>
      </w:r>
      <w:r>
        <w:rPr>
          <w:rFonts w:hint="eastAsia" w:ascii="仿宋" w:hAnsi="仿宋" w:eastAsia="仿宋" w:cs="仿宋"/>
          <w:sz w:val="32"/>
          <w:szCs w:val="32"/>
          <w:lang w:val="en-US" w:eastAsia="zh-CN"/>
        </w:rPr>
        <w:t>5.5</w:t>
      </w:r>
      <w:r>
        <w:rPr>
          <w:rFonts w:hint="eastAsia" w:ascii="仿宋" w:hAnsi="仿宋" w:eastAsia="仿宋" w:cs="仿宋"/>
          <w:sz w:val="32"/>
          <w:szCs w:val="32"/>
        </w:rPr>
        <w:t>万元</w:t>
      </w:r>
      <w:r>
        <w:rPr>
          <w:rFonts w:hint="eastAsia" w:ascii="仿宋" w:hAnsi="仿宋" w:eastAsia="仿宋" w:cs="仿宋"/>
          <w:color w:val="000000"/>
          <w:kern w:val="0"/>
          <w:sz w:val="32"/>
          <w:szCs w:val="32"/>
        </w:rPr>
        <w:t>。</w:t>
      </w:r>
    </w:p>
    <w:p w14:paraId="3315E20C">
      <w:pPr>
        <w:spacing w:line="460" w:lineRule="exact"/>
        <w:ind w:firstLine="643" w:firstLineChars="200"/>
        <w:rPr>
          <w:rFonts w:ascii="仿宋" w:hAnsi="仿宋" w:eastAsia="仿宋" w:cs="仿宋"/>
          <w:sz w:val="32"/>
          <w:szCs w:val="32"/>
        </w:rPr>
      </w:pPr>
      <w:r>
        <w:rPr>
          <w:rFonts w:hint="eastAsia" w:ascii="仿宋" w:hAnsi="仿宋" w:eastAsia="仿宋" w:cs="仿宋"/>
          <w:b/>
          <w:bCs/>
          <w:sz w:val="32"/>
          <w:szCs w:val="32"/>
        </w:rPr>
        <w:t>收入方面：</w:t>
      </w:r>
      <w:r>
        <w:rPr>
          <w:rFonts w:hint="eastAsia" w:ascii="仿宋" w:hAnsi="仿宋" w:eastAsia="仿宋" w:cs="仿宋"/>
          <w:sz w:val="32"/>
          <w:szCs w:val="32"/>
        </w:rPr>
        <w:t>在实际执行中，2023年本级总收入</w:t>
      </w:r>
      <w:r>
        <w:rPr>
          <w:rFonts w:hint="eastAsia" w:ascii="仿宋" w:hAnsi="仿宋" w:eastAsia="仿宋" w:cs="仿宋"/>
          <w:sz w:val="32"/>
          <w:szCs w:val="32"/>
          <w:lang w:val="en-US" w:eastAsia="zh-CN"/>
        </w:rPr>
        <w:t>92.81万</w:t>
      </w:r>
      <w:r>
        <w:rPr>
          <w:rFonts w:hint="eastAsia" w:ascii="仿宋" w:hAnsi="仿宋" w:eastAsia="仿宋" w:cs="仿宋"/>
          <w:sz w:val="32"/>
          <w:szCs w:val="32"/>
        </w:rPr>
        <w:t>元：其中</w:t>
      </w:r>
      <w:r>
        <w:rPr>
          <w:rFonts w:hint="eastAsia" w:ascii="仿宋" w:hAnsi="仿宋" w:eastAsia="仿宋" w:cs="仿宋"/>
          <w:bCs/>
          <w:sz w:val="32"/>
          <w:szCs w:val="32"/>
        </w:rPr>
        <w:t>2023年一般公共预算财政拨款收入</w:t>
      </w:r>
      <w:r>
        <w:rPr>
          <w:rFonts w:hint="eastAsia" w:ascii="仿宋" w:hAnsi="仿宋" w:eastAsia="仿宋" w:cs="仿宋"/>
          <w:sz w:val="32"/>
          <w:szCs w:val="32"/>
          <w:lang w:val="en-US" w:eastAsia="zh-CN"/>
        </w:rPr>
        <w:t>92.81万</w:t>
      </w:r>
      <w:r>
        <w:rPr>
          <w:rFonts w:hint="eastAsia" w:ascii="仿宋" w:hAnsi="仿宋" w:eastAsia="仿宋" w:cs="仿宋"/>
          <w:bCs/>
          <w:sz w:val="32"/>
          <w:szCs w:val="32"/>
        </w:rPr>
        <w:t>元，</w:t>
      </w:r>
      <w:r>
        <w:rPr>
          <w:rFonts w:hint="eastAsia" w:ascii="仿宋" w:hAnsi="仿宋" w:eastAsia="仿宋" w:cs="仿宋"/>
          <w:sz w:val="32"/>
          <w:szCs w:val="32"/>
        </w:rPr>
        <w:t>本级财政拨入</w:t>
      </w:r>
      <w:r>
        <w:rPr>
          <w:rFonts w:hint="eastAsia" w:ascii="仿宋" w:hAnsi="仿宋" w:eastAsia="仿宋" w:cs="仿宋"/>
          <w:sz w:val="32"/>
          <w:szCs w:val="32"/>
          <w:lang w:val="en-US" w:eastAsia="zh-CN"/>
        </w:rPr>
        <w:t>92.81万</w:t>
      </w:r>
      <w:r>
        <w:rPr>
          <w:rFonts w:hint="eastAsia" w:ascii="仿宋" w:hAnsi="仿宋" w:eastAsia="仿宋" w:cs="仿宋"/>
          <w:sz w:val="32"/>
          <w:szCs w:val="32"/>
        </w:rPr>
        <w:t>元，比年初预算追加</w:t>
      </w:r>
      <w:r>
        <w:rPr>
          <w:rFonts w:hint="eastAsia" w:ascii="仿宋" w:hAnsi="仿宋" w:eastAsia="仿宋" w:cs="仿宋"/>
          <w:sz w:val="32"/>
          <w:szCs w:val="32"/>
          <w:lang w:val="en-US" w:eastAsia="zh-CN"/>
        </w:rPr>
        <w:t>20.08万</w:t>
      </w:r>
      <w:r>
        <w:rPr>
          <w:rFonts w:hint="eastAsia" w:ascii="仿宋" w:hAnsi="仿宋" w:eastAsia="仿宋" w:cs="仿宋"/>
          <w:sz w:val="32"/>
          <w:szCs w:val="32"/>
        </w:rPr>
        <w:t>元。</w:t>
      </w:r>
    </w:p>
    <w:p w14:paraId="65418F2E">
      <w:pPr>
        <w:spacing w:line="440" w:lineRule="exact"/>
        <w:ind w:firstLine="643" w:firstLineChars="200"/>
        <w:rPr>
          <w:rFonts w:ascii="仿宋" w:hAnsi="仿宋" w:eastAsia="仿宋" w:cs="仿宋"/>
          <w:sz w:val="32"/>
          <w:szCs w:val="32"/>
        </w:rPr>
      </w:pPr>
      <w:r>
        <w:rPr>
          <w:rFonts w:hint="eastAsia" w:ascii="仿宋" w:hAnsi="仿宋" w:eastAsia="仿宋" w:cs="仿宋"/>
          <w:b/>
          <w:sz w:val="32"/>
          <w:szCs w:val="32"/>
        </w:rPr>
        <w:t>支出方面</w:t>
      </w:r>
      <w:r>
        <w:rPr>
          <w:rFonts w:hint="eastAsia" w:ascii="仿宋" w:hAnsi="仿宋" w:eastAsia="仿宋" w:cs="仿宋"/>
          <w:sz w:val="32"/>
          <w:szCs w:val="32"/>
        </w:rPr>
        <w:t>：全年实际支出为</w:t>
      </w:r>
      <w:r>
        <w:rPr>
          <w:rFonts w:hint="eastAsia" w:ascii="仿宋" w:hAnsi="仿宋" w:eastAsia="仿宋" w:cs="仿宋"/>
          <w:sz w:val="32"/>
          <w:szCs w:val="32"/>
          <w:lang w:val="en-US" w:eastAsia="zh-CN"/>
        </w:rPr>
        <w:t>92.81万</w:t>
      </w:r>
      <w:r>
        <w:rPr>
          <w:rFonts w:hint="eastAsia" w:ascii="仿宋" w:hAnsi="仿宋" w:eastAsia="仿宋" w:cs="仿宋"/>
          <w:sz w:val="32"/>
          <w:szCs w:val="32"/>
        </w:rPr>
        <w:t>元，年终结转和结余0元。</w:t>
      </w:r>
    </w:p>
    <w:p w14:paraId="754006A9">
      <w:pPr>
        <w:snapToGrid w:val="0"/>
        <w:spacing w:line="480" w:lineRule="exact"/>
        <w:ind w:firstLine="640" w:firstLineChars="200"/>
        <w:rPr>
          <w:rFonts w:ascii="仿宋" w:hAnsi="仿宋" w:eastAsia="仿宋" w:cs="仿宋"/>
          <w:sz w:val="32"/>
          <w:szCs w:val="32"/>
        </w:rPr>
      </w:pPr>
      <w:r>
        <w:rPr>
          <w:rFonts w:hint="eastAsia" w:ascii="仿宋" w:hAnsi="仿宋" w:eastAsia="仿宋" w:cs="仿宋"/>
          <w:sz w:val="32"/>
          <w:szCs w:val="32"/>
        </w:rPr>
        <w:t>其中基本支出</w:t>
      </w:r>
      <w:r>
        <w:rPr>
          <w:rFonts w:hint="eastAsia" w:ascii="仿宋" w:hAnsi="仿宋" w:eastAsia="仿宋" w:cs="仿宋"/>
          <w:sz w:val="32"/>
          <w:szCs w:val="32"/>
          <w:lang w:val="en-US" w:eastAsia="zh-CN"/>
        </w:rPr>
        <w:t>87.31万</w:t>
      </w:r>
      <w:r>
        <w:rPr>
          <w:rFonts w:hint="eastAsia" w:ascii="仿宋" w:hAnsi="仿宋" w:eastAsia="仿宋" w:cs="仿宋"/>
          <w:sz w:val="32"/>
          <w:szCs w:val="32"/>
        </w:rPr>
        <w:t>元：</w:t>
      </w:r>
    </w:p>
    <w:p w14:paraId="7E642C51">
      <w:pPr>
        <w:snapToGrid w:val="0"/>
        <w:spacing w:line="480" w:lineRule="exact"/>
        <w:ind w:firstLine="640" w:firstLineChars="200"/>
        <w:rPr>
          <w:rFonts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 1 \* GB2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⑴</w:t>
      </w:r>
      <w:r>
        <w:rPr>
          <w:rFonts w:hint="eastAsia" w:ascii="仿宋" w:hAnsi="仿宋" w:eastAsia="仿宋" w:cs="仿宋"/>
          <w:sz w:val="32"/>
          <w:szCs w:val="32"/>
        </w:rPr>
        <w:fldChar w:fldCharType="end"/>
      </w:r>
      <w:r>
        <w:rPr>
          <w:rFonts w:hint="eastAsia" w:ascii="仿宋" w:hAnsi="仿宋" w:eastAsia="仿宋" w:cs="仿宋"/>
          <w:sz w:val="32"/>
          <w:szCs w:val="32"/>
        </w:rPr>
        <w:t>、工资福利支出</w:t>
      </w:r>
      <w:r>
        <w:rPr>
          <w:rFonts w:hint="eastAsia" w:ascii="仿宋" w:hAnsi="仿宋" w:eastAsia="仿宋" w:cs="仿宋"/>
          <w:sz w:val="32"/>
          <w:szCs w:val="32"/>
          <w:lang w:val="en-US" w:eastAsia="zh-CN"/>
        </w:rPr>
        <w:t>74.98</w:t>
      </w:r>
      <w:r>
        <w:rPr>
          <w:rFonts w:hint="eastAsia" w:ascii="仿宋" w:hAnsi="仿宋" w:eastAsia="仿宋" w:cs="仿宋"/>
          <w:sz w:val="32"/>
          <w:szCs w:val="32"/>
          <w:lang w:eastAsia="zh-CN"/>
        </w:rPr>
        <w:t>万元</w:t>
      </w:r>
      <w:r>
        <w:rPr>
          <w:rFonts w:hint="eastAsia" w:ascii="仿宋" w:hAnsi="仿宋" w:eastAsia="仿宋" w:cs="仿宋"/>
          <w:sz w:val="32"/>
          <w:szCs w:val="32"/>
        </w:rPr>
        <w:t>。</w:t>
      </w:r>
    </w:p>
    <w:p w14:paraId="4A8376E3">
      <w:pPr>
        <w:snapToGrid w:val="0"/>
        <w:spacing w:line="480" w:lineRule="exact"/>
        <w:ind w:firstLine="640" w:firstLineChars="200"/>
        <w:rPr>
          <w:rFonts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 2 \* GB2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⑵</w:t>
      </w:r>
      <w:r>
        <w:rPr>
          <w:rFonts w:hint="eastAsia" w:ascii="仿宋" w:hAnsi="仿宋" w:eastAsia="仿宋" w:cs="仿宋"/>
          <w:sz w:val="32"/>
          <w:szCs w:val="32"/>
        </w:rPr>
        <w:fldChar w:fldCharType="end"/>
      </w:r>
      <w:r>
        <w:rPr>
          <w:rFonts w:hint="eastAsia" w:ascii="仿宋" w:hAnsi="仿宋" w:eastAsia="仿宋" w:cs="仿宋"/>
          <w:sz w:val="32"/>
          <w:szCs w:val="32"/>
        </w:rPr>
        <w:t>、商品和服务支出</w:t>
      </w:r>
      <w:r>
        <w:rPr>
          <w:rFonts w:hint="eastAsia" w:ascii="仿宋" w:hAnsi="仿宋" w:eastAsia="仿宋" w:cs="仿宋"/>
          <w:sz w:val="32"/>
          <w:szCs w:val="32"/>
          <w:lang w:val="en-US" w:eastAsia="zh-CN"/>
        </w:rPr>
        <w:t>11.18万元</w:t>
      </w:r>
      <w:r>
        <w:rPr>
          <w:rFonts w:hint="eastAsia" w:ascii="仿宋" w:hAnsi="仿宋" w:eastAsia="仿宋" w:cs="仿宋"/>
          <w:sz w:val="32"/>
          <w:szCs w:val="32"/>
        </w:rPr>
        <w:t>。</w:t>
      </w:r>
    </w:p>
    <w:p w14:paraId="77462DFA">
      <w:pPr>
        <w:snapToGrid w:val="0"/>
        <w:spacing w:line="480" w:lineRule="exact"/>
        <w:ind w:firstLine="640" w:firstLineChars="200"/>
        <w:rPr>
          <w:rFonts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 3 \* GB2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⑶</w:t>
      </w:r>
      <w:r>
        <w:rPr>
          <w:rFonts w:hint="eastAsia" w:ascii="仿宋" w:hAnsi="仿宋" w:eastAsia="仿宋" w:cs="仿宋"/>
          <w:sz w:val="32"/>
          <w:szCs w:val="32"/>
        </w:rPr>
        <w:fldChar w:fldCharType="end"/>
      </w:r>
      <w:r>
        <w:rPr>
          <w:rFonts w:hint="eastAsia" w:ascii="仿宋" w:hAnsi="仿宋" w:eastAsia="仿宋" w:cs="仿宋"/>
          <w:sz w:val="32"/>
          <w:szCs w:val="32"/>
        </w:rPr>
        <w:t>、对个人和家庭支出</w:t>
      </w:r>
      <w:r>
        <w:rPr>
          <w:rFonts w:hint="eastAsia" w:ascii="仿宋" w:hAnsi="仿宋" w:eastAsia="仿宋" w:cs="仿宋"/>
          <w:sz w:val="32"/>
          <w:szCs w:val="32"/>
          <w:lang w:val="en-US" w:eastAsia="zh-CN"/>
        </w:rPr>
        <w:t>1.15万元</w:t>
      </w:r>
      <w:r>
        <w:rPr>
          <w:rFonts w:hint="eastAsia" w:ascii="仿宋" w:hAnsi="仿宋" w:eastAsia="仿宋" w:cs="仿宋"/>
          <w:sz w:val="32"/>
          <w:szCs w:val="32"/>
        </w:rPr>
        <w:t>。</w:t>
      </w:r>
    </w:p>
    <w:p w14:paraId="2B1CD80D">
      <w:pPr>
        <w:snapToGrid w:val="0"/>
        <w:spacing w:line="480" w:lineRule="exact"/>
        <w:ind w:firstLine="640" w:firstLineChars="200"/>
        <w:rPr>
          <w:rFonts w:ascii="仿宋" w:hAnsi="仿宋" w:eastAsia="仿宋" w:cs="仿宋"/>
          <w:sz w:val="32"/>
          <w:szCs w:val="32"/>
        </w:rPr>
      </w:pPr>
      <w:r>
        <w:rPr>
          <w:rFonts w:hint="eastAsia" w:ascii="仿宋" w:hAnsi="仿宋" w:eastAsia="仿宋" w:cs="仿宋"/>
          <w:sz w:val="32"/>
          <w:szCs w:val="32"/>
        </w:rPr>
        <w:t>项目支出</w:t>
      </w:r>
      <w:r>
        <w:rPr>
          <w:rFonts w:hint="eastAsia" w:ascii="仿宋" w:hAnsi="仿宋" w:eastAsia="仿宋" w:cs="仿宋"/>
          <w:sz w:val="32"/>
          <w:szCs w:val="32"/>
          <w:lang w:val="en-US" w:eastAsia="zh-CN"/>
        </w:rPr>
        <w:t>5.5万元</w:t>
      </w:r>
      <w:r>
        <w:rPr>
          <w:rFonts w:hint="eastAsia" w:ascii="仿宋" w:hAnsi="仿宋" w:eastAsia="仿宋" w:cs="仿宋"/>
          <w:sz w:val="32"/>
          <w:szCs w:val="32"/>
        </w:rPr>
        <w:t>元：</w:t>
      </w:r>
    </w:p>
    <w:p w14:paraId="37EA305C">
      <w:pPr>
        <w:snapToGrid w:val="0"/>
        <w:spacing w:line="480" w:lineRule="exact"/>
        <w:ind w:firstLine="640" w:firstLineChars="200"/>
        <w:rPr>
          <w:rFonts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 1 \* GB2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⑴</w:t>
      </w:r>
      <w:r>
        <w:rPr>
          <w:rFonts w:hint="eastAsia" w:ascii="仿宋" w:hAnsi="仿宋" w:eastAsia="仿宋" w:cs="仿宋"/>
          <w:sz w:val="32"/>
          <w:szCs w:val="32"/>
        </w:rPr>
        <w:fldChar w:fldCharType="end"/>
      </w:r>
      <w:r>
        <w:rPr>
          <w:rFonts w:hint="eastAsia" w:ascii="仿宋" w:hAnsi="仿宋" w:eastAsia="仿宋" w:cs="仿宋"/>
          <w:sz w:val="32"/>
          <w:szCs w:val="32"/>
        </w:rPr>
        <w:t>、工资福利支出0元。</w:t>
      </w:r>
    </w:p>
    <w:p w14:paraId="32D62DDC">
      <w:pPr>
        <w:snapToGrid w:val="0"/>
        <w:spacing w:line="480" w:lineRule="exact"/>
        <w:ind w:firstLine="640" w:firstLineChars="200"/>
        <w:rPr>
          <w:rFonts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 2 \* GB2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⑵</w:t>
      </w:r>
      <w:r>
        <w:rPr>
          <w:rFonts w:hint="eastAsia" w:ascii="仿宋" w:hAnsi="仿宋" w:eastAsia="仿宋" w:cs="仿宋"/>
          <w:sz w:val="32"/>
          <w:szCs w:val="32"/>
        </w:rPr>
        <w:fldChar w:fldCharType="end"/>
      </w:r>
      <w:r>
        <w:rPr>
          <w:rFonts w:hint="eastAsia" w:ascii="仿宋" w:hAnsi="仿宋" w:eastAsia="仿宋" w:cs="仿宋"/>
          <w:sz w:val="32"/>
          <w:szCs w:val="32"/>
        </w:rPr>
        <w:t>、商品和服务支出</w:t>
      </w:r>
      <w:r>
        <w:rPr>
          <w:rFonts w:hint="eastAsia" w:ascii="仿宋" w:hAnsi="仿宋" w:eastAsia="仿宋" w:cs="仿宋"/>
          <w:sz w:val="32"/>
          <w:szCs w:val="32"/>
          <w:lang w:val="en-US" w:eastAsia="zh-CN"/>
        </w:rPr>
        <w:t>3.1万元</w:t>
      </w:r>
      <w:r>
        <w:rPr>
          <w:rFonts w:hint="eastAsia" w:ascii="仿宋" w:hAnsi="仿宋" w:eastAsia="仿宋" w:cs="仿宋"/>
          <w:sz w:val="32"/>
          <w:szCs w:val="32"/>
        </w:rPr>
        <w:t>。</w:t>
      </w:r>
    </w:p>
    <w:p w14:paraId="366E1A35">
      <w:pPr>
        <w:snapToGrid w:val="0"/>
        <w:spacing w:line="480" w:lineRule="exact"/>
        <w:ind w:firstLine="640" w:firstLineChars="200"/>
        <w:rPr>
          <w:rFonts w:ascii="楷体_GB2312" w:eastAsia="楷体_GB2312" w:cs="楷体_GB2312"/>
          <w:color w:val="000000"/>
          <w:sz w:val="32"/>
          <w:szCs w:val="32"/>
          <w:shd w:val="clear" w:color="auto" w:fill="FFFFFF"/>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 3 \* GB2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⑶</w:t>
      </w:r>
      <w:r>
        <w:rPr>
          <w:rFonts w:hint="eastAsia" w:ascii="仿宋" w:hAnsi="仿宋" w:eastAsia="仿宋" w:cs="仿宋"/>
          <w:sz w:val="32"/>
          <w:szCs w:val="32"/>
        </w:rPr>
        <w:fldChar w:fldCharType="end"/>
      </w:r>
      <w:r>
        <w:rPr>
          <w:rFonts w:hint="eastAsia" w:ascii="仿宋" w:hAnsi="仿宋" w:eastAsia="仿宋" w:cs="仿宋"/>
          <w:sz w:val="32"/>
          <w:szCs w:val="32"/>
        </w:rPr>
        <w:t>、</w:t>
      </w:r>
      <w:r>
        <w:rPr>
          <w:rFonts w:hint="eastAsia" w:ascii="仿宋" w:hAnsi="仿宋" w:eastAsia="仿宋" w:cs="仿宋"/>
          <w:sz w:val="32"/>
          <w:szCs w:val="32"/>
          <w:lang w:eastAsia="zh-CN"/>
        </w:rPr>
        <w:t>资本性</w:t>
      </w:r>
      <w:r>
        <w:rPr>
          <w:rFonts w:hint="eastAsia" w:ascii="仿宋" w:hAnsi="仿宋" w:eastAsia="仿宋" w:cs="仿宋"/>
          <w:sz w:val="32"/>
          <w:szCs w:val="32"/>
        </w:rPr>
        <w:t>支出</w:t>
      </w:r>
      <w:r>
        <w:rPr>
          <w:rFonts w:hint="eastAsia" w:ascii="仿宋" w:hAnsi="仿宋" w:eastAsia="仿宋" w:cs="仿宋"/>
          <w:sz w:val="32"/>
          <w:szCs w:val="32"/>
          <w:lang w:val="en-US" w:eastAsia="zh-CN"/>
        </w:rPr>
        <w:t>2.4万元</w:t>
      </w:r>
      <w:r>
        <w:rPr>
          <w:rFonts w:hint="eastAsia" w:ascii="仿宋" w:hAnsi="仿宋" w:eastAsia="仿宋" w:cs="仿宋"/>
          <w:sz w:val="32"/>
          <w:szCs w:val="32"/>
        </w:rPr>
        <w:t>。</w:t>
      </w:r>
    </w:p>
    <w:p w14:paraId="39D5B25D">
      <w:pPr>
        <w:pStyle w:val="6"/>
        <w:widowControl/>
        <w:shd w:val="clear" w:color="auto" w:fill="FFFFFF"/>
        <w:snapToGrid w:val="0"/>
        <w:spacing w:before="0" w:beforeAutospacing="0" w:after="0" w:afterAutospacing="0" w:line="520" w:lineRule="exact"/>
        <w:ind w:firstLine="548" w:firstLineChars="200"/>
        <w:rPr>
          <w:rFonts w:ascii="楷体_GB2312" w:eastAsia="楷体_GB2312" w:cs="楷体_GB2312"/>
          <w:color w:val="000000"/>
          <w:sz w:val="32"/>
          <w:szCs w:val="32"/>
        </w:rPr>
      </w:pPr>
      <w:r>
        <w:rPr>
          <w:rFonts w:ascii="楷体_GB2312" w:eastAsia="楷体_GB2312" w:cs="楷体_GB2312"/>
          <w:color w:val="000000"/>
          <w:spacing w:val="-23"/>
          <w:sz w:val="32"/>
          <w:szCs w:val="32"/>
          <w:shd w:val="clear" w:color="auto" w:fill="FFFFFF"/>
        </w:rPr>
        <w:t>（二）</w:t>
      </w:r>
      <w:r>
        <w:rPr>
          <w:rFonts w:ascii="楷体_GB2312" w:eastAsia="楷体_GB2312" w:cs="楷体_GB2312"/>
          <w:color w:val="000000"/>
          <w:sz w:val="32"/>
          <w:szCs w:val="32"/>
          <w:shd w:val="clear" w:color="auto" w:fill="FFFFFF"/>
        </w:rPr>
        <w:t>部门预算执行情况</w:t>
      </w:r>
    </w:p>
    <w:p w14:paraId="5214DA88">
      <w:pPr>
        <w:pStyle w:val="6"/>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ascii="仿宋_GB2312" w:eastAsia="仿宋_GB2312" w:cs="仿宋_GB2312"/>
          <w:color w:val="000000"/>
          <w:sz w:val="32"/>
          <w:szCs w:val="32"/>
          <w:shd w:val="clear" w:color="auto" w:fill="FFFFFF"/>
        </w:rPr>
        <w:t>1.基本支出情况</w:t>
      </w:r>
    </w:p>
    <w:p w14:paraId="6759CBDC">
      <w:pPr>
        <w:snapToGrid w:val="0"/>
        <w:spacing w:line="480" w:lineRule="exact"/>
        <w:ind w:firstLine="640" w:firstLineChars="200"/>
        <w:rPr>
          <w:rFonts w:ascii="仿宋" w:hAnsi="仿宋" w:eastAsia="仿宋" w:cs="仿宋"/>
          <w:sz w:val="32"/>
          <w:szCs w:val="32"/>
        </w:rPr>
      </w:pPr>
      <w:r>
        <w:rPr>
          <w:rFonts w:hint="eastAsia" w:ascii="仿宋" w:hAnsi="仿宋" w:eastAsia="仿宋" w:cs="仿宋"/>
          <w:sz w:val="32"/>
          <w:szCs w:val="32"/>
        </w:rPr>
        <w:t>基本支出</w:t>
      </w:r>
      <w:r>
        <w:rPr>
          <w:rFonts w:hint="eastAsia" w:ascii="仿宋" w:hAnsi="仿宋" w:eastAsia="仿宋" w:cs="仿宋"/>
          <w:sz w:val="32"/>
          <w:szCs w:val="32"/>
          <w:lang w:val="en-US" w:eastAsia="zh-CN"/>
        </w:rPr>
        <w:t>87.31万元</w:t>
      </w:r>
      <w:r>
        <w:rPr>
          <w:rFonts w:hint="eastAsia" w:ascii="仿宋" w:hAnsi="仿宋" w:eastAsia="仿宋" w:cs="仿宋"/>
          <w:sz w:val="32"/>
          <w:szCs w:val="32"/>
        </w:rPr>
        <w:t>：</w:t>
      </w:r>
    </w:p>
    <w:p w14:paraId="23351D25">
      <w:pPr>
        <w:snapToGrid w:val="0"/>
        <w:spacing w:line="480" w:lineRule="exact"/>
        <w:ind w:firstLine="640" w:firstLineChars="200"/>
        <w:rPr>
          <w:rFonts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 1 \* GB2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⑴</w:t>
      </w:r>
      <w:r>
        <w:rPr>
          <w:rFonts w:hint="eastAsia" w:ascii="仿宋" w:hAnsi="仿宋" w:eastAsia="仿宋" w:cs="仿宋"/>
          <w:sz w:val="32"/>
          <w:szCs w:val="32"/>
        </w:rPr>
        <w:fldChar w:fldCharType="end"/>
      </w:r>
      <w:r>
        <w:rPr>
          <w:rFonts w:hint="eastAsia" w:ascii="仿宋" w:hAnsi="仿宋" w:eastAsia="仿宋" w:cs="仿宋"/>
          <w:sz w:val="32"/>
          <w:szCs w:val="32"/>
        </w:rPr>
        <w:t>、工资福利支出</w:t>
      </w:r>
      <w:r>
        <w:rPr>
          <w:rFonts w:hint="eastAsia" w:ascii="仿宋" w:hAnsi="仿宋" w:eastAsia="仿宋" w:cs="仿宋"/>
          <w:sz w:val="32"/>
          <w:szCs w:val="32"/>
          <w:lang w:val="en-US" w:eastAsia="zh-CN"/>
        </w:rPr>
        <w:t>74.98</w:t>
      </w:r>
      <w:r>
        <w:rPr>
          <w:rFonts w:hint="eastAsia" w:ascii="仿宋" w:hAnsi="仿宋" w:eastAsia="仿宋" w:cs="仿宋"/>
          <w:sz w:val="32"/>
          <w:szCs w:val="32"/>
          <w:lang w:eastAsia="zh-CN"/>
        </w:rPr>
        <w:t>万元</w:t>
      </w:r>
      <w:r>
        <w:rPr>
          <w:rFonts w:hint="eastAsia" w:ascii="仿宋" w:hAnsi="仿宋" w:eastAsia="仿宋" w:cs="仿宋"/>
          <w:sz w:val="32"/>
          <w:szCs w:val="32"/>
        </w:rPr>
        <w:t>。</w:t>
      </w:r>
    </w:p>
    <w:p w14:paraId="5403E98A">
      <w:pPr>
        <w:snapToGrid w:val="0"/>
        <w:spacing w:line="480" w:lineRule="exact"/>
        <w:ind w:firstLine="640" w:firstLineChars="200"/>
        <w:rPr>
          <w:rFonts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 2 \* GB2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⑵</w:t>
      </w:r>
      <w:r>
        <w:rPr>
          <w:rFonts w:hint="eastAsia" w:ascii="仿宋" w:hAnsi="仿宋" w:eastAsia="仿宋" w:cs="仿宋"/>
          <w:sz w:val="32"/>
          <w:szCs w:val="32"/>
        </w:rPr>
        <w:fldChar w:fldCharType="end"/>
      </w:r>
      <w:r>
        <w:rPr>
          <w:rFonts w:hint="eastAsia" w:ascii="仿宋" w:hAnsi="仿宋" w:eastAsia="仿宋" w:cs="仿宋"/>
          <w:sz w:val="32"/>
          <w:szCs w:val="32"/>
        </w:rPr>
        <w:t>、商品和服务支出</w:t>
      </w:r>
      <w:r>
        <w:rPr>
          <w:rFonts w:hint="eastAsia" w:ascii="仿宋" w:hAnsi="仿宋" w:eastAsia="仿宋" w:cs="仿宋"/>
          <w:sz w:val="32"/>
          <w:szCs w:val="32"/>
          <w:lang w:val="en-US" w:eastAsia="zh-CN"/>
        </w:rPr>
        <w:t>11.18万元</w:t>
      </w:r>
      <w:r>
        <w:rPr>
          <w:rFonts w:hint="eastAsia" w:ascii="仿宋" w:hAnsi="仿宋" w:eastAsia="仿宋" w:cs="仿宋"/>
          <w:sz w:val="32"/>
          <w:szCs w:val="32"/>
        </w:rPr>
        <w:t>。</w:t>
      </w:r>
    </w:p>
    <w:p w14:paraId="2C3D6312">
      <w:pPr>
        <w:snapToGrid w:val="0"/>
        <w:spacing w:line="480" w:lineRule="exact"/>
        <w:ind w:firstLine="640" w:firstLineChars="200"/>
        <w:rPr>
          <w:rFonts w:ascii="仿宋_GB2312" w:eastAsia="仿宋_GB2312" w:cs="仿宋_GB2312"/>
          <w:color w:val="000000"/>
          <w:sz w:val="32"/>
          <w:szCs w:val="32"/>
          <w:shd w:val="clear" w:color="auto" w:fill="FFFFFF"/>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 3 \* GB2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⑶</w:t>
      </w:r>
      <w:r>
        <w:rPr>
          <w:rFonts w:hint="eastAsia" w:ascii="仿宋" w:hAnsi="仿宋" w:eastAsia="仿宋" w:cs="仿宋"/>
          <w:sz w:val="32"/>
          <w:szCs w:val="32"/>
        </w:rPr>
        <w:fldChar w:fldCharType="end"/>
      </w:r>
      <w:r>
        <w:rPr>
          <w:rFonts w:hint="eastAsia" w:ascii="仿宋" w:hAnsi="仿宋" w:eastAsia="仿宋" w:cs="仿宋"/>
          <w:sz w:val="32"/>
          <w:szCs w:val="32"/>
        </w:rPr>
        <w:t>、对个人和家庭支出</w:t>
      </w:r>
      <w:r>
        <w:rPr>
          <w:rFonts w:hint="eastAsia" w:ascii="仿宋" w:hAnsi="仿宋" w:eastAsia="仿宋" w:cs="仿宋"/>
          <w:sz w:val="32"/>
          <w:szCs w:val="32"/>
          <w:lang w:val="en-US" w:eastAsia="zh-CN"/>
        </w:rPr>
        <w:t>1.15万元</w:t>
      </w:r>
      <w:r>
        <w:rPr>
          <w:rFonts w:hint="eastAsia" w:ascii="仿宋" w:hAnsi="仿宋" w:eastAsia="仿宋" w:cs="仿宋"/>
          <w:sz w:val="32"/>
          <w:szCs w:val="32"/>
        </w:rPr>
        <w:t>。</w:t>
      </w:r>
    </w:p>
    <w:p w14:paraId="17DFF268">
      <w:pPr>
        <w:pStyle w:val="6"/>
        <w:widowControl/>
        <w:numPr>
          <w:ilvl w:val="0"/>
          <w:numId w:val="2"/>
        </w:numPr>
        <w:shd w:val="clear" w:color="auto" w:fill="FFFFFF"/>
        <w:snapToGrid w:val="0"/>
        <w:spacing w:before="0" w:beforeAutospacing="0" w:after="0" w:afterAutospacing="0" w:line="520" w:lineRule="exact"/>
        <w:ind w:left="640"/>
        <w:rPr>
          <w:rFonts w:ascii="仿宋_GB2312" w:eastAsia="仿宋_GB2312" w:cs="仿宋_GB2312"/>
          <w:color w:val="000000"/>
          <w:sz w:val="32"/>
          <w:szCs w:val="32"/>
          <w:shd w:val="clear" w:color="auto" w:fill="FFFFFF"/>
        </w:rPr>
      </w:pPr>
      <w:r>
        <w:rPr>
          <w:rFonts w:ascii="仿宋_GB2312" w:eastAsia="仿宋_GB2312" w:cs="仿宋_GB2312"/>
          <w:color w:val="000000"/>
          <w:sz w:val="32"/>
          <w:szCs w:val="32"/>
          <w:shd w:val="clear" w:color="auto" w:fill="FFFFFF"/>
        </w:rPr>
        <w:t>项目支出情况</w:t>
      </w:r>
    </w:p>
    <w:p w14:paraId="096C09D8">
      <w:pPr>
        <w:snapToGrid w:val="0"/>
        <w:spacing w:line="480" w:lineRule="exact"/>
        <w:ind w:firstLine="640" w:firstLineChars="200"/>
        <w:rPr>
          <w:rFonts w:ascii="仿宋" w:hAnsi="仿宋" w:eastAsia="仿宋" w:cs="仿宋"/>
          <w:sz w:val="32"/>
          <w:szCs w:val="32"/>
        </w:rPr>
      </w:pPr>
      <w:r>
        <w:rPr>
          <w:rFonts w:hint="eastAsia" w:ascii="仿宋" w:hAnsi="仿宋" w:eastAsia="仿宋" w:cs="仿宋"/>
          <w:sz w:val="32"/>
          <w:szCs w:val="32"/>
        </w:rPr>
        <w:t>项目支出</w:t>
      </w:r>
      <w:r>
        <w:rPr>
          <w:rFonts w:hint="eastAsia" w:ascii="仿宋" w:hAnsi="仿宋" w:eastAsia="仿宋" w:cs="仿宋"/>
          <w:sz w:val="32"/>
          <w:szCs w:val="32"/>
          <w:lang w:val="en-US" w:eastAsia="zh-CN"/>
        </w:rPr>
        <w:t>5.5万元</w:t>
      </w:r>
      <w:r>
        <w:rPr>
          <w:rFonts w:hint="eastAsia" w:ascii="仿宋" w:hAnsi="仿宋" w:eastAsia="仿宋" w:cs="仿宋"/>
          <w:sz w:val="32"/>
          <w:szCs w:val="32"/>
        </w:rPr>
        <w:t>：</w:t>
      </w:r>
    </w:p>
    <w:p w14:paraId="6BAF4A78">
      <w:pPr>
        <w:snapToGrid w:val="0"/>
        <w:spacing w:line="480" w:lineRule="exact"/>
        <w:ind w:firstLine="640" w:firstLineChars="200"/>
        <w:rPr>
          <w:rFonts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 1 \* GB2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⑴</w:t>
      </w:r>
      <w:r>
        <w:rPr>
          <w:rFonts w:hint="eastAsia" w:ascii="仿宋" w:hAnsi="仿宋" w:eastAsia="仿宋" w:cs="仿宋"/>
          <w:sz w:val="32"/>
          <w:szCs w:val="32"/>
        </w:rPr>
        <w:fldChar w:fldCharType="end"/>
      </w:r>
      <w:r>
        <w:rPr>
          <w:rFonts w:hint="eastAsia" w:ascii="仿宋" w:hAnsi="仿宋" w:eastAsia="仿宋" w:cs="仿宋"/>
          <w:sz w:val="32"/>
          <w:szCs w:val="32"/>
        </w:rPr>
        <w:t>、工资福利支出0元。</w:t>
      </w:r>
    </w:p>
    <w:p w14:paraId="06776CD8">
      <w:pPr>
        <w:snapToGrid w:val="0"/>
        <w:spacing w:line="480" w:lineRule="exact"/>
        <w:ind w:firstLine="640" w:firstLineChars="200"/>
        <w:rPr>
          <w:rFonts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 2 \* GB2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⑵</w:t>
      </w:r>
      <w:r>
        <w:rPr>
          <w:rFonts w:hint="eastAsia" w:ascii="仿宋" w:hAnsi="仿宋" w:eastAsia="仿宋" w:cs="仿宋"/>
          <w:sz w:val="32"/>
          <w:szCs w:val="32"/>
        </w:rPr>
        <w:fldChar w:fldCharType="end"/>
      </w:r>
      <w:r>
        <w:rPr>
          <w:rFonts w:hint="eastAsia" w:ascii="仿宋" w:hAnsi="仿宋" w:eastAsia="仿宋" w:cs="仿宋"/>
          <w:sz w:val="32"/>
          <w:szCs w:val="32"/>
        </w:rPr>
        <w:t>、商品和服务支出</w:t>
      </w:r>
      <w:r>
        <w:rPr>
          <w:rFonts w:hint="eastAsia" w:ascii="仿宋" w:hAnsi="仿宋" w:eastAsia="仿宋" w:cs="仿宋"/>
          <w:sz w:val="32"/>
          <w:szCs w:val="32"/>
          <w:lang w:val="en-US" w:eastAsia="zh-CN"/>
        </w:rPr>
        <w:t>3.1万元</w:t>
      </w:r>
      <w:r>
        <w:rPr>
          <w:rFonts w:hint="eastAsia" w:ascii="仿宋" w:hAnsi="仿宋" w:eastAsia="仿宋" w:cs="仿宋"/>
          <w:sz w:val="32"/>
          <w:szCs w:val="32"/>
        </w:rPr>
        <w:t>。</w:t>
      </w:r>
    </w:p>
    <w:p w14:paraId="3DDED2CF">
      <w:pPr>
        <w:snapToGrid w:val="0"/>
        <w:spacing w:line="480" w:lineRule="exact"/>
        <w:ind w:firstLine="640" w:firstLineChars="200"/>
        <w:rPr>
          <w:rFonts w:ascii="仿宋_GB2312" w:eastAsia="仿宋_GB2312" w:cs="仿宋_GB2312"/>
          <w:color w:val="000000"/>
          <w:sz w:val="32"/>
          <w:szCs w:val="32"/>
          <w:shd w:val="clear" w:color="auto" w:fill="FFFFFF"/>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 3 \* GB2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⑶</w:t>
      </w:r>
      <w:r>
        <w:rPr>
          <w:rFonts w:hint="eastAsia" w:ascii="仿宋" w:hAnsi="仿宋" w:eastAsia="仿宋" w:cs="仿宋"/>
          <w:sz w:val="32"/>
          <w:szCs w:val="32"/>
        </w:rPr>
        <w:fldChar w:fldCharType="end"/>
      </w:r>
      <w:r>
        <w:rPr>
          <w:rFonts w:hint="eastAsia" w:ascii="仿宋" w:hAnsi="仿宋" w:eastAsia="仿宋" w:cs="仿宋"/>
          <w:sz w:val="32"/>
          <w:szCs w:val="32"/>
        </w:rPr>
        <w:t>、</w:t>
      </w:r>
      <w:r>
        <w:rPr>
          <w:rFonts w:hint="eastAsia" w:ascii="仿宋" w:hAnsi="仿宋" w:eastAsia="仿宋" w:cs="仿宋"/>
          <w:sz w:val="32"/>
          <w:szCs w:val="32"/>
          <w:lang w:eastAsia="zh-CN"/>
        </w:rPr>
        <w:t>资本性</w:t>
      </w:r>
      <w:r>
        <w:rPr>
          <w:rFonts w:hint="eastAsia" w:ascii="仿宋" w:hAnsi="仿宋" w:eastAsia="仿宋" w:cs="仿宋"/>
          <w:sz w:val="32"/>
          <w:szCs w:val="32"/>
        </w:rPr>
        <w:t>支出</w:t>
      </w:r>
      <w:r>
        <w:rPr>
          <w:rFonts w:hint="eastAsia" w:ascii="仿宋" w:hAnsi="仿宋" w:eastAsia="仿宋" w:cs="仿宋"/>
          <w:sz w:val="32"/>
          <w:szCs w:val="32"/>
          <w:lang w:val="en-US" w:eastAsia="zh-CN"/>
        </w:rPr>
        <w:t>2.4万元</w:t>
      </w:r>
      <w:r>
        <w:rPr>
          <w:rFonts w:hint="eastAsia" w:ascii="仿宋" w:hAnsi="仿宋" w:eastAsia="仿宋" w:cs="仿宋"/>
          <w:sz w:val="32"/>
          <w:szCs w:val="32"/>
        </w:rPr>
        <w:t>。</w:t>
      </w:r>
    </w:p>
    <w:p w14:paraId="01444B82">
      <w:pPr>
        <w:pStyle w:val="6"/>
        <w:widowControl/>
        <w:numPr>
          <w:ilvl w:val="0"/>
          <w:numId w:val="3"/>
        </w:numPr>
        <w:shd w:val="clear" w:color="auto" w:fill="FFFFFF"/>
        <w:snapToGrid w:val="0"/>
        <w:spacing w:before="0" w:beforeAutospacing="0" w:after="0" w:afterAutospacing="0" w:line="520" w:lineRule="exact"/>
        <w:ind w:firstLine="640" w:firstLineChars="200"/>
        <w:rPr>
          <w:rFonts w:ascii="楷体_GB2312" w:eastAsia="楷体_GB2312" w:cs="楷体_GB2312"/>
          <w:color w:val="000000"/>
          <w:sz w:val="32"/>
          <w:szCs w:val="32"/>
          <w:shd w:val="clear" w:color="auto" w:fill="FFFFFF"/>
        </w:rPr>
      </w:pPr>
      <w:r>
        <w:rPr>
          <w:rFonts w:ascii="楷体_GB2312" w:eastAsia="楷体_GB2312" w:cs="楷体_GB2312"/>
          <w:color w:val="000000"/>
          <w:sz w:val="32"/>
          <w:szCs w:val="32"/>
          <w:shd w:val="clear" w:color="auto" w:fill="FFFFFF"/>
        </w:rPr>
        <w:t>"三公"经费使用和管理情况</w:t>
      </w:r>
    </w:p>
    <w:p w14:paraId="0CF3592D">
      <w:pPr>
        <w:spacing w:line="560" w:lineRule="exact"/>
        <w:ind w:firstLine="640" w:firstLineChars="200"/>
        <w:rPr>
          <w:rFonts w:ascii="仿宋" w:hAnsi="仿宋" w:eastAsia="仿宋" w:cs="仿宋"/>
          <w:sz w:val="32"/>
          <w:szCs w:val="32"/>
          <w:lang w:val="zh-CN"/>
        </w:rPr>
      </w:pPr>
      <w:r>
        <w:rPr>
          <w:rFonts w:hint="eastAsia" w:ascii="仿宋" w:hAnsi="仿宋" w:eastAsia="仿宋" w:cs="仿宋"/>
          <w:sz w:val="32"/>
          <w:szCs w:val="32"/>
        </w:rPr>
        <w:t>没有因公出国（境）人员，</w:t>
      </w:r>
      <w:r>
        <w:rPr>
          <w:rFonts w:hint="eastAsia" w:ascii="仿宋" w:hAnsi="仿宋" w:eastAsia="仿宋" w:cs="仿宋"/>
          <w:sz w:val="32"/>
          <w:szCs w:val="32"/>
          <w:lang w:eastAsia="zh-CN"/>
        </w:rPr>
        <w:t>没有</w:t>
      </w:r>
      <w:r>
        <w:rPr>
          <w:rFonts w:hint="eastAsia" w:ascii="仿宋" w:hAnsi="仿宋" w:eastAsia="仿宋" w:cs="仿宋"/>
          <w:sz w:val="32"/>
          <w:szCs w:val="32"/>
        </w:rPr>
        <w:t>公务接待费支出，没有公务用车购置及运行维护费支出，有效的控制了“三公经费”的支出。</w:t>
      </w:r>
    </w:p>
    <w:p w14:paraId="5CAC81ED">
      <w:pPr>
        <w:pStyle w:val="6"/>
        <w:widowControl/>
        <w:numPr>
          <w:ilvl w:val="0"/>
          <w:numId w:val="4"/>
        </w:numPr>
        <w:shd w:val="clear" w:color="auto" w:fill="FFFFFF"/>
        <w:snapToGrid w:val="0"/>
        <w:spacing w:before="0" w:beforeAutospacing="0" w:after="0" w:afterAutospacing="0" w:line="520" w:lineRule="exact"/>
        <w:ind w:firstLine="640" w:firstLineChars="200"/>
        <w:rPr>
          <w:rFonts w:ascii="黑体" w:hAnsi="黑体" w:eastAsia="黑体" w:cs="黑体"/>
          <w:color w:val="000000"/>
          <w:sz w:val="32"/>
          <w:szCs w:val="32"/>
          <w:shd w:val="clear" w:color="auto" w:fill="FFFFFF"/>
        </w:rPr>
      </w:pPr>
      <w:r>
        <w:rPr>
          <w:rFonts w:hint="eastAsia" w:ascii="黑体" w:hAnsi="黑体" w:eastAsia="黑体" w:cs="黑体"/>
          <w:color w:val="000000"/>
          <w:sz w:val="32"/>
          <w:szCs w:val="32"/>
          <w:shd w:val="clear" w:color="auto" w:fill="FFFFFF"/>
        </w:rPr>
        <w:t>政府性基金预算支出情况</w:t>
      </w:r>
    </w:p>
    <w:p w14:paraId="015D9CE4">
      <w:pPr>
        <w:pStyle w:val="6"/>
        <w:widowControl/>
        <w:shd w:val="clear" w:color="auto" w:fill="FFFFFF"/>
        <w:snapToGrid w:val="0"/>
        <w:spacing w:before="0" w:beforeAutospacing="0" w:after="0" w:afterAutospacing="0" w:line="520" w:lineRule="exact"/>
        <w:ind w:firstLine="643" w:firstLineChars="200"/>
        <w:rPr>
          <w:rFonts w:ascii="仿宋" w:hAnsi="仿宋" w:eastAsia="仿宋" w:cs="仿宋"/>
          <w:b/>
          <w:bCs/>
          <w:color w:val="000000"/>
          <w:sz w:val="32"/>
          <w:szCs w:val="32"/>
          <w:shd w:val="clear" w:color="auto" w:fill="FFFFFF"/>
        </w:rPr>
      </w:pPr>
      <w:r>
        <w:rPr>
          <w:rFonts w:hint="eastAsia" w:ascii="仿宋" w:hAnsi="仿宋" w:eastAsia="仿宋" w:cs="仿宋"/>
          <w:b/>
          <w:bCs/>
          <w:color w:val="000000"/>
          <w:sz w:val="32"/>
          <w:szCs w:val="32"/>
          <w:shd w:val="clear" w:color="auto" w:fill="FFFFFF"/>
        </w:rPr>
        <w:t>无</w:t>
      </w:r>
    </w:p>
    <w:p w14:paraId="488BC3A4">
      <w:pPr>
        <w:pStyle w:val="6"/>
        <w:widowControl/>
        <w:numPr>
          <w:ilvl w:val="0"/>
          <w:numId w:val="4"/>
        </w:numPr>
        <w:shd w:val="clear" w:color="auto" w:fill="FFFFFF"/>
        <w:snapToGrid w:val="0"/>
        <w:spacing w:before="0" w:beforeAutospacing="0" w:after="0" w:afterAutospacing="0" w:line="520" w:lineRule="exact"/>
        <w:ind w:firstLine="640" w:firstLineChars="200"/>
        <w:rPr>
          <w:rFonts w:ascii="黑体" w:hAnsi="黑体" w:eastAsia="黑体" w:cs="黑体"/>
          <w:color w:val="000000"/>
          <w:sz w:val="32"/>
          <w:szCs w:val="32"/>
          <w:shd w:val="clear" w:color="auto" w:fill="FFFFFF"/>
        </w:rPr>
      </w:pPr>
      <w:r>
        <w:rPr>
          <w:rFonts w:hint="eastAsia" w:ascii="黑体" w:hAnsi="黑体" w:eastAsia="黑体" w:cs="黑体"/>
          <w:color w:val="000000"/>
          <w:sz w:val="32"/>
          <w:szCs w:val="32"/>
          <w:shd w:val="clear" w:color="auto" w:fill="FFFFFF"/>
        </w:rPr>
        <w:t>国有资本经营预算支出情况</w:t>
      </w:r>
    </w:p>
    <w:p w14:paraId="0CB2EA65">
      <w:pPr>
        <w:pStyle w:val="6"/>
        <w:widowControl/>
        <w:shd w:val="clear" w:color="auto" w:fill="FFFFFF"/>
        <w:snapToGrid w:val="0"/>
        <w:spacing w:before="0" w:beforeAutospacing="0" w:after="0" w:afterAutospacing="0" w:line="520" w:lineRule="exact"/>
        <w:rPr>
          <w:rFonts w:ascii="黑体" w:hAnsi="黑体" w:eastAsia="黑体" w:cs="黑体"/>
          <w:color w:val="000000"/>
          <w:sz w:val="32"/>
          <w:szCs w:val="32"/>
          <w:shd w:val="clear" w:color="auto" w:fill="FFFFFF"/>
        </w:rPr>
      </w:pPr>
      <w:r>
        <w:rPr>
          <w:rFonts w:hint="eastAsia" w:ascii="黑体" w:hAnsi="黑体" w:eastAsia="黑体" w:cs="黑体"/>
          <w:color w:val="000000"/>
          <w:sz w:val="32"/>
          <w:szCs w:val="32"/>
          <w:shd w:val="clear" w:color="auto" w:fill="FFFFFF"/>
        </w:rPr>
        <w:t xml:space="preserve">    </w:t>
      </w:r>
      <w:r>
        <w:rPr>
          <w:rFonts w:hint="eastAsia" w:ascii="仿宋" w:hAnsi="仿宋" w:eastAsia="仿宋" w:cs="仿宋"/>
          <w:b/>
          <w:bCs/>
          <w:color w:val="000000"/>
          <w:sz w:val="32"/>
          <w:szCs w:val="32"/>
          <w:shd w:val="clear" w:color="auto" w:fill="FFFFFF"/>
        </w:rPr>
        <w:t>无</w:t>
      </w:r>
    </w:p>
    <w:p w14:paraId="5B97DB2A">
      <w:pPr>
        <w:pStyle w:val="6"/>
        <w:widowControl/>
        <w:numPr>
          <w:ilvl w:val="0"/>
          <w:numId w:val="4"/>
        </w:numPr>
        <w:shd w:val="clear" w:color="auto" w:fill="FFFFFF"/>
        <w:snapToGrid w:val="0"/>
        <w:spacing w:before="0" w:beforeAutospacing="0" w:after="0" w:afterAutospacing="0" w:line="520" w:lineRule="exact"/>
        <w:ind w:firstLine="640" w:firstLineChars="200"/>
        <w:rPr>
          <w:rFonts w:ascii="黑体" w:hAnsi="黑体" w:eastAsia="黑体" w:cs="黑体"/>
          <w:color w:val="000000"/>
          <w:sz w:val="32"/>
          <w:szCs w:val="32"/>
          <w:shd w:val="clear" w:color="auto" w:fill="FFFFFF"/>
        </w:rPr>
      </w:pPr>
      <w:r>
        <w:rPr>
          <w:rFonts w:hint="eastAsia" w:ascii="黑体" w:hAnsi="黑体" w:eastAsia="黑体" w:cs="黑体"/>
          <w:color w:val="000000"/>
          <w:sz w:val="32"/>
          <w:szCs w:val="32"/>
          <w:shd w:val="clear" w:color="auto" w:fill="FFFFFF"/>
        </w:rPr>
        <w:t>社会保险基金预算支出情况</w:t>
      </w:r>
    </w:p>
    <w:p w14:paraId="7D0CD910">
      <w:pPr>
        <w:pStyle w:val="6"/>
        <w:widowControl/>
        <w:shd w:val="clear" w:color="auto" w:fill="FFFFFF"/>
        <w:snapToGrid w:val="0"/>
        <w:spacing w:before="0" w:beforeAutospacing="0" w:after="0" w:afterAutospacing="0" w:line="520" w:lineRule="exact"/>
        <w:ind w:firstLine="643" w:firstLineChars="200"/>
        <w:rPr>
          <w:rFonts w:ascii="仿宋" w:hAnsi="仿宋" w:eastAsia="仿宋" w:cs="仿宋"/>
          <w:b/>
          <w:bCs/>
          <w:color w:val="000000"/>
          <w:sz w:val="32"/>
          <w:szCs w:val="32"/>
          <w:shd w:val="clear" w:color="auto" w:fill="FFFFFF"/>
        </w:rPr>
      </w:pPr>
      <w:r>
        <w:rPr>
          <w:rFonts w:hint="eastAsia" w:ascii="仿宋" w:hAnsi="仿宋" w:eastAsia="仿宋" w:cs="仿宋"/>
          <w:b/>
          <w:bCs/>
          <w:color w:val="000000"/>
          <w:sz w:val="32"/>
          <w:szCs w:val="32"/>
          <w:shd w:val="clear" w:color="auto" w:fill="FFFFFF"/>
        </w:rPr>
        <w:t>无</w:t>
      </w:r>
    </w:p>
    <w:p w14:paraId="6260EFD4">
      <w:pPr>
        <w:pStyle w:val="6"/>
        <w:widowControl/>
        <w:shd w:val="clear" w:color="auto" w:fill="FFFFFF"/>
        <w:snapToGrid w:val="0"/>
        <w:spacing w:before="0" w:beforeAutospacing="0" w:after="0" w:afterAutospacing="0" w:line="52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shd w:val="clear" w:color="auto" w:fill="FFFFFF"/>
        </w:rPr>
        <w:t>六、部门整体支出绩效情况</w:t>
      </w:r>
    </w:p>
    <w:p w14:paraId="462FA8AD">
      <w:pPr>
        <w:pStyle w:val="6"/>
        <w:widowControl/>
        <w:shd w:val="clear" w:color="auto" w:fill="FFFFFF"/>
        <w:snapToGrid w:val="0"/>
        <w:spacing w:before="0" w:beforeAutospacing="0" w:after="0" w:afterAutospacing="0" w:line="520" w:lineRule="exact"/>
        <w:ind w:firstLine="548" w:firstLineChars="200"/>
        <w:rPr>
          <w:rFonts w:ascii="楷体_GB2312" w:eastAsia="楷体_GB2312" w:cs="楷体_GB2312"/>
          <w:color w:val="000000"/>
          <w:sz w:val="32"/>
          <w:szCs w:val="32"/>
          <w:shd w:val="clear" w:color="auto" w:fill="FFFFFF"/>
        </w:rPr>
      </w:pPr>
      <w:r>
        <w:rPr>
          <w:rFonts w:ascii="楷体_GB2312" w:eastAsia="楷体_GB2312" w:cs="楷体_GB2312"/>
          <w:color w:val="000000"/>
          <w:spacing w:val="-23"/>
          <w:sz w:val="32"/>
          <w:szCs w:val="32"/>
          <w:shd w:val="clear" w:color="auto" w:fill="FFFFFF"/>
        </w:rPr>
        <w:t>（一）</w:t>
      </w:r>
      <w:r>
        <w:rPr>
          <w:rFonts w:ascii="楷体_GB2312" w:eastAsia="楷体_GB2312" w:cs="楷体_GB2312"/>
          <w:color w:val="000000"/>
          <w:sz w:val="32"/>
          <w:szCs w:val="32"/>
          <w:shd w:val="clear" w:color="auto" w:fill="FFFFFF"/>
        </w:rPr>
        <w:t>综合评价结论。</w:t>
      </w:r>
    </w:p>
    <w:p w14:paraId="55F89E52">
      <w:pPr>
        <w:spacing w:line="460" w:lineRule="exact"/>
        <w:ind w:firstLine="640" w:firstLineChars="200"/>
        <w:rPr>
          <w:rFonts w:ascii="楷体_GB2312" w:eastAsia="楷体_GB2312" w:cs="楷体_GB2312"/>
          <w:color w:val="000000"/>
          <w:sz w:val="32"/>
          <w:szCs w:val="32"/>
          <w:shd w:val="clear" w:color="auto" w:fill="FFFFFF"/>
        </w:rPr>
      </w:pPr>
      <w:r>
        <w:rPr>
          <w:rFonts w:hint="eastAsia" w:ascii="仿宋" w:hAnsi="仿宋" w:eastAsia="仿宋" w:cs="仿宋"/>
          <w:color w:val="343233"/>
          <w:kern w:val="0"/>
          <w:sz w:val="32"/>
          <w:szCs w:val="32"/>
        </w:rPr>
        <w:t>经自评，2023年度我单位整体支出绩效评价结论为“优”，自查评分为95分。</w:t>
      </w:r>
    </w:p>
    <w:p w14:paraId="6AF636D5">
      <w:pPr>
        <w:pStyle w:val="6"/>
        <w:widowControl/>
        <w:numPr>
          <w:ilvl w:val="0"/>
          <w:numId w:val="5"/>
        </w:numPr>
        <w:shd w:val="clear" w:color="auto" w:fill="FFFFFF"/>
        <w:snapToGrid w:val="0"/>
        <w:spacing w:before="0" w:beforeAutospacing="0" w:after="0" w:afterAutospacing="0" w:line="520" w:lineRule="exact"/>
        <w:ind w:firstLine="640" w:firstLineChars="200"/>
        <w:rPr>
          <w:rFonts w:ascii="楷体_GB2312" w:eastAsia="楷体_GB2312" w:cs="楷体_GB2312"/>
          <w:color w:val="000000"/>
          <w:sz w:val="32"/>
          <w:szCs w:val="32"/>
          <w:shd w:val="clear" w:color="auto" w:fill="FFFFFF"/>
        </w:rPr>
      </w:pPr>
      <w:r>
        <w:rPr>
          <w:rFonts w:ascii="楷体_GB2312" w:eastAsia="楷体_GB2312" w:cs="楷体_GB2312"/>
          <w:color w:val="000000"/>
          <w:sz w:val="32"/>
          <w:szCs w:val="32"/>
          <w:shd w:val="clear" w:color="auto" w:fill="FFFFFF"/>
        </w:rPr>
        <w:t>评价指标分析（或综合评价情况）。</w:t>
      </w:r>
    </w:p>
    <w:p w14:paraId="1FDA96A5">
      <w:pPr>
        <w:pStyle w:val="6"/>
        <w:widowControl/>
        <w:shd w:val="clear" w:color="auto" w:fill="FFFFFF"/>
        <w:snapToGrid w:val="0"/>
        <w:spacing w:before="0" w:beforeAutospacing="0" w:after="0" w:afterAutospacing="0" w:line="520" w:lineRule="exact"/>
        <w:rPr>
          <w:rFonts w:ascii="仿宋" w:hAnsi="仿宋" w:eastAsia="仿宋" w:cs="仿宋"/>
          <w:color w:val="000000"/>
          <w:sz w:val="32"/>
          <w:szCs w:val="32"/>
          <w:shd w:val="clear" w:color="auto" w:fill="FFFFFF"/>
        </w:rPr>
      </w:pPr>
      <w:r>
        <w:rPr>
          <w:rFonts w:hint="eastAsia" w:ascii="楷体_GB2312" w:eastAsia="楷体_GB2312" w:cs="楷体_GB2312"/>
          <w:color w:val="000000"/>
          <w:sz w:val="32"/>
          <w:szCs w:val="32"/>
          <w:shd w:val="clear" w:color="auto" w:fill="FFFFFF"/>
        </w:rPr>
        <w:t xml:space="preserve">   </w:t>
      </w:r>
      <w:r>
        <w:rPr>
          <w:rFonts w:hint="eastAsia" w:ascii="仿宋" w:hAnsi="仿宋" w:eastAsia="仿宋" w:cs="仿宋"/>
          <w:color w:val="000000"/>
          <w:sz w:val="32"/>
          <w:szCs w:val="32"/>
          <w:shd w:val="clear" w:color="auto" w:fill="FFFFFF"/>
        </w:rPr>
        <w:t xml:space="preserve"> 根据我部门实际情况，年初按要求申报了整体绩效目标，并在年终产出中实现了数量、质量、成本、时效指标的全面完成，取得了良好的社会效益和可持续影响，服务对象满意率较高。</w:t>
      </w:r>
    </w:p>
    <w:p w14:paraId="241A7336">
      <w:pPr>
        <w:pStyle w:val="6"/>
        <w:widowControl/>
        <w:shd w:val="clear" w:color="auto" w:fill="FFFFFF"/>
        <w:snapToGrid w:val="0"/>
        <w:spacing w:before="0" w:beforeAutospacing="0" w:after="0" w:afterAutospacing="0" w:line="52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shd w:val="clear" w:color="auto" w:fill="FFFFFF"/>
        </w:rPr>
        <w:t>七、存在的问题及原因分析</w:t>
      </w:r>
    </w:p>
    <w:p w14:paraId="3C075380">
      <w:pPr>
        <w:pStyle w:val="6"/>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ascii="仿宋_GB2312" w:eastAsia="仿宋_GB2312" w:cs="仿宋_GB2312"/>
          <w:color w:val="000000"/>
          <w:sz w:val="32"/>
          <w:szCs w:val="32"/>
          <w:shd w:val="clear" w:color="auto" w:fill="FFFFFF"/>
        </w:rPr>
        <w:t>主要</w:t>
      </w:r>
      <w:r>
        <w:rPr>
          <w:rFonts w:hint="eastAsia" w:ascii="仿宋_GB2312" w:eastAsia="仿宋_GB2312" w:cs="仿宋_GB2312"/>
          <w:color w:val="000000"/>
          <w:sz w:val="32"/>
          <w:szCs w:val="32"/>
          <w:shd w:val="clear" w:color="auto" w:fill="FFFFFF"/>
          <w:lang w:eastAsia="zh-CN"/>
        </w:rPr>
        <w:t>是</w:t>
      </w:r>
      <w:r>
        <w:rPr>
          <w:rFonts w:hint="eastAsia" w:ascii="仿宋" w:hAnsi="仿宋" w:eastAsia="仿宋" w:cs="仿宋"/>
          <w:color w:val="000000"/>
          <w:kern w:val="0"/>
          <w:sz w:val="32"/>
          <w:szCs w:val="32"/>
        </w:rPr>
        <w:t>部门决算与部门预算之间的对比与衔接</w:t>
      </w:r>
      <w:r>
        <w:rPr>
          <w:rFonts w:hint="eastAsia" w:ascii="仿宋" w:hAnsi="仿宋" w:eastAsia="仿宋" w:cs="仿宋"/>
          <w:color w:val="000000"/>
          <w:kern w:val="0"/>
          <w:sz w:val="32"/>
          <w:szCs w:val="32"/>
          <w:lang w:eastAsia="zh-CN"/>
        </w:rPr>
        <w:t>不够</w:t>
      </w:r>
      <w:r>
        <w:rPr>
          <w:rFonts w:hint="eastAsia" w:ascii="仿宋" w:hAnsi="仿宋" w:eastAsia="仿宋" w:cs="仿宋"/>
          <w:color w:val="000000"/>
          <w:kern w:val="0"/>
          <w:sz w:val="32"/>
          <w:szCs w:val="32"/>
        </w:rPr>
        <w:t>。</w:t>
      </w:r>
    </w:p>
    <w:p w14:paraId="3D466A48">
      <w:pPr>
        <w:pStyle w:val="6"/>
        <w:widowControl/>
        <w:numPr>
          <w:ilvl w:val="0"/>
          <w:numId w:val="6"/>
        </w:numPr>
        <w:shd w:val="clear" w:color="auto" w:fill="FFFFFF"/>
        <w:snapToGrid w:val="0"/>
        <w:spacing w:before="0" w:beforeAutospacing="0" w:after="0" w:afterAutospacing="0" w:line="520" w:lineRule="exact"/>
        <w:ind w:firstLine="640" w:firstLineChars="200"/>
        <w:rPr>
          <w:rFonts w:ascii="黑体" w:hAnsi="黑体" w:eastAsia="黑体" w:cs="黑体"/>
          <w:color w:val="000000"/>
          <w:sz w:val="32"/>
          <w:szCs w:val="32"/>
          <w:shd w:val="clear" w:color="auto" w:fill="FFFFFF"/>
        </w:rPr>
      </w:pPr>
      <w:r>
        <w:rPr>
          <w:rFonts w:hint="eastAsia" w:ascii="黑体" w:hAnsi="黑体" w:eastAsia="黑体" w:cs="黑体"/>
          <w:color w:val="000000"/>
          <w:sz w:val="32"/>
          <w:szCs w:val="32"/>
          <w:shd w:val="clear" w:color="auto" w:fill="FFFFFF"/>
        </w:rPr>
        <w:t>下一步改进措施</w:t>
      </w:r>
    </w:p>
    <w:p w14:paraId="5DCE91AE">
      <w:pPr>
        <w:pStyle w:val="6"/>
        <w:widowControl/>
        <w:shd w:val="clear" w:color="auto" w:fill="FFFFFF"/>
        <w:snapToGrid w:val="0"/>
        <w:spacing w:before="0" w:beforeAutospacing="0" w:after="0" w:afterAutospacing="0" w:line="520" w:lineRule="exact"/>
        <w:rPr>
          <w:rFonts w:ascii="仿宋" w:hAnsi="仿宋" w:eastAsia="仿宋" w:cs="仿宋"/>
          <w:color w:val="000000"/>
          <w:sz w:val="32"/>
          <w:szCs w:val="32"/>
          <w:shd w:val="clear" w:color="auto" w:fill="FFFFFF"/>
        </w:rPr>
      </w:pPr>
      <w:r>
        <w:rPr>
          <w:rFonts w:hint="eastAsia" w:ascii="黑体" w:hAnsi="黑体" w:eastAsia="黑体" w:cs="黑体"/>
          <w:color w:val="000000"/>
          <w:sz w:val="32"/>
          <w:szCs w:val="32"/>
          <w:shd w:val="clear" w:color="auto" w:fill="FFFFFF"/>
        </w:rPr>
        <w:t xml:space="preserve">    </w:t>
      </w:r>
      <w:r>
        <w:rPr>
          <w:rFonts w:hint="eastAsia" w:ascii="仿宋" w:hAnsi="仿宋" w:eastAsia="仿宋" w:cs="仿宋"/>
          <w:color w:val="000000"/>
          <w:kern w:val="0"/>
          <w:sz w:val="32"/>
          <w:szCs w:val="32"/>
        </w:rPr>
        <w:t>增强部门决算与部门预算之间的对比与衔接，提高部门预算的指导作用，增强决算的科学化与精细化。</w:t>
      </w:r>
    </w:p>
    <w:p w14:paraId="4BFB89AA">
      <w:pPr>
        <w:pStyle w:val="6"/>
        <w:widowControl/>
        <w:shd w:val="clear" w:color="auto" w:fill="FFFFFF"/>
        <w:snapToGrid w:val="0"/>
        <w:spacing w:before="0" w:beforeAutospacing="0" w:after="0" w:afterAutospacing="0" w:line="52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shd w:val="clear" w:color="auto" w:fill="FFFFFF"/>
        </w:rPr>
        <w:t>九、其他需要说明的情况</w:t>
      </w:r>
    </w:p>
    <w:p w14:paraId="03C4580B">
      <w:pPr>
        <w:pStyle w:val="6"/>
        <w:widowControl/>
        <w:shd w:val="clear" w:color="auto" w:fill="FFFFFF"/>
        <w:snapToGrid w:val="0"/>
        <w:spacing w:before="0" w:beforeAutospacing="0" w:after="0" w:afterAutospacing="0" w:line="520" w:lineRule="exact"/>
        <w:ind w:firstLine="643" w:firstLineChars="200"/>
        <w:rPr>
          <w:b/>
          <w:bCs/>
          <w:color w:val="000000"/>
          <w:sz w:val="32"/>
          <w:szCs w:val="32"/>
        </w:rPr>
      </w:pPr>
      <w:r>
        <w:rPr>
          <w:rFonts w:hint="eastAsia"/>
          <w:b/>
          <w:bCs/>
          <w:color w:val="000000"/>
          <w:sz w:val="32"/>
          <w:szCs w:val="32"/>
        </w:rPr>
        <w:t>无</w:t>
      </w:r>
    </w:p>
    <w:p w14:paraId="0C823BE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方正小标宋_GBK">
    <w:altName w:val="微软雅黑"/>
    <w:panose1 w:val="00000000000000000000"/>
    <w:charset w:val="86"/>
    <w:family w:val="auto"/>
    <w:pitch w:val="default"/>
    <w:sig w:usb0="00000000" w:usb1="00000000" w:usb2="00082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BBB2B8"/>
    <w:multiLevelType w:val="singleLevel"/>
    <w:tmpl w:val="8CBBB2B8"/>
    <w:lvl w:ilvl="0" w:tentative="0">
      <w:start w:val="3"/>
      <w:numFmt w:val="chineseCounting"/>
      <w:suff w:val="nothing"/>
      <w:lvlText w:val="%1、"/>
      <w:lvlJc w:val="left"/>
      <w:rPr>
        <w:rFonts w:hint="eastAsia"/>
      </w:rPr>
    </w:lvl>
  </w:abstractNum>
  <w:abstractNum w:abstractNumId="1">
    <w:nsid w:val="ED0050E9"/>
    <w:multiLevelType w:val="singleLevel"/>
    <w:tmpl w:val="ED0050E9"/>
    <w:lvl w:ilvl="0" w:tentative="0">
      <w:start w:val="8"/>
      <w:numFmt w:val="chineseCounting"/>
      <w:suff w:val="nothing"/>
      <w:lvlText w:val="%1、"/>
      <w:lvlJc w:val="left"/>
      <w:rPr>
        <w:rFonts w:hint="eastAsia"/>
      </w:rPr>
    </w:lvl>
  </w:abstractNum>
  <w:abstractNum w:abstractNumId="2">
    <w:nsid w:val="EEB8ED3F"/>
    <w:multiLevelType w:val="singleLevel"/>
    <w:tmpl w:val="EEB8ED3F"/>
    <w:lvl w:ilvl="0" w:tentative="0">
      <w:start w:val="3"/>
      <w:numFmt w:val="chineseCounting"/>
      <w:suff w:val="nothing"/>
      <w:lvlText w:val="（%1）"/>
      <w:lvlJc w:val="left"/>
      <w:rPr>
        <w:rFonts w:hint="eastAsia"/>
      </w:rPr>
    </w:lvl>
  </w:abstractNum>
  <w:abstractNum w:abstractNumId="3">
    <w:nsid w:val="FBD1014F"/>
    <w:multiLevelType w:val="singleLevel"/>
    <w:tmpl w:val="FBD1014F"/>
    <w:lvl w:ilvl="0" w:tentative="0">
      <w:start w:val="2"/>
      <w:numFmt w:val="chineseCounting"/>
      <w:suff w:val="nothing"/>
      <w:lvlText w:val="（%1）"/>
      <w:lvlJc w:val="left"/>
      <w:rPr>
        <w:rFonts w:hint="eastAsia"/>
      </w:rPr>
    </w:lvl>
  </w:abstractNum>
  <w:abstractNum w:abstractNumId="4">
    <w:nsid w:val="1962FF20"/>
    <w:multiLevelType w:val="singleLevel"/>
    <w:tmpl w:val="1962FF20"/>
    <w:lvl w:ilvl="0" w:tentative="0">
      <w:start w:val="2"/>
      <w:numFmt w:val="decimal"/>
      <w:lvlText w:val="%1."/>
      <w:lvlJc w:val="left"/>
      <w:pPr>
        <w:tabs>
          <w:tab w:val="left" w:pos="312"/>
        </w:tabs>
      </w:pPr>
    </w:lvl>
  </w:abstractNum>
  <w:abstractNum w:abstractNumId="5">
    <w:nsid w:val="7AFEEC5D"/>
    <w:multiLevelType w:val="singleLevel"/>
    <w:tmpl w:val="7AFEEC5D"/>
    <w:lvl w:ilvl="0" w:tentative="0">
      <w:start w:val="2"/>
      <w:numFmt w:val="chineseCounting"/>
      <w:suff w:val="nothing"/>
      <w:lvlText w:val="（%1）"/>
      <w:lvlJc w:val="left"/>
      <w:rPr>
        <w:rFonts w:hint="eastAsia"/>
      </w:rPr>
    </w:lvl>
  </w:abstractNum>
  <w:num w:numId="1">
    <w:abstractNumId w:val="3"/>
  </w:num>
  <w:num w:numId="2">
    <w:abstractNumId w:val="4"/>
  </w:num>
  <w:num w:numId="3">
    <w:abstractNumId w:val="2"/>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YxZTE2YjJlMWVkZmJmYWM2YjRhNzQxMWQzYzVkMjkifQ=="/>
  </w:docVars>
  <w:rsids>
    <w:rsidRoot w:val="45B53DB0"/>
    <w:rsid w:val="001A58B2"/>
    <w:rsid w:val="00255B7C"/>
    <w:rsid w:val="00291C91"/>
    <w:rsid w:val="002C0C5C"/>
    <w:rsid w:val="004F3B98"/>
    <w:rsid w:val="005F2A9C"/>
    <w:rsid w:val="0063238E"/>
    <w:rsid w:val="006D5EEE"/>
    <w:rsid w:val="007B1190"/>
    <w:rsid w:val="00991A2F"/>
    <w:rsid w:val="009C02F3"/>
    <w:rsid w:val="00A51268"/>
    <w:rsid w:val="00AD40AB"/>
    <w:rsid w:val="00B2643D"/>
    <w:rsid w:val="00BF6BCC"/>
    <w:rsid w:val="00DE3EB3"/>
    <w:rsid w:val="00ED506A"/>
    <w:rsid w:val="00FA3B5A"/>
    <w:rsid w:val="014C26A4"/>
    <w:rsid w:val="063D115E"/>
    <w:rsid w:val="067F49DD"/>
    <w:rsid w:val="0EBE0962"/>
    <w:rsid w:val="11ED060F"/>
    <w:rsid w:val="147E37E3"/>
    <w:rsid w:val="19D70B73"/>
    <w:rsid w:val="202F346E"/>
    <w:rsid w:val="20C647F6"/>
    <w:rsid w:val="22E744D4"/>
    <w:rsid w:val="2FDB53C0"/>
    <w:rsid w:val="32E60475"/>
    <w:rsid w:val="33344C53"/>
    <w:rsid w:val="37973410"/>
    <w:rsid w:val="389E1315"/>
    <w:rsid w:val="399C171C"/>
    <w:rsid w:val="39C770E9"/>
    <w:rsid w:val="3B894744"/>
    <w:rsid w:val="3CE85A48"/>
    <w:rsid w:val="45B53DB0"/>
    <w:rsid w:val="461620C8"/>
    <w:rsid w:val="462F60CE"/>
    <w:rsid w:val="48BF71D5"/>
    <w:rsid w:val="49DC7913"/>
    <w:rsid w:val="57825F9E"/>
    <w:rsid w:val="5CDE3232"/>
    <w:rsid w:val="5D091799"/>
    <w:rsid w:val="602F5097"/>
    <w:rsid w:val="60646B56"/>
    <w:rsid w:val="61A15272"/>
    <w:rsid w:val="62206ADF"/>
    <w:rsid w:val="64FA4AFF"/>
    <w:rsid w:val="68040309"/>
    <w:rsid w:val="68203558"/>
    <w:rsid w:val="6CD75FEC"/>
    <w:rsid w:val="71643360"/>
    <w:rsid w:val="71A878F1"/>
    <w:rsid w:val="74471A90"/>
    <w:rsid w:val="749F0CF3"/>
    <w:rsid w:val="77000835"/>
    <w:rsid w:val="770337B9"/>
    <w:rsid w:val="78EE4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keepNext/>
      <w:keepLines/>
      <w:spacing w:line="560" w:lineRule="exact"/>
      <w:ind w:firstLine="880" w:firstLineChars="200"/>
      <w:outlineLvl w:val="1"/>
    </w:pPr>
    <w:rPr>
      <w:rFonts w:ascii="Arial" w:hAnsi="Arial" w:eastAsia="黑体"/>
      <w:sz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paragraph" w:customStyle="1" w:styleId="9">
    <w:name w:val="BodyText1I2"/>
    <w:basedOn w:val="10"/>
    <w:next w:val="1"/>
    <w:unhideWhenUsed/>
    <w:qFormat/>
    <w:uiPriority w:val="0"/>
    <w:pPr>
      <w:ind w:firstLine="200" w:firstLineChars="200"/>
    </w:pPr>
    <w:rPr>
      <w:rFonts w:hint="default" w:ascii="Calibri" w:hAnsi="Calibri" w:eastAsia="仿宋_GB2312"/>
      <w:sz w:val="36"/>
    </w:rPr>
  </w:style>
  <w:style w:type="paragraph" w:customStyle="1" w:styleId="10">
    <w:name w:val="BodyTextIndent"/>
    <w:basedOn w:val="1"/>
    <w:unhideWhenUsed/>
    <w:qFormat/>
    <w:uiPriority w:val="0"/>
    <w:pPr>
      <w:spacing w:after="120"/>
      <w:ind w:left="420" w:leftChars="200"/>
      <w:textAlignment w:val="baseline"/>
    </w:pPr>
    <w:rPr>
      <w:rFonts w:hint="eastAsia"/>
    </w:rPr>
  </w:style>
  <w:style w:type="paragraph" w:customStyle="1" w:styleId="11">
    <w:name w:val="标题1"/>
    <w:basedOn w:val="3"/>
    <w:qFormat/>
    <w:uiPriority w:val="0"/>
  </w:style>
  <w:style w:type="character" w:customStyle="1" w:styleId="12">
    <w:name w:val="页眉 Char"/>
    <w:basedOn w:val="8"/>
    <w:link w:val="5"/>
    <w:uiPriority w:val="0"/>
    <w:rPr>
      <w:rFonts w:ascii="Times New Roman" w:hAnsi="Times New Roman" w:eastAsia="宋体" w:cs="Times New Roman"/>
      <w:kern w:val="2"/>
      <w:sz w:val="18"/>
      <w:szCs w:val="18"/>
    </w:rPr>
  </w:style>
  <w:style w:type="character" w:customStyle="1" w:styleId="13">
    <w:name w:val="页脚 Char"/>
    <w:basedOn w:val="8"/>
    <w:link w:val="4"/>
    <w:qFormat/>
    <w:uiPriority w:val="0"/>
    <w:rPr>
      <w:rFonts w:ascii="Times New Roman" w:hAnsi="Times New Roman" w:eastAsia="宋体" w:cs="Times New Roman"/>
      <w:kern w:val="2"/>
      <w:sz w:val="18"/>
      <w:szCs w:val="18"/>
    </w:rPr>
  </w:style>
  <w:style w:type="paragraph"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1230</Words>
  <Characters>1326</Characters>
  <Lines>11</Lines>
  <Paragraphs>3</Paragraphs>
  <TotalTime>3</TotalTime>
  <ScaleCrop>false</ScaleCrop>
  <LinksUpToDate>false</LinksUpToDate>
  <CharactersWithSpaces>1338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2024-08-13T02:54:00Z</dcterms:created>
  <dc:creator>001</dc:creator>
  <cp:lastModifiedBy>一朝一夕良民</cp:lastModifiedBy>
  <dcterms:modified xsi:type="dcterms:W3CDTF">2024-10-17T06:38:39Z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B424A838E662426F8D1B28F655842ED5_11</vt:lpwstr>
  </property>
</Properties>
</file>