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CC3B4">
      <w:pPr>
        <w:pStyle w:val="11"/>
        <w:keepLines/>
        <w:widowControl/>
        <w:snapToGrid/>
        <w:spacing w:before="340" w:beforeAutospacing="0" w:after="330" w:afterAutospacing="0" w:line="576" w:lineRule="auto"/>
        <w:jc w:val="center"/>
        <w:textAlignment w:val="baseline"/>
        <w:rPr>
          <w:rStyle w:val="10"/>
          <w:rFonts w:eastAsia="宋体"/>
          <w:b/>
          <w:i w:val="0"/>
          <w:caps w:val="0"/>
          <w:spacing w:val="0"/>
          <w:w w:val="100"/>
          <w:kern w:val="44"/>
          <w:sz w:val="30"/>
          <w:szCs w:val="30"/>
          <w:lang w:val="en-US" w:eastAsia="zh-CN" w:bidi="ar-SA"/>
        </w:rPr>
      </w:pPr>
      <w:r>
        <w:rPr>
          <w:rStyle w:val="10"/>
          <w:rFonts w:eastAsia="宋体"/>
          <w:b/>
          <w:i w:val="0"/>
          <w:caps w:val="0"/>
          <w:spacing w:val="0"/>
          <w:w w:val="100"/>
          <w:kern w:val="44"/>
          <w:sz w:val="44"/>
          <w:szCs w:val="24"/>
          <w:lang w:val="en-US" w:eastAsia="zh-CN" w:bidi="ar-SA"/>
        </w:rPr>
        <w:t>会同县工商联整体支出绩效自评报告</w:t>
      </w:r>
    </w:p>
    <w:p w14:paraId="07908C8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w:t>
      </w:r>
      <w:r>
        <w:rPr>
          <w:rFonts w:hint="eastAsia" w:ascii="黑体" w:hAnsi="黑体" w:eastAsia="黑体" w:cs="黑体"/>
          <w:i w:val="0"/>
          <w:iCs w:val="0"/>
          <w:caps w:val="0"/>
          <w:color w:val="000000"/>
          <w:spacing w:val="0"/>
          <w:sz w:val="32"/>
          <w:szCs w:val="32"/>
          <w:shd w:val="clear" w:color="auto" w:fill="FFFFFF"/>
          <w:lang w:eastAsia="zh-CN"/>
        </w:rPr>
        <w:t>县工商联</w:t>
      </w:r>
      <w:r>
        <w:rPr>
          <w:rFonts w:hint="eastAsia" w:ascii="黑体" w:hAnsi="黑体" w:eastAsia="黑体" w:cs="黑体"/>
          <w:i w:val="0"/>
          <w:iCs w:val="0"/>
          <w:caps w:val="0"/>
          <w:color w:val="000000"/>
          <w:spacing w:val="0"/>
          <w:sz w:val="32"/>
          <w:szCs w:val="32"/>
          <w:shd w:val="clear" w:color="auto" w:fill="FFFFFF"/>
        </w:rPr>
        <w:t>基本情况</w:t>
      </w:r>
    </w:p>
    <w:p w14:paraId="0D4D944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机构设置情况</w:t>
      </w:r>
    </w:p>
    <w:p w14:paraId="3E1A793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eastAsia="楷体_GB2312" w:cs="楷体_GB2312"/>
          <w:i w:val="0"/>
          <w:iCs w:val="0"/>
          <w:caps w:val="0"/>
          <w:color w:val="000000"/>
          <w:spacing w:val="0"/>
          <w:sz w:val="32"/>
          <w:szCs w:val="32"/>
          <w:shd w:val="clear" w:color="auto" w:fill="FFFFFF"/>
          <w:lang w:eastAsia="zh-CN"/>
        </w:rPr>
      </w:pPr>
      <w:r>
        <w:rPr>
          <w:rFonts w:hint="eastAsia" w:ascii="楷体_GB2312" w:eastAsia="楷体_GB2312" w:cs="楷体_GB2312"/>
          <w:i w:val="0"/>
          <w:iCs w:val="0"/>
          <w:caps w:val="0"/>
          <w:color w:val="000000"/>
          <w:spacing w:val="0"/>
          <w:sz w:val="32"/>
          <w:szCs w:val="32"/>
          <w:shd w:val="clear" w:color="auto" w:fill="FFFFFF"/>
          <w:lang w:eastAsia="zh-CN"/>
        </w:rPr>
        <w:t>县工商联下设办公室、县民营企业服务中心。</w:t>
      </w:r>
    </w:p>
    <w:p w14:paraId="777CC9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人员编制情况</w:t>
      </w:r>
    </w:p>
    <w:p w14:paraId="2B4635F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lang w:val="en-US" w:eastAsia="zh-CN"/>
        </w:rPr>
      </w:pPr>
      <w:r>
        <w:rPr>
          <w:rFonts w:hint="eastAsia" w:ascii="楷体_GB2312" w:eastAsia="楷体_GB2312" w:cs="楷体_GB2312"/>
          <w:i w:val="0"/>
          <w:iCs w:val="0"/>
          <w:caps w:val="0"/>
          <w:color w:val="000000"/>
          <w:spacing w:val="0"/>
          <w:sz w:val="32"/>
          <w:szCs w:val="32"/>
          <w:shd w:val="clear" w:color="auto" w:fill="FFFFFF"/>
          <w:lang w:eastAsia="zh-CN"/>
        </w:rPr>
        <w:t>县工商联现有行政编制</w:t>
      </w:r>
      <w:r>
        <w:rPr>
          <w:rFonts w:hint="eastAsia" w:ascii="楷体_GB2312" w:eastAsia="楷体_GB2312" w:cs="楷体_GB2312"/>
          <w:i w:val="0"/>
          <w:iCs w:val="0"/>
          <w:caps w:val="0"/>
          <w:color w:val="000000"/>
          <w:spacing w:val="0"/>
          <w:sz w:val="32"/>
          <w:szCs w:val="32"/>
          <w:shd w:val="clear" w:color="auto" w:fill="FFFFFF"/>
          <w:lang w:val="en-US" w:eastAsia="zh-CN"/>
        </w:rPr>
        <w:t>4名，后勤服务编制1名，事业编制3名，在职人员7人，空事业编制1名。</w:t>
      </w:r>
    </w:p>
    <w:p w14:paraId="07056269">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主要职能职责</w:t>
      </w:r>
    </w:p>
    <w:p w14:paraId="0AF553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lang w:eastAsia="zh-CN"/>
        </w:rPr>
      </w:pPr>
      <w:r>
        <w:rPr>
          <w:rFonts w:hint="eastAsia" w:ascii="楷体_GB2312" w:eastAsia="楷体_GB2312" w:cs="楷体_GB2312"/>
          <w:i w:val="0"/>
          <w:iCs w:val="0"/>
          <w:caps w:val="0"/>
          <w:color w:val="000000"/>
          <w:spacing w:val="0"/>
          <w:sz w:val="32"/>
          <w:szCs w:val="32"/>
          <w:shd w:val="clear" w:color="auto" w:fill="FFFFFF"/>
          <w:lang w:val="en-US" w:eastAsia="zh-CN"/>
        </w:rPr>
        <w:t xml:space="preserve"> </w:t>
      </w:r>
      <w:r>
        <w:rPr>
          <w:rFonts w:hint="eastAsia" w:ascii="楷体_GB2312" w:hAnsi="Times New Roman" w:eastAsia="楷体_GB2312" w:cs="楷体_GB2312"/>
          <w:i w:val="0"/>
          <w:iCs w:val="0"/>
          <w:caps w:val="0"/>
          <w:color w:val="000000"/>
          <w:spacing w:val="0"/>
          <w:sz w:val="32"/>
          <w:szCs w:val="32"/>
          <w:shd w:val="clear" w:color="auto" w:fill="FFFFFF"/>
          <w:lang w:eastAsia="zh-CN"/>
        </w:rPr>
        <w:t>加强和改进民营经济人士思想政治工作，常态化制度化开展理想信念教育和社会主义核心价值观宣传教育，引导民营经济人士积极履行社会责任。做好非公党建工作，引导民营经济人士重视党建工作。</w:t>
      </w:r>
    </w:p>
    <w:p w14:paraId="5CB1572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lang w:eastAsia="zh-CN"/>
        </w:rPr>
      </w:pPr>
      <w:r>
        <w:rPr>
          <w:rFonts w:hint="eastAsia" w:ascii="楷体_GB2312" w:hAnsi="Times New Roman" w:eastAsia="楷体_GB2312" w:cs="楷体_GB2312"/>
          <w:i w:val="0"/>
          <w:iCs w:val="0"/>
          <w:caps w:val="0"/>
          <w:color w:val="000000"/>
          <w:spacing w:val="0"/>
          <w:sz w:val="32"/>
          <w:szCs w:val="32"/>
          <w:shd w:val="clear" w:color="auto" w:fill="FFFFFF"/>
          <w:lang w:eastAsia="zh-CN"/>
        </w:rPr>
        <w:t>参与政治协商，发挥民主监督作用，开展调查研究，深入了解民营经济人士的意愿和要求，引导民营经济代表人士有序参与政治生活和社会事务。</w:t>
      </w:r>
    </w:p>
    <w:p w14:paraId="46DAB1C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lang w:eastAsia="zh-CN"/>
        </w:rPr>
      </w:pPr>
      <w:r>
        <w:rPr>
          <w:rFonts w:hint="eastAsia" w:ascii="楷体_GB2312" w:hAnsi="Times New Roman" w:eastAsia="楷体_GB2312" w:cs="楷体_GB2312"/>
          <w:i w:val="0"/>
          <w:iCs w:val="0"/>
          <w:caps w:val="0"/>
          <w:color w:val="000000"/>
          <w:spacing w:val="0"/>
          <w:sz w:val="32"/>
          <w:szCs w:val="32"/>
          <w:shd w:val="clear" w:color="auto" w:fill="FFFFFF"/>
          <w:lang w:eastAsia="zh-CN"/>
        </w:rPr>
        <w:t>协助政府管理和服务民营经济，为民营企业提供服务，组织民营企业参与实施乡村振兴等国家战略，投身“万企兴万村”行动，为经济建设服务。</w:t>
      </w:r>
    </w:p>
    <w:p w14:paraId="20D593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lang w:eastAsia="zh-CN"/>
        </w:rPr>
      </w:pPr>
      <w:r>
        <w:rPr>
          <w:rFonts w:hint="eastAsia" w:ascii="楷体_GB2312" w:hAnsi="Times New Roman" w:eastAsia="楷体_GB2312" w:cs="楷体_GB2312"/>
          <w:i w:val="0"/>
          <w:iCs w:val="0"/>
          <w:caps w:val="0"/>
          <w:color w:val="000000"/>
          <w:spacing w:val="0"/>
          <w:sz w:val="32"/>
          <w:szCs w:val="32"/>
          <w:shd w:val="clear" w:color="auto" w:fill="FFFFFF"/>
          <w:lang w:eastAsia="zh-CN"/>
        </w:rPr>
        <w:t>培育和发展中国特色基层商会组织，促进基层商会改革发展，确保商会发展的正确方向。推动工商联组织和工作在民营经济领域全面有效覆盖。</w:t>
      </w:r>
    </w:p>
    <w:p w14:paraId="6E9BDB9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lang w:eastAsia="zh-CN"/>
        </w:rPr>
      </w:pPr>
      <w:r>
        <w:rPr>
          <w:rFonts w:hint="eastAsia" w:ascii="楷体_GB2312" w:hAnsi="Times New Roman" w:eastAsia="楷体_GB2312" w:cs="楷体_GB2312"/>
          <w:i w:val="0"/>
          <w:iCs w:val="0"/>
          <w:caps w:val="0"/>
          <w:color w:val="000000"/>
          <w:spacing w:val="0"/>
          <w:sz w:val="32"/>
          <w:szCs w:val="32"/>
          <w:shd w:val="clear" w:color="auto" w:fill="FFFFFF"/>
          <w:lang w:eastAsia="zh-CN"/>
        </w:rPr>
        <w:t>参与协调劳动关系，协同社会治理，促进社会和谐稳定。</w:t>
      </w:r>
    </w:p>
    <w:p w14:paraId="5608D34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eastAsia="zh-CN"/>
        </w:rPr>
        <w:t>引导民营企业和民营经济人士依法治企、依法经营、依法维权。</w:t>
      </w:r>
    </w:p>
    <w:p w14:paraId="0203DF8A">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绩效目标设定情况</w:t>
      </w:r>
    </w:p>
    <w:p w14:paraId="7BC01C3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eastAsia="楷体_GB2312" w:cs="楷体_GB2312"/>
          <w:i w:val="0"/>
          <w:iCs w:val="0"/>
          <w:caps w:val="0"/>
          <w:color w:val="000000"/>
          <w:spacing w:val="0"/>
          <w:sz w:val="32"/>
          <w:szCs w:val="32"/>
          <w:shd w:val="clear" w:color="auto" w:fill="FFFFFF"/>
          <w:lang w:val="en-US" w:eastAsia="zh-CN"/>
        </w:rPr>
      </w:pPr>
      <w:r>
        <w:rPr>
          <w:rFonts w:hint="eastAsia" w:ascii="楷体_GB2312" w:eastAsia="楷体_GB2312" w:cs="楷体_GB2312"/>
          <w:i w:val="0"/>
          <w:iCs w:val="0"/>
          <w:caps w:val="0"/>
          <w:color w:val="000000"/>
          <w:spacing w:val="0"/>
          <w:sz w:val="32"/>
          <w:szCs w:val="32"/>
          <w:shd w:val="clear" w:color="auto" w:fill="FFFFFF"/>
          <w:lang w:val="en-US" w:eastAsia="zh-CN"/>
        </w:rPr>
        <w:t xml:space="preserve"> </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加强和改进</w:t>
      </w:r>
      <w:r>
        <w:rPr>
          <w:rFonts w:hint="eastAsia" w:ascii="楷体_GB2312" w:hAnsi="Times New Roman" w:eastAsia="楷体_GB2312" w:cs="楷体_GB2312"/>
          <w:i w:val="0"/>
          <w:iCs w:val="0"/>
          <w:caps w:val="0"/>
          <w:color w:val="000000"/>
          <w:spacing w:val="0"/>
          <w:sz w:val="32"/>
          <w:szCs w:val="32"/>
          <w:shd w:val="clear" w:color="auto" w:fill="FFFFFF"/>
          <w:lang w:eastAsia="zh-CN"/>
        </w:rPr>
        <w:t>民营经济人士</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思想政治工作，</w:t>
      </w:r>
      <w:r>
        <w:rPr>
          <w:rFonts w:hint="eastAsia" w:ascii="楷体_GB2312" w:hAnsi="Times New Roman" w:eastAsia="楷体_GB2312" w:cs="楷体_GB2312"/>
          <w:i w:val="0"/>
          <w:iCs w:val="0"/>
          <w:caps w:val="0"/>
          <w:color w:val="000000"/>
          <w:spacing w:val="0"/>
          <w:sz w:val="32"/>
          <w:szCs w:val="32"/>
          <w:shd w:val="clear" w:color="auto" w:fill="FFFFFF"/>
          <w:lang w:eastAsia="zh-CN"/>
        </w:rPr>
        <w:t>开展理想信念教育和社会主义核心价值观宣传教育，培育和建设高素质的民营经济人士队伍，促进民营经济人士健康成长</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；参与政治协商，发挥民主监督作用，积极参政议政；协助政府管理和服务非公有制经济，为非公有制企业提供服务；促进行业协会商会改革；参与协调劳动关系，促进社会和谐稳定；代表并维护会员的合法权益</w:t>
      </w:r>
      <w:r>
        <w:rPr>
          <w:rFonts w:hint="eastAsia" w:ascii="楷体_GB2312" w:hAnsi="Times New Roman" w:eastAsia="楷体_GB2312" w:cs="楷体_GB2312"/>
          <w:i w:val="0"/>
          <w:iCs w:val="0"/>
          <w:caps w:val="0"/>
          <w:color w:val="000000"/>
          <w:spacing w:val="0"/>
          <w:sz w:val="32"/>
          <w:szCs w:val="32"/>
          <w:shd w:val="clear" w:color="auto" w:fill="FFFFFF"/>
          <w:lang w:eastAsia="zh-CN"/>
        </w:rPr>
        <w:t>，促进民营经济健康发展</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w:t>
      </w:r>
    </w:p>
    <w:p w14:paraId="2FC3AC7F">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3CCD0A2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eastAsia" w:ascii="楷体_GB2312" w:eastAsia="楷体_GB2312" w:cs="楷体_GB2312"/>
          <w:i w:val="0"/>
          <w:iCs w:val="0"/>
          <w:caps w:val="0"/>
          <w:color w:val="000000"/>
          <w:spacing w:val="0"/>
          <w:sz w:val="32"/>
          <w:szCs w:val="32"/>
          <w:shd w:val="clear" w:color="auto" w:fill="FFFFFF"/>
        </w:rPr>
        <w:t>预算执行、使用、管理总体情况。</w:t>
      </w:r>
    </w:p>
    <w:p w14:paraId="5B9ABA6D">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县本级安排县工商联预算收入144.90万元，基本支出109.07万元，占预算收入75.27 %。其中工资福利性支出为85.06万，占基本支出预算收入77.99%；一般商品服务支出20.52万元，占基本支出预算收入18.81%;对个人和家庭的补助3.49万元，占基本支出预算收入3.20%。项目支出35.83万，占预算收入24.73 %（其中基层商会工作经费6.75万元；2023年商会建设项目13万元，促进“两个健康”经费项目7.64万元，基层商会换届工作经费3.18万元，执委会会议费2.73万元；民企服务中心工作经费1.40万元，其它财政对失业保险的补助0.05万元，其它乡村振兴驻村生活补助1.08万元）。</w:t>
      </w:r>
    </w:p>
    <w:p w14:paraId="3DCB02AC">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县工商联根据县财政局部门预算编制的相关要求，结合本单位工作目标和任务科学地做好2023年部门预算编报工作。预算执行时，坚持分月编制资金使用计划，确保资金支出不突破预算。</w:t>
      </w:r>
    </w:p>
    <w:p w14:paraId="1A603DDE">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在使用时规范财务管理。一是认真做好了会计核算工作，完成了日常财务报销、工资以及各项费用的支出。二是认真执行《会计法》，进一步加强了对财务人员财务基础工作的指导，规范了记账凭证的编制，严格了原始凭证的审核，强化了会计档案的管理等。三是加强内、外部的沟通。进一步协调了和财政、审计、物价、税务等业务部门的关系。四是合理调度资金，保证了全系统事业发展的需要。</w:t>
      </w:r>
    </w:p>
    <w:p w14:paraId="43D5D35A">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default"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加强管理厉行节支。结合实际情况，完善了接待、出差、会议、培训等制度和审批程序，规范了公务支出行为。</w:t>
      </w:r>
    </w:p>
    <w:p w14:paraId="0FB688B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部门预算执行情况</w:t>
      </w:r>
    </w:p>
    <w:p w14:paraId="5B00B9B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1.基本支出情况</w:t>
      </w:r>
    </w:p>
    <w:p w14:paraId="39B1AF7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32" w:firstLineChars="190"/>
        <w:jc w:val="both"/>
        <w:textAlignment w:val="baseline"/>
        <w:rPr>
          <w:rStyle w:val="10"/>
          <w:rFonts w:ascii="楷体" w:hAnsi="楷体" w:eastAsia="楷体"/>
          <w:b w:val="0"/>
          <w:i w:val="0"/>
          <w:caps w:val="0"/>
          <w:spacing w:val="0"/>
          <w:w w:val="100"/>
          <w:kern w:val="2"/>
          <w:sz w:val="32"/>
          <w:szCs w:val="32"/>
          <w:lang w:val="en-US" w:eastAsia="zh-CN" w:bidi="ar-SA"/>
        </w:rPr>
      </w:pPr>
      <w:r>
        <w:rPr>
          <w:rFonts w:hint="eastAsia" w:ascii="仿宋_GB2312" w:hAnsi="仿宋_GB2312" w:eastAsia="仿宋_GB2312" w:cs="仿宋_GB2312"/>
          <w:color w:val="000000"/>
          <w:kern w:val="0"/>
          <w:sz w:val="28"/>
          <w:szCs w:val="28"/>
          <w:lang w:val="en-US" w:eastAsia="zh-CN" w:bidi="ar-SA"/>
        </w:rPr>
        <w:t xml:space="preserve"> </w:t>
      </w:r>
      <w:r>
        <w:rPr>
          <w:rStyle w:val="10"/>
          <w:rFonts w:ascii="楷体" w:hAnsi="楷体" w:eastAsia="楷体"/>
          <w:b w:val="0"/>
          <w:i w:val="0"/>
          <w:caps w:val="0"/>
          <w:spacing w:val="0"/>
          <w:w w:val="100"/>
          <w:kern w:val="2"/>
          <w:sz w:val="32"/>
          <w:szCs w:val="32"/>
          <w:lang w:val="en-US" w:eastAsia="zh-CN" w:bidi="ar-SA"/>
        </w:rPr>
        <w:t>基</w:t>
      </w:r>
      <w:r>
        <w:rPr>
          <w:rStyle w:val="10"/>
          <w:rFonts w:hint="eastAsia" w:ascii="楷体" w:hAnsi="楷体" w:eastAsia="楷体" w:cs="Times New Roman"/>
          <w:b w:val="0"/>
          <w:i w:val="0"/>
          <w:caps w:val="0"/>
          <w:spacing w:val="0"/>
          <w:w w:val="100"/>
          <w:kern w:val="2"/>
          <w:sz w:val="32"/>
          <w:szCs w:val="32"/>
          <w:lang w:val="en-US" w:eastAsia="zh-CN" w:bidi="ar-SA"/>
        </w:rPr>
        <w:t>本支出109.07</w:t>
      </w:r>
      <w:r>
        <w:rPr>
          <w:rStyle w:val="10"/>
          <w:rFonts w:ascii="楷体" w:hAnsi="楷体" w:eastAsia="楷体"/>
          <w:b w:val="0"/>
          <w:i w:val="0"/>
          <w:caps w:val="0"/>
          <w:spacing w:val="0"/>
          <w:w w:val="100"/>
          <w:kern w:val="2"/>
          <w:sz w:val="32"/>
          <w:szCs w:val="32"/>
          <w:lang w:val="en-US" w:eastAsia="zh-CN" w:bidi="ar-SA"/>
        </w:rPr>
        <w:t>万元</w:t>
      </w:r>
      <w:r>
        <w:rPr>
          <w:rStyle w:val="10"/>
          <w:rFonts w:hint="eastAsia" w:ascii="楷体" w:hAnsi="楷体" w:eastAsia="楷体" w:cs="Times New Roman"/>
          <w:b w:val="0"/>
          <w:i w:val="0"/>
          <w:caps w:val="0"/>
          <w:spacing w:val="0"/>
          <w:w w:val="100"/>
          <w:kern w:val="2"/>
          <w:sz w:val="32"/>
          <w:szCs w:val="32"/>
          <w:lang w:val="en-US" w:eastAsia="zh-CN" w:bidi="ar-SA"/>
        </w:rPr>
        <w:t>，占总收入的比重为75.27%</w:t>
      </w:r>
      <w:r>
        <w:rPr>
          <w:rStyle w:val="10"/>
          <w:rFonts w:ascii="楷体" w:hAnsi="楷体" w:eastAsia="楷体"/>
          <w:b w:val="0"/>
          <w:i w:val="0"/>
          <w:caps w:val="0"/>
          <w:spacing w:val="0"/>
          <w:w w:val="100"/>
          <w:kern w:val="2"/>
          <w:sz w:val="32"/>
          <w:szCs w:val="32"/>
          <w:lang w:val="en-US" w:eastAsia="zh-CN" w:bidi="ar-SA"/>
        </w:rPr>
        <w:t>。</w:t>
      </w:r>
    </w:p>
    <w:p w14:paraId="0934765A">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其中工资福利支出85.06万元，其中基本工资37.09 万元，津补贴19.45万元，奖金2.66万元，绩效工9.28万元，基本养老保险10.42万元，职工基本医疗保险缴费4.77万元，其他社会保障缴费0.33万元，住房公积金1.06万元。</w:t>
      </w:r>
    </w:p>
    <w:p w14:paraId="31A3793B">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其中一般商品和服务支出20.52 万元，其中办公3.75万元，差旅费0.57万元，公务接待费0.32万元，工会经费6.33万元，其它交通费用6.25万元，其它商品和服务支出3.30万元。</w:t>
      </w:r>
    </w:p>
    <w:p w14:paraId="0FCFFD40">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default"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其中对个人和家庭的补助3.49万元，其中怃恤金0.83万元，生活补助2.50万元，救济费0.06万元，奖励金0.10万元。</w:t>
      </w:r>
    </w:p>
    <w:p w14:paraId="566CE18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default"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2.</w:t>
      </w:r>
      <w:r>
        <w:rPr>
          <w:rFonts w:hint="default" w:ascii="楷体_GB2312" w:hAnsi="Times New Roman" w:eastAsia="楷体_GB2312" w:cs="楷体_GB2312"/>
          <w:i w:val="0"/>
          <w:iCs w:val="0"/>
          <w:caps w:val="0"/>
          <w:color w:val="000000"/>
          <w:spacing w:val="0"/>
          <w:sz w:val="32"/>
          <w:szCs w:val="32"/>
          <w:shd w:val="clear" w:color="auto" w:fill="FFFFFF"/>
          <w:lang w:val="en-US" w:eastAsia="zh-CN"/>
        </w:rPr>
        <w:t>项目支出情况</w:t>
      </w:r>
    </w:p>
    <w:p w14:paraId="65899BA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项目支出35.83万元，其中工资福利支出3.92万元，一般商品和服务支出30.82万元，对个人和家庭的补助1.08万元。</w:t>
      </w:r>
    </w:p>
    <w:p w14:paraId="52310292">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项目支出为35.83万元，占总收入的比重24.73%。其中：</w:t>
      </w:r>
    </w:p>
    <w:p w14:paraId="491AB9B4">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基层商会工作经费6.75万元，支出6.75万元。具体支出为其它商品和服务支出6.75万元。</w:t>
      </w:r>
    </w:p>
    <w:p w14:paraId="65EFFD31">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商会建设项目13万元，支出13万元。具体支出为奖金2.47万元，办公费1.25万元，租赁费1.80万元，其它商品和服务支出7.48万元。</w:t>
      </w:r>
    </w:p>
    <w:p w14:paraId="642976E9">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促进“两个健康”经费项目7.64万元，支出7.64万元，具体支出为办公费1.69万元，印刷费1.60万元，差旅费3.86万元，劳务费0.04万元，其它交通费用0.45 万元。</w:t>
      </w:r>
    </w:p>
    <w:p w14:paraId="6AA87A21">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基层商会换届工作经费3.18万元，支出3.18万元。具体支出为培训费0.02万元，会议费0.58万元，其它商品和服务支出2.58万元。</w:t>
      </w:r>
    </w:p>
    <w:p w14:paraId="102AE625">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执委会会议费2.73万元，支出2.73万元，用于召开县工商联（总商会）第十届三次执委会议，具体支出为会议费2.73万元。</w:t>
      </w:r>
    </w:p>
    <w:p w14:paraId="0EC4E329">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default"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民企服务中心工作经费1.40万元，支出1.40万元，具体支出为奖金1.40万元。</w:t>
      </w:r>
    </w:p>
    <w:p w14:paraId="4A9F93C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eastAsia" w:ascii="楷体_GB2312" w:hAnsi="Times New Roman" w:eastAsia="楷体_GB2312" w:cs="楷体_GB2312"/>
          <w:i w:val="0"/>
          <w:iCs w:val="0"/>
          <w:caps w:val="0"/>
          <w:color w:val="000000"/>
          <w:spacing w:val="0"/>
          <w:sz w:val="32"/>
          <w:szCs w:val="32"/>
          <w:shd w:val="clear" w:color="auto" w:fill="FFFFFF"/>
          <w:lang w:val="en-US" w:eastAsia="zh-CN"/>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其它财政对失业保险的补助0.05万元，支出0.05万元，具体支出为其它社会保障缴费0.05万元。</w:t>
      </w:r>
    </w:p>
    <w:p w14:paraId="78074F9F">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baseline"/>
        <w:rPr>
          <w:rFonts w:hint="default" w:ascii="仿宋_GB2312" w:eastAsia="仿宋_GB2312" w:cs="仿宋_GB2312"/>
          <w:i w:val="0"/>
          <w:iCs w:val="0"/>
          <w:caps w:val="0"/>
          <w:color w:val="000000"/>
          <w:spacing w:val="0"/>
          <w:sz w:val="32"/>
          <w:szCs w:val="32"/>
          <w:shd w:val="clear" w:color="auto" w:fill="FFFFFF"/>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其它乡村振兴驻村生活补助1.08万元，支出1.08万元，用于支付驻村工作队员生活补助，具体支出为生活补助1.08万元。</w:t>
      </w:r>
    </w:p>
    <w:p w14:paraId="2D690116">
      <w:pPr>
        <w:pStyle w:val="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"三公"经费使用和管理情况</w:t>
      </w:r>
    </w:p>
    <w:p w14:paraId="0986D083">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baseline"/>
        <w:rPr>
          <w:rFonts w:hint="default" w:ascii="楷体_GB2312" w:eastAsia="楷体_GB2312" w:cs="楷体_GB2312"/>
          <w:i w:val="0"/>
          <w:iCs w:val="0"/>
          <w:caps w:val="0"/>
          <w:color w:val="000000"/>
          <w:spacing w:val="0"/>
          <w:sz w:val="32"/>
          <w:szCs w:val="32"/>
          <w:shd w:val="clear" w:color="auto" w:fill="FFFFFF"/>
        </w:rPr>
      </w:pPr>
      <w:r>
        <w:rPr>
          <w:rStyle w:val="10"/>
          <w:rFonts w:ascii="楷体_GB2312" w:eastAsia="楷体_GB2312"/>
          <w:b/>
          <w:i w:val="0"/>
          <w:caps w:val="0"/>
          <w:spacing w:val="0"/>
          <w:w w:val="100"/>
          <w:kern w:val="2"/>
          <w:sz w:val="32"/>
          <w:szCs w:val="32"/>
          <w:lang w:val="en-US" w:eastAsia="zh-CN" w:bidi="ar-SA"/>
        </w:rPr>
        <w:t xml:space="preserve"> </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没有因公出国（境）人员，公务接待费支出0.32万元，预算安排为1万元，公务招待费占预算安排32%；公务用车购置及运行维护费支出0万元，预算安排为0.5万元，公务用车占年初预算安排数0，有效的控制了“三公经费”的支出。</w:t>
      </w:r>
    </w:p>
    <w:p w14:paraId="33A3D9FC">
      <w:pPr>
        <w:pStyle w:val="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政府性基金预算支出情况</w:t>
      </w:r>
    </w:p>
    <w:p w14:paraId="1E4B3DB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1CD49148">
      <w:pPr>
        <w:pStyle w:val="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14:paraId="33390FB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7656FF8D">
      <w:pPr>
        <w:pStyle w:val="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14:paraId="7C64C97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2730B9A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14:paraId="5E4860F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综合评价结论。</w:t>
      </w:r>
      <w:r>
        <w:rPr>
          <w:rFonts w:hint="default" w:ascii="仿宋_GB2312" w:eastAsia="仿宋_GB2312" w:cs="仿宋_GB2312"/>
          <w:i w:val="0"/>
          <w:iCs w:val="0"/>
          <w:caps w:val="0"/>
          <w:color w:val="000000"/>
          <w:spacing w:val="0"/>
          <w:sz w:val="32"/>
          <w:szCs w:val="32"/>
          <w:shd w:val="clear" w:color="auto" w:fill="FFFFFF"/>
        </w:rPr>
        <w:t>反映自评得分及评价等级。</w:t>
      </w:r>
    </w:p>
    <w:p w14:paraId="11A2D0E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楷体_GB2312" w:hAnsi="Times New Roman"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Times New Roman" w:eastAsia="楷体_GB2312" w:cs="楷体_GB2312"/>
          <w:i w:val="0"/>
          <w:iCs w:val="0"/>
          <w:caps w:val="0"/>
          <w:color w:val="000000"/>
          <w:spacing w:val="0"/>
          <w:kern w:val="0"/>
          <w:sz w:val="32"/>
          <w:szCs w:val="32"/>
          <w:shd w:val="clear" w:color="auto" w:fill="FFFFFF"/>
          <w:lang w:val="en-US" w:eastAsia="zh-CN" w:bidi="ar"/>
        </w:rPr>
        <w:t>经自评，2023年度我单位部门整体支出绩效评价结论为“优”， 自查评分为95分。</w:t>
      </w:r>
    </w:p>
    <w:p w14:paraId="41806C67">
      <w:pPr>
        <w:pStyle w:val="6"/>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评价指标分析（或综合评价情况）。</w:t>
      </w:r>
    </w:p>
    <w:p w14:paraId="3E468FD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eastAsia" w:ascii="楷体_GB2312" w:hAnsi="Times New Roman" w:eastAsia="楷体_GB2312" w:cs="楷体_GB2312"/>
          <w:i w:val="0"/>
          <w:iCs w:val="0"/>
          <w:caps w:val="0"/>
          <w:color w:val="000000"/>
          <w:spacing w:val="0"/>
          <w:sz w:val="32"/>
          <w:szCs w:val="32"/>
          <w:shd w:val="clear" w:color="auto" w:fill="FFFFFF"/>
          <w:lang w:val="en-US" w:eastAsia="zh-CN"/>
        </w:rPr>
        <w:t>县工商联坚持以习近平新时代中国特色社会主义思想为指导，全面学习贯彻党的二十大精神，深入落实习近平总书记关于新时代民营经济统战工作和工商联工作的重要指示要求，紧扣“两个健康”发展主题和“信任、团结、服务、引导、教育”方针，深化理想信念教育，着力推动高水平开放、高质量发展，锚定“三高四新”美好蓝图，融入怀化“五新四城”战略、实施“1354”工程，为加快建设社会主义现代化新会同作出积极贡献。会同县工商联荣获2022－2023年度湖南省“五好”县级工商联,2022－2023年度全国“五好”县级工商联。做实理想信念教育，进一步加强民营经济人士思想政治引领；发挥民营企业服务中心作用，狠抓“六个一”工作推进，助企纾困，优化营商环境，提升服务民营经济质量，我县的营商环境主观评价工作在全省进入优秀行列，全市排名第二。建好“会商”数据库建设工作，抓实“会商回归”工程，深化“迎老乡、回故乡、建家乡”行动，多种形式开展“以商招商”活动。对全县的乡镇商会、市场商会进行了换届，新成立异地商会长沙市会同商会、市场商会城北商会，继续抓好基层商会的“四好”商会创建工作会同县宝庆商会、城东商会荣获2023年湖南省“四好”商会。继续创建清廉商会、清廉民企活动，引导民营企业助推“万企兴万村”行动。强化阵地意识，落实意识形态工作责任制，加强廉洁自律，以身作则做垂范。增资立项也取得了零的突破，超额完成增资立项任务6万元。</w:t>
      </w:r>
    </w:p>
    <w:p w14:paraId="24919D8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七、存在的问题及原因分析</w:t>
      </w:r>
    </w:p>
    <w:p w14:paraId="3F9203F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楷体_GB2312" w:eastAsia="楷体_GB2312" w:cs="楷体_GB2312"/>
          <w:i w:val="0"/>
          <w:iCs w:val="0"/>
          <w:caps w:val="0"/>
          <w:color w:val="000000"/>
          <w:spacing w:val="0"/>
          <w:sz w:val="32"/>
          <w:szCs w:val="32"/>
          <w:shd w:val="clear" w:color="auto" w:fill="FFFFFF"/>
          <w:lang w:val="en-US" w:eastAsia="zh-CN"/>
        </w:rPr>
        <w:t>需</w:t>
      </w:r>
      <w:r>
        <w:rPr>
          <w:rFonts w:hint="eastAsia" w:ascii="楷体_GB2312" w:hAnsi="Times New Roman" w:eastAsia="楷体_GB2312" w:cs="楷体_GB2312"/>
          <w:i w:val="0"/>
          <w:iCs w:val="0"/>
          <w:caps w:val="0"/>
          <w:color w:val="000000"/>
          <w:spacing w:val="0"/>
          <w:sz w:val="32"/>
          <w:szCs w:val="32"/>
          <w:shd w:val="clear" w:color="auto" w:fill="FFFFFF"/>
          <w:lang w:val="en-US" w:eastAsia="zh-CN"/>
        </w:rPr>
        <w:t>进一步完善财务管理体制和运行机制、建立科学化、精细化的预算管理机制、建立绩效评价制度、加快财务监管体系建设、提高经费使用效益、强化财务风险管理。</w:t>
      </w:r>
      <w:r>
        <w:rPr>
          <w:rFonts w:hint="eastAsia" w:ascii="楷体_GB2312" w:eastAsia="楷体_GB2312" w:cs="楷体_GB2312"/>
          <w:i w:val="0"/>
          <w:iCs w:val="0"/>
          <w:caps w:val="0"/>
          <w:color w:val="000000"/>
          <w:spacing w:val="0"/>
          <w:sz w:val="32"/>
          <w:szCs w:val="32"/>
          <w:shd w:val="clear" w:color="auto" w:fill="FFFFFF"/>
          <w:lang w:val="en-US" w:eastAsia="zh-CN"/>
        </w:rPr>
        <w:t>需</w:t>
      </w:r>
      <w:bookmarkStart w:id="0" w:name="_GoBack"/>
      <w:bookmarkEnd w:id="0"/>
      <w:r>
        <w:rPr>
          <w:rFonts w:hint="eastAsia" w:ascii="楷体_GB2312" w:hAnsi="Times New Roman" w:eastAsia="楷体_GB2312" w:cs="楷体_GB2312"/>
          <w:i w:val="0"/>
          <w:iCs w:val="0"/>
          <w:caps w:val="0"/>
          <w:color w:val="000000"/>
          <w:spacing w:val="0"/>
          <w:sz w:val="32"/>
          <w:szCs w:val="32"/>
          <w:shd w:val="clear" w:color="auto" w:fill="FFFFFF"/>
          <w:lang w:val="en-US" w:eastAsia="zh-CN"/>
        </w:rPr>
        <w:t>提高预算编制的科学性、准确性，按照“量入为出，统筹兼顾、保证重点、收支平衡”的原则，科学合理编制预算，强化预算执行，提高预算执行效率，实行了预算、决算在政府网站公开。</w:t>
      </w:r>
    </w:p>
    <w:p w14:paraId="162EED3B">
      <w:pPr>
        <w:pStyle w:val="6"/>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下一步改进措施</w:t>
      </w:r>
    </w:p>
    <w:p w14:paraId="22EACE7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jc w:val="both"/>
        <w:textAlignment w:val="auto"/>
        <w:outlineLvl w:val="9"/>
        <w:rPr>
          <w:rFonts w:hint="eastAsia" w:ascii="楷体_GB2312" w:hAnsi="Times New Roman" w:eastAsia="楷体_GB2312" w:cs="楷体_GB2312"/>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555555"/>
          <w:spacing w:val="0"/>
          <w:sz w:val="32"/>
          <w:szCs w:val="32"/>
          <w:shd w:val="clear" w:color="auto" w:fill="FFFFFF"/>
        </w:rPr>
        <w:t>为</w:t>
      </w:r>
      <w:r>
        <w:rPr>
          <w:rFonts w:hint="eastAsia" w:ascii="楷体_GB2312" w:hAnsi="Times New Roman" w:eastAsia="楷体_GB2312" w:cs="楷体_GB2312"/>
          <w:i w:val="0"/>
          <w:iCs w:val="0"/>
          <w:caps w:val="0"/>
          <w:color w:val="000000"/>
          <w:spacing w:val="0"/>
          <w:kern w:val="0"/>
          <w:sz w:val="32"/>
          <w:szCs w:val="32"/>
          <w:shd w:val="clear" w:color="auto" w:fill="FFFFFF"/>
          <w:lang w:val="en-US" w:eastAsia="zh-CN" w:bidi="ar"/>
        </w:rPr>
        <w:t>保证专项资金规范使用，将根据预算资金的总量、方向及实际专项工作情况，对批复到位的专项资金做好精细核算，切实做到专款专用，实现资金使用效率最优化，具体做到：一是强化制度保障。完善单位《财务管理制度》及《经费管理办法》，为专项资金的使用管理提供制度保障。二是强化绩效与经费挂钩。为保障专项资金用到实处，实行专项绩效与经费挂钩办法。</w:t>
      </w:r>
    </w:p>
    <w:p w14:paraId="701A6F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九、其他需要说明的情况</w:t>
      </w:r>
    </w:p>
    <w:p w14:paraId="41E1EB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textAlignment w:val="auto"/>
        <w:rPr>
          <w:rFonts w:hint="eastAsia" w:ascii="Times New Roman" w:hAnsi="Times New Roman" w:eastAsia="宋体" w:cs="Times New Roman"/>
          <w:i w:val="0"/>
          <w:iCs w:val="0"/>
          <w:caps w:val="0"/>
          <w:color w:val="000000"/>
          <w:spacing w:val="0"/>
          <w:sz w:val="24"/>
          <w:szCs w:val="24"/>
          <w:lang w:val="en-US" w:eastAsia="zh-CN"/>
        </w:rPr>
      </w:pPr>
      <w:r>
        <w:rPr>
          <w:rFonts w:hint="eastAsia" w:cs="Times New Roman"/>
          <w:i w:val="0"/>
          <w:iCs w:val="0"/>
          <w:caps w:val="0"/>
          <w:color w:val="000000"/>
          <w:spacing w:val="0"/>
          <w:sz w:val="24"/>
          <w:szCs w:val="24"/>
          <w:lang w:val="en-US" w:eastAsia="zh-CN"/>
        </w:rPr>
        <w:t xml:space="preserve">    无</w:t>
      </w:r>
    </w:p>
    <w:p w14:paraId="00D0B55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报告应包括以下附件：</w:t>
      </w:r>
    </w:p>
    <w:p w14:paraId="59177B2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eastAsia="仿宋_GB2312" w:cs="仿宋_GB2312"/>
          <w:i w:val="0"/>
          <w:iCs w:val="0"/>
          <w:caps w:val="0"/>
          <w:color w:val="000000"/>
          <w:spacing w:val="0"/>
          <w:sz w:val="32"/>
          <w:szCs w:val="32"/>
          <w:shd w:val="clear" w:color="auto" w:fill="FFFFFF"/>
          <w:lang w:val="en-US" w:eastAsia="zh-CN"/>
        </w:rPr>
        <w:t>1.</w:t>
      </w:r>
      <w:r>
        <w:rPr>
          <w:rFonts w:hint="default" w:ascii="仿宋_GB2312" w:eastAsia="仿宋_GB2312" w:cs="仿宋_GB2312"/>
          <w:i w:val="0"/>
          <w:iCs w:val="0"/>
          <w:caps w:val="0"/>
          <w:color w:val="000000"/>
          <w:spacing w:val="0"/>
          <w:sz w:val="32"/>
          <w:szCs w:val="32"/>
          <w:shd w:val="clear" w:color="auto" w:fill="FFFFFF"/>
        </w:rPr>
        <w:t>部门整体支出绩效评价基础数据表</w:t>
      </w:r>
      <w:r>
        <w:rPr>
          <w:rFonts w:hint="eastAsia" w:ascii="仿宋_GB2312" w:eastAsia="仿宋_GB2312" w:cs="仿宋_GB2312"/>
          <w:i w:val="0"/>
          <w:iCs w:val="0"/>
          <w:caps w:val="0"/>
          <w:color w:val="000000"/>
          <w:spacing w:val="0"/>
          <w:sz w:val="32"/>
          <w:szCs w:val="32"/>
          <w:shd w:val="clear" w:color="auto" w:fill="FFFFFF"/>
          <w:lang w:val="en-US" w:eastAsia="zh-CN"/>
        </w:rPr>
        <w:t xml:space="preserve">  </w:t>
      </w:r>
    </w:p>
    <w:p w14:paraId="1F52FB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eastAsia="仿宋_GB2312" w:cs="仿宋_GB2312"/>
          <w:i w:val="0"/>
          <w:iCs w:val="0"/>
          <w:caps w:val="0"/>
          <w:color w:val="000000"/>
          <w:spacing w:val="0"/>
          <w:sz w:val="32"/>
          <w:szCs w:val="32"/>
          <w:shd w:val="clear" w:color="auto" w:fill="FFFFFF"/>
          <w:lang w:val="en-US" w:eastAsia="zh-CN"/>
        </w:rPr>
        <w:t>2.</w:t>
      </w:r>
      <w:r>
        <w:rPr>
          <w:rFonts w:hint="default" w:ascii="仿宋_GB2312" w:eastAsia="仿宋_GB2312" w:cs="仿宋_GB2312"/>
          <w:i w:val="0"/>
          <w:iCs w:val="0"/>
          <w:caps w:val="0"/>
          <w:color w:val="000000"/>
          <w:spacing w:val="0"/>
          <w:sz w:val="32"/>
          <w:szCs w:val="32"/>
          <w:shd w:val="clear" w:color="auto" w:fill="FFFFFF"/>
        </w:rPr>
        <w:t>部门整体支出绩效自评表</w:t>
      </w:r>
    </w:p>
    <w:p w14:paraId="1B61134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14:paraId="4B2A340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14:paraId="2E64C07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14:paraId="173AD39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14:paraId="7A0FF2C2">
      <w:pPr>
        <w:keepNext w:val="0"/>
        <w:keepLines w:val="0"/>
        <w:pageBreakBefore w:val="0"/>
        <w:widowControl/>
        <w:tabs>
          <w:tab w:val="left" w:pos="5625"/>
        </w:tabs>
        <w:kinsoku/>
        <w:wordWrap/>
        <w:overflowPunct/>
        <w:topLinePunct w:val="0"/>
        <w:autoSpaceDE/>
        <w:autoSpaceDN/>
        <w:bidi w:val="0"/>
        <w:adjustRightInd/>
        <w:snapToGrid/>
        <w:spacing w:before="0" w:beforeAutospacing="0" w:after="0" w:afterAutospacing="0" w:line="560" w:lineRule="exact"/>
        <w:jc w:val="left"/>
        <w:textAlignment w:val="baseline"/>
        <w:rPr>
          <w:rStyle w:val="10"/>
          <w:rFonts w:ascii="宋体" w:eastAsia="宋体"/>
          <w:b w:val="0"/>
          <w:i w:val="0"/>
          <w:caps w:val="0"/>
          <w:color w:val="343233"/>
          <w:spacing w:val="0"/>
          <w:w w:val="100"/>
          <w:kern w:val="0"/>
          <w:sz w:val="32"/>
          <w:szCs w:val="32"/>
          <w:lang w:val="en-US" w:eastAsia="zh-CN" w:bidi="ar-SA"/>
        </w:rPr>
      </w:pPr>
    </w:p>
    <w:sectPr>
      <w:pgSz w:w="11906" w:h="16838"/>
      <w:pgMar w:top="1361" w:right="1644" w:bottom="1361" w:left="1644"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E8746"/>
    <w:multiLevelType w:val="singleLevel"/>
    <w:tmpl w:val="B0AE8746"/>
    <w:lvl w:ilvl="0" w:tentative="0">
      <w:start w:val="3"/>
      <w:numFmt w:val="chineseCounting"/>
      <w:suff w:val="nothing"/>
      <w:lvlText w:val="（%1）"/>
      <w:lvlJc w:val="left"/>
      <w:rPr>
        <w:rFonts w:hint="eastAsia"/>
      </w:rPr>
    </w:lvl>
  </w:abstractNum>
  <w:abstractNum w:abstractNumId="1">
    <w:nsid w:val="F2643E3D"/>
    <w:multiLevelType w:val="singleLevel"/>
    <w:tmpl w:val="F2643E3D"/>
    <w:lvl w:ilvl="0" w:tentative="0">
      <w:start w:val="2"/>
      <w:numFmt w:val="chineseCounting"/>
      <w:suff w:val="nothing"/>
      <w:lvlText w:val="（%1）"/>
      <w:lvlJc w:val="left"/>
      <w:rPr>
        <w:rFonts w:hint="eastAsia"/>
      </w:rPr>
    </w:lvl>
  </w:abstractNum>
  <w:abstractNum w:abstractNumId="2">
    <w:nsid w:val="3554B19D"/>
    <w:multiLevelType w:val="singleLevel"/>
    <w:tmpl w:val="3554B19D"/>
    <w:lvl w:ilvl="0" w:tentative="0">
      <w:start w:val="3"/>
      <w:numFmt w:val="chineseCounting"/>
      <w:suff w:val="nothing"/>
      <w:lvlText w:val="%1、"/>
      <w:lvlJc w:val="left"/>
      <w:rPr>
        <w:rFonts w:hint="eastAsia"/>
      </w:rPr>
    </w:lvl>
  </w:abstractNum>
  <w:abstractNum w:abstractNumId="3">
    <w:nsid w:val="7AC0F35C"/>
    <w:multiLevelType w:val="singleLevel"/>
    <w:tmpl w:val="7AC0F35C"/>
    <w:lvl w:ilvl="0" w:tentative="0">
      <w:start w:val="8"/>
      <w:numFmt w:val="chineseCounting"/>
      <w:suff w:val="nothing"/>
      <w:lvlText w:val="%1、"/>
      <w:lvlJc w:val="left"/>
      <w:rPr>
        <w:rFonts w:hint="eastAsia"/>
      </w:rPr>
    </w:lvl>
  </w:abstractNum>
  <w:abstractNum w:abstractNumId="4">
    <w:nsid w:val="7CA51D8B"/>
    <w:multiLevelType w:val="singleLevel"/>
    <w:tmpl w:val="7CA51D8B"/>
    <w:lvl w:ilvl="0" w:tentative="0">
      <w:start w:val="3"/>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Njk0NzRmMmZjNDQ1YjBiZTcyN2M2N2IzNDE0ZTUifQ=="/>
  </w:docVars>
  <w:rsids>
    <w:rsidRoot w:val="00000000"/>
    <w:rsid w:val="0EC9030A"/>
    <w:rsid w:val="0EE705C0"/>
    <w:rsid w:val="100212EA"/>
    <w:rsid w:val="120F015A"/>
    <w:rsid w:val="13A92DAF"/>
    <w:rsid w:val="14514D67"/>
    <w:rsid w:val="1480254F"/>
    <w:rsid w:val="15C2336B"/>
    <w:rsid w:val="16232173"/>
    <w:rsid w:val="188B64F4"/>
    <w:rsid w:val="1E8A0FEB"/>
    <w:rsid w:val="1FEA1FDF"/>
    <w:rsid w:val="20EF0248"/>
    <w:rsid w:val="220B191E"/>
    <w:rsid w:val="250758AF"/>
    <w:rsid w:val="27216E4A"/>
    <w:rsid w:val="2DC77BC7"/>
    <w:rsid w:val="33494B99"/>
    <w:rsid w:val="33C863CB"/>
    <w:rsid w:val="3435208F"/>
    <w:rsid w:val="39114AD4"/>
    <w:rsid w:val="39A871CA"/>
    <w:rsid w:val="415A7879"/>
    <w:rsid w:val="450D7346"/>
    <w:rsid w:val="498B7BC7"/>
    <w:rsid w:val="49E24E06"/>
    <w:rsid w:val="4DFD1CA6"/>
    <w:rsid w:val="4EE30BDE"/>
    <w:rsid w:val="505E60A4"/>
    <w:rsid w:val="515760F9"/>
    <w:rsid w:val="51FD22CE"/>
    <w:rsid w:val="53E4637D"/>
    <w:rsid w:val="555836A8"/>
    <w:rsid w:val="57D61849"/>
    <w:rsid w:val="5A723ACE"/>
    <w:rsid w:val="5C4974DE"/>
    <w:rsid w:val="5EC062F7"/>
    <w:rsid w:val="63290380"/>
    <w:rsid w:val="68D6681A"/>
    <w:rsid w:val="690B7A11"/>
    <w:rsid w:val="6FFF4EC9"/>
    <w:rsid w:val="71F71F61"/>
    <w:rsid w:val="72510EC7"/>
    <w:rsid w:val="7865789C"/>
    <w:rsid w:val="787A009D"/>
    <w:rsid w:val="78D957CB"/>
    <w:rsid w:val="7ACF7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4"/>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footer"/>
    <w:basedOn w:val="1"/>
    <w:qFormat/>
    <w:uiPriority w:val="0"/>
    <w:pPr>
      <w:tabs>
        <w:tab w:val="center" w:pos="4153"/>
        <w:tab w:val="right" w:pos="8306"/>
      </w:tabs>
      <w:snapToGrid w:val="0"/>
      <w:jc w:val="left"/>
      <w:textAlignment w:val="baseline"/>
    </w:pPr>
    <w:rPr>
      <w:rFonts w:eastAsia="宋体"/>
      <w:kern w:val="2"/>
      <w:sz w:val="18"/>
      <w:szCs w:val="18"/>
      <w:lang w:val="en-US" w:eastAsia="zh-CN" w:bidi="ar-SA"/>
    </w:rPr>
  </w:style>
  <w:style w:type="paragraph" w:styleId="5">
    <w:name w:val="header"/>
    <w:basedOn w:val="1"/>
    <w:qFormat/>
    <w:uiPriority w:val="0"/>
    <w:pPr>
      <w:pBdr>
        <w:bottom w:val="single" w:color="000000" w:sz="6" w:space="1"/>
      </w:pBdr>
      <w:tabs>
        <w:tab w:val="center" w:pos="4153"/>
        <w:tab w:val="right" w:pos="8306"/>
      </w:tabs>
      <w:snapToGrid w:val="0"/>
      <w:jc w:val="center"/>
      <w:textAlignment w:val="baseline"/>
    </w:pPr>
    <w:rPr>
      <w:rFonts w:eastAsia="宋体"/>
      <w:kern w:val="2"/>
      <w:sz w:val="18"/>
      <w:szCs w:val="18"/>
      <w:lang w:val="en-US" w:eastAsia="zh-CN" w:bidi="ar-SA"/>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Hyperlink"/>
    <w:basedOn w:val="10"/>
    <w:link w:val="1"/>
    <w:qFormat/>
    <w:uiPriority w:val="0"/>
    <w:rPr>
      <w:color w:val="0000FF"/>
      <w:u w:val="single"/>
    </w:rPr>
  </w:style>
  <w:style w:type="character" w:customStyle="1" w:styleId="10">
    <w:name w:val="NormalCharacter"/>
    <w:link w:val="1"/>
    <w:qFormat/>
    <w:uiPriority w:val="0"/>
  </w:style>
  <w:style w:type="paragraph" w:customStyle="1" w:styleId="11">
    <w:name w:val="Heading1"/>
    <w:basedOn w:val="1"/>
    <w:next w:val="1"/>
    <w:qFormat/>
    <w:uiPriority w:val="0"/>
    <w:pPr>
      <w:keepNext/>
      <w:keepLines/>
      <w:spacing w:before="340" w:after="330" w:line="576" w:lineRule="auto"/>
      <w:jc w:val="both"/>
      <w:textAlignment w:val="baseline"/>
    </w:pPr>
    <w:rPr>
      <w:rFonts w:eastAsia="宋体"/>
      <w:b/>
      <w:kern w:val="44"/>
      <w:sz w:val="44"/>
      <w:szCs w:val="24"/>
      <w:lang w:val="en-US" w:eastAsia="zh-CN" w:bidi="ar-SA"/>
    </w:rPr>
  </w:style>
  <w:style w:type="table" w:customStyle="1" w:styleId="12">
    <w:name w:val="TableNormal"/>
    <w:qFormat/>
    <w:uiPriority w:val="0"/>
  </w:style>
  <w:style w:type="paragraph" w:customStyle="1" w:styleId="13">
    <w:name w:val="HtmlNormal"/>
    <w:basedOn w:val="1"/>
    <w:qFormat/>
    <w:uiPriority w:val="0"/>
    <w:pPr>
      <w:spacing w:before="100" w:beforeAutospacing="1" w:after="100" w:afterAutospacing="1"/>
      <w:jc w:val="both"/>
      <w:textAlignment w:val="baseline"/>
    </w:pPr>
    <w:rPr>
      <w:rFonts w:ascii="宋体" w:eastAsia="宋体"/>
      <w:kern w:val="2"/>
      <w:sz w:val="24"/>
      <w:szCs w:val="24"/>
      <w:lang w:val="en-US" w:eastAsia="zh-CN" w:bidi="ar-SA"/>
    </w:rPr>
  </w:style>
  <w:style w:type="character" w:customStyle="1" w:styleId="14">
    <w:name w:val="UserStyle_0"/>
    <w:link w:val="1"/>
    <w:semiHidden/>
    <w:qFormat/>
    <w:uiPriority w:val="0"/>
    <w:rPr>
      <w:rFonts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2806</Words>
  <Characters>3112</Characters>
  <TotalTime>1</TotalTime>
  <ScaleCrop>false</ScaleCrop>
  <LinksUpToDate>false</LinksUpToDate>
  <CharactersWithSpaces>3124</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2021-06-15T01:28:00Z</dcterms:created>
  <dc:creator>Administrator</dc:creator>
  <cp:lastModifiedBy>Administrator</cp:lastModifiedBy>
  <cp:lastPrinted>2024-08-19T08:08:00Z</cp:lastPrinted>
  <dcterms:modified xsi:type="dcterms:W3CDTF">2024-09-18T02:47:30Z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FF734CA82DE64C448DF6BA7DC466E48A</vt:lpwstr>
  </property>
</Properties>
</file>