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FA70BF">
      <w:pPr>
        <w:spacing w:line="578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  <w:r>
        <w:rPr>
          <w:rFonts w:hint="eastAsia" w:ascii="宋体" w:hAnsi="宋体"/>
          <w:b/>
          <w:bCs/>
          <w:color w:val="000000"/>
          <w:sz w:val="44"/>
          <w:szCs w:val="44"/>
        </w:rPr>
        <w:t>行政中心政务中心会议用品费财政支出项目绩效评价报告</w:t>
      </w:r>
    </w:p>
    <w:p w14:paraId="55408C10">
      <w:pPr>
        <w:spacing w:line="578" w:lineRule="exact"/>
        <w:outlineLvl w:val="0"/>
        <w:rPr>
          <w:color w:val="000000"/>
        </w:rPr>
      </w:pPr>
    </w:p>
    <w:p w14:paraId="47C4D967">
      <w:pPr>
        <w:spacing w:line="578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一、项目概况</w:t>
      </w:r>
    </w:p>
    <w:p w14:paraId="04AE9737">
      <w:pPr>
        <w:spacing w:line="578" w:lineRule="exact"/>
        <w:ind w:firstLine="640" w:firstLineChars="20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（一）项目基本性质、用途和主要内容</w:t>
      </w:r>
    </w:p>
    <w:p w14:paraId="04A54B74">
      <w:pPr>
        <w:spacing w:line="578" w:lineRule="exact"/>
        <w:ind w:firstLine="640" w:firstLineChars="20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后勤保障项目属后勤服务保障性质，主要用于县行政中心政务中心的物业管理费、水电费、外包服务费及日常设备设施的维修维护支出。</w:t>
      </w:r>
    </w:p>
    <w:p w14:paraId="0E895DB5">
      <w:pPr>
        <w:numPr>
          <w:ilvl w:val="0"/>
          <w:numId w:val="1"/>
        </w:numPr>
        <w:spacing w:line="578" w:lineRule="exact"/>
        <w:ind w:firstLine="640" w:firstLineChars="20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项目绩效目标</w:t>
      </w:r>
    </w:p>
    <w:p w14:paraId="4A17DEDA">
      <w:pPr>
        <w:spacing w:line="578" w:lineRule="exact"/>
        <w:ind w:firstLine="640" w:firstLineChars="200"/>
        <w:outlineLvl w:val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项目为经常性项目，无跨年度预期总目标及阶段性目标。</w:t>
      </w:r>
    </w:p>
    <w:p w14:paraId="085E32ED">
      <w:pPr>
        <w:spacing w:line="578" w:lineRule="exact"/>
        <w:outlineLvl w:val="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二、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项目资金使用及管理情况</w:t>
      </w:r>
    </w:p>
    <w:p w14:paraId="3121DC47">
      <w:pPr>
        <w:spacing w:line="578" w:lineRule="exact"/>
        <w:ind w:firstLine="640" w:firstLineChars="20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（一）项目资金到位情况分析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（包括财政资金、自筹资金等）</w:t>
      </w:r>
    </w:p>
    <w:p w14:paraId="04B9055F">
      <w:pPr>
        <w:spacing w:line="578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该项目资金来源为财政拨款，金额为2万元，202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年本年县财政下达资金已全部到位。</w:t>
      </w:r>
    </w:p>
    <w:p w14:paraId="04BA3101">
      <w:pPr>
        <w:numPr>
          <w:ilvl w:val="0"/>
          <w:numId w:val="2"/>
        </w:numPr>
        <w:spacing w:line="578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项目资金使用情况分析</w:t>
      </w:r>
    </w:p>
    <w:p w14:paraId="7F206675">
      <w:pPr>
        <w:spacing w:line="578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本项目支出预算金额2万元，主要由会务费水茶叶纸杯开支，资金根据实际支出发票金额支付。截止202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年12月31日，后勤保障会议费项目支出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万元，资金使用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未</w:t>
      </w:r>
      <w:r>
        <w:rPr>
          <w:rFonts w:hint="eastAsia" w:ascii="仿宋_GB2312" w:hAnsi="仿宋_GB2312" w:eastAsia="仿宋_GB2312" w:cs="仿宋_GB2312"/>
          <w:sz w:val="32"/>
          <w:szCs w:val="32"/>
        </w:rPr>
        <w:t>超年初预算安排。</w:t>
      </w:r>
    </w:p>
    <w:p w14:paraId="0025A42C">
      <w:pPr>
        <w:numPr>
          <w:ilvl w:val="0"/>
          <w:numId w:val="2"/>
        </w:numPr>
        <w:spacing w:line="578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项目资金管理情况分析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（包括管理制度、办法的制订及执行情况等）</w:t>
      </w:r>
    </w:p>
    <w:p w14:paraId="66D453B6">
      <w:pPr>
        <w:pStyle w:val="4"/>
        <w:wordWrap w:val="0"/>
        <w:spacing w:line="500" w:lineRule="atLeast"/>
        <w:ind w:firstLine="640" w:firstLineChars="200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年该项目所有资金实行专款专用。项目支出均有相关的授权审批，资金拨付严格审批程序，使用规范，会计核算结果真实、准确。项目单位建立健全项目实施预算方案、财务管理制度和会计核算制度，此次绩效评价过程中未发现有截留、挤占或挪用项目资金的情况。</w:t>
      </w:r>
    </w:p>
    <w:p w14:paraId="17935237">
      <w:pPr>
        <w:spacing w:line="578" w:lineRule="exact"/>
        <w:ind w:firstLine="640" w:firstLineChars="20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三、项目组织实施情况</w:t>
      </w:r>
    </w:p>
    <w:p w14:paraId="46AD43D2">
      <w:pPr>
        <w:pStyle w:val="4"/>
        <w:wordWrap w:val="0"/>
        <w:spacing w:line="500" w:lineRule="atLeast"/>
        <w:ind w:firstLine="640" w:firstLineChars="20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（一）项目组织情况分析（包括项目招投标情况、调整情况、完成验收等）</w:t>
      </w:r>
    </w:p>
    <w:p w14:paraId="0A53D29C">
      <w:pPr>
        <w:pStyle w:val="4"/>
        <w:wordWrap w:val="0"/>
        <w:spacing w:line="500" w:lineRule="atLeast"/>
        <w:ind w:firstLine="640" w:firstLineChars="20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该项目属于经常性零星项目，没有达到招投标权限，由本单位自行组织实施；外包项目严格按公开招投标后与中标公司签订的合同执行。</w:t>
      </w:r>
    </w:p>
    <w:p w14:paraId="0495E09D">
      <w:pPr>
        <w:numPr>
          <w:ilvl w:val="0"/>
          <w:numId w:val="3"/>
        </w:numPr>
        <w:spacing w:line="578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项目管理情况分析（包括项目管理制度建设、日常检查监督管理等情况）</w:t>
      </w:r>
    </w:p>
    <w:p w14:paraId="477CA868">
      <w:pPr>
        <w:pStyle w:val="4"/>
        <w:wordWrap w:val="0"/>
        <w:spacing w:line="500" w:lineRule="atLeast"/>
        <w:ind w:firstLine="640" w:firstLineChars="200"/>
        <w:rPr>
          <w:rFonts w:ascii="仿宋_GB2312" w:hAnsi="仿宋_GB2312" w:eastAsia="仿宋_GB2312" w:cs="仿宋_GB2312"/>
          <w:bCs/>
          <w:color w:val="000000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</w:rPr>
        <w:t>项目目标设定依据充分、明确、合理。项目实施过程中，严格实行考核制度。</w:t>
      </w:r>
    </w:p>
    <w:p w14:paraId="5D4DF020">
      <w:pPr>
        <w:spacing w:line="578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四、项目绩效情况</w:t>
      </w:r>
    </w:p>
    <w:p w14:paraId="7B15BE28">
      <w:pPr>
        <w:spacing w:line="578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（一）项目绩效目标完成情况分析</w:t>
      </w:r>
    </w:p>
    <w:p w14:paraId="40A25A56">
      <w:pPr>
        <w:spacing w:line="578" w:lineRule="exact"/>
        <w:ind w:firstLine="640" w:firstLineChars="20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1. 项目的经济性分析</w:t>
      </w:r>
    </w:p>
    <w:p w14:paraId="5A45FBB5">
      <w:pPr>
        <w:spacing w:line="578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（1）项目成本（预算）控制情况</w:t>
      </w:r>
    </w:p>
    <w:p w14:paraId="3EFFDE46">
      <w:pPr>
        <w:pStyle w:val="4"/>
        <w:wordWrap w:val="0"/>
        <w:spacing w:line="500" w:lineRule="atLeast"/>
        <w:ind w:firstLine="640" w:firstLineChars="200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本项目预算</w:t>
      </w: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万元,全部用于会议管理方面开支，</w:t>
      </w:r>
    </w:p>
    <w:p w14:paraId="6CA3B318">
      <w:pPr>
        <w:numPr>
          <w:ilvl w:val="0"/>
          <w:numId w:val="4"/>
        </w:numPr>
        <w:spacing w:line="578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项目成本（预算）节约情况</w:t>
      </w:r>
    </w:p>
    <w:p w14:paraId="204B94ED">
      <w:pPr>
        <w:tabs>
          <w:tab w:val="left" w:pos="640"/>
        </w:tabs>
        <w:spacing w:line="578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年度该项目的预算为</w:t>
      </w: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万元，202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年实际支出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1.5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万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元，未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超预算开支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。</w:t>
      </w:r>
    </w:p>
    <w:p w14:paraId="7FB4D1AC">
      <w:pPr>
        <w:spacing w:line="578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（1）项目的实施进度</w:t>
      </w:r>
    </w:p>
    <w:p w14:paraId="4BC3406C">
      <w:pPr>
        <w:pStyle w:val="4"/>
        <w:wordWrap w:val="0"/>
        <w:spacing w:line="500" w:lineRule="atLeast"/>
        <w:ind w:firstLine="640" w:firstLineChars="200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该项目是按照工作的需求逐步进行，到202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年底已完成了全部工作目标。</w:t>
      </w:r>
    </w:p>
    <w:p w14:paraId="1D6C94C6">
      <w:pPr>
        <w:spacing w:line="578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（2）项目完成质量</w:t>
      </w:r>
    </w:p>
    <w:p w14:paraId="6238B674">
      <w:pPr>
        <w:pStyle w:val="4"/>
        <w:wordWrap w:val="0"/>
        <w:spacing w:line="500" w:lineRule="atLeast"/>
        <w:ind w:firstLine="640" w:firstLineChars="200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项目完成质量较好，保障了行政办公区的正常运转，得到了广大干部职工的肯定。</w:t>
      </w:r>
    </w:p>
    <w:p w14:paraId="7B081E8C">
      <w:pPr>
        <w:spacing w:line="578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3. 项目的</w:t>
      </w:r>
      <w:r>
        <w:rPr>
          <w:rFonts w:hint="eastAsia" w:ascii="仿宋_GB2312" w:hAnsi="仿宋_GB2312" w:eastAsia="仿宋_GB2312" w:cs="仿宋_GB2312"/>
          <w:sz w:val="32"/>
          <w:szCs w:val="32"/>
        </w:rPr>
        <w:t>效益性分析</w:t>
      </w:r>
    </w:p>
    <w:p w14:paraId="611D8AD4">
      <w:pPr>
        <w:spacing w:line="578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（1）项目预期目标完成程度</w:t>
      </w:r>
    </w:p>
    <w:p w14:paraId="293C3564">
      <w:pPr>
        <w:pStyle w:val="4"/>
        <w:wordWrap w:val="0"/>
        <w:spacing w:line="500" w:lineRule="atLeast"/>
        <w:ind w:firstLine="640" w:firstLineChars="200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该项目预期目标已完成。</w:t>
      </w:r>
    </w:p>
    <w:p w14:paraId="65C25729">
      <w:pPr>
        <w:spacing w:line="578" w:lineRule="exact"/>
        <w:ind w:firstLine="640" w:firstLineChars="200"/>
        <w:outlineLvl w:val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（2）项目实施对经济和社会的影响</w:t>
      </w:r>
    </w:p>
    <w:p w14:paraId="7988E367">
      <w:pPr>
        <w:pStyle w:val="4"/>
        <w:wordWrap w:val="0"/>
        <w:spacing w:line="500" w:lineRule="atLeast"/>
        <w:ind w:firstLine="739" w:firstLineChars="231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项目实施加强了财政资金监管工作，确保了各项建设项目顺利实施；加强了内部管理，提高了财政资金使用效率和运行质量、预算执行进度。</w:t>
      </w:r>
    </w:p>
    <w:p w14:paraId="086514C0">
      <w:pPr>
        <w:spacing w:line="578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4. 项目的可持续性分析</w:t>
      </w:r>
    </w:p>
    <w:p w14:paraId="12F70FFA">
      <w:pPr>
        <w:pStyle w:val="4"/>
        <w:wordWrap w:val="0"/>
        <w:spacing w:line="500" w:lineRule="atLeast"/>
        <w:ind w:firstLine="739" w:firstLineChars="231"/>
        <w:rPr>
          <w:rFonts w:ascii="仿宋_GB2312" w:hAnsi="仿宋_GB2312" w:eastAsia="仿宋_GB2312" w:cs="仿宋_GB2312"/>
          <w:bCs/>
          <w:color w:val="000000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</w:rPr>
        <w:t>该项目属经常性项目，</w:t>
      </w: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</w:rPr>
        <w:t>财政每年均拨付该项目经费。</w:t>
      </w:r>
    </w:p>
    <w:p w14:paraId="3CC19DD5">
      <w:pPr>
        <w:pStyle w:val="4"/>
        <w:wordWrap w:val="0"/>
        <w:spacing w:line="500" w:lineRule="atLeast"/>
        <w:ind w:firstLine="739" w:firstLineChars="231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（二）项目绩效目标未完成原因分析</w:t>
      </w:r>
    </w:p>
    <w:p w14:paraId="448423BF">
      <w:pPr>
        <w:pStyle w:val="4"/>
        <w:wordWrap w:val="0"/>
        <w:spacing w:line="560" w:lineRule="atLeast"/>
        <w:ind w:firstLine="739" w:firstLineChars="231"/>
        <w:rPr>
          <w:rFonts w:cs="Arial"/>
          <w:sz w:val="21"/>
          <w:szCs w:val="21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</w:rPr>
        <w:t>年度项目绩效目标全部完成。</w:t>
      </w:r>
    </w:p>
    <w:p w14:paraId="371CB44B">
      <w:pPr>
        <w:numPr>
          <w:ilvl w:val="0"/>
          <w:numId w:val="5"/>
        </w:numPr>
        <w:spacing w:line="578" w:lineRule="exact"/>
        <w:outlineLvl w:val="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综合评价情况及评价结论</w:t>
      </w:r>
    </w:p>
    <w:p w14:paraId="27D2B701">
      <w:pPr>
        <w:pStyle w:val="4"/>
        <w:wordWrap w:val="0"/>
        <w:spacing w:line="520" w:lineRule="atLeast"/>
        <w:ind w:firstLine="739" w:firstLineChars="231"/>
        <w:rPr>
          <w:rFonts w:ascii="仿宋_GB2312" w:hAnsi="仿宋_GB2312" w:eastAsia="仿宋_GB2312" w:cs="仿宋_GB2312"/>
          <w:bCs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  <w:t>该项目从可持续发展角度而言，整体发挥的社会效益明显，极大的方便了广大干部群众，经评价小组综合分析，项目平均分为9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  <w:t>分，评价结果为优。</w:t>
      </w:r>
    </w:p>
    <w:p w14:paraId="7AAB3400">
      <w:pPr>
        <w:numPr>
          <w:ilvl w:val="0"/>
          <w:numId w:val="5"/>
        </w:numPr>
        <w:spacing w:line="578" w:lineRule="exact"/>
        <w:outlineLvl w:val="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主要经验及做法、存在的问题和建议</w:t>
      </w:r>
    </w:p>
    <w:p w14:paraId="46EA586D">
      <w:pPr>
        <w:spacing w:line="578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从本项目的实施情况看，整个项目在资金安排、方案制定、规范管理和产出效益等方面都有充分考虑。在资金使用上，主要做法：一是认真仔细做好该项目的前期调研工作，制定方案，做好预算等相关准备工作；二是按要求做好每个月外包服务考核工作；三是严格程序，专款专用，确保资金发挥最大效益。 </w:t>
      </w:r>
    </w:p>
    <w:p w14:paraId="36AC218D">
      <w:pPr>
        <w:spacing w:line="578" w:lineRule="exact"/>
        <w:ind w:firstLine="640" w:firstLineChars="200"/>
        <w:outlineLvl w:val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七、其他需说明的问题</w:t>
      </w:r>
    </w:p>
    <w:p w14:paraId="439E532B">
      <w:pPr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无其他需说明的问题。</w:t>
      </w:r>
    </w:p>
    <w:p w14:paraId="5526F257">
      <w:pPr>
        <w:ind w:firstLine="5120" w:firstLineChars="1600"/>
        <w:rPr>
          <w:rFonts w:ascii="宋体" w:hAnsi="宋体" w:cs="Arial"/>
          <w:kern w:val="0"/>
          <w:sz w:val="32"/>
          <w:szCs w:val="32"/>
        </w:rPr>
      </w:pPr>
    </w:p>
    <w:p w14:paraId="480E01F6">
      <w:pPr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                    </w:t>
      </w:r>
    </w:p>
    <w:p w14:paraId="660A1E41">
      <w:pPr>
        <w:ind w:right="640" w:firstLine="640" w:firstLineChars="200"/>
        <w:jc w:val="center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                  会同县机关事务中心</w:t>
      </w:r>
    </w:p>
    <w:p w14:paraId="706DA2F1"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                            202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</w:rPr>
        <w:t>日</w:t>
      </w:r>
    </w:p>
    <w:p w14:paraId="0C9F40D9">
      <w:pPr>
        <w:rPr>
          <w:rFonts w:ascii="宋体" w:hAnsi="宋体" w:cs="Arial"/>
          <w:kern w:val="0"/>
          <w:sz w:val="32"/>
          <w:szCs w:val="32"/>
        </w:rPr>
      </w:pPr>
    </w:p>
    <w:p w14:paraId="57275B97"/>
    <w:p w14:paraId="4D550A04"/>
    <w:p w14:paraId="63547C0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BDC0C4"/>
    <w:multiLevelType w:val="singleLevel"/>
    <w:tmpl w:val="C7BDC0C4"/>
    <w:lvl w:ilvl="0" w:tentative="0">
      <w:start w:val="2"/>
      <w:numFmt w:val="decimal"/>
      <w:suff w:val="nothing"/>
      <w:lvlText w:val="（%1）"/>
      <w:lvlJc w:val="left"/>
      <w:pPr>
        <w:ind w:left="-10"/>
      </w:pPr>
    </w:lvl>
  </w:abstractNum>
  <w:abstractNum w:abstractNumId="1">
    <w:nsid w:val="CCB8F02B"/>
    <w:multiLevelType w:val="singleLevel"/>
    <w:tmpl w:val="CCB8F02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10562A0F"/>
    <w:multiLevelType w:val="singleLevel"/>
    <w:tmpl w:val="10562A0F"/>
    <w:lvl w:ilvl="0" w:tentative="0">
      <w:start w:val="5"/>
      <w:numFmt w:val="chineseCounting"/>
      <w:suff w:val="nothing"/>
      <w:lvlText w:val="%1、"/>
      <w:lvlJc w:val="left"/>
      <w:pPr>
        <w:ind w:left="640" w:firstLine="0"/>
      </w:pPr>
      <w:rPr>
        <w:rFonts w:hint="eastAsia"/>
      </w:rPr>
    </w:lvl>
  </w:abstractNum>
  <w:abstractNum w:abstractNumId="3">
    <w:nsid w:val="18829220"/>
    <w:multiLevelType w:val="singleLevel"/>
    <w:tmpl w:val="1882922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73024E7A"/>
    <w:multiLevelType w:val="singleLevel"/>
    <w:tmpl w:val="73024E7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jYzhiNTJjMDY5MWZlYzBmOTQzMzg2ODQ3OTEyNTAifQ=="/>
  </w:docVars>
  <w:rsids>
    <w:rsidRoot w:val="00000000"/>
    <w:rsid w:val="147C3FC2"/>
    <w:rsid w:val="1A3D68E1"/>
    <w:rsid w:val="4A4E3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0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1257</Words>
  <Characters>1292</Characters>
  <Lines>0</Lines>
  <Paragraphs>0</Paragraphs>
  <TotalTime>4</TotalTime>
  <ScaleCrop>false</ScaleCrop>
  <LinksUpToDate>false</LinksUpToDate>
  <CharactersWithSpaces>1370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2024-10-10T07:06:00Z</dcterms:created>
  <dc:creator>Administrator</dc:creator>
  <cp:lastModifiedBy>Administrator</cp:lastModifiedBy>
  <dcterms:modified xsi:type="dcterms:W3CDTF">2024-10-17T01:42:20Z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32921F925D3343FA8737EAED37213EE0_12</vt:lpwstr>
  </property>
</Properties>
</file>