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F1D69">
      <w:pPr>
        <w:spacing w:line="578" w:lineRule="exact"/>
        <w:ind w:left="2650" w:hanging="2650" w:hangingChars="600"/>
        <w:jc w:val="both"/>
        <w:rPr>
          <w:color w:val="000000"/>
        </w:rPr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全县</w:t>
      </w:r>
      <w:r>
        <w:rPr>
          <w:rFonts w:hint="eastAsia" w:ascii="宋体" w:hAnsi="宋体"/>
          <w:b/>
          <w:bCs/>
          <w:color w:val="000000"/>
          <w:sz w:val="44"/>
          <w:szCs w:val="44"/>
          <w:lang w:eastAsia="zh-CN"/>
        </w:rPr>
        <w:t>公车管理（包括平台）工作</w:t>
      </w:r>
      <w:r>
        <w:rPr>
          <w:rFonts w:hint="eastAsia" w:ascii="宋体" w:hAnsi="宋体"/>
          <w:b/>
          <w:bCs/>
          <w:color w:val="000000"/>
          <w:sz w:val="44"/>
          <w:szCs w:val="44"/>
        </w:rPr>
        <w:t>经费财政支出项目绩效评价报告</w:t>
      </w:r>
    </w:p>
    <w:p w14:paraId="765E5CEC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一、项目概况</w:t>
      </w:r>
    </w:p>
    <w:p w14:paraId="442EE07C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（一）项目基本性质、用途和主要内容</w:t>
      </w:r>
    </w:p>
    <w:p w14:paraId="748D8E38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后勤保障项目属后勤服务保障性质，主要用于确保平台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34台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车辆正常运行维修维护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支出。</w:t>
      </w:r>
    </w:p>
    <w:p w14:paraId="3DA6060B">
      <w:pPr>
        <w:numPr>
          <w:ilvl w:val="0"/>
          <w:numId w:val="1"/>
        </w:num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项目绩效目标</w:t>
      </w:r>
    </w:p>
    <w:p w14:paraId="52B943CC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项目为经常性项目，无跨年度预期总目标及阶段性目标。</w:t>
      </w:r>
    </w:p>
    <w:p w14:paraId="6C924C9E">
      <w:pPr>
        <w:spacing w:line="578" w:lineRule="exact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二、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项目资金使用及管理情况</w:t>
      </w:r>
    </w:p>
    <w:p w14:paraId="210B62E3">
      <w:pPr>
        <w:spacing w:line="578" w:lineRule="exact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（一）项目资金到位情况分析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（包括财政资金、自筹资金等）</w:t>
      </w:r>
    </w:p>
    <w:p w14:paraId="4D4AB554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该项目资金来源为财政拨款，金额为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173.6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年本年县财政下达资金已全部到位。</w:t>
      </w:r>
    </w:p>
    <w:p w14:paraId="1764284F">
      <w:pPr>
        <w:numPr>
          <w:ilvl w:val="0"/>
          <w:numId w:val="2"/>
        </w:num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项目资金使用情况分析</w:t>
      </w:r>
    </w:p>
    <w:p w14:paraId="7E58795C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本项目支出预算金额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173.6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临聘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人工资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18.99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元、北斗系统一张网26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元、保险、油费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、维修费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128.61万元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开支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资金根据实际支出发票金额支付。截止202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</w:t>
      </w:r>
      <w:r>
        <w:rPr>
          <w:rFonts w:hint="eastAsia" w:ascii="宋体" w:hAnsi="宋体"/>
          <w:b w:val="0"/>
          <w:bCs w:val="0"/>
          <w:color w:val="000000"/>
          <w:sz w:val="30"/>
          <w:szCs w:val="30"/>
        </w:rPr>
        <w:t>全县</w:t>
      </w:r>
      <w:r>
        <w:rPr>
          <w:rFonts w:hint="eastAsia" w:ascii="宋体" w:hAnsi="宋体"/>
          <w:b w:val="0"/>
          <w:bCs w:val="0"/>
          <w:color w:val="000000"/>
          <w:sz w:val="30"/>
          <w:szCs w:val="30"/>
          <w:lang w:eastAsia="zh-CN"/>
        </w:rPr>
        <w:t>公车管理（包括平台）工作</w:t>
      </w:r>
      <w:r>
        <w:rPr>
          <w:rFonts w:hint="eastAsia" w:ascii="宋体" w:hAnsi="宋体"/>
          <w:b w:val="0"/>
          <w:bCs w:val="0"/>
          <w:color w:val="000000"/>
          <w:sz w:val="30"/>
          <w:szCs w:val="30"/>
        </w:rPr>
        <w:t>经费</w:t>
      </w:r>
      <w:r>
        <w:rPr>
          <w:rFonts w:hint="eastAsia" w:ascii="宋体" w:hAnsi="宋体"/>
          <w:b w:val="0"/>
          <w:bCs w:val="0"/>
          <w:color w:val="000000"/>
          <w:sz w:val="30"/>
          <w:szCs w:val="30"/>
          <w:lang w:eastAsia="zh-CN"/>
        </w:rPr>
        <w:t>开支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177.23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其他商品和服务支出72.64万元、劳务费8.52万元，其他交通费用96.07万元，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用上年结转和本年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开支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43BB9E9">
      <w:pPr>
        <w:numPr>
          <w:ilvl w:val="0"/>
          <w:numId w:val="2"/>
        </w:num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项目资金管理情况分析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（包括管理制度、办法的制订及执行情况等）</w:t>
      </w:r>
    </w:p>
    <w:p w14:paraId="5743D198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该项目所有资金实行专款专用。项目支出均有相关的授权审批，资金拨付严格审批程序，使用规范，会计核算结果真实、准确。项目单位建立健全项目实施预算方案、财务管理制度和会计核算制度，此次绩效评价过程中未发现有截留、挤占或挪用项目资金的情况。</w:t>
      </w:r>
    </w:p>
    <w:p w14:paraId="59BE210E">
      <w:pPr>
        <w:spacing w:line="578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三、项目组织实施情况</w:t>
      </w:r>
    </w:p>
    <w:p w14:paraId="5B3A6344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（一）项目组织情况分析（包括项目招投标情况、调整情况、完成验收等）</w:t>
      </w:r>
    </w:p>
    <w:p w14:paraId="2AD80C62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该项目属于经常性零星项目，没有达到招投标权限，由本单位自行组织实施；外包项目严格按公开招投标后与中标公司签订的合同执行。</w:t>
      </w:r>
    </w:p>
    <w:p w14:paraId="5B159DC9">
      <w:pPr>
        <w:numPr>
          <w:ilvl w:val="0"/>
          <w:numId w:val="3"/>
        </w:num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项目管理情况分析（包括项目管理制度建设、日常检查监督管理等情况）</w:t>
      </w:r>
    </w:p>
    <w:p w14:paraId="57279BAB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项目目标设定依据充分、明确、合理。项目实施过程中，严格实行考核制度。</w:t>
      </w:r>
    </w:p>
    <w:p w14:paraId="6E91E484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四、项目绩效情况</w:t>
      </w:r>
    </w:p>
    <w:p w14:paraId="64AB3817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（一）项目绩效目标完成情况分析</w:t>
      </w:r>
    </w:p>
    <w:p w14:paraId="085AFF14">
      <w:pPr>
        <w:spacing w:line="578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1. 项目的经济性分析</w:t>
      </w:r>
    </w:p>
    <w:p w14:paraId="7B2B64DA">
      <w:pPr>
        <w:spacing w:line="578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（1）项目成本（预算）控制情况</w:t>
      </w:r>
    </w:p>
    <w:p w14:paraId="1B2144D2">
      <w:pPr>
        <w:spacing w:line="578" w:lineRule="exac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本项目预算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173.6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万元,全部用于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保险、油费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、劳务派遣司机和信息员工资、车辆维修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方面开支，</w:t>
      </w:r>
    </w:p>
    <w:p w14:paraId="7F59B0A5">
      <w:pPr>
        <w:numPr>
          <w:ilvl w:val="0"/>
          <w:numId w:val="4"/>
        </w:numPr>
        <w:spacing w:line="578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项目成本（预算）节约情况</w:t>
      </w:r>
    </w:p>
    <w:p w14:paraId="322A7E17">
      <w:pPr>
        <w:spacing w:line="578" w:lineRule="exac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年度该项目的预算为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173.6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万元，202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年实际支出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177.23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其他商品和服务支出72.64万元、劳务费8.52万元，其他交通费用96.07万元，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用上年结转和本年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开支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通过严格落实考核制度，起到了控制成本的作用，未超出年度预算安排。</w:t>
      </w:r>
    </w:p>
    <w:p w14:paraId="2EFF73B1">
      <w:pPr>
        <w:tabs>
          <w:tab w:val="left" w:pos="640"/>
        </w:tabs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2. 项目的效率性分析</w:t>
      </w:r>
    </w:p>
    <w:p w14:paraId="358471F6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（1）项目的实施进度</w:t>
      </w:r>
    </w:p>
    <w:p w14:paraId="6435766B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该项目是按照工作的需求逐步进行，到202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年底已完成了全部工作目标。</w:t>
      </w:r>
    </w:p>
    <w:p w14:paraId="467D081E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（2）项目完成质量</w:t>
      </w:r>
    </w:p>
    <w:p w14:paraId="304E0750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项目完成质量较好，保障了确保平台车辆正常运行，得到了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机关用车单位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的肯定。</w:t>
      </w:r>
    </w:p>
    <w:p w14:paraId="4785534A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3. 项目的</w:t>
      </w:r>
      <w:r>
        <w:rPr>
          <w:rFonts w:hint="eastAsia" w:ascii="仿宋_GB2312" w:hAnsi="仿宋_GB2312" w:eastAsia="仿宋_GB2312" w:cs="仿宋_GB2312"/>
          <w:sz w:val="32"/>
          <w:szCs w:val="32"/>
        </w:rPr>
        <w:t>效益性分析</w:t>
      </w:r>
    </w:p>
    <w:p w14:paraId="574F7E7C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（1）项目预期目标完成程度</w:t>
      </w:r>
    </w:p>
    <w:p w14:paraId="3EC1FECD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该项目预期目标已完成。</w:t>
      </w:r>
    </w:p>
    <w:p w14:paraId="6C192FF8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（2）项目实施对经济和社会的影响</w:t>
      </w:r>
    </w:p>
    <w:p w14:paraId="69CFDE72">
      <w:pPr>
        <w:pStyle w:val="4"/>
        <w:wordWrap w:val="0"/>
        <w:spacing w:line="500" w:lineRule="atLeast"/>
        <w:ind w:firstLine="739" w:firstLineChars="231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项目实施加强了财政资金监管工作，确保了各项建设项目顺利实施；加强了内部管理，提高了财政资金使用效率和运行质量、预算执行进度。</w:t>
      </w:r>
    </w:p>
    <w:p w14:paraId="27C5706B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4. 项目的可持续性分析</w:t>
      </w:r>
    </w:p>
    <w:p w14:paraId="04A5C130">
      <w:pPr>
        <w:pStyle w:val="4"/>
        <w:wordWrap w:val="0"/>
        <w:spacing w:line="500" w:lineRule="atLeast"/>
        <w:ind w:firstLine="739" w:firstLineChars="231"/>
        <w:rPr>
          <w:rFonts w:ascii="仿宋_GB2312" w:hAnsi="仿宋_GB2312" w:eastAsia="仿宋_GB2312" w:cs="仿宋_GB2312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该项目属经常性项目，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财政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/>
        </w:rPr>
        <w:t>2023年纳入预算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拨付该项目经费。</w:t>
      </w:r>
    </w:p>
    <w:p w14:paraId="16078A05">
      <w:pPr>
        <w:pStyle w:val="4"/>
        <w:wordWrap w:val="0"/>
        <w:spacing w:line="500" w:lineRule="atLeast"/>
        <w:ind w:firstLine="739" w:firstLineChars="231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（二）项目绩效目标未完成原因分析</w:t>
      </w:r>
    </w:p>
    <w:p w14:paraId="6B7D4136">
      <w:pPr>
        <w:pStyle w:val="4"/>
        <w:wordWrap w:val="0"/>
        <w:spacing w:line="560" w:lineRule="atLeast"/>
        <w:ind w:firstLine="739" w:firstLineChars="231"/>
        <w:rPr>
          <w:rFonts w:cs="Arial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年度项目绩效目标全部完成。</w:t>
      </w:r>
    </w:p>
    <w:p w14:paraId="797D332B">
      <w:pPr>
        <w:numPr>
          <w:ilvl w:val="0"/>
          <w:numId w:val="5"/>
        </w:numPr>
        <w:spacing w:line="578" w:lineRule="exact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综合评价情况及评价结论</w:t>
      </w:r>
    </w:p>
    <w:p w14:paraId="0E8B6C73">
      <w:pPr>
        <w:pStyle w:val="4"/>
        <w:wordWrap w:val="0"/>
        <w:spacing w:line="520" w:lineRule="atLeast"/>
        <w:ind w:firstLine="739" w:firstLineChars="231"/>
        <w:rPr>
          <w:rFonts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该项目从可持续发展角度而言，整体发挥的社会效益明显，极大的方便了广大干部群众，经评价小组综合分析，项目平均分为9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分，评价结果为优。</w:t>
      </w:r>
    </w:p>
    <w:p w14:paraId="14439C34">
      <w:pPr>
        <w:numPr>
          <w:ilvl w:val="0"/>
          <w:numId w:val="5"/>
        </w:numPr>
        <w:spacing w:line="578" w:lineRule="exact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主要经验及做法、存在的问题和建议</w:t>
      </w:r>
    </w:p>
    <w:p w14:paraId="17EF094D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从本项目的实施情况看，整个项目在资金安排、方案制定、规范管理和产出效益等方面都有充分考虑。在资金使用上，主要做法：一是认真仔细做好该项目的前期调研工作，制定方案，做好预算等相关准备工作；二是按要求做好每个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车辆去向登记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服务工作；三是严格程序，专款专用，确保资金发挥最大效益。 </w:t>
      </w:r>
    </w:p>
    <w:p w14:paraId="744ECDD6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七、其他需说明的问题</w:t>
      </w:r>
    </w:p>
    <w:p w14:paraId="2EFE9BD2"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无其他需说明的问题。</w:t>
      </w:r>
    </w:p>
    <w:p w14:paraId="1D0D6426">
      <w:pPr>
        <w:ind w:firstLine="5120" w:firstLineChars="1600"/>
        <w:rPr>
          <w:rFonts w:ascii="宋体" w:hAnsi="宋体" w:cs="Arial"/>
          <w:kern w:val="0"/>
          <w:sz w:val="32"/>
          <w:szCs w:val="32"/>
        </w:rPr>
      </w:pPr>
    </w:p>
    <w:p w14:paraId="464DEDD8"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会同县机关事务中心</w:t>
      </w:r>
    </w:p>
    <w:p w14:paraId="5E3B9972"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 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221E15F4">
      <w:pPr>
        <w:rPr>
          <w:rFonts w:ascii="宋体" w:hAnsi="宋体" w:cs="Arial"/>
          <w:kern w:val="0"/>
          <w:sz w:val="32"/>
          <w:szCs w:val="32"/>
        </w:rPr>
      </w:pPr>
    </w:p>
    <w:p w14:paraId="375DD2D6"/>
    <w:p w14:paraId="1813A493"/>
    <w:p w14:paraId="09B8B31F"/>
    <w:p w14:paraId="2ABBF0F2"/>
    <w:p w14:paraId="084E6CC9"/>
    <w:sectPr>
      <w:pgSz w:w="11906" w:h="16838"/>
      <w:pgMar w:top="2098" w:right="1587" w:bottom="1984" w:left="1587" w:header="851" w:footer="992" w:gutter="0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BDC0C4"/>
    <w:multiLevelType w:val="singleLevel"/>
    <w:tmpl w:val="C7BDC0C4"/>
    <w:lvl w:ilvl="0" w:tentative="0">
      <w:start w:val="2"/>
      <w:numFmt w:val="decimal"/>
      <w:suff w:val="nothing"/>
      <w:lvlText w:val="（%1）"/>
      <w:lvlJc w:val="left"/>
      <w:pPr>
        <w:ind w:left="-10"/>
      </w:pPr>
    </w:lvl>
  </w:abstractNum>
  <w:abstractNum w:abstractNumId="1">
    <w:nsid w:val="CCB8F02B"/>
    <w:multiLevelType w:val="singleLevel"/>
    <w:tmpl w:val="CCB8F0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0562A0F"/>
    <w:multiLevelType w:val="singleLevel"/>
    <w:tmpl w:val="10562A0F"/>
    <w:lvl w:ilvl="0" w:tentative="0">
      <w:start w:val="5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abstractNum w:abstractNumId="3">
    <w:nsid w:val="18829220"/>
    <w:multiLevelType w:val="singleLevel"/>
    <w:tmpl w:val="1882922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73024E7A"/>
    <w:multiLevelType w:val="singleLevel"/>
    <w:tmpl w:val="73024E7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jYzhiNTJjMDY5MWZlYzBmOTQzMzg2ODQ3OTEyNTAifQ=="/>
  </w:docVars>
  <w:rsids>
    <w:rsidRoot w:val="00000000"/>
    <w:rsid w:val="0B6D0AC1"/>
    <w:rsid w:val="0F316668"/>
    <w:rsid w:val="15FA7F18"/>
    <w:rsid w:val="20982BA8"/>
    <w:rsid w:val="284B0B33"/>
    <w:rsid w:val="424F59FB"/>
    <w:rsid w:val="46EF4542"/>
    <w:rsid w:val="48311BC9"/>
    <w:rsid w:val="6CE5556A"/>
    <w:rsid w:val="7319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1427</Words>
  <Characters>1521</Characters>
  <Lines>0</Lines>
  <Paragraphs>0</Paragraphs>
  <TotalTime>14</TotalTime>
  <ScaleCrop>false</ScaleCrop>
  <LinksUpToDate>false</LinksUpToDate>
  <CharactersWithSpaces>1585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2024-10-10T01:14:00Z</dcterms:created>
  <dc:creator>Administrator</dc:creator>
  <cp:lastModifiedBy>Administrator</cp:lastModifiedBy>
  <dcterms:modified xsi:type="dcterms:W3CDTF">2024-10-17T01:45:36Z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5CD7BCEB606C4115B051DDB85DF05638_12</vt:lpwstr>
  </property>
</Properties>
</file>