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_GBK" w:hAnsi="方正小标宋_GBK" w:eastAsia="方正小标宋_GBK" w:cs="方正小标宋_GBK"/>
          <w:i w:val="0"/>
          <w:iCs w:val="0"/>
          <w:caps w:val="0"/>
          <w:color w:val="000000"/>
          <w:spacing w:val="0"/>
          <w:sz w:val="24"/>
          <w:szCs w:val="24"/>
          <w:highlight w:val="none"/>
        </w:rPr>
      </w:pPr>
      <w:r>
        <w:rPr>
          <w:rFonts w:hint="eastAsia" w:ascii="方正小标宋简体" w:hAnsi="方正小标宋简体" w:eastAsia="方正小标宋简体" w:cs="方正小标宋简体"/>
          <w:i w:val="0"/>
          <w:iCs w:val="0"/>
          <w:caps w:val="0"/>
          <w:color w:val="000000"/>
          <w:spacing w:val="0"/>
          <w:sz w:val="44"/>
          <w:szCs w:val="44"/>
          <w:highlight w:val="none"/>
          <w:shd w:val="clear" w:color="auto" w:fill="FFFFFF"/>
        </w:rPr>
        <w:t>项目支出绩效自评报告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highlight w:val="none"/>
        </w:rPr>
      </w:pPr>
      <w:r>
        <w:rPr>
          <w:rFonts w:hint="eastAsia" w:ascii="方正小标宋_GBK" w:hAnsi="方正小标宋_GBK" w:eastAsia="方正小标宋_GBK" w:cs="方正小标宋_GBK"/>
          <w:i w:val="0"/>
          <w:iCs w:val="0"/>
          <w:caps w:val="0"/>
          <w:color w:val="000000"/>
          <w:spacing w:val="0"/>
          <w:sz w:val="32"/>
          <w:szCs w:val="32"/>
          <w:highlight w:val="none"/>
          <w:shd w:val="clear" w:color="auto" w:fill="FFFFFF"/>
        </w:rPr>
        <w:t> </w:t>
      </w:r>
      <w:r>
        <w:rPr>
          <w:rFonts w:hint="eastAsia" w:ascii="黑体" w:hAnsi="黑体" w:eastAsia="黑体" w:cs="黑体"/>
          <w:i w:val="0"/>
          <w:iCs w:val="0"/>
          <w:caps w:val="0"/>
          <w:color w:val="000000"/>
          <w:spacing w:val="0"/>
          <w:sz w:val="32"/>
          <w:szCs w:val="32"/>
          <w:highlight w:val="none"/>
          <w:shd w:val="clear" w:color="auto" w:fill="FFFFFF"/>
        </w:rPr>
        <w:t>一、项目基本情况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（一）项目概况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1.项目决策背景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 xml:space="preserve">   随着社会经济的不断发展，人们对环境保护和绿色生态的重视程度也越来越高。作为一个拥有丰富森林资源的山区小县，林业产业具有巨大的发展潜力。本单位在各级政府相关文件的指导及要求下，积极开展林业各类项目的落实工作，确保森林资源的合理利用，实现绿色经济的可持续发展，提升森林资源的综合利用价值，推动林业产业的升级和经济社会的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2.项目主要内容</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 xml:space="preserve"> </w:t>
      </w:r>
      <w:r>
        <w:rPr>
          <w:rFonts w:hint="eastAsia" w:ascii="仿宋_GB2312" w:hAnsi="仿宋_GB2312" w:eastAsia="仿宋_GB2312" w:cs="仿宋_GB2312"/>
          <w:color w:val="auto"/>
          <w:kern w:val="2"/>
          <w:sz w:val="32"/>
          <w:szCs w:val="32"/>
          <w:highlight w:val="none"/>
          <w:lang w:val="en-US" w:eastAsia="zh-CN" w:bidi="ar-SA"/>
        </w:rPr>
        <w:t xml:space="preserve">  森林培育</w:t>
      </w:r>
      <w:r>
        <w:rPr>
          <w:rFonts w:hint="eastAsia" w:ascii="仿宋_GB2312" w:hAnsi="Times New Roman" w:eastAsia="仿宋_GB2312" w:cs="Times New Roman"/>
          <w:kern w:val="2"/>
          <w:sz w:val="32"/>
          <w:szCs w:val="32"/>
          <w:highlight w:val="none"/>
          <w:lang w:val="en-US" w:eastAsia="zh-CN" w:bidi="ar-SA"/>
        </w:rPr>
        <w:t>，</w:t>
      </w:r>
      <w:r>
        <w:rPr>
          <w:rFonts w:hint="eastAsia" w:ascii="仿宋_GB2312" w:eastAsia="仿宋_GB2312" w:cs="Times New Roman"/>
          <w:kern w:val="2"/>
          <w:sz w:val="32"/>
          <w:szCs w:val="32"/>
          <w:highlight w:val="none"/>
          <w:lang w:val="en-US" w:eastAsia="zh-CN" w:bidi="ar-SA"/>
        </w:rPr>
        <w:t>森林资源监测</w:t>
      </w:r>
      <w:r>
        <w:rPr>
          <w:rFonts w:hint="eastAsia" w:ascii="仿宋_GB2312" w:hAnsi="Times New Roman" w:eastAsia="仿宋_GB2312" w:cs="Times New Roman"/>
          <w:kern w:val="2"/>
          <w:sz w:val="32"/>
          <w:szCs w:val="32"/>
          <w:highlight w:val="none"/>
          <w:lang w:val="en-US" w:eastAsia="zh-CN" w:bidi="ar-SA"/>
        </w:rPr>
        <w:t>，</w:t>
      </w:r>
      <w:r>
        <w:rPr>
          <w:rFonts w:hint="eastAsia" w:ascii="仿宋_GB2312" w:eastAsia="仿宋_GB2312" w:cs="Times New Roman"/>
          <w:kern w:val="2"/>
          <w:sz w:val="32"/>
          <w:szCs w:val="32"/>
          <w:highlight w:val="none"/>
          <w:lang w:val="en-US" w:eastAsia="zh-CN" w:bidi="ar-SA"/>
        </w:rPr>
        <w:t>林业防灾减灾</w:t>
      </w:r>
      <w:r>
        <w:rPr>
          <w:rFonts w:hint="eastAsia" w:ascii="仿宋_GB2312" w:hAnsi="Times New Roman" w:eastAsia="仿宋_GB2312" w:cs="Times New Roman"/>
          <w:kern w:val="2"/>
          <w:sz w:val="32"/>
          <w:szCs w:val="32"/>
          <w:highlight w:val="none"/>
          <w:lang w:val="en-US" w:eastAsia="zh-CN" w:bidi="ar-SA"/>
        </w:rPr>
        <w:t>，</w:t>
      </w:r>
      <w:r>
        <w:rPr>
          <w:rFonts w:hint="eastAsia" w:ascii="仿宋_GB2312" w:eastAsia="仿宋_GB2312" w:cs="Times New Roman"/>
          <w:kern w:val="2"/>
          <w:sz w:val="32"/>
          <w:szCs w:val="32"/>
          <w:highlight w:val="none"/>
          <w:lang w:val="en-US" w:eastAsia="zh-CN" w:bidi="ar-SA"/>
        </w:rPr>
        <w:t>林区公共支出，林业技术推广与转化，非税收入征收，</w:t>
      </w:r>
      <w:r>
        <w:rPr>
          <w:rFonts w:hint="eastAsia" w:ascii="仿宋_GB2312" w:hAnsi="Times New Roman" w:eastAsia="仿宋_GB2312" w:cs="Times New Roman"/>
          <w:kern w:val="2"/>
          <w:sz w:val="32"/>
          <w:szCs w:val="32"/>
          <w:highlight w:val="none"/>
          <w:lang w:val="en-US" w:eastAsia="zh-CN" w:bidi="ar-SA"/>
        </w:rPr>
        <w:t>提升群众幸福感。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3.项目组织管理机构</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 xml:space="preserve"> </w:t>
      </w:r>
      <w:r>
        <w:rPr>
          <w:rFonts w:hint="eastAsia" w:ascii="仿宋_GB2312" w:hAnsi="Times New Roman" w:eastAsia="仿宋_GB2312" w:cs="Times New Roman"/>
          <w:kern w:val="2"/>
          <w:sz w:val="32"/>
          <w:szCs w:val="32"/>
          <w:highlight w:val="none"/>
          <w:lang w:val="en-US" w:eastAsia="zh-CN" w:bidi="ar-SA"/>
        </w:rPr>
        <w:t xml:space="preserve">  成立预算管理领导小组，负责组织、监控部门预算编制与执行，协调预算编制、预算执行，做好单位预算管理工作。预算管理领导小组由领导班子成员、财务负责人、科室负责人组成。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（二）预算资金使用管理情况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1.预算资金安排及管理情况</w:t>
      </w:r>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（1）资金来源及拨付流程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960" w:firstLineChars="3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202</w:t>
      </w:r>
      <w:r>
        <w:rPr>
          <w:rFonts w:hint="default" w:ascii="仿宋_GB2312" w:hAnsi="Times New Roman" w:eastAsia="仿宋_GB2312" w:cs="Times New Roman"/>
          <w:kern w:val="2"/>
          <w:sz w:val="32"/>
          <w:szCs w:val="32"/>
          <w:highlight w:val="none"/>
          <w:lang w:val="en-US" w:eastAsia="zh-CN" w:bidi="ar-SA"/>
        </w:rPr>
        <w:t>3</w:t>
      </w:r>
      <w:r>
        <w:rPr>
          <w:rFonts w:hint="eastAsia" w:ascii="仿宋_GB2312" w:hAnsi="Times New Roman" w:eastAsia="仿宋_GB2312" w:cs="Times New Roman"/>
          <w:kern w:val="2"/>
          <w:sz w:val="32"/>
          <w:szCs w:val="32"/>
          <w:highlight w:val="none"/>
          <w:lang w:val="en-US" w:eastAsia="zh-CN" w:bidi="ar-SA"/>
        </w:rPr>
        <w:t>年县财政预算安排</w:t>
      </w:r>
      <w:r>
        <w:rPr>
          <w:rFonts w:hint="eastAsia" w:ascii="仿宋_GB2312" w:eastAsia="仿宋_GB2312" w:cs="Times New Roman"/>
          <w:kern w:val="2"/>
          <w:sz w:val="32"/>
          <w:szCs w:val="32"/>
          <w:highlight w:val="none"/>
          <w:lang w:val="en-US" w:eastAsia="zh-CN" w:bidi="ar-SA"/>
        </w:rPr>
        <w:t>135.4</w:t>
      </w:r>
      <w:r>
        <w:rPr>
          <w:rFonts w:hint="eastAsia" w:ascii="仿宋_GB2312" w:hAnsi="Times New Roman" w:eastAsia="仿宋_GB2312" w:cs="Times New Roman"/>
          <w:kern w:val="2"/>
          <w:sz w:val="32"/>
          <w:szCs w:val="32"/>
          <w:highlight w:val="none"/>
          <w:lang w:val="en-US" w:eastAsia="zh-CN" w:bidi="ar-SA"/>
        </w:rPr>
        <w:t>万元用于</w:t>
      </w:r>
      <w:r>
        <w:rPr>
          <w:rFonts w:hint="eastAsia" w:ascii="仿宋_GB2312" w:eastAsia="仿宋_GB2312" w:cs="Times New Roman"/>
          <w:kern w:val="2"/>
          <w:sz w:val="32"/>
          <w:szCs w:val="32"/>
          <w:highlight w:val="none"/>
          <w:lang w:val="en-US" w:eastAsia="zh-CN" w:bidi="ar-SA"/>
        </w:rPr>
        <w:t>林业</w:t>
      </w:r>
      <w:r>
        <w:rPr>
          <w:rFonts w:hint="eastAsia" w:ascii="仿宋_GB2312" w:hAnsi="Times New Roman" w:eastAsia="仿宋_GB2312" w:cs="Times New Roman"/>
          <w:kern w:val="2"/>
          <w:sz w:val="32"/>
          <w:szCs w:val="32"/>
          <w:highlight w:val="none"/>
          <w:lang w:val="en-US" w:eastAsia="zh-CN" w:bidi="ar-SA"/>
        </w:rPr>
        <w:t>项目</w:t>
      </w:r>
      <w:r>
        <w:rPr>
          <w:rFonts w:hint="eastAsia" w:ascii="仿宋_GB2312" w:eastAsia="仿宋_GB2312" w:cs="Times New Roman"/>
          <w:kern w:val="2"/>
          <w:sz w:val="32"/>
          <w:szCs w:val="32"/>
          <w:highlight w:val="none"/>
          <w:lang w:val="en-US" w:eastAsia="zh-CN" w:bidi="ar-SA"/>
        </w:rPr>
        <w:t>建设</w:t>
      </w:r>
      <w:r>
        <w:rPr>
          <w:rFonts w:hint="eastAsia" w:ascii="仿宋_GB2312" w:hAnsi="Times New Roman" w:eastAsia="仿宋_GB2312" w:cs="Times New Roman"/>
          <w:kern w:val="2"/>
          <w:sz w:val="32"/>
          <w:szCs w:val="32"/>
          <w:highlight w:val="none"/>
          <w:lang w:val="en-US" w:eastAsia="zh-CN" w:bidi="ar-SA"/>
        </w:rPr>
        <w:t>，资金一次性拨付到</w:t>
      </w:r>
      <w:r>
        <w:rPr>
          <w:rFonts w:hint="eastAsia" w:ascii="仿宋_GB2312" w:eastAsia="仿宋_GB2312" w:cs="Times New Roman"/>
          <w:kern w:val="2"/>
          <w:sz w:val="32"/>
          <w:szCs w:val="32"/>
          <w:highlight w:val="none"/>
          <w:lang w:val="en-US" w:eastAsia="zh-CN" w:bidi="ar-SA"/>
        </w:rPr>
        <w:t>会同县林业局</w:t>
      </w:r>
      <w:r>
        <w:rPr>
          <w:rFonts w:hint="eastAsia" w:ascii="仿宋_GB2312" w:hAnsi="Times New Roman" w:eastAsia="仿宋_GB2312" w:cs="Times New Roman"/>
          <w:kern w:val="2"/>
          <w:sz w:val="32"/>
          <w:szCs w:val="32"/>
          <w:highlight w:val="none"/>
          <w:lang w:val="en-US" w:eastAsia="zh-CN" w:bidi="ar-SA"/>
        </w:rPr>
        <w:t>，</w:t>
      </w:r>
      <w:r>
        <w:rPr>
          <w:rFonts w:hint="eastAsia" w:ascii="仿宋_GB2312" w:eastAsia="仿宋_GB2312" w:cs="Times New Roman"/>
          <w:kern w:val="2"/>
          <w:sz w:val="32"/>
          <w:szCs w:val="32"/>
          <w:highlight w:val="none"/>
          <w:lang w:val="en-US" w:eastAsia="zh-CN" w:bidi="ar-SA"/>
        </w:rPr>
        <w:t>林业局</w:t>
      </w:r>
      <w:r>
        <w:rPr>
          <w:rFonts w:hint="eastAsia" w:ascii="仿宋_GB2312" w:hAnsi="Times New Roman" w:eastAsia="仿宋_GB2312" w:cs="Times New Roman"/>
          <w:kern w:val="2"/>
          <w:sz w:val="32"/>
          <w:szCs w:val="32"/>
          <w:highlight w:val="none"/>
          <w:lang w:val="en-US" w:eastAsia="zh-CN" w:bidi="ar-SA"/>
        </w:rPr>
        <w:t>按各项工作完成的进度支付。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w:t>
      </w:r>
      <w:r>
        <w:rPr>
          <w:rFonts w:hint="default" w:ascii="仿宋_GB2312" w:hAnsi="Times New Roman" w:eastAsia="仿宋_GB2312" w:cs="Times New Roman"/>
          <w:kern w:val="2"/>
          <w:sz w:val="32"/>
          <w:szCs w:val="32"/>
          <w:highlight w:val="none"/>
          <w:lang w:val="en-US" w:eastAsia="zh-CN" w:bidi="ar-SA"/>
        </w:rPr>
        <w:t>资金到位情况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960" w:firstLineChars="3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资金到位及时率100%</w:t>
      </w:r>
      <w:r>
        <w:rPr>
          <w:rFonts w:hint="default" w:ascii="仿宋_GB2312" w:hAnsi="Times New Roman" w:eastAsia="仿宋_GB2312" w:cs="Times New Roman"/>
          <w:kern w:val="2"/>
          <w:sz w:val="32"/>
          <w:szCs w:val="32"/>
          <w:highlight w:val="none"/>
          <w:lang w:val="en-US" w:eastAsia="zh-CN" w:bidi="ar-SA"/>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（3）</w:t>
      </w:r>
      <w:r>
        <w:rPr>
          <w:rFonts w:hint="default" w:ascii="仿宋_GB2312" w:hAnsi="Times New Roman" w:eastAsia="仿宋_GB2312" w:cs="Times New Roman"/>
          <w:kern w:val="2"/>
          <w:sz w:val="32"/>
          <w:szCs w:val="32"/>
          <w:highlight w:val="none"/>
          <w:lang w:val="en-US" w:eastAsia="zh-CN" w:bidi="ar-SA"/>
        </w:rPr>
        <w:t>资金使用情况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 xml:space="preserve">  </w:t>
      </w:r>
      <w:r>
        <w:rPr>
          <w:rFonts w:hint="eastAsia" w:ascii="仿宋_GB2312" w:hAnsi="Times New Roman" w:eastAsia="仿宋_GB2312" w:cs="Times New Roman"/>
          <w:kern w:val="2"/>
          <w:sz w:val="32"/>
          <w:szCs w:val="32"/>
          <w:highlight w:val="none"/>
          <w:lang w:val="en-US" w:eastAsia="zh-CN" w:bidi="ar-SA"/>
        </w:rPr>
        <w:t>2023年财政拨付</w:t>
      </w:r>
      <w:r>
        <w:rPr>
          <w:rFonts w:hint="eastAsia" w:ascii="仿宋_GB2312" w:eastAsia="仿宋_GB2312" w:cs="Times New Roman"/>
          <w:kern w:val="2"/>
          <w:sz w:val="32"/>
          <w:szCs w:val="32"/>
          <w:highlight w:val="none"/>
          <w:lang w:val="en-US" w:eastAsia="zh-CN" w:bidi="ar-SA"/>
        </w:rPr>
        <w:t>林业</w:t>
      </w:r>
      <w:r>
        <w:rPr>
          <w:rFonts w:hint="eastAsia" w:ascii="仿宋_GB2312" w:hAnsi="Times New Roman" w:eastAsia="仿宋_GB2312" w:cs="Times New Roman"/>
          <w:kern w:val="2"/>
          <w:sz w:val="32"/>
          <w:szCs w:val="32"/>
          <w:highlight w:val="none"/>
          <w:lang w:val="en-US" w:eastAsia="zh-CN" w:bidi="ar-SA"/>
        </w:rPr>
        <w:t>项</w:t>
      </w:r>
      <w:r>
        <w:rPr>
          <w:rFonts w:hint="eastAsia" w:ascii="仿宋_GB2312" w:eastAsia="仿宋_GB2312" w:cs="Times New Roman"/>
          <w:kern w:val="2"/>
          <w:sz w:val="32"/>
          <w:szCs w:val="32"/>
          <w:highlight w:val="none"/>
          <w:lang w:val="en-US" w:eastAsia="zh-CN" w:bidi="ar-SA"/>
        </w:rPr>
        <w:t>目</w:t>
      </w:r>
      <w:r>
        <w:rPr>
          <w:rFonts w:hint="eastAsia" w:ascii="仿宋_GB2312" w:hAnsi="Times New Roman" w:eastAsia="仿宋_GB2312" w:cs="Times New Roman"/>
          <w:kern w:val="2"/>
          <w:sz w:val="32"/>
          <w:szCs w:val="32"/>
          <w:highlight w:val="none"/>
          <w:lang w:val="en-US" w:eastAsia="zh-CN" w:bidi="ar-SA"/>
        </w:rPr>
        <w:t>经费</w:t>
      </w:r>
      <w:r>
        <w:rPr>
          <w:rFonts w:hint="eastAsia" w:ascii="仿宋_GB2312" w:eastAsia="仿宋_GB2312" w:cs="Times New Roman"/>
          <w:kern w:val="2"/>
          <w:sz w:val="32"/>
          <w:szCs w:val="32"/>
          <w:highlight w:val="none"/>
          <w:lang w:val="en-US" w:eastAsia="zh-CN" w:bidi="ar-SA"/>
        </w:rPr>
        <w:t>135.40</w:t>
      </w:r>
      <w:r>
        <w:rPr>
          <w:rFonts w:hint="eastAsia" w:ascii="仿宋_GB2312" w:hAnsi="Times New Roman" w:eastAsia="仿宋_GB2312" w:cs="Times New Roman"/>
          <w:kern w:val="2"/>
          <w:sz w:val="32"/>
          <w:szCs w:val="32"/>
          <w:highlight w:val="none"/>
          <w:lang w:val="en-US" w:eastAsia="zh-CN" w:bidi="ar-SA"/>
        </w:rPr>
        <w:t>万元，实际完成</w:t>
      </w:r>
      <w:r>
        <w:rPr>
          <w:rFonts w:hint="eastAsia" w:ascii="仿宋_GB2312" w:eastAsia="仿宋_GB2312" w:cs="Times New Roman"/>
          <w:kern w:val="2"/>
          <w:sz w:val="32"/>
          <w:szCs w:val="32"/>
          <w:highlight w:val="none"/>
          <w:lang w:val="en-US" w:eastAsia="zh-CN" w:bidi="ar-SA"/>
        </w:rPr>
        <w:t>135.40</w:t>
      </w:r>
      <w:r>
        <w:rPr>
          <w:rFonts w:hint="eastAsia" w:ascii="仿宋_GB2312" w:hAnsi="Times New Roman" w:eastAsia="仿宋_GB2312" w:cs="Times New Roman"/>
          <w:kern w:val="2"/>
          <w:sz w:val="32"/>
          <w:szCs w:val="32"/>
          <w:highlight w:val="none"/>
          <w:lang w:val="en-US" w:eastAsia="zh-CN" w:bidi="ar-SA"/>
        </w:rPr>
        <w:t>万元，</w:t>
      </w:r>
      <w:r>
        <w:rPr>
          <w:rFonts w:hint="eastAsia" w:ascii="仿宋" w:hAnsi="仿宋" w:eastAsia="仿宋" w:cs="仿宋"/>
          <w:kern w:val="2"/>
          <w:sz w:val="32"/>
          <w:szCs w:val="32"/>
          <w:highlight w:val="none"/>
          <w:lang w:val="en-US" w:eastAsia="zh-CN" w:bidi="ar-SA"/>
        </w:rPr>
        <w:t>完成率100%。</w:t>
      </w:r>
      <w:r>
        <w:rPr>
          <w:rFonts w:hint="eastAsia" w:ascii="仿宋_GB2312" w:hAnsi="Times New Roman" w:eastAsia="仿宋_GB2312" w:cs="Times New Roman"/>
          <w:kern w:val="2"/>
          <w:sz w:val="32"/>
          <w:szCs w:val="32"/>
          <w:highlight w:val="none"/>
          <w:lang w:val="en-US" w:eastAsia="zh-CN" w:bidi="ar-SA"/>
        </w:rPr>
        <w:t>其中：</w:t>
      </w:r>
      <w:r>
        <w:rPr>
          <w:rFonts w:hint="eastAsia" w:ascii="仿宋_GB2312" w:eastAsia="仿宋_GB2312" w:cs="Times New Roman"/>
          <w:kern w:val="2"/>
          <w:sz w:val="32"/>
          <w:szCs w:val="32"/>
          <w:highlight w:val="none"/>
          <w:lang w:val="en-US" w:eastAsia="zh-CN" w:bidi="ar-SA"/>
        </w:rPr>
        <w:t xml:space="preserve">森林培育项目 51.2  </w:t>
      </w:r>
      <w:r>
        <w:rPr>
          <w:rFonts w:hint="eastAsia" w:ascii="仿宋_GB2312" w:hAnsi="Times New Roman" w:eastAsia="仿宋_GB2312" w:cs="Times New Roman"/>
          <w:kern w:val="2"/>
          <w:sz w:val="32"/>
          <w:szCs w:val="32"/>
          <w:highlight w:val="none"/>
          <w:lang w:val="en-US" w:eastAsia="zh-CN" w:bidi="ar-SA"/>
        </w:rPr>
        <w:t>万元</w:t>
      </w:r>
      <w:r>
        <w:rPr>
          <w:rFonts w:hint="eastAsia" w:ascii="仿宋_GB2312" w:eastAsia="仿宋_GB2312" w:cs="Times New Roman"/>
          <w:kern w:val="2"/>
          <w:sz w:val="32"/>
          <w:szCs w:val="32"/>
          <w:highlight w:val="none"/>
          <w:lang w:val="en-US" w:eastAsia="zh-CN" w:bidi="ar-SA"/>
        </w:rPr>
        <w:t xml:space="preserve">，森林资源监测项目 </w:t>
      </w:r>
      <w:bookmarkStart w:id="28" w:name="_GoBack"/>
      <w:bookmarkEnd w:id="28"/>
      <w:r>
        <w:rPr>
          <w:rFonts w:hint="eastAsia" w:ascii="仿宋_GB2312" w:eastAsia="仿宋_GB2312" w:cs="Times New Roman"/>
          <w:kern w:val="2"/>
          <w:sz w:val="32"/>
          <w:szCs w:val="32"/>
          <w:highlight w:val="none"/>
          <w:lang w:val="en-US" w:eastAsia="zh-CN" w:bidi="ar-SA"/>
        </w:rPr>
        <w:t>12.8万，林业防灾减灾项目 44.8万，林区公共支出项目  6.4万，林业技术推广与转化项目  6.4 万，非税征收入征收成本 13.8 万</w:t>
      </w:r>
      <w:r>
        <w:rPr>
          <w:rFonts w:hint="eastAsia" w:ascii="仿宋_GB2312" w:hAnsi="Times New Roman" w:eastAsia="仿宋_GB2312" w:cs="Times New Roman"/>
          <w:kern w:val="2"/>
          <w:sz w:val="32"/>
          <w:szCs w:val="32"/>
          <w:highlight w:val="none"/>
          <w:lang w:val="en-US" w:eastAsia="zh-CN" w:bidi="ar-SA"/>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w:t>
      </w:r>
      <w:r>
        <w:rPr>
          <w:rFonts w:hint="eastAsia" w:ascii="仿宋_GB2312" w:hAnsi="Times New Roman" w:eastAsia="仿宋_GB2312" w:cs="Times New Roman"/>
          <w:kern w:val="2"/>
          <w:sz w:val="32"/>
          <w:szCs w:val="32"/>
          <w:highlight w:val="none"/>
          <w:lang w:val="en-US" w:eastAsia="zh-CN" w:bidi="ar-SA"/>
        </w:rPr>
        <w:t>4</w:t>
      </w:r>
      <w:r>
        <w:rPr>
          <w:rFonts w:hint="default" w:ascii="仿宋_GB2312" w:hAnsi="Times New Roman" w:eastAsia="仿宋_GB2312" w:cs="Times New Roman"/>
          <w:kern w:val="2"/>
          <w:sz w:val="32"/>
          <w:szCs w:val="32"/>
          <w:highlight w:val="none"/>
          <w:lang w:val="en-US" w:eastAsia="zh-CN" w:bidi="ar-SA"/>
        </w:rPr>
        <w:t>）资金管理制度及执行情况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hAnsi="Calibri"/>
          <w:i w:val="0"/>
          <w:iCs w:val="0"/>
          <w:caps w:val="0"/>
          <w:color w:val="000000"/>
          <w:spacing w:val="0"/>
          <w:kern w:val="0"/>
          <w:sz w:val="32"/>
          <w:szCs w:val="32"/>
          <w:highlight w:val="none"/>
          <w:shd w:val="clear" w:color="auto" w:fill="FFFFFF"/>
          <w:lang w:eastAsia="zh-CN" w:bidi="ar"/>
        </w:rPr>
        <w:t xml:space="preserve"> </w:t>
      </w:r>
      <w:r>
        <w:rPr>
          <w:rFonts w:hint="eastAsia" w:ascii="仿宋_GB2312" w:hAnsi="Times New Roman" w:eastAsia="仿宋_GB2312" w:cs="Times New Roman"/>
          <w:kern w:val="2"/>
          <w:sz w:val="32"/>
          <w:szCs w:val="32"/>
          <w:highlight w:val="none"/>
          <w:lang w:val="en-US" w:eastAsia="zh-CN" w:bidi="ar-SA"/>
        </w:rPr>
        <w:t xml:space="preserve"> 在资金管理上，一是坚持依法管理，坚持以新《预算法》《会计法》为指导，依法完善资金管理的制度体系，用法规制度做好资金管理工作。二是注重资金时效，结合工作实际，加快资金拨付，盘活资金存量，在时效内迅速落实到位。三是规范了专项资金支付流程，实施使用资金公开化公示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highlight w:val="none"/>
          <w:shd w:val="clear" w:color="auto" w:fill="FFFFFF"/>
          <w:lang w:val="en-US" w:eastAsia="zh-CN" w:bidi="ar"/>
        </w:rPr>
        <w:t>项目组织实施管理情况</w:t>
      </w:r>
    </w:p>
    <w:p>
      <w:pPr>
        <w:ind w:firstLine="640" w:firstLineChars="200"/>
        <w:rPr>
          <w:rFonts w:hint="eastAsia" w:ascii="仿宋_GB2312" w:eastAsia="仿宋_GB2312"/>
          <w:sz w:val="32"/>
          <w:szCs w:val="32"/>
          <w:highlight w:val="none"/>
        </w:rPr>
      </w:pPr>
      <w:r>
        <w:rPr>
          <w:rFonts w:hint="default" w:ascii="仿宋_GB2312" w:hAnsi="Times New Roman" w:eastAsia="仿宋_GB2312" w:cs="Times New Roman"/>
          <w:kern w:val="2"/>
          <w:sz w:val="32"/>
          <w:szCs w:val="32"/>
          <w:highlight w:val="none"/>
          <w:lang w:val="en-US" w:eastAsia="zh-CN" w:bidi="ar-SA"/>
        </w:rPr>
        <w:t xml:space="preserve">  </w:t>
      </w:r>
      <w:r>
        <w:rPr>
          <w:rFonts w:hint="eastAsia" w:ascii="仿宋_GB2312" w:hAnsi="Times New Roman" w:eastAsia="仿宋_GB2312" w:cs="Times New Roman"/>
          <w:sz w:val="32"/>
          <w:szCs w:val="32"/>
          <w:highlight w:val="none"/>
        </w:rPr>
        <w:t>202</w:t>
      </w:r>
      <w:r>
        <w:rPr>
          <w:rFonts w:hint="eastAsia" w:ascii="仿宋_GB2312" w:hAnsi="Times New Roman" w:eastAsia="仿宋_GB2312" w:cs="Times New Roman"/>
          <w:sz w:val="32"/>
          <w:szCs w:val="32"/>
          <w:highlight w:val="none"/>
          <w:lang w:val="en-US" w:eastAsia="zh-CN"/>
        </w:rPr>
        <w:t>3</w:t>
      </w:r>
      <w:r>
        <w:rPr>
          <w:rFonts w:hint="eastAsia" w:ascii="仿宋_GB2312" w:hAnsi="Times New Roman" w:eastAsia="仿宋_GB2312" w:cs="Times New Roman"/>
          <w:sz w:val="32"/>
          <w:szCs w:val="32"/>
          <w:highlight w:val="none"/>
        </w:rPr>
        <w:t>年我们在县委县政府及上级主管部门的正确领导和指导下，圆满完成了各项工作任务，受到了各级各部门的肯定。</w:t>
      </w:r>
    </w:p>
    <w:p>
      <w:pPr>
        <w:rPr>
          <w:rFonts w:hint="default" w:ascii="仿宋_GB2312" w:hAnsi="Calibri" w:eastAsia="仿宋_GB2312" w:cs="仿宋_GB2312"/>
          <w:i w:val="0"/>
          <w:iCs w:val="0"/>
          <w:caps w:val="0"/>
          <w:color w:val="000000"/>
          <w:spacing w:val="0"/>
          <w:kern w:val="0"/>
          <w:sz w:val="32"/>
          <w:szCs w:val="32"/>
          <w:highlight w:val="none"/>
          <w:shd w:val="clear" w:color="auto" w:fill="FFFFFF"/>
          <w:lang w:eastAsia="zh-CN" w:bidi="ar"/>
        </w:rPr>
      </w:pPr>
      <w:r>
        <w:rPr>
          <w:rFonts w:hint="eastAsia" w:ascii="仿宋_GB2312" w:eastAsia="仿宋_GB2312"/>
          <w:sz w:val="32"/>
          <w:szCs w:val="32"/>
          <w:highlight w:val="none"/>
          <w:lang w:val="en-US" w:eastAsia="zh-CN"/>
        </w:rPr>
        <w:t>建立健全了各项规章制度，资金严格的按照新《预算法》《会计法》的要求拨付，不定期接受纪检监察、审计部门的监督与检查，保障资金的使用安全。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（三）预算绩效目标情况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1.绩效目标</w:t>
      </w:r>
    </w:p>
    <w:p>
      <w:pPr>
        <w:ind w:firstLine="640" w:firstLineChars="200"/>
        <w:rPr>
          <w:rFonts w:hint="eastAsia" w:ascii="仿宋_GB2312" w:hAnsi="Times New Roman" w:eastAsia="仿宋_GB2312" w:cs="Times New Roman"/>
          <w:sz w:val="32"/>
          <w:szCs w:val="32"/>
          <w:highlight w:val="none"/>
          <w:lang w:val="en-US" w:eastAsia="zh-CN"/>
        </w:rPr>
      </w:pPr>
      <w:r>
        <w:rPr>
          <w:rFonts w:hint="default"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lang w:val="en-US" w:eastAsia="zh-CN"/>
        </w:rPr>
        <w:t>202</w:t>
      </w:r>
      <w:r>
        <w:rPr>
          <w:rFonts w:hint="default" w:ascii="仿宋_GB2312" w:hAnsi="Times New Roman" w:eastAsia="仿宋_GB2312" w:cs="Times New Roman"/>
          <w:sz w:val="32"/>
          <w:szCs w:val="32"/>
          <w:highlight w:val="none"/>
          <w:lang w:val="en-US" w:eastAsia="zh-CN"/>
        </w:rPr>
        <w:t>3</w:t>
      </w:r>
      <w:r>
        <w:rPr>
          <w:rFonts w:hint="eastAsia" w:ascii="仿宋_GB2312" w:hAnsi="Times New Roman" w:eastAsia="仿宋_GB2312" w:cs="Times New Roman"/>
          <w:sz w:val="32"/>
          <w:szCs w:val="32"/>
          <w:highlight w:val="none"/>
          <w:lang w:val="en-US" w:eastAsia="zh-CN"/>
        </w:rPr>
        <w:t>年度，严格执行财经制度和管理规定，按时完成预算执行进度，严格控制、合理利用各项经费，鼓励合法合规的经费开支，按要求进行预算管理，不断完善资产管理制度，确保项目资金得到合理使用。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2.绩效指标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（1）数量指标：应完成</w:t>
      </w:r>
      <w:r>
        <w:rPr>
          <w:rFonts w:hint="eastAsia" w:ascii="仿宋_GB2312" w:eastAsia="仿宋_GB2312" w:cs="Times New Roman"/>
          <w:kern w:val="2"/>
          <w:sz w:val="32"/>
          <w:szCs w:val="32"/>
          <w:highlight w:val="none"/>
          <w:lang w:val="en-US" w:eastAsia="zh-CN" w:bidi="ar-SA"/>
        </w:rPr>
        <w:t>135.40</w:t>
      </w:r>
      <w:r>
        <w:rPr>
          <w:rFonts w:hint="eastAsia" w:ascii="仿宋_GB2312" w:hAnsi="Times New Roman" w:eastAsia="仿宋_GB2312" w:cs="Times New Roman"/>
          <w:kern w:val="2"/>
          <w:sz w:val="32"/>
          <w:szCs w:val="32"/>
          <w:highlight w:val="none"/>
          <w:lang w:val="en-US" w:eastAsia="zh-CN" w:bidi="ar-SA"/>
        </w:rPr>
        <w:t>万，实际支出</w:t>
      </w:r>
      <w:r>
        <w:rPr>
          <w:rFonts w:hint="eastAsia" w:ascii="仿宋_GB2312" w:eastAsia="仿宋_GB2312" w:cs="Times New Roman"/>
          <w:kern w:val="2"/>
          <w:sz w:val="32"/>
          <w:szCs w:val="32"/>
          <w:highlight w:val="none"/>
          <w:lang w:val="en-US" w:eastAsia="zh-CN" w:bidi="ar-SA"/>
        </w:rPr>
        <w:t>135.40</w:t>
      </w:r>
      <w:r>
        <w:rPr>
          <w:rFonts w:hint="eastAsia" w:ascii="仿宋_GB2312" w:hAnsi="Times New Roman" w:eastAsia="仿宋_GB2312" w:cs="Times New Roman"/>
          <w:kern w:val="2"/>
          <w:sz w:val="32"/>
          <w:szCs w:val="32"/>
          <w:highlight w:val="none"/>
          <w:lang w:val="en-US" w:eastAsia="zh-CN" w:bidi="ar-SA"/>
        </w:rPr>
        <w:t>万，完成率100%。</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（2）进度指标：202</w:t>
      </w:r>
      <w:r>
        <w:rPr>
          <w:rFonts w:hint="default" w:ascii="仿宋_GB2312" w:hAnsi="Times New Roman" w:eastAsia="仿宋_GB2312" w:cs="Times New Roman"/>
          <w:kern w:val="2"/>
          <w:sz w:val="32"/>
          <w:szCs w:val="32"/>
          <w:highlight w:val="none"/>
          <w:lang w:val="en-US" w:eastAsia="zh-CN" w:bidi="ar-SA"/>
        </w:rPr>
        <w:t>3</w:t>
      </w:r>
      <w:r>
        <w:rPr>
          <w:rFonts w:hint="eastAsia" w:ascii="仿宋_GB2312" w:hAnsi="Times New Roman" w:eastAsia="仿宋_GB2312" w:cs="Times New Roman"/>
          <w:kern w:val="2"/>
          <w:sz w:val="32"/>
          <w:szCs w:val="32"/>
          <w:highlight w:val="none"/>
          <w:lang w:val="en-US" w:eastAsia="zh-CN" w:bidi="ar-SA"/>
        </w:rPr>
        <w:t>年12月已完成各项工作任务，任务及时率100%。</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（3）质量指标：保障了各项工作圆满完成，得到了省市县各级的肯定。</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default" w:ascii="仿宋_GB2312" w:hAnsi="Calibri" w:eastAsia="仿宋_GB2312" w:cs="仿宋_GB2312"/>
          <w:i w:val="0"/>
          <w:iCs w:val="0"/>
          <w:caps w:val="0"/>
          <w:color w:val="000000"/>
          <w:spacing w:val="0"/>
          <w:kern w:val="0"/>
          <w:sz w:val="32"/>
          <w:szCs w:val="32"/>
          <w:highlight w:val="none"/>
          <w:shd w:val="clear" w:color="auto" w:fill="FFFFFF"/>
          <w:lang w:eastAsia="zh-CN" w:bidi="ar"/>
        </w:rPr>
      </w:pPr>
      <w:r>
        <w:rPr>
          <w:rFonts w:hint="eastAsia" w:ascii="仿宋_GB2312" w:hAnsi="Times New Roman" w:eastAsia="仿宋_GB2312" w:cs="Times New Roman"/>
          <w:kern w:val="2"/>
          <w:sz w:val="32"/>
          <w:szCs w:val="32"/>
          <w:highlight w:val="none"/>
          <w:lang w:val="en-US" w:eastAsia="zh-CN" w:bidi="ar-SA"/>
        </w:rPr>
        <w:t>（4）成本指标：项目经费合计</w:t>
      </w:r>
      <w:r>
        <w:rPr>
          <w:rFonts w:hint="eastAsia" w:ascii="仿宋_GB2312" w:eastAsia="仿宋_GB2312" w:cs="Times New Roman"/>
          <w:kern w:val="2"/>
          <w:sz w:val="32"/>
          <w:szCs w:val="32"/>
          <w:highlight w:val="none"/>
          <w:lang w:val="en-US" w:eastAsia="zh-CN" w:bidi="ar-SA"/>
        </w:rPr>
        <w:t>135.40</w:t>
      </w:r>
      <w:r>
        <w:rPr>
          <w:rFonts w:hint="eastAsia" w:ascii="仿宋_GB2312" w:hAnsi="Times New Roman" w:eastAsia="仿宋_GB2312" w:cs="Times New Roman"/>
          <w:kern w:val="2"/>
          <w:sz w:val="32"/>
          <w:szCs w:val="32"/>
          <w:highlight w:val="none"/>
          <w:lang w:val="en-US" w:eastAsia="zh-CN" w:bidi="ar-SA"/>
        </w:rPr>
        <w:t>元，没有超出预算范围。</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二、绩效评价工作情况</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绩效评价目的</w:t>
      </w:r>
    </w:p>
    <w:p>
      <w:pPr>
        <w:pStyle w:val="4"/>
        <w:rPr>
          <w:rFonts w:hint="default"/>
          <w:highlight w:val="none"/>
          <w:lang w:eastAsia="zh-CN"/>
        </w:rPr>
      </w:pPr>
      <w:r>
        <w:rPr>
          <w:rFonts w:hint="default"/>
          <w:b w:val="0"/>
          <w:bCs w:val="0"/>
          <w:i w:val="0"/>
          <w:iCs w:val="0"/>
          <w:caps w:val="0"/>
          <w:color w:val="000000"/>
          <w:spacing w:val="0"/>
          <w:kern w:val="0"/>
          <w:sz w:val="32"/>
          <w:szCs w:val="32"/>
          <w:highlight w:val="none"/>
          <w:shd w:val="clear" w:color="auto" w:fill="FFFFFF"/>
          <w:lang w:eastAsia="zh-CN" w:bidi="ar"/>
        </w:rPr>
        <w:t xml:space="preserve">  </w:t>
      </w:r>
      <w:r>
        <w:rPr>
          <w:rFonts w:hint="default" w:ascii="仿宋_GB2312" w:hAnsi="仿宋_GB2312" w:eastAsia="仿宋_GB2312" w:cs="仿宋_GB2312"/>
          <w:color w:val="auto"/>
          <w:sz w:val="32"/>
          <w:szCs w:val="32"/>
          <w:highlight w:val="none"/>
          <w:lang w:val="en-US" w:eastAsia="zh-CN"/>
        </w:rPr>
        <w:t xml:space="preserve"> 为</w:t>
      </w:r>
      <w:r>
        <w:rPr>
          <w:rFonts w:hint="eastAsia" w:ascii="仿宋_GB2312" w:hAnsi="仿宋_GB2312" w:eastAsia="仿宋_GB2312" w:cs="仿宋_GB2312"/>
          <w:color w:val="auto"/>
          <w:sz w:val="32"/>
          <w:szCs w:val="32"/>
          <w:highlight w:val="none"/>
          <w:lang w:val="en-US" w:eastAsia="zh-CN"/>
        </w:rPr>
        <w:t>进一步规范财政资金管理，强化财政支出绩效理念和责任意识，切实提高财政资金使用效益</w:t>
      </w:r>
      <w:r>
        <w:rPr>
          <w:rFonts w:hint="default"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1" w:name="_Toc11844"/>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被评价单位、绩效评价范围与时段</w:t>
      </w:r>
      <w:bookmarkEnd w:id="1"/>
    </w:p>
    <w:p>
      <w:pPr>
        <w:pStyle w:val="4"/>
        <w:rPr>
          <w:rFonts w:hint="default" w:ascii="仿宋_GB2312" w:hAnsi="仿宋_GB2312" w:eastAsia="仿宋_GB2312" w:cs="仿宋_GB2312"/>
          <w:color w:val="auto"/>
          <w:sz w:val="32"/>
          <w:szCs w:val="32"/>
          <w:highlight w:val="none"/>
          <w:lang w:val="en-US" w:eastAsia="zh-CN"/>
        </w:rPr>
      </w:pPr>
      <w:r>
        <w:rPr>
          <w:rFonts w:hint="default"/>
          <w:b w:val="0"/>
          <w:bCs w:val="0"/>
          <w:i w:val="0"/>
          <w:iCs w:val="0"/>
          <w:caps w:val="0"/>
          <w:color w:val="000000"/>
          <w:spacing w:val="0"/>
          <w:kern w:val="0"/>
          <w:sz w:val="32"/>
          <w:szCs w:val="32"/>
          <w:highlight w:val="none"/>
          <w:shd w:val="clear" w:color="auto" w:fill="FFFFFF"/>
          <w:lang w:eastAsia="zh-CN" w:bidi="ar"/>
        </w:rPr>
        <w:t xml:space="preserve"> </w:t>
      </w:r>
      <w:r>
        <w:rPr>
          <w:rFonts w:hint="default" w:ascii="仿宋_GB2312" w:hAnsi="仿宋_GB2312" w:eastAsia="仿宋_GB2312" w:cs="仿宋_GB2312"/>
          <w:color w:val="auto"/>
          <w:sz w:val="32"/>
          <w:szCs w:val="32"/>
          <w:highlight w:val="none"/>
          <w:lang w:val="en-US" w:eastAsia="zh-CN"/>
        </w:rPr>
        <w:t xml:space="preserve"> 会同县</w:t>
      </w:r>
      <w:r>
        <w:rPr>
          <w:rFonts w:hint="eastAsia" w:ascii="仿宋_GB2312" w:hAnsi="仿宋_GB2312" w:eastAsia="仿宋_GB2312" w:cs="仿宋_GB2312"/>
          <w:color w:val="auto"/>
          <w:sz w:val="32"/>
          <w:szCs w:val="32"/>
          <w:highlight w:val="none"/>
          <w:lang w:val="en-US" w:eastAsia="zh-CN"/>
        </w:rPr>
        <w:t>林业局开展支出绩效自评。评价范围为2023年度市级财政安排给市直预算部门、单位（含所属单位）的所有预算支出，包括一般公共预算支出、政府性基金预算支出、国有资本经营预算支出和社会保险基金预算支出。</w:t>
      </w:r>
    </w:p>
    <w:p>
      <w:pPr>
        <w:keepNext w:val="0"/>
        <w:keepLines w:val="0"/>
        <w:pageBreakBefore w:val="0"/>
        <w:widowControl w:val="0"/>
        <w:numPr>
          <w:ilvl w:val="0"/>
          <w:numId w:val="1"/>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2" w:name="_Toc31835"/>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绩效评价原则、评价指标体系、评价方法</w:t>
      </w:r>
      <w:bookmarkEnd w:id="2"/>
    </w:p>
    <w:p>
      <w:pPr>
        <w:keepNext w:val="0"/>
        <w:keepLines w:val="0"/>
        <w:pageBreakBefore w:val="0"/>
        <w:widowControl w:val="0"/>
        <w:kinsoku/>
        <w:wordWrap/>
        <w:overflowPunct/>
        <w:topLinePunct w:val="0"/>
        <w:autoSpaceDE/>
        <w:autoSpaceDN/>
        <w:bidi w:val="0"/>
        <w:adjustRightInd/>
        <w:snapToGrid w:val="0"/>
        <w:spacing w:line="560" w:lineRule="exact"/>
        <w:ind w:firstLine="42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default"/>
          <w:highlight w:val="none"/>
          <w:lang w:eastAsia="zh-CN"/>
        </w:rPr>
        <w:t xml:space="preserve">   </w:t>
      </w:r>
      <w:r>
        <w:rPr>
          <w:rFonts w:hint="default" w:ascii="仿宋_GB2312" w:hAnsi="仿宋_GB2312" w:eastAsia="仿宋_GB2312" w:cs="仿宋_GB2312"/>
          <w:color w:val="auto"/>
          <w:kern w:val="2"/>
          <w:sz w:val="32"/>
          <w:szCs w:val="32"/>
          <w:highlight w:val="none"/>
          <w:lang w:val="en-US" w:eastAsia="zh-CN" w:bidi="ar-SA"/>
        </w:rPr>
        <w:t xml:space="preserve"> </w:t>
      </w:r>
      <w:r>
        <w:rPr>
          <w:rFonts w:hint="eastAsia" w:ascii="仿宋_GB2312" w:hAnsi="仿宋_GB2312" w:eastAsia="仿宋_GB2312" w:cs="仿宋_GB2312"/>
          <w:color w:val="auto"/>
          <w:kern w:val="2"/>
          <w:sz w:val="32"/>
          <w:szCs w:val="32"/>
          <w:highlight w:val="none"/>
          <w:lang w:val="en-US" w:eastAsia="zh-CN" w:bidi="ar-SA"/>
        </w:rPr>
        <w:t>围绕2023年度预算绩效目标和评价指标开展自评，主要包括预算支出总体绩效目标、各项绩效指标完成情况以及预算执行情况。对未完成绩效目标或偏离绩效目标较大的预算支出要分析并说明原因，研究提出改进措施。</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bookmarkStart w:id="3" w:name="_Toc7615"/>
      <w:bookmarkStart w:id="4" w:name="_Toc32076"/>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三、主要绩效及评价结论</w:t>
      </w:r>
      <w:bookmarkEnd w:id="3"/>
      <w:bookmarkEnd w:id="4"/>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（一）社会效益</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社会效益指标：完善基础设施建设，提升群众的幸福感。</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（二）生态效益</w:t>
      </w:r>
    </w:p>
    <w:p>
      <w:pPr>
        <w:pStyle w:val="4"/>
        <w:numPr>
          <w:ilvl w:val="0"/>
          <w:numId w:val="0"/>
        </w:numPr>
        <w:rPr>
          <w:rFonts w:hint="default" w:ascii="Times New Roman" w:hAnsi="Times New Roman" w:eastAsia="仿宋" w:cs="仿宋"/>
          <w:kern w:val="2"/>
          <w:sz w:val="32"/>
          <w:szCs w:val="32"/>
          <w:highlight w:val="none"/>
          <w:lang w:val="en-US" w:eastAsia="zh-CN" w:bidi="ar-SA"/>
        </w:rPr>
      </w:pPr>
      <w:r>
        <w:rPr>
          <w:rFonts w:hint="eastAsia"/>
          <w:highlight w:val="none"/>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生态效益指标：有效提升生态环境质量。</w:t>
      </w:r>
    </w:p>
    <w:p>
      <w:pPr>
        <w:keepNext w:val="0"/>
        <w:keepLines w:val="0"/>
        <w:pageBreakBefore w:val="0"/>
        <w:widowControl w:val="0"/>
        <w:numPr>
          <w:ilvl w:val="0"/>
          <w:numId w:val="2"/>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可持续影响</w:t>
      </w:r>
    </w:p>
    <w:p>
      <w:pPr>
        <w:pStyle w:val="4"/>
        <w:numPr>
          <w:ilvl w:val="0"/>
          <w:numId w:val="0"/>
        </w:numPr>
        <w:ind w:leftChars="200"/>
        <w:rPr>
          <w:rFonts w:hint="default" w:ascii="仿宋_GB2312" w:hAnsi="仿宋_GB2312" w:eastAsia="仿宋_GB2312" w:cs="仿宋_GB2312"/>
          <w:color w:val="auto"/>
          <w:kern w:val="2"/>
          <w:sz w:val="32"/>
          <w:szCs w:val="32"/>
          <w:highlight w:val="none"/>
          <w:lang w:val="en-US" w:eastAsia="zh-CN" w:bidi="ar-SA"/>
        </w:rPr>
      </w:pPr>
      <w:r>
        <w:rPr>
          <w:rFonts w:hint="eastAsia"/>
          <w:highlight w:val="none"/>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可持续指标：促进提高群众认可度。</w:t>
      </w:r>
    </w:p>
    <w:p>
      <w:pPr>
        <w:keepNext w:val="0"/>
        <w:keepLines w:val="0"/>
        <w:pageBreakBefore w:val="0"/>
        <w:widowControl w:val="0"/>
        <w:numPr>
          <w:ilvl w:val="0"/>
          <w:numId w:val="2"/>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满意度情况</w:t>
      </w:r>
    </w:p>
    <w:p>
      <w:pPr>
        <w:pStyle w:val="4"/>
        <w:numPr>
          <w:ilvl w:val="0"/>
          <w:numId w:val="0"/>
        </w:numPr>
        <w:ind w:leftChars="200"/>
        <w:rPr>
          <w:rFonts w:hint="default" w:eastAsia="仿宋"/>
          <w:highlight w:val="none"/>
          <w:lang w:val="en-US" w:eastAsia="zh-CN"/>
        </w:rPr>
      </w:pPr>
      <w:r>
        <w:rPr>
          <w:rFonts w:hint="eastAsia"/>
          <w:highlight w:val="none"/>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满意度指标：</w:t>
      </w:r>
      <w:r>
        <w:rPr>
          <w:rFonts w:hint="eastAsia" w:ascii="Times New Roman" w:hAnsi="Times New Roman" w:eastAsia="宋体" w:cs="Times New Roman"/>
          <w:highlight w:val="none"/>
          <w:lang w:val="en-US" w:eastAsia="zh-CN"/>
        </w:rPr>
        <w:t>提</w:t>
      </w:r>
      <w:r>
        <w:rPr>
          <w:rFonts w:hint="eastAsia" w:ascii="仿宋_GB2312" w:hAnsi="仿宋_GB2312" w:eastAsia="仿宋_GB2312" w:cs="仿宋_GB2312"/>
          <w:color w:val="auto"/>
          <w:kern w:val="2"/>
          <w:sz w:val="32"/>
          <w:szCs w:val="32"/>
          <w:highlight w:val="none"/>
          <w:lang w:val="en-US" w:eastAsia="zh-CN" w:bidi="ar-SA"/>
        </w:rPr>
        <w:t>升人民群众满意率。</w:t>
      </w:r>
    </w:p>
    <w:p>
      <w:pPr>
        <w:keepNext w:val="0"/>
        <w:keepLines w:val="0"/>
        <w:pageBreakBefore w:val="0"/>
        <w:widowControl w:val="0"/>
        <w:numPr>
          <w:ilvl w:val="0"/>
          <w:numId w:val="2"/>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评价结论</w:t>
      </w:r>
    </w:p>
    <w:p>
      <w:pPr>
        <w:pStyle w:val="4"/>
        <w:numPr>
          <w:ilvl w:val="0"/>
          <w:numId w:val="0"/>
        </w:numPr>
        <w:ind w:leftChars="200"/>
        <w:rPr>
          <w:rFonts w:hint="default" w:ascii="Times New Roman" w:hAnsi="Times New Roman" w:eastAsia="宋体" w:cs="Times New Roman"/>
          <w:highlight w:val="none"/>
          <w:lang w:val="en-US" w:eastAsia="zh-CN"/>
        </w:rPr>
      </w:pPr>
      <w:r>
        <w:rPr>
          <w:rFonts w:hint="eastAsia"/>
          <w:highlight w:val="none"/>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通过评价，2023年度林业各项目得分92分，评价等级为“优”。</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bookmarkStart w:id="5" w:name="_Toc27541"/>
      <w:bookmarkStart w:id="6" w:name="_Toc16332"/>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四、绩效评价指标分析</w:t>
      </w:r>
      <w:bookmarkEnd w:id="5"/>
      <w:bookmarkEnd w:id="6"/>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（一）项目决策情况</w:t>
      </w:r>
      <w:bookmarkEnd w:id="7"/>
    </w:p>
    <w:p>
      <w:pPr>
        <w:pStyle w:val="4"/>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1.项目立项规范性：项目按照规定的程序申请设立，所提交的文件、材料齐全，事前经过必要的可行性研究、专家论证、风险评估、集体决策等。</w:t>
      </w:r>
    </w:p>
    <w:p>
      <w:pPr>
        <w:pStyle w:val="4"/>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2.绩效目标合理性：符合国家相关法律法规，国民经济发展规划和党委政府决策，与项目实施单位或委托单位职责密切相关，项目为促进事业发展所必需，项目顸期产出效益和效果符合正常的业绩水平。</w:t>
      </w:r>
    </w:p>
    <w:p>
      <w:pPr>
        <w:pStyle w:val="4"/>
        <w:rPr>
          <w:rFonts w:hint="default"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仿宋_GB2312" w:hAnsi="仿宋_GB2312" w:eastAsia="仿宋_GB2312" w:cs="仿宋_GB2312"/>
          <w:color w:val="auto"/>
          <w:kern w:val="2"/>
          <w:sz w:val="32"/>
          <w:szCs w:val="32"/>
          <w:highlight w:val="none"/>
          <w:lang w:val="en-US" w:eastAsia="zh-CN" w:bidi="ar-SA"/>
        </w:rPr>
        <w:t>3.绩效指标明确性：将项目绩效目标细化分解为具体的绩效指标，通过清晰、可衡量的指标值予以体现，与项目年度任务数或计划数相对应，与预算确定的项目投资額或资金量相匹配。</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8" w:name="_Toc28411"/>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项目过程情况</w:t>
      </w:r>
      <w:bookmarkEnd w:id="8"/>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firstLine="320" w:firstLineChars="100"/>
        <w:textAlignment w:val="auto"/>
        <w:outlineLvl w:val="2"/>
        <w:rPr>
          <w:rFonts w:hint="eastAsia" w:ascii="仿宋_GB2312" w:hAnsi="仿宋_GB2312" w:eastAsia="仿宋_GB2312" w:cs="仿宋_GB2312"/>
          <w:color w:val="auto"/>
          <w:kern w:val="2"/>
          <w:sz w:val="32"/>
          <w:szCs w:val="32"/>
          <w:highlight w:val="none"/>
          <w:lang w:val="en-US" w:eastAsia="zh-CN" w:bidi="ar-SA"/>
        </w:rPr>
      </w:pPr>
      <w:bookmarkStart w:id="9" w:name="_Toc10140"/>
      <w:r>
        <w:rPr>
          <w:rFonts w:hint="eastAsia" w:ascii="仿宋_GB2312" w:hAnsi="仿宋_GB2312" w:eastAsia="仿宋_GB2312" w:cs="仿宋_GB2312"/>
          <w:color w:val="auto"/>
          <w:kern w:val="2"/>
          <w:sz w:val="32"/>
          <w:szCs w:val="32"/>
          <w:highlight w:val="none"/>
          <w:lang w:val="en-US" w:eastAsia="zh-CN" w:bidi="ar-SA"/>
        </w:rPr>
        <w:t>1.资金管理</w:t>
      </w:r>
      <w:bookmarkEnd w:id="9"/>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符合国家财经法规和财务管理以及有关专项资金管理办法的规定，资金的拨付有完整的审批程序和手续，项目的重大开支经过评估论证，符合项目预算批复或合同规定的用途，不存在截留、挤占、挪用、虚列支出等情况；</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firstLine="320" w:firstLineChars="100"/>
        <w:textAlignment w:val="auto"/>
        <w:outlineLvl w:val="2"/>
        <w:rPr>
          <w:rFonts w:hint="eastAsia" w:ascii="仿宋_GB2312" w:hAnsi="仿宋_GB2312" w:eastAsia="仿宋_GB2312" w:cs="仿宋_GB2312"/>
          <w:color w:val="auto"/>
          <w:kern w:val="2"/>
          <w:sz w:val="32"/>
          <w:szCs w:val="32"/>
          <w:highlight w:val="none"/>
          <w:lang w:val="en-US" w:eastAsia="zh-CN" w:bidi="ar-SA"/>
        </w:rPr>
      </w:pPr>
      <w:bookmarkStart w:id="10" w:name="_Toc1210"/>
      <w:r>
        <w:rPr>
          <w:rFonts w:hint="eastAsia" w:ascii="仿宋_GB2312" w:hAnsi="仿宋_GB2312" w:eastAsia="仿宋_GB2312" w:cs="仿宋_GB2312"/>
          <w:color w:val="auto"/>
          <w:kern w:val="2"/>
          <w:sz w:val="32"/>
          <w:szCs w:val="32"/>
          <w:highlight w:val="none"/>
          <w:lang w:val="en-US" w:eastAsia="zh-CN" w:bidi="ar-SA"/>
        </w:rPr>
        <w:t>2.项目实施</w:t>
      </w:r>
      <w:bookmarkEnd w:id="10"/>
    </w:p>
    <w:p>
      <w:pPr>
        <w:pStyle w:val="4"/>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（1）管理制度健全性：制定或具有相应的业务管理制度，业务管理制度合法、合规、完整。</w:t>
      </w:r>
    </w:p>
    <w:p>
      <w:pPr>
        <w:pStyle w:val="4"/>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w:t>
      </w:r>
      <w:r>
        <w:rPr>
          <w:rFonts w:hint="default" w:ascii="仿宋_GB2312" w:hAnsi="仿宋_GB2312" w:eastAsia="仿宋_GB2312" w:cs="仿宋_GB2312"/>
          <w:color w:val="auto"/>
          <w:kern w:val="2"/>
          <w:sz w:val="32"/>
          <w:szCs w:val="32"/>
          <w:highlight w:val="none"/>
          <w:lang w:val="en-US" w:eastAsia="zh-CN" w:bidi="ar-SA"/>
        </w:rPr>
        <w:t>制度执行有效性</w:t>
      </w:r>
      <w:r>
        <w:rPr>
          <w:rFonts w:hint="eastAsia" w:ascii="仿宋_GB2312" w:hAnsi="仿宋_GB2312" w:eastAsia="仿宋_GB2312" w:cs="仿宋_GB2312"/>
          <w:color w:val="auto"/>
          <w:kern w:val="2"/>
          <w:sz w:val="32"/>
          <w:szCs w:val="32"/>
          <w:highlight w:val="none"/>
          <w:lang w:val="en-US" w:eastAsia="zh-CN" w:bidi="ar-SA"/>
        </w:rPr>
        <w:t>：遵守相关法律法规和业务管理规定，项目调整及支出调整手续完备，项目合同书、验收报告、技术务定等资料齐全并及时归档。</w:t>
      </w:r>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w:t>
      </w:r>
      <w:r>
        <w:rPr>
          <w:rFonts w:hint="default" w:ascii="仿宋_GB2312" w:hAnsi="仿宋_GB2312" w:eastAsia="仿宋_GB2312" w:cs="仿宋_GB2312"/>
          <w:color w:val="auto"/>
          <w:kern w:val="2"/>
          <w:sz w:val="32"/>
          <w:szCs w:val="32"/>
          <w:highlight w:val="none"/>
          <w:lang w:val="en-US" w:eastAsia="zh-CN" w:bidi="ar-SA"/>
        </w:rPr>
        <w:t>项目质量可控性</w:t>
      </w:r>
      <w:r>
        <w:rPr>
          <w:rFonts w:hint="eastAsia" w:ascii="仿宋_GB2312" w:hAnsi="仿宋_GB2312" w:eastAsia="仿宋_GB2312" w:cs="仿宋_GB2312"/>
          <w:color w:val="auto"/>
          <w:kern w:val="2"/>
          <w:sz w:val="32"/>
          <w:szCs w:val="32"/>
          <w:highlight w:val="none"/>
          <w:lang w:val="en-US" w:eastAsia="zh-CN" w:bidi="ar-SA"/>
        </w:rPr>
        <w:t>：制定或其有相应的项目质量要求或标准，采取相应的项目质量检查、验收等必需的控制措施或手段。</w:t>
      </w:r>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w:t>
      </w:r>
      <w:r>
        <w:rPr>
          <w:rFonts w:hint="default" w:ascii="仿宋_GB2312" w:hAnsi="仿宋_GB2312" w:eastAsia="仿宋_GB2312" w:cs="仿宋_GB2312"/>
          <w:color w:val="auto"/>
          <w:kern w:val="2"/>
          <w:sz w:val="32"/>
          <w:szCs w:val="32"/>
          <w:highlight w:val="none"/>
          <w:lang w:val="en-US" w:eastAsia="zh-CN" w:bidi="ar-SA"/>
        </w:rPr>
        <w:t>管理制度健全性</w:t>
      </w:r>
      <w:r>
        <w:rPr>
          <w:rFonts w:hint="eastAsia" w:ascii="仿宋_GB2312" w:hAnsi="仿宋_GB2312" w:eastAsia="仿宋_GB2312" w:cs="仿宋_GB2312"/>
          <w:color w:val="auto"/>
          <w:kern w:val="2"/>
          <w:sz w:val="32"/>
          <w:szCs w:val="32"/>
          <w:highlight w:val="none"/>
          <w:lang w:val="en-US" w:eastAsia="zh-CN" w:bidi="ar-SA"/>
        </w:rPr>
        <w:t>：制定或具有相应的项目资金管理办法，项目资金管理办法符合相关财务会计制度的规定。</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11" w:name="_Toc6604"/>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项目产出情况</w:t>
      </w:r>
      <w:bookmarkEnd w:id="11"/>
    </w:p>
    <w:p>
      <w:pPr>
        <w:pStyle w:val="4"/>
        <w:rPr>
          <w:rFonts w:hint="eastAsia" w:ascii="仿宋_GB2312" w:hAnsi="仿宋_GB2312" w:eastAsia="仿宋_GB2312" w:cs="仿宋_GB2312"/>
          <w:color w:val="auto"/>
          <w:kern w:val="2"/>
          <w:sz w:val="32"/>
          <w:szCs w:val="32"/>
          <w:highlight w:val="none"/>
          <w:lang w:val="en-US" w:eastAsia="zh-CN" w:bidi="ar-SA"/>
        </w:rPr>
      </w:pPr>
      <w:bookmarkStart w:id="12" w:name="_Toc20742"/>
      <w:r>
        <w:rPr>
          <w:rFonts w:hint="eastAsia" w:ascii="仿宋_GB2312" w:hAnsi="仿宋_GB2312" w:eastAsia="仿宋_GB2312" w:cs="仿宋_GB2312"/>
          <w:color w:val="auto"/>
          <w:kern w:val="2"/>
          <w:sz w:val="32"/>
          <w:szCs w:val="32"/>
          <w:highlight w:val="none"/>
          <w:lang w:val="en-US" w:eastAsia="zh-CN" w:bidi="ar-SA"/>
        </w:rPr>
        <w:t>1.产出数量</w:t>
      </w:r>
      <w:bookmarkEnd w:id="12"/>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主要对项目实际完成率进行考察，足额发放到位计15分。</w:t>
      </w:r>
    </w:p>
    <w:p>
      <w:pPr>
        <w:pStyle w:val="4"/>
        <w:rPr>
          <w:rFonts w:hint="eastAsia" w:ascii="仿宋_GB2312" w:hAnsi="仿宋_GB2312" w:eastAsia="仿宋_GB2312" w:cs="仿宋_GB2312"/>
          <w:color w:val="auto"/>
          <w:kern w:val="2"/>
          <w:sz w:val="32"/>
          <w:szCs w:val="32"/>
          <w:highlight w:val="none"/>
          <w:lang w:val="en-US" w:eastAsia="zh-CN" w:bidi="ar-SA"/>
        </w:rPr>
      </w:pPr>
      <w:bookmarkStart w:id="13" w:name="_Toc5372"/>
      <w:r>
        <w:rPr>
          <w:rFonts w:hint="eastAsia" w:ascii="仿宋_GB2312" w:hAnsi="仿宋_GB2312" w:eastAsia="仿宋_GB2312" w:cs="仿宋_GB2312"/>
          <w:color w:val="auto"/>
          <w:kern w:val="2"/>
          <w:sz w:val="32"/>
          <w:szCs w:val="32"/>
          <w:highlight w:val="none"/>
          <w:lang w:val="en-US" w:eastAsia="zh-CN" w:bidi="ar-SA"/>
        </w:rPr>
        <w:t>2.产出质量</w:t>
      </w:r>
      <w:bookmarkEnd w:id="13"/>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主要对项目质量达标率进行考察，任务完成质量基本达到预期计13分。</w:t>
      </w:r>
    </w:p>
    <w:p>
      <w:pPr>
        <w:pStyle w:val="4"/>
        <w:rPr>
          <w:rFonts w:hint="eastAsia" w:ascii="仿宋_GB2312" w:hAnsi="仿宋_GB2312" w:eastAsia="仿宋_GB2312" w:cs="仿宋_GB2312"/>
          <w:color w:val="auto"/>
          <w:kern w:val="2"/>
          <w:sz w:val="32"/>
          <w:szCs w:val="32"/>
          <w:highlight w:val="none"/>
          <w:lang w:val="en-US" w:eastAsia="zh-CN" w:bidi="ar-SA"/>
        </w:rPr>
      </w:pPr>
      <w:bookmarkStart w:id="14" w:name="_Toc25948"/>
      <w:r>
        <w:rPr>
          <w:rFonts w:hint="eastAsia" w:ascii="仿宋_GB2312" w:hAnsi="仿宋_GB2312" w:eastAsia="仿宋_GB2312" w:cs="仿宋_GB2312"/>
          <w:color w:val="auto"/>
          <w:kern w:val="2"/>
          <w:sz w:val="32"/>
          <w:szCs w:val="32"/>
          <w:highlight w:val="none"/>
          <w:lang w:val="en-US" w:eastAsia="zh-CN" w:bidi="ar-SA"/>
        </w:rPr>
        <w:t>3.产出成本</w:t>
      </w:r>
      <w:bookmarkEnd w:id="14"/>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主要对项目成本节约率进行考察，没有超出预算计10分。</w:t>
      </w:r>
    </w:p>
    <w:p>
      <w:pPr>
        <w:pStyle w:val="4"/>
        <w:rPr>
          <w:rFonts w:hint="eastAsia" w:ascii="仿宋_GB2312" w:hAnsi="仿宋_GB2312" w:eastAsia="仿宋_GB2312" w:cs="仿宋_GB2312"/>
          <w:color w:val="auto"/>
          <w:kern w:val="2"/>
          <w:sz w:val="32"/>
          <w:szCs w:val="32"/>
          <w:highlight w:val="none"/>
          <w:lang w:val="en-US" w:eastAsia="zh-CN" w:bidi="ar-SA"/>
        </w:rPr>
      </w:pPr>
      <w:bookmarkStart w:id="15" w:name="_Toc21477"/>
      <w:r>
        <w:rPr>
          <w:rFonts w:hint="eastAsia" w:ascii="仿宋_GB2312" w:hAnsi="仿宋_GB2312" w:eastAsia="仿宋_GB2312" w:cs="仿宋_GB2312"/>
          <w:color w:val="auto"/>
          <w:kern w:val="2"/>
          <w:sz w:val="32"/>
          <w:szCs w:val="32"/>
          <w:highlight w:val="none"/>
          <w:lang w:val="en-US" w:eastAsia="zh-CN" w:bidi="ar-SA"/>
        </w:rPr>
        <w:t>4.产出时效</w:t>
      </w:r>
      <w:bookmarkEnd w:id="15"/>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主要对项目完成及时率进行考察，工作按进度完成计10分。</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pPr>
      <w:bookmarkStart w:id="16" w:name="_Toc12690"/>
      <w:bookmarkStart w:id="17" w:name="_Toc3072"/>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（四）项目效益情况</w:t>
      </w:r>
      <w:bookmarkEnd w:id="16"/>
      <w:bookmarkEnd w:id="17"/>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该项目促进了林业发展，保护了群众利益，完善了基础设施，改善了生态环境，群众满意率达97%。</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bookmarkStart w:id="18" w:name="_Toc390267055"/>
      <w:bookmarkStart w:id="19" w:name="_Toc390096931"/>
      <w:bookmarkStart w:id="20" w:name="_Toc12414"/>
      <w:bookmarkStart w:id="21" w:name="_Toc24241"/>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五、项目主要经验、存在的问题</w:t>
      </w:r>
      <w:bookmarkEnd w:id="18"/>
      <w:bookmarkEnd w:id="19"/>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及建议</w:t>
      </w:r>
      <w:bookmarkEnd w:id="20"/>
      <w:bookmarkEnd w:id="21"/>
    </w:p>
    <w:p>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及做法</w:t>
      </w:r>
      <w:bookmarkEnd w:id="23"/>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default"/>
          <w:highlight w:val="none"/>
          <w:lang w:val="en-US" w:eastAsia="zh-CN"/>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 xml:space="preserve"> </w:t>
      </w:r>
      <w:r>
        <w:rPr>
          <w:rFonts w:hint="eastAsia" w:ascii="仿宋_GB2312" w:hAnsi="仿宋_GB2312" w:eastAsia="仿宋_GB2312" w:cs="仿宋_GB2312"/>
          <w:color w:val="auto"/>
          <w:kern w:val="2"/>
          <w:sz w:val="32"/>
          <w:szCs w:val="32"/>
          <w:highlight w:val="none"/>
          <w:lang w:val="en-US" w:eastAsia="zh-CN" w:bidi="ar-SA"/>
        </w:rPr>
        <w:t xml:space="preserve"> 我单位根据文件要求,立即组织了相关人员对2023年度专项资金实施绩效评价工作，通过实地抽查与核实，查阅资料，收集评价相关资料，逐一对照考评内容和指标，整理、统计，如实填报考评表格，进行了综合分析评价，完成了自评工作。</w:t>
      </w:r>
    </w:p>
    <w:p>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24" w:name="_Toc2597"/>
      <w:bookmarkStart w:id="25" w:name="_Toc6772"/>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存在的问题</w:t>
      </w:r>
      <w:bookmarkEnd w:id="24"/>
      <w:bookmarkEnd w:id="25"/>
    </w:p>
    <w:p>
      <w:pPr>
        <w:pStyle w:val="4"/>
        <w:numPr>
          <w:ilvl w:val="0"/>
          <w:numId w:val="4"/>
        </w:numPr>
        <w:ind w:left="800" w:leftChars="0" w:firstLine="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财会人员对会计基础业务不够熟练；</w:t>
      </w:r>
    </w:p>
    <w:p>
      <w:pPr>
        <w:pStyle w:val="4"/>
        <w:numPr>
          <w:ilvl w:val="0"/>
          <w:numId w:val="4"/>
        </w:numPr>
        <w:ind w:left="800" w:leftChars="0" w:firstLine="0" w:firstLineChars="0"/>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各相关部门之间的沟通协作不够，导致信息更新不及时。</w:t>
      </w:r>
    </w:p>
    <w:p>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26" w:name="_Toc29278"/>
      <w:bookmarkStart w:id="27" w:name="_Toc16271"/>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有关建议</w:t>
      </w:r>
      <w:bookmarkEnd w:id="26"/>
      <w:bookmarkEnd w:id="27"/>
    </w:p>
    <w:p>
      <w:pPr>
        <w:pStyle w:val="4"/>
        <w:numPr>
          <w:ilvl w:val="0"/>
          <w:numId w:val="0"/>
        </w:numPr>
        <w:ind w:left="800" w:left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1.加强会计基础工作。确定财会人员专门核算，加大对财会人员的专业技术培训。</w:t>
      </w:r>
    </w:p>
    <w:p>
      <w:pPr>
        <w:pStyle w:val="4"/>
        <w:numPr>
          <w:ilvl w:val="0"/>
          <w:numId w:val="0"/>
        </w:numPr>
        <w:ind w:left="800" w:left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2.进一步加强部门间沟通协调。特别是加强实施部门同财政部门之间的工作衔接。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165C42"/>
    <w:multiLevelType w:val="singleLevel"/>
    <w:tmpl w:val="F3165C42"/>
    <w:lvl w:ilvl="0" w:tentative="0">
      <w:start w:val="2"/>
      <w:numFmt w:val="chineseCounting"/>
      <w:suff w:val="nothing"/>
      <w:lvlText w:val="（%1）"/>
      <w:lvlJc w:val="left"/>
      <w:rPr>
        <w:rFonts w:hint="eastAsia"/>
      </w:rPr>
    </w:lvl>
  </w:abstractNum>
  <w:abstractNum w:abstractNumId="1">
    <w:nsid w:val="3B544434"/>
    <w:multiLevelType w:val="singleLevel"/>
    <w:tmpl w:val="3B544434"/>
    <w:lvl w:ilvl="0" w:tentative="0">
      <w:start w:val="2"/>
      <w:numFmt w:val="chineseCounting"/>
      <w:suff w:val="nothing"/>
      <w:lvlText w:val="（%1）"/>
      <w:lvlJc w:val="left"/>
      <w:rPr>
        <w:rFonts w:hint="eastAsia"/>
      </w:rPr>
    </w:lvl>
  </w:abstractNum>
  <w:abstractNum w:abstractNumId="2">
    <w:nsid w:val="468BB0D1"/>
    <w:multiLevelType w:val="singleLevel"/>
    <w:tmpl w:val="468BB0D1"/>
    <w:lvl w:ilvl="0" w:tentative="0">
      <w:start w:val="2"/>
      <w:numFmt w:val="chineseCounting"/>
      <w:suff w:val="nothing"/>
      <w:lvlText w:val="（%1）"/>
      <w:lvlJc w:val="left"/>
      <w:rPr>
        <w:rFonts w:hint="eastAsia"/>
      </w:rPr>
    </w:lvl>
  </w:abstractNum>
  <w:abstractNum w:abstractNumId="3">
    <w:nsid w:val="5BA1ACAF"/>
    <w:multiLevelType w:val="singleLevel"/>
    <w:tmpl w:val="5BA1ACAF"/>
    <w:lvl w:ilvl="0" w:tentative="0">
      <w:start w:val="1"/>
      <w:numFmt w:val="decimal"/>
      <w:lvlText w:val="%1."/>
      <w:lvlJc w:val="left"/>
      <w:pPr>
        <w:tabs>
          <w:tab w:val="left" w:pos="312"/>
        </w:tabs>
        <w:ind w:left="800" w:firstLine="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DI4NWIwZjlmMjFkOGE3NGIxYmVkYTI2MTY3ZDEifQ=="/>
    <w:docVar w:name="KSO_WPS_MARK_KEY" w:val="36bea041-2735-4b05-accd-13d5606384c2"/>
  </w:docVars>
  <w:rsids>
    <w:rsidRoot w:val="66857966"/>
    <w:rsid w:val="056D25F5"/>
    <w:rsid w:val="0CD619C5"/>
    <w:rsid w:val="150177FB"/>
    <w:rsid w:val="37AD1572"/>
    <w:rsid w:val="385E6B8E"/>
    <w:rsid w:val="3D4C2B62"/>
    <w:rsid w:val="41630D72"/>
    <w:rsid w:val="47F646ED"/>
    <w:rsid w:val="5144296E"/>
    <w:rsid w:val="52741030"/>
    <w:rsid w:val="52ED2B91"/>
    <w:rsid w:val="56F2401A"/>
    <w:rsid w:val="5A621A8C"/>
    <w:rsid w:val="66857966"/>
    <w:rsid w:val="71A30B93"/>
    <w:rsid w:val="77AB6579"/>
    <w:rsid w:val="7ED22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beforeLines="0" w:afterLines="0"/>
      <w:ind w:firstLine="640" w:firstLineChars="200"/>
    </w:pPr>
    <w:rPr>
      <w:rFonts w:hint="default"/>
      <w:sz w:val="32"/>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4">
    <w:name w:val="Body Text First Indent 2"/>
    <w:basedOn w:val="2"/>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2513</Words>
  <Characters>2623</Characters>
  <Lines>0</Lines>
  <Paragraphs>0</Paragraphs>
  <TotalTime>31</TotalTime>
  <ScaleCrop>false</ScaleCrop>
  <LinksUpToDate>false</LinksUpToDate>
  <CharactersWithSpaces>2694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2024-08-30T04:27:00Z</dcterms:created>
  <dc:creator>杨姣</dc:creator>
  <cp:lastModifiedBy>Administrator</cp:lastModifiedBy>
  <dcterms:modified xsi:type="dcterms:W3CDTF">2024-09-05T08:49:34Z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BDC715CF53B143BFBF05F021E133346D_13</vt:lpwstr>
  </property>
</Properties>
</file>