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8158A">
      <w:pPr>
        <w:autoSpaceDE w:val="0"/>
        <w:spacing w:line="480" w:lineRule="auto"/>
        <w:ind w:firstLine="883" w:firstLineChars="200"/>
        <w:jc w:val="left"/>
        <w:rPr>
          <w:rFonts w:hint="eastAsia" w:ascii="宋体" w:hAnsi="宋体" w:eastAsia="宋体" w:cs="宋体"/>
          <w:b/>
          <w:bCs/>
          <w:kern w:val="0"/>
          <w:sz w:val="44"/>
          <w:szCs w:val="44"/>
        </w:rPr>
      </w:pPr>
    </w:p>
    <w:p w14:paraId="11E9C5E4">
      <w:pPr>
        <w:autoSpaceDE w:val="0"/>
        <w:spacing w:line="480" w:lineRule="auto"/>
        <w:ind w:firstLine="883" w:firstLineChars="200"/>
        <w:jc w:val="center"/>
        <w:rPr>
          <w:rFonts w:hint="eastAsia" w:ascii="宋体" w:hAnsi="宋体" w:eastAsia="宋体" w:cs="宋体"/>
          <w:b/>
          <w:bCs/>
          <w:color w:val="000000"/>
          <w:kern w:val="0"/>
          <w:sz w:val="44"/>
          <w:szCs w:val="44"/>
        </w:rPr>
      </w:pPr>
      <w:r>
        <w:rPr>
          <w:rFonts w:hint="eastAsia" w:ascii="宋体" w:hAnsi="宋体" w:eastAsia="宋体" w:cs="宋体"/>
          <w:b/>
          <w:bCs/>
          <w:kern w:val="0"/>
          <w:sz w:val="44"/>
          <w:szCs w:val="44"/>
        </w:rPr>
        <w:t>2023</w:t>
      </w:r>
      <w:r>
        <w:rPr>
          <w:rFonts w:hint="eastAsia" w:ascii="宋体" w:hAnsi="宋体" w:eastAsia="宋体" w:cs="宋体"/>
          <w:b/>
          <w:bCs/>
          <w:color w:val="000000"/>
          <w:kern w:val="0"/>
          <w:sz w:val="44"/>
          <w:szCs w:val="44"/>
        </w:rPr>
        <w:t>年度</w:t>
      </w:r>
      <w:r>
        <w:rPr>
          <w:rFonts w:hint="eastAsia" w:ascii="宋体" w:hAnsi="宋体" w:cs="宋体"/>
          <w:b/>
          <w:bCs/>
          <w:color w:val="000000"/>
          <w:kern w:val="0"/>
          <w:sz w:val="44"/>
          <w:szCs w:val="44"/>
          <w:lang w:eastAsia="zh-CN"/>
        </w:rPr>
        <w:t>自然资源局</w:t>
      </w:r>
      <w:r>
        <w:rPr>
          <w:rFonts w:hint="eastAsia" w:ascii="宋体" w:hAnsi="宋体" w:eastAsia="宋体" w:cs="宋体"/>
          <w:b/>
          <w:bCs/>
          <w:color w:val="000000"/>
          <w:kern w:val="0"/>
          <w:sz w:val="44"/>
          <w:szCs w:val="44"/>
        </w:rPr>
        <w:t>整体支出绩效评价报告</w:t>
      </w:r>
    </w:p>
    <w:p w14:paraId="252FF113">
      <w:pPr>
        <w:widowControl/>
        <w:shd w:val="clear" w:color="auto" w:fill="FFFFFF"/>
        <w:spacing w:line="600" w:lineRule="exact"/>
        <w:ind w:firstLine="703"/>
        <w:jc w:val="left"/>
        <w:rPr>
          <w:rFonts w:hint="eastAsia" w:ascii="宋体" w:hAnsi="宋体"/>
          <w:color w:val="333333"/>
          <w:kern w:val="0"/>
          <w:sz w:val="32"/>
          <w:szCs w:val="32"/>
          <w:shd w:val="clear" w:color="auto" w:fill="FFFFFF"/>
        </w:rPr>
      </w:pPr>
    </w:p>
    <w:p w14:paraId="7AF5FD70">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一、部门、单位基本情况</w:t>
      </w:r>
    </w:p>
    <w:p w14:paraId="2B05A4CD">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（一）机构设置情况</w:t>
      </w:r>
      <w:bookmarkStart w:id="0" w:name="_GoBack"/>
      <w:bookmarkEnd w:id="0"/>
    </w:p>
    <w:p w14:paraId="180841FA">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我局设下列内设机构：</w:t>
      </w:r>
    </w:p>
    <w:p w14:paraId="2D860D5D">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1.办公室；2.综合股；3.法规股；4.自然资源调查监测确权登记股；5.地产股；6.国土空间规划股；7.国土空间用途管制股；8.耕地保护监督股；9.地质勘查修复股；10.矿产资源保护监督股；11.国土空间测绘股；12.工程规划管理股；13.财务股；14.人事股；15.行政审批服务股；16.督查股。</w:t>
      </w:r>
    </w:p>
    <w:p w14:paraId="78935A8B">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（二）人员编制情况</w:t>
      </w:r>
    </w:p>
    <w:p w14:paraId="70A6CA71">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我局人员情况：人员情况（以2023年12月份人数）：全局有编制 211个（其中全额 124个，差额编制0个，自收自支 77个），实有在编 171个（其中全额 122个，自收自支37个）。另有划转我局管理的会同县规划勘测院12人。离休  0人，退休 79 人。本部门车辆4台，其中机关一般公务用车2台。</w:t>
      </w:r>
    </w:p>
    <w:p w14:paraId="674957F8">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（三）主要职能职责</w:t>
      </w:r>
    </w:p>
    <w:p w14:paraId="26513BC1">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主要职责：承担保护和合理利用土地、矿产资源等自然资源的责任；规范国土资源管理秩序的责任；负责规范国土资源权属管理；承担全县耕地保护的责任；承担及时准确提供全县土地利用各种数据的责任；承担节约集约利用土地资源的责任；承担规范土地、矿业权和测绘市场秩序的责任；依法实施地质勘查行业和矿产资源储量管理；承担地质环境保护的责任等职责。</w:t>
      </w:r>
    </w:p>
    <w:p w14:paraId="2CF36278">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主要工作任务及目标是：管理好辖区内土地、矿产、测绘行业和地质环境，认真做好地质灾害防治工作，确保国家财产及人民群众生命财产安全。切实保护耕地、维护耕地总量动态平衡，做好执法监察工作，确保土地、矿业权市场规范有序，顺利通过国家2023年度卫片检查，实现零问责、零约谈目标。积极争取用地指标，促进县域经济建设。完成县政府和上级国土资源部门交办的其他工作。</w:t>
      </w:r>
    </w:p>
    <w:p w14:paraId="1C0C337A">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（四）绩效目标设定情况</w:t>
      </w:r>
    </w:p>
    <w:p w14:paraId="05840D2A">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我单位根据年初工作计划和重点性工作，对部门预算绩效管理工作开展情况进行了目标设定，绩效目标覆盖了整个重点支出。全年基本支出保证部门的正常运行和日常工作的正常开展，项目支出保障重点工作的实施，积极履职，强化管理，较好的完成年度工作目标，促进单位各项事务工作顺利开展。</w:t>
      </w:r>
    </w:p>
    <w:p w14:paraId="1F0A0562">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二、部门整体支出管理及使用情况</w:t>
      </w:r>
    </w:p>
    <w:p w14:paraId="3F910FB6">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（一）预算执行、使用、管理总体情况。</w:t>
      </w:r>
    </w:p>
    <w:p w14:paraId="45363135">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收入方面：在实际执行中，全年收入为9279.94万元，其中一般公共预算财政拨款收入4073.20万元，政府性基金预算财政拨款收入5050.06万元，其他收入15.67万元。</w:t>
      </w:r>
    </w:p>
    <w:p w14:paraId="3031C466">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支出方面：全年实际支出为9279.94万元，财政均按实际支出进度予以拨付。</w:t>
      </w:r>
    </w:p>
    <w:p w14:paraId="3B0DCDC0">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（二）部门预算执行情况</w:t>
      </w:r>
    </w:p>
    <w:p w14:paraId="0EFF9AA6">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1.基本支出情况</w:t>
      </w:r>
    </w:p>
    <w:p w14:paraId="376BA01A">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2023年度基本支出全年预算数为4814.79万元，是指为保障单位机构正常运行、完成日常工作任务而发生的各项支出，包括用于基本工资、津贴补贴等人员经费以及办公费、印刷费、水电费、差旅费等日常公用经费。</w:t>
      </w:r>
    </w:p>
    <w:p w14:paraId="4D1994B9">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2.项目支出情况</w:t>
      </w:r>
    </w:p>
    <w:p w14:paraId="2D69F222">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2023年度项目支出全年预算数为4465.15万元，是指单位为完成特定行政工作任务而发生的支出。本单位项目资金严格执行本单位制定的内控制度和费用支出管理的相关办法，按要求完成各项业务工作指标。</w:t>
      </w:r>
    </w:p>
    <w:p w14:paraId="690D687E">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（三）"三公"经费使用和管理情况</w:t>
      </w:r>
    </w:p>
    <w:p w14:paraId="79C17674">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没有因公出国（境）人员，公务接待费支出为 2.53万元，占年初预算数的 25.05 %，公务用车购置费及运行维护费支支出数为 13.89 万元，占年初预算数的 55.12 %，有效的控制了“三公经费”的支出。</w:t>
      </w:r>
    </w:p>
    <w:p w14:paraId="04E14C87">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三、政府性基金预算支出情况</w:t>
      </w:r>
    </w:p>
    <w:p w14:paraId="70B81731">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2023年度政府性基金预算支出5050.06万元，其中基本支出2065.84万元，项目支出2984.22万元。主要项目为：农村基础设施建设支出、土地开发支出 、征地和拆迁补偿支出。</w:t>
      </w:r>
    </w:p>
    <w:p w14:paraId="1D61F2E7">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四、国有资本经营预算支出情况</w:t>
      </w:r>
    </w:p>
    <w:p w14:paraId="6CFCDE70">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无</w:t>
      </w:r>
    </w:p>
    <w:p w14:paraId="45AB1B85">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五、社会保险基金预算支出情况</w:t>
      </w:r>
    </w:p>
    <w:p w14:paraId="674D62DB">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无</w:t>
      </w:r>
    </w:p>
    <w:p w14:paraId="28291236">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六、部门整体支出绩效情况</w:t>
      </w:r>
    </w:p>
    <w:p w14:paraId="58F06A2E">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（一）综合评价结论。</w:t>
      </w:r>
    </w:p>
    <w:p w14:paraId="52946104">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我单位根据文件要求,立即组织了相关人员对2023年度整体支出资金实施绩效评价工作，逐一对照考评内容和指标，整理、统计，如实填报考评表格，进行了综合分析评价，完成了自评工作。根据《项目支出绩效评价共性指标体系》评分，会同县自然资源局2023年整体支出绩效自评得分97分。</w:t>
      </w:r>
    </w:p>
    <w:p w14:paraId="5AC7C2F1">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（二）评价指标分析（或综合评价情况）。</w:t>
      </w:r>
    </w:p>
    <w:p w14:paraId="058316BC">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1、社会效益  基本支出经费安排有效地保障了我单位的正常行政运行，确保了日常工作任务以及承担自然资源局事业发展相关工作的顺利完成；项目经费安排解决了我县土地储备及供应、审批宅基地、地灾防治、发放不动产证书、土地开发及增减挂钩、土地执法监察等工作，取得良好的社会效益，较好地促进了县域经济发展。</w:t>
      </w:r>
    </w:p>
    <w:p w14:paraId="3272B6B1">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2、生态效益  加强了地灾防治、矿山整治及耕地保护，保护生态环境。</w:t>
      </w:r>
    </w:p>
    <w:p w14:paraId="15E2719A">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 xml:space="preserve">3、经济效益  通过实施灾毁耕地复垦项目、土地综合整治项目、地质环境治理项目，强化“三边”整治和土地矿产卫片执法检查工作加强了耕地保护、促进有序开采矿产资源取得良好的社会效益；地质灾害综合防治项目的实施，加强群防群测，加强预警预报，减小了地灾带来的损失，维护了广大人民群众的生命财产安全；积极争取用地指标，及时办理用地审批和供地手续，保障县域内重点项目的顺利建设。积极完成土地出让计划，协助完成财税任务。     </w:t>
      </w:r>
      <w:r>
        <w:rPr>
          <w:rFonts w:hint="eastAsia" w:ascii="仿宋" w:hAnsi="仿宋" w:eastAsia="仿宋" w:cs="仿宋"/>
          <w:color w:val="333333"/>
          <w:kern w:val="0"/>
          <w:sz w:val="32"/>
          <w:szCs w:val="32"/>
          <w:shd w:val="clear" w:color="auto" w:fill="FFFFFF"/>
        </w:rPr>
        <w:tab/>
      </w:r>
    </w:p>
    <w:p w14:paraId="304665EA">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七、存在的问题及原因分析</w:t>
      </w:r>
    </w:p>
    <w:p w14:paraId="40858D5B">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对绩效评价工作的认识和重视程度还有待加强</w:t>
      </w:r>
    </w:p>
    <w:p w14:paraId="03689E7D">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八、下一步改进措施</w:t>
      </w:r>
    </w:p>
    <w:p w14:paraId="299E8330">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加强绩效评价业务培训，提高思想认识</w:t>
      </w:r>
    </w:p>
    <w:p w14:paraId="45C7332B">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九、其他需要说明的情况</w:t>
      </w:r>
    </w:p>
    <w:p w14:paraId="71D500AF">
      <w:pPr>
        <w:widowControl/>
        <w:shd w:val="clear" w:color="auto" w:fill="FFFFFF"/>
        <w:spacing w:line="600" w:lineRule="exact"/>
        <w:ind w:firstLine="703"/>
        <w:jc w:val="left"/>
        <w:rPr>
          <w:rFonts w:hint="eastAsia"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无</w:t>
      </w:r>
    </w:p>
    <w:p w14:paraId="2F83E9A6">
      <w:pPr>
        <w:spacing w:line="600" w:lineRule="exact"/>
        <w:rPr>
          <w:rFonts w:hint="eastAsia" w:ascii="仿宋" w:hAnsi="仿宋" w:eastAsia="仿宋" w:cs="仿宋"/>
        </w:rPr>
      </w:pPr>
      <w:r>
        <w:rPr>
          <w:rFonts w:hint="eastAsia" w:ascii="仿宋" w:hAnsi="仿宋" w:eastAsia="仿宋" w:cs="仿宋"/>
        </w:rPr>
        <w:t xml:space="preserve"> </w:t>
      </w:r>
    </w:p>
    <w:p w14:paraId="70B3A87E">
      <w:pPr>
        <w:rPr>
          <w:rFonts w:hint="eastAsia" w:ascii="仿宋" w:hAnsi="仿宋" w:eastAsia="仿宋" w:cs="仿宋"/>
        </w:rPr>
      </w:pPr>
      <w:r>
        <w:rPr>
          <w:rFonts w:hint="eastAsia" w:ascii="仿宋" w:hAnsi="仿宋" w:eastAsia="仿宋" w:cs="仿宋"/>
        </w:rPr>
        <w:t xml:space="preserve"> </w:t>
      </w:r>
    </w:p>
    <w:p w14:paraId="45152005">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wNjJmZmI4ODE1MjE0YjVhZmQwZTU1NjM2NWYzNGEifQ=="/>
  </w:docVars>
  <w:rsids>
    <w:rsidRoot w:val="00F922CB"/>
    <w:rsid w:val="005F23B5"/>
    <w:rsid w:val="00F922CB"/>
    <w:rsid w:val="72C31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1945</Words>
  <Characters>2081</Characters>
  <Lines>15</Lines>
  <Paragraphs>4</Paragraphs>
  <TotalTime>2</TotalTime>
  <ScaleCrop>false</ScaleCrop>
  <LinksUpToDate>false</LinksUpToDate>
  <CharactersWithSpaces>2112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2024-10-18T02:05:00Z</dcterms:created>
  <dc:creator>xb21cn</dc:creator>
  <cp:lastModifiedBy>Administrator</cp:lastModifiedBy>
  <dcterms:modified xsi:type="dcterms:W3CDTF">2024-10-18T06:29:57Z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4DB3F80FB7B1424D80F7143A948B540D_12</vt:lpwstr>
  </property>
</Properties>
</file>