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B47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lang w:eastAsia="zh-CN"/>
        </w:rPr>
        <w:t>会同县政协十届二次全会</w:t>
      </w: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w:t>
      </w:r>
    </w:p>
    <w:p w14:paraId="3A5A51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绩效自评报告</w:t>
      </w:r>
    </w:p>
    <w:p w14:paraId="16F44E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rPr>
      </w:pPr>
    </w:p>
    <w:p w14:paraId="6C1D303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3276DD2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070DB2BE">
      <w:pPr>
        <w:ind w:firstLine="640" w:firstLineChars="200"/>
        <w:jc w:val="both"/>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项目决策背景：政协委员学习培训</w:t>
      </w:r>
      <w:r>
        <w:rPr>
          <w:rFonts w:hint="eastAsia" w:ascii="楷体_GB2312" w:hAnsi="楷体_GB2312" w:eastAsia="楷体_GB2312" w:cs="楷体_GB2312"/>
          <w:b w:val="0"/>
          <w:bCs w:val="0"/>
          <w:sz w:val="32"/>
          <w:szCs w:val="32"/>
          <w:lang w:val="en-US" w:eastAsia="zh-CN"/>
        </w:rPr>
        <w:t>项目纳入2023年度部门预算范围，经人大会议通过，县财政下达批复文件，包括该项目资金申报、批复符合资金管理办法等相关规定。</w:t>
      </w:r>
    </w:p>
    <w:p w14:paraId="1E3E05A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主要内容：该项目为召开十届二次政协全会提供经费保障，通过政协全会，选举副主席，决定常务委员会组成人员的增加或变更；听取和审议常务委员会工作报告、提案工作报告和其他报告；协商讨论全县大政方针以及政治、经济、文化和社会生活中的重大问题，提出建议和意见；讨论本会重大工作方针、任务并作出决议。</w:t>
      </w:r>
    </w:p>
    <w:p w14:paraId="1B30DA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b w:val="0"/>
          <w:bCs w:val="0"/>
          <w:i w:val="0"/>
          <w:iCs w:val="0"/>
          <w:caps w:val="0"/>
          <w:color w:val="000000"/>
          <w:spacing w:val="-23"/>
          <w:sz w:val="32"/>
          <w:szCs w:val="32"/>
          <w:shd w:val="clear" w:color="auto" w:fill="FFFFFF"/>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3.项目组织管理机构：政协会同县委员会办公室</w:t>
      </w:r>
    </w:p>
    <w:p w14:paraId="762115E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3C3FAD2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预算资金安排及管理情况</w:t>
      </w:r>
      <w:bookmarkEnd w:id="0"/>
    </w:p>
    <w:p w14:paraId="1A23FD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（1）</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资金来源及拨付流程：</w:t>
      </w:r>
      <w:r>
        <w:rPr>
          <w:rFonts w:hint="eastAsia" w:ascii="楷体_GB2312" w:hAnsi="楷体_GB2312" w:eastAsia="楷体_GB2312" w:cs="楷体_GB2312"/>
          <w:sz w:val="32"/>
          <w:szCs w:val="32"/>
          <w:lang w:val="en-US" w:eastAsia="zh-CN"/>
        </w:rPr>
        <w:t>资金主要来源为年中追加财政一般公共预算拨款。项目实施单位根据年中预算批复按工作任务完成情况向财政履行请款手续，单位按财政规定的资金用途使用项目资金。</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 xml:space="preserve"> </w:t>
      </w:r>
    </w:p>
    <w:p w14:paraId="7A357E2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（2）</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资金到位情况：</w:t>
      </w:r>
      <w:r>
        <w:rPr>
          <w:rFonts w:hint="eastAsia" w:ascii="楷体_GB2312" w:hAnsi="楷体_GB2312" w:eastAsia="楷体_GB2312" w:cs="楷体_GB2312"/>
          <w:sz w:val="32"/>
          <w:szCs w:val="32"/>
          <w:lang w:val="en-US" w:eastAsia="zh-CN"/>
        </w:rPr>
        <w:t>2023年财政年中预算安排经费24万元，截2023年实际到位24万元，资金到位率100%，到位及时性高。</w:t>
      </w:r>
    </w:p>
    <w:p w14:paraId="50769F2E">
      <w:pPr>
        <w:jc w:val="left"/>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　　（3）</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资金使用情况：</w:t>
      </w:r>
      <w:r>
        <w:rPr>
          <w:rFonts w:hint="eastAsia" w:ascii="楷体_GB2312" w:hAnsi="楷体_GB2312" w:eastAsia="楷体_GB2312" w:cs="楷体_GB2312"/>
          <w:sz w:val="32"/>
          <w:szCs w:val="32"/>
          <w:lang w:val="en-US" w:eastAsia="zh-CN"/>
        </w:rPr>
        <w:t>截止评价时点，此项目资金实际支出24万元，资金开支范围、标准及支付进度等均与项目批复一致，支付依据合规合法，资金支付与预算相符。2023年政协十届二次全会经费</w:t>
      </w:r>
      <w:r>
        <w:rPr>
          <w:rFonts w:hint="eastAsia" w:ascii="楷体_GB2312" w:hAnsi="楷体_GB2312" w:eastAsia="楷体_GB2312" w:cs="楷体_GB2312"/>
          <w:sz w:val="30"/>
          <w:szCs w:val="30"/>
          <w:lang w:eastAsia="zh-CN"/>
        </w:rPr>
        <w:t>成本</w:t>
      </w:r>
      <w:r>
        <w:rPr>
          <w:rFonts w:hint="eastAsia" w:ascii="楷体_GB2312" w:hAnsi="楷体_GB2312" w:eastAsia="楷体_GB2312" w:cs="楷体_GB2312"/>
          <w:sz w:val="32"/>
          <w:szCs w:val="32"/>
          <w:lang w:val="en-US" w:eastAsia="zh-CN"/>
        </w:rPr>
        <w:t>主要用于</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政协</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委员参加十届二次全会的会议经费开支，收支</w:t>
      </w:r>
      <w:r>
        <w:rPr>
          <w:rFonts w:hint="eastAsia" w:ascii="楷体_GB2312" w:hAnsi="楷体_GB2312" w:eastAsia="楷体_GB2312" w:cs="楷体_GB2312"/>
          <w:sz w:val="32"/>
          <w:szCs w:val="32"/>
          <w:lang w:val="en-US" w:eastAsia="zh-CN"/>
        </w:rPr>
        <w:t>平衡。</w:t>
      </w:r>
    </w:p>
    <w:p w14:paraId="397CFA2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555555"/>
          <w:spacing w:val="0"/>
          <w:sz w:val="32"/>
          <w:szCs w:val="32"/>
          <w:shd w:val="clear" w:color="auto" w:fill="FFFFFF"/>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（4）资金管理制度及执行情况：</w:t>
      </w:r>
      <w:r>
        <w:rPr>
          <w:rFonts w:hint="eastAsia" w:ascii="楷体_GB2312" w:hAnsi="楷体_GB2312" w:eastAsia="楷体_GB2312" w:cs="楷体_GB2312"/>
          <w:sz w:val="32"/>
          <w:szCs w:val="32"/>
          <w:lang w:val="en-US" w:eastAsia="zh-CN"/>
        </w:rPr>
        <w:t>政协</w:t>
      </w:r>
      <w:r>
        <w:rPr>
          <w:rFonts w:hint="eastAsia" w:ascii="楷体_GB2312" w:hAnsi="楷体_GB2312" w:eastAsia="楷体_GB2312" w:cs="楷体_GB2312"/>
          <w:i w:val="0"/>
          <w:iCs w:val="0"/>
          <w:caps w:val="0"/>
          <w:color w:val="555555"/>
          <w:spacing w:val="0"/>
          <w:sz w:val="32"/>
          <w:szCs w:val="32"/>
          <w:shd w:val="clear" w:color="auto" w:fill="FFFFFF"/>
        </w:rPr>
        <w:t>制定了</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等</w:t>
      </w:r>
      <w:r>
        <w:rPr>
          <w:rFonts w:hint="eastAsia" w:ascii="楷体_GB2312" w:hAnsi="楷体_GB2312" w:eastAsia="楷体_GB2312" w:cs="楷体_GB2312"/>
          <w:i w:val="0"/>
          <w:iCs w:val="0"/>
          <w:caps w:val="0"/>
          <w:color w:val="555555"/>
          <w:spacing w:val="0"/>
          <w:sz w:val="32"/>
          <w:szCs w:val="32"/>
          <w:shd w:val="clear" w:color="auto" w:fill="FFFFFF"/>
        </w:rPr>
        <w:t>一系列规章制度，建立了“有章可依、有章必循、违章必究”的管理机制，成立了工作领导小组。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、财务管理人员</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领导</w:t>
      </w:r>
      <w:r>
        <w:rPr>
          <w:rFonts w:hint="eastAsia" w:ascii="楷体_GB2312" w:hAnsi="楷体_GB2312" w:eastAsia="楷体_GB2312" w:cs="楷体_GB2312"/>
          <w:i w:val="0"/>
          <w:iCs w:val="0"/>
          <w:caps w:val="0"/>
          <w:color w:val="555555"/>
          <w:spacing w:val="0"/>
          <w:sz w:val="32"/>
          <w:szCs w:val="32"/>
          <w:shd w:val="clear" w:color="auto" w:fill="FFFFFF"/>
          <w:lang w:eastAsia="zh-CN"/>
        </w:rPr>
        <w:t>的</w:t>
      </w:r>
      <w:r>
        <w:rPr>
          <w:rFonts w:hint="eastAsia" w:ascii="楷体_GB2312" w:hAnsi="楷体_GB2312" w:eastAsia="楷体_GB2312" w:cs="楷体_GB2312"/>
          <w:i w:val="0"/>
          <w:iCs w:val="0"/>
          <w:caps w:val="0"/>
          <w:color w:val="555555"/>
          <w:spacing w:val="0"/>
          <w:sz w:val="32"/>
          <w:szCs w:val="32"/>
          <w:shd w:val="clear" w:color="auto" w:fill="FFFFFF"/>
        </w:rPr>
        <w:t>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使用和依规</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p>
    <w:p w14:paraId="4ED328A4">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（5）项目组织实施管理情况：</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加强预算管理，规范财务行为而制定的管理制度健全完整，制定内部控制制度并成立内控领导小组，制定了《专项资金管理办法》，按照《会计法》，资金专款专用，由业务股室制订项目资金使用计划，分管领导审核，交局党组会议研无截留、挤占、挪用、虚列开支，支出时依据合理合规，无虚列套取。</w:t>
      </w:r>
    </w:p>
    <w:p w14:paraId="7D66A73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08437172">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1.绩效目标：</w:t>
      </w:r>
      <w:r>
        <w:rPr>
          <w:rFonts w:hint="eastAsia" w:ascii="楷体_GB2312" w:hAnsi="楷体_GB2312" w:eastAsia="楷体_GB2312" w:cs="楷体_GB2312"/>
          <w:b w:val="0"/>
          <w:bCs w:val="0"/>
          <w:sz w:val="32"/>
          <w:szCs w:val="32"/>
          <w:lang w:val="en-US" w:eastAsia="zh-CN"/>
        </w:rPr>
        <w:t>通过项目过程实时控制，全年较好的完成了各项绩效目标</w:t>
      </w:r>
      <w:r>
        <w:rPr>
          <w:rFonts w:hint="eastAsia" w:ascii="楷体_GB2312" w:hAnsi="楷体_GB2312" w:eastAsia="楷体_GB2312" w:cs="楷体_GB2312"/>
          <w:i w:val="0"/>
          <w:iCs w:val="0"/>
          <w:caps w:val="0"/>
          <w:color w:val="000000"/>
          <w:spacing w:val="0"/>
          <w:sz w:val="32"/>
          <w:szCs w:val="32"/>
          <w:shd w:val="clear" w:color="auto" w:fill="FFFFFF"/>
          <w:lang w:val="en-US" w:eastAsia="zh-CN"/>
        </w:rPr>
        <w:t>。</w:t>
      </w:r>
    </w:p>
    <w:p w14:paraId="11A5C147">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2.绩效指标：4</w:t>
      </w:r>
      <w:r>
        <w:rPr>
          <w:rFonts w:hint="eastAsia" w:ascii="楷体_GB2312" w:hAnsi="楷体_GB2312" w:eastAsia="楷体_GB2312" w:cs="楷体_GB2312"/>
          <w:b w:val="0"/>
          <w:bCs w:val="0"/>
          <w:sz w:val="32"/>
          <w:szCs w:val="32"/>
          <w:lang w:val="en-US" w:eastAsia="zh-CN"/>
        </w:rPr>
        <w:t>个一级指标、10个二级指标，12个三级指标按时间截点较好的完成。</w:t>
      </w:r>
    </w:p>
    <w:p w14:paraId="0C9FFAD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p>
    <w:p w14:paraId="1E59B0AC">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二、绩效评价工作情况</w:t>
      </w:r>
    </w:p>
    <w:p w14:paraId="102AEE5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r>
        <w:rPr>
          <w:rFonts w:hint="eastAsia" w:ascii="楷体_GB2312" w:hAnsi="楷体_GB2312" w:eastAsia="楷体_GB2312" w:cs="楷体_GB2312"/>
          <w:b w:val="0"/>
          <w:bCs w:val="0"/>
          <w:sz w:val="32"/>
          <w:szCs w:val="32"/>
          <w:lang w:val="en-US" w:eastAsia="zh-CN"/>
        </w:rPr>
        <w:t>有效地发挥资金效益，按规定依法依规使用资金。</w:t>
      </w:r>
    </w:p>
    <w:p w14:paraId="7E6A3260">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bookmarkStart w:id="2" w:name="_Toc3183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会同县政协十届二次全会会议经费。</w:t>
      </w:r>
    </w:p>
    <w:p w14:paraId="76284CD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评价原则采用相关性原则、重要性原则、可比性原则、系统性原则等</w:t>
      </w:r>
    </w:p>
    <w:p w14:paraId="1FBE7C82">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评价指标体系根据评价对象设置共性指标（决策管理、投入、项目实施及社会效益、经济效益等）和个性指标（经济效益指标、社会效益指标、生态效益指标及可持续影响指标），定量指标和定性指标。</w:t>
      </w:r>
    </w:p>
    <w:p w14:paraId="1F41D535">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绩效评价方法主要采用计划标准、行业标准和历史标准。</w:t>
      </w:r>
    </w:p>
    <w:p w14:paraId="7AF48EA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51730697">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3" w:name="_Toc7615"/>
      <w:bookmarkStart w:id="4" w:name="_Toc32076"/>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三、主要绩效及评价结论</w:t>
      </w:r>
      <w:bookmarkEnd w:id="3"/>
      <w:bookmarkEnd w:id="4"/>
    </w:p>
    <w:p w14:paraId="022B0433">
      <w:pPr>
        <w:keepNext w:val="0"/>
        <w:keepLines w:val="0"/>
        <w:pageBreakBefore w:val="0"/>
        <w:widowControl w:val="0"/>
        <w:kinsoku/>
        <w:wordWrap/>
        <w:overflowPunct/>
        <w:topLinePunct w:val="0"/>
        <w:autoSpaceDE/>
        <w:autoSpaceDN/>
        <w:bidi w:val="0"/>
        <w:adjustRightInd/>
        <w:snapToGrid/>
        <w:spacing w:line="360" w:lineRule="auto"/>
        <w:ind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r>
        <w:rPr>
          <w:rFonts w:hint="eastAsia" w:ascii="楷体_GB2312" w:hAnsi="楷体_GB2312" w:eastAsia="楷体_GB2312" w:cs="楷体_GB2312"/>
          <w:b w:val="0"/>
          <w:bCs w:val="0"/>
          <w:sz w:val="32"/>
          <w:szCs w:val="32"/>
          <w:lang w:val="en-US" w:eastAsia="zh-CN"/>
        </w:rPr>
        <w:t>项目实施能在效促进社会发展</w:t>
      </w:r>
      <w:r>
        <w:rPr>
          <w:rFonts w:hint="eastAsia" w:ascii="楷体_GB2312" w:hAnsi="楷体_GB2312" w:eastAsia="楷体_GB2312" w:cs="楷体_GB2312"/>
          <w:b w:val="0"/>
          <w:bCs w:val="0"/>
          <w:color w:val="000000"/>
          <w:kern w:val="0"/>
          <w:sz w:val="32"/>
          <w:szCs w:val="32"/>
          <w:lang w:eastAsia="zh-CN"/>
        </w:rPr>
        <w:t>。</w:t>
      </w:r>
    </w:p>
    <w:p w14:paraId="482E15A6">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r>
        <w:rPr>
          <w:rFonts w:hint="eastAsia" w:ascii="楷体_GB2312" w:hAnsi="楷体_GB2312" w:eastAsia="楷体_GB2312" w:cs="楷体_GB2312"/>
          <w:b w:val="0"/>
          <w:bCs w:val="0"/>
          <w:sz w:val="32"/>
          <w:szCs w:val="32"/>
          <w:lang w:val="en-US" w:eastAsia="zh-CN"/>
        </w:rPr>
        <w:t>项目实施能促进生态发展</w:t>
      </w:r>
    </w:p>
    <w:p w14:paraId="5851E60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r>
        <w:rPr>
          <w:rFonts w:hint="eastAsia" w:ascii="楷体_GB2312" w:hAnsi="楷体_GB2312" w:eastAsia="楷体_GB2312" w:cs="楷体_GB2312"/>
          <w:b w:val="0"/>
          <w:bCs w:val="0"/>
          <w:sz w:val="32"/>
          <w:szCs w:val="32"/>
          <w:lang w:val="en-US" w:eastAsia="zh-CN"/>
        </w:rPr>
        <w:t>项目实施能保障联系和服务界别群众，从而对可持续发展带来有利影响</w:t>
      </w:r>
      <w:r>
        <w:rPr>
          <w:rFonts w:hint="eastAsia" w:ascii="楷体_GB2312" w:hAnsi="楷体_GB2312" w:eastAsia="楷体_GB2312" w:cs="楷体_GB2312"/>
          <w:b w:val="0"/>
          <w:bCs w:val="0"/>
          <w:color w:val="000000"/>
          <w:kern w:val="0"/>
          <w:sz w:val="32"/>
          <w:szCs w:val="32"/>
          <w:lang w:eastAsia="zh-CN"/>
        </w:rPr>
        <w:t>。</w:t>
      </w:r>
    </w:p>
    <w:p w14:paraId="690CB2A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满意度情况：社会公众及服务对象满意度</w:t>
      </w:r>
      <w:r>
        <w:rPr>
          <w:rFonts w:hint="eastAsia" w:ascii="楷体_GB2312" w:hAnsi="楷体_GB2312" w:eastAsia="楷体_GB2312" w:cs="楷体_GB2312"/>
          <w:b w:val="0"/>
          <w:bCs w:val="0"/>
          <w:color w:val="000000"/>
          <w:kern w:val="0"/>
          <w:sz w:val="32"/>
          <w:szCs w:val="32"/>
          <w:lang w:val="en-US" w:eastAsia="zh-CN"/>
        </w:rPr>
        <w:t>达95%以上。</w:t>
      </w:r>
    </w:p>
    <w:p w14:paraId="7B653411">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评价结论：评分等级：优　　</w:t>
      </w:r>
      <w:bookmarkStart w:id="28" w:name="_GoBack"/>
      <w:bookmarkEnd w:id="28"/>
      <w:r>
        <w:rPr>
          <w:rFonts w:hint="eastAsia" w:ascii="楷体_GB2312" w:hAnsi="楷体_GB2312" w:eastAsia="楷体_GB2312" w:cs="楷体_GB2312"/>
          <w:color w:val="auto"/>
          <w:kern w:val="0"/>
          <w:sz w:val="32"/>
          <w:szCs w:val="32"/>
          <w:shd w:val="clear" w:color="auto" w:fill="auto"/>
          <w:lang w:val="en-US" w:eastAsia="zh-CN" w:bidi="ar"/>
        </w:rPr>
        <w:t>评分结果：100分</w:t>
      </w:r>
    </w:p>
    <w:p w14:paraId="66674EB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5" w:name="_Toc27541"/>
      <w:bookmarkStart w:id="6" w:name="_Toc16332"/>
    </w:p>
    <w:p w14:paraId="3BAF8919">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四、绩效评价指标分析</w:t>
      </w:r>
      <w:bookmarkEnd w:id="5"/>
      <w:bookmarkEnd w:id="6"/>
    </w:p>
    <w:p w14:paraId="214D397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根据《中国人民政治协商会议章程》等有关规定，按照县委的统一安排部署，政协会同县第二届委员会常务委员会第六次会议协商，决定召开中国人民政治协商会议会同县第十届委员会第二次会议。经中共会同县委常委会会议同意，会议经费由县财政据实保障。</w:t>
      </w:r>
    </w:p>
    <w:p w14:paraId="798421A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28C1C5F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9" w:name="_Toc1014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1.资金管理</w:t>
      </w:r>
      <w:bookmarkEnd w:id="9"/>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：为保障项目的顺利实施，县政协在使用过程中严格按照本单位制定的管理制度执行，资金专款专用。</w:t>
      </w:r>
      <w:r>
        <w:rPr>
          <w:rFonts w:hint="eastAsia" w:ascii="楷体_GB2312" w:hAnsi="楷体_GB2312" w:eastAsia="楷体_GB2312" w:cs="楷体_GB2312"/>
          <w:sz w:val="32"/>
          <w:szCs w:val="32"/>
          <w:lang w:val="en-US" w:eastAsia="zh-CN"/>
        </w:rPr>
        <w:t>无截留、挤占、挪用、虚列开支，支出时依据合理合规，无虚列套取。</w:t>
      </w:r>
    </w:p>
    <w:p w14:paraId="272BB3D9">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0" w:name="_Toc12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2.项目实施</w:t>
      </w:r>
      <w:bookmarkEnd w:id="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sz w:val="32"/>
          <w:szCs w:val="32"/>
          <w:lang w:val="en-US" w:eastAsia="zh-CN"/>
        </w:rPr>
        <w:t>政协</w:t>
      </w:r>
      <w:r>
        <w:rPr>
          <w:rFonts w:hint="eastAsia" w:ascii="楷体_GB2312" w:hAnsi="楷体_GB2312" w:eastAsia="楷体_GB2312" w:cs="楷体_GB2312"/>
          <w:i w:val="0"/>
          <w:iCs w:val="0"/>
          <w:caps w:val="0"/>
          <w:color w:val="555555"/>
          <w:spacing w:val="0"/>
          <w:sz w:val="32"/>
          <w:szCs w:val="32"/>
          <w:shd w:val="clear" w:color="auto" w:fill="FFFFFF"/>
        </w:rPr>
        <w:t>制定了</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等</w:t>
      </w:r>
      <w:r>
        <w:rPr>
          <w:rFonts w:hint="eastAsia" w:ascii="楷体_GB2312" w:hAnsi="楷体_GB2312" w:eastAsia="楷体_GB2312" w:cs="楷体_GB2312"/>
          <w:i w:val="0"/>
          <w:iCs w:val="0"/>
          <w:caps w:val="0"/>
          <w:color w:val="555555"/>
          <w:spacing w:val="0"/>
          <w:sz w:val="32"/>
          <w:szCs w:val="32"/>
          <w:shd w:val="clear" w:color="auto" w:fill="FFFFFF"/>
        </w:rPr>
        <w:t>一系列规章制度，建立了“有章可依、有章必循、违章必究”的管理机制，成立了工作领导小组。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、财务管理人员</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领导</w:t>
      </w:r>
      <w:r>
        <w:rPr>
          <w:rFonts w:hint="eastAsia" w:ascii="楷体_GB2312" w:hAnsi="楷体_GB2312" w:eastAsia="楷体_GB2312" w:cs="楷体_GB2312"/>
          <w:i w:val="0"/>
          <w:iCs w:val="0"/>
          <w:caps w:val="0"/>
          <w:color w:val="555555"/>
          <w:spacing w:val="0"/>
          <w:sz w:val="32"/>
          <w:szCs w:val="32"/>
          <w:shd w:val="clear" w:color="auto" w:fill="FFFFFF"/>
          <w:lang w:eastAsia="zh-CN"/>
        </w:rPr>
        <w:t>的</w:t>
      </w:r>
      <w:r>
        <w:rPr>
          <w:rFonts w:hint="eastAsia" w:ascii="楷体_GB2312" w:hAnsi="楷体_GB2312" w:eastAsia="楷体_GB2312" w:cs="楷体_GB2312"/>
          <w:i w:val="0"/>
          <w:iCs w:val="0"/>
          <w:caps w:val="0"/>
          <w:color w:val="555555"/>
          <w:spacing w:val="0"/>
          <w:sz w:val="32"/>
          <w:szCs w:val="32"/>
          <w:shd w:val="clear" w:color="auto" w:fill="FFFFFF"/>
        </w:rPr>
        <w:t>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使用和依规</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  加强预算管理，规范财务行为而制定的管理制度健全完整，制定内部控制制度并成立内控领导小组，严控把关。资金无截留、挤占、挪用、虚列开支，支出时依据合理合规，无虚列套取。</w:t>
      </w:r>
    </w:p>
    <w:p w14:paraId="29F122B3">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42C48B1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2" w:name="_Toc2074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1.产出数量</w:t>
      </w:r>
      <w:bookmarkEnd w:id="1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bookmarkStart w:id="13" w:name="_Toc537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每年定期召开一次全县政协全会。</w:t>
      </w:r>
    </w:p>
    <w:p w14:paraId="233D93C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2.产出质量</w:t>
      </w:r>
      <w:bookmarkEnd w:id="13"/>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：经费使用准确性达至100%。</w:t>
      </w:r>
    </w:p>
    <w:p w14:paraId="678A31AA">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4" w:name="_Toc25948"/>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3.产出成本</w:t>
      </w:r>
      <w:bookmarkEnd w:id="14"/>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：县政协十届二次全会产出成本24万元</w:t>
      </w:r>
    </w:p>
    <w:p w14:paraId="03E7146C">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5" w:name="_Toc21477"/>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4.产出时效</w:t>
      </w:r>
      <w:bookmarkEnd w:id="15"/>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0"/>
          <w:szCs w:val="30"/>
          <w:lang w:val="en-US" w:eastAsia="zh-CN"/>
        </w:rPr>
        <w:t>工作任务2023年12月31日前完成</w:t>
      </w:r>
    </w:p>
    <w:p w14:paraId="7521347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充分发挥专项资金效益，通过政协十届二次全会的召开，政协委员把对政治、经济、文化、社会生活中的重要问题以及人民普遍关心的民生问题开展调查研究后的结果进行协商讨论，通过调研报告、提案、建议或其他形式，向党和政府提出意见和建议。有力推动县域发展。从而带来明显的经济效益、社会效益、生态效益和可持续发展效益。</w:t>
      </w:r>
    </w:p>
    <w:p w14:paraId="4E2D56BC">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3E96C6E6">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18" w:name="_Toc390096931"/>
      <w:bookmarkStart w:id="19" w:name="_Toc390267055"/>
      <w:bookmarkStart w:id="20" w:name="_Toc12414"/>
      <w:bookmarkStart w:id="21" w:name="_Toc24241"/>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及建议</w:t>
      </w:r>
      <w:bookmarkEnd w:id="20"/>
      <w:bookmarkEnd w:id="21"/>
    </w:p>
    <w:p w14:paraId="2D6008B8">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经费严格按照单位的财务制度和预算支出范围来使用。县财政局国库支付局按照项目计划安排和实际工作情况开支予以开支，专款专用。资金的使用符合国家财政法规和财务管理制度以及有关专项资金管理办法的规定，不存在截留、挤占、挪用、虚列支出等情况。</w:t>
      </w:r>
    </w:p>
    <w:p w14:paraId="275BB1F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：无</w:t>
      </w:r>
    </w:p>
    <w:p w14:paraId="4EBE0DAD">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bookmarkStart w:id="26" w:name="_Toc16271"/>
      <w:bookmarkStart w:id="27" w:name="_Toc29278"/>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：在编制预算和执行中，尽可能地用有限的经费平衡好当年的工作任务，尽可能做到科学、合理的分配。</w:t>
      </w:r>
    </w:p>
    <w:p w14:paraId="2F49F77C">
      <w:pPr>
        <w:rPr>
          <w:rFonts w:hint="eastAsia" w:ascii="楷体_GB2312" w:hAnsi="楷体_GB2312" w:eastAsia="楷体_GB2312" w:cs="楷体_GB2312"/>
        </w:rPr>
      </w:pPr>
    </w:p>
    <w:p w14:paraId="42B94942">
      <w:pPr>
        <w:rPr>
          <w:rFonts w:hint="eastAsia" w:ascii="楷体_GB2312" w:hAnsi="楷体_GB2312" w:eastAsia="楷体_GB2312" w:cs="楷体_GB2312"/>
        </w:rPr>
      </w:pPr>
    </w:p>
    <w:p w14:paraId="3E91CACC">
      <w:pPr>
        <w:bidi w:val="0"/>
        <w:rPr>
          <w:rFonts w:hint="eastAsia" w:ascii="Times New Roman" w:hAnsi="Times New Roman" w:eastAsia="宋体" w:cs="Times New Roman"/>
          <w:kern w:val="2"/>
          <w:sz w:val="21"/>
          <w:szCs w:val="24"/>
          <w:lang w:val="en-US" w:eastAsia="zh-CN" w:bidi="ar-SA"/>
        </w:rPr>
      </w:pPr>
    </w:p>
    <w:p w14:paraId="79787F18">
      <w:pPr>
        <w:bidi w:val="0"/>
        <w:rPr>
          <w:rFonts w:hint="eastAsia"/>
          <w:lang w:val="en-US" w:eastAsia="zh-CN"/>
        </w:rPr>
      </w:pPr>
    </w:p>
    <w:p w14:paraId="442A2922">
      <w:pPr>
        <w:bidi w:val="0"/>
        <w:rPr>
          <w:rFonts w:hint="eastAsia"/>
          <w:lang w:val="en-US" w:eastAsia="zh-CN"/>
        </w:rPr>
      </w:pPr>
    </w:p>
    <w:p w14:paraId="2B90716E">
      <w:pPr>
        <w:bidi w:val="0"/>
        <w:rPr>
          <w:rFonts w:hint="eastAsia"/>
          <w:lang w:val="en-US" w:eastAsia="zh-CN"/>
        </w:rPr>
      </w:pPr>
    </w:p>
    <w:p w14:paraId="4FC13007">
      <w:pPr>
        <w:bidi w:val="0"/>
        <w:rPr>
          <w:rFonts w:hint="eastAsia"/>
          <w:lang w:val="en-US" w:eastAsia="zh-CN"/>
        </w:rPr>
      </w:pPr>
    </w:p>
    <w:p w14:paraId="328162F7">
      <w:pPr>
        <w:bidi w:val="0"/>
        <w:rPr>
          <w:rFonts w:hint="eastAsia"/>
          <w:lang w:val="en-US" w:eastAsia="zh-CN"/>
        </w:rPr>
      </w:pPr>
    </w:p>
    <w:p w14:paraId="4C526208">
      <w:pPr>
        <w:bidi w:val="0"/>
        <w:rPr>
          <w:rFonts w:hint="eastAsia"/>
          <w:lang w:val="en-US" w:eastAsia="zh-CN"/>
        </w:rPr>
      </w:pPr>
    </w:p>
    <w:p w14:paraId="01B55E24">
      <w:pPr>
        <w:bidi w:val="0"/>
        <w:rPr>
          <w:rFonts w:hint="eastAsia"/>
          <w:lang w:val="en-US" w:eastAsia="zh-CN"/>
        </w:rPr>
      </w:pPr>
    </w:p>
    <w:p w14:paraId="6908888A">
      <w:pPr>
        <w:bidi w:val="0"/>
        <w:rPr>
          <w:rFonts w:hint="eastAsia"/>
          <w:lang w:val="en-US" w:eastAsia="zh-CN"/>
        </w:rPr>
      </w:pPr>
    </w:p>
    <w:p w14:paraId="065E51DA">
      <w:pPr>
        <w:bidi w:val="0"/>
        <w:rPr>
          <w:rFonts w:hint="eastAsia"/>
          <w:lang w:val="en-US" w:eastAsia="zh-CN"/>
        </w:rPr>
      </w:pPr>
    </w:p>
    <w:p w14:paraId="1F45CC15">
      <w:pPr>
        <w:bidi w:val="0"/>
        <w:ind w:firstLine="246" w:firstLineChars="0"/>
        <w:jc w:val="left"/>
        <w:rPr>
          <w:rFonts w:hint="eastAsia"/>
          <w:lang w:val="en-US" w:eastAsia="zh-CN"/>
        </w:rPr>
      </w:pPr>
    </w:p>
    <w:p w14:paraId="453B7522">
      <w:pPr>
        <w:bidi w:val="0"/>
        <w:rPr>
          <w:rFonts w:hint="eastAsia" w:ascii="Times New Roman" w:hAnsi="Times New Roman" w:eastAsia="宋体" w:cs="Times New Roman"/>
          <w:kern w:val="2"/>
          <w:sz w:val="21"/>
          <w:szCs w:val="24"/>
          <w:lang w:val="en-US" w:eastAsia="zh-CN" w:bidi="ar-SA"/>
        </w:rPr>
      </w:pPr>
    </w:p>
    <w:p w14:paraId="0FC1DBBE">
      <w:pPr>
        <w:bidi w:val="0"/>
        <w:rPr>
          <w:rFonts w:hint="eastAsia"/>
          <w:lang w:val="en-US" w:eastAsia="zh-CN"/>
        </w:rPr>
      </w:pPr>
    </w:p>
    <w:p w14:paraId="2B023A1E">
      <w:pPr>
        <w:bidi w:val="0"/>
        <w:rPr>
          <w:rFonts w:hint="eastAsia"/>
          <w:lang w:val="en-US" w:eastAsia="zh-CN"/>
        </w:rPr>
      </w:pPr>
    </w:p>
    <w:p w14:paraId="0D802FAE">
      <w:pPr>
        <w:bidi w:val="0"/>
        <w:jc w:val="left"/>
        <w:rPr>
          <w:rFonts w:hint="eastAsia"/>
          <w:lang w:val="en-US" w:eastAsia="zh-CN"/>
        </w:rPr>
      </w:pPr>
    </w:p>
    <w:p w14:paraId="209C0E6C">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7"/>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258"/>
        <w:gridCol w:w="1132"/>
        <w:gridCol w:w="1048"/>
        <w:gridCol w:w="1254"/>
        <w:gridCol w:w="708"/>
        <w:gridCol w:w="873"/>
        <w:gridCol w:w="1418"/>
      </w:tblGrid>
      <w:tr w14:paraId="5111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1D7359E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5377B0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5FA77CD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政协</w:t>
            </w:r>
            <w:r>
              <w:rPr>
                <w:rFonts w:hint="eastAsia" w:ascii="仿宋" w:hAnsi="仿宋" w:eastAsia="仿宋" w:cs="仿宋"/>
                <w:color w:val="000000"/>
                <w:kern w:val="0"/>
                <w:sz w:val="20"/>
                <w:szCs w:val="20"/>
                <w:lang w:eastAsia="zh-CN"/>
              </w:rPr>
              <w:t>十届二次全会</w:t>
            </w:r>
            <w:r>
              <w:rPr>
                <w:rFonts w:hint="eastAsia" w:ascii="仿宋" w:hAnsi="仿宋" w:eastAsia="仿宋" w:cs="仿宋"/>
                <w:color w:val="000000"/>
                <w:kern w:val="0"/>
                <w:sz w:val="20"/>
                <w:szCs w:val="20"/>
              </w:rPr>
              <w:t>经费</w:t>
            </w:r>
          </w:p>
        </w:tc>
      </w:tr>
      <w:tr w14:paraId="4029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33CC6E9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63B5DAC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C5E3F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2999" w:type="dxa"/>
            <w:gridSpan w:val="3"/>
            <w:noWrap w:val="0"/>
            <w:vAlign w:val="center"/>
          </w:tcPr>
          <w:p w14:paraId="7FAA00F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中国人民政治协商会议湖南省会同县委员会</w:t>
            </w:r>
          </w:p>
        </w:tc>
      </w:tr>
      <w:tr w14:paraId="3365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C6BD54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338" w:type="dxa"/>
            <w:gridSpan w:val="2"/>
            <w:noWrap w:val="0"/>
            <w:vAlign w:val="center"/>
          </w:tcPr>
          <w:p w14:paraId="035AA77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2" w:type="dxa"/>
            <w:noWrap w:val="0"/>
            <w:vAlign w:val="center"/>
          </w:tcPr>
          <w:p w14:paraId="7CB116F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2F29DD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048" w:type="dxa"/>
            <w:noWrap w:val="0"/>
            <w:vAlign w:val="center"/>
          </w:tcPr>
          <w:p w14:paraId="5AB879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7C8768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54" w:type="dxa"/>
            <w:noWrap w:val="0"/>
            <w:vAlign w:val="center"/>
          </w:tcPr>
          <w:p w14:paraId="32F95B3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24722A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708" w:type="dxa"/>
            <w:noWrap w:val="0"/>
            <w:vAlign w:val="center"/>
          </w:tcPr>
          <w:p w14:paraId="6D98C1E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7EE7E2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5C40BEB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48F3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315E6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33B7B8D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32" w:type="dxa"/>
            <w:noWrap w:val="0"/>
            <w:vAlign w:val="center"/>
          </w:tcPr>
          <w:p w14:paraId="330938A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p>
        </w:tc>
        <w:tc>
          <w:tcPr>
            <w:tcW w:w="1048" w:type="dxa"/>
            <w:noWrap w:val="0"/>
            <w:vAlign w:val="center"/>
          </w:tcPr>
          <w:p w14:paraId="61E07CF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24</w:t>
            </w:r>
          </w:p>
        </w:tc>
        <w:tc>
          <w:tcPr>
            <w:tcW w:w="1254" w:type="dxa"/>
            <w:noWrap w:val="0"/>
            <w:vAlign w:val="center"/>
          </w:tcPr>
          <w:p w14:paraId="448A9E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24</w:t>
            </w:r>
          </w:p>
        </w:tc>
        <w:tc>
          <w:tcPr>
            <w:tcW w:w="708" w:type="dxa"/>
            <w:noWrap w:val="0"/>
            <w:vAlign w:val="center"/>
          </w:tcPr>
          <w:p w14:paraId="185857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10</w:t>
            </w:r>
            <w:r>
              <w:rPr>
                <w:rFonts w:hint="eastAsia" w:ascii="仿宋" w:hAnsi="仿宋" w:eastAsia="仿宋" w:cs="仿宋"/>
                <w:color w:val="000000"/>
                <w:kern w:val="0"/>
                <w:sz w:val="20"/>
                <w:szCs w:val="20"/>
                <w:lang w:val="en-US" w:eastAsia="zh-CN"/>
              </w:rPr>
              <w:t>0</w:t>
            </w:r>
          </w:p>
        </w:tc>
        <w:tc>
          <w:tcPr>
            <w:tcW w:w="873" w:type="dxa"/>
            <w:noWrap w:val="0"/>
            <w:vAlign w:val="center"/>
          </w:tcPr>
          <w:p w14:paraId="4F924E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5570983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99</w:t>
            </w:r>
          </w:p>
        </w:tc>
      </w:tr>
      <w:tr w14:paraId="19B2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BA0FD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341D7AD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32" w:type="dxa"/>
            <w:noWrap w:val="0"/>
            <w:vAlign w:val="center"/>
          </w:tcPr>
          <w:p w14:paraId="0BFB83D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48" w:type="dxa"/>
            <w:noWrap w:val="0"/>
            <w:vAlign w:val="center"/>
          </w:tcPr>
          <w:p w14:paraId="0E5D84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24</w:t>
            </w:r>
          </w:p>
        </w:tc>
        <w:tc>
          <w:tcPr>
            <w:tcW w:w="1254" w:type="dxa"/>
            <w:noWrap w:val="0"/>
            <w:vAlign w:val="center"/>
          </w:tcPr>
          <w:p w14:paraId="71979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24</w:t>
            </w:r>
          </w:p>
        </w:tc>
        <w:tc>
          <w:tcPr>
            <w:tcW w:w="708" w:type="dxa"/>
            <w:noWrap w:val="0"/>
            <w:vAlign w:val="center"/>
          </w:tcPr>
          <w:p w14:paraId="079F56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32B5FF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100%</w:t>
            </w:r>
            <w:r>
              <w:rPr>
                <w:rFonts w:hint="eastAsia" w:ascii="仿宋" w:hAnsi="仿宋" w:eastAsia="仿宋" w:cs="仿宋"/>
                <w:color w:val="000000"/>
                <w:kern w:val="0"/>
                <w:sz w:val="20"/>
                <w:szCs w:val="20"/>
              </w:rPr>
              <w:t>　</w:t>
            </w:r>
          </w:p>
        </w:tc>
        <w:tc>
          <w:tcPr>
            <w:tcW w:w="1418" w:type="dxa"/>
            <w:noWrap w:val="0"/>
            <w:vAlign w:val="center"/>
          </w:tcPr>
          <w:p w14:paraId="6AEDAAB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11C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25E8A3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6A114511">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32" w:type="dxa"/>
            <w:noWrap w:val="0"/>
            <w:vAlign w:val="center"/>
          </w:tcPr>
          <w:p w14:paraId="21EE63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48" w:type="dxa"/>
            <w:noWrap w:val="0"/>
            <w:vAlign w:val="center"/>
          </w:tcPr>
          <w:p w14:paraId="38C49F7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F963AC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33191B1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455366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39BFA5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BCB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699EB71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78333214">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32" w:type="dxa"/>
            <w:noWrap w:val="0"/>
            <w:vAlign w:val="center"/>
          </w:tcPr>
          <w:p w14:paraId="6FE3B4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48" w:type="dxa"/>
            <w:noWrap w:val="0"/>
            <w:vAlign w:val="center"/>
          </w:tcPr>
          <w:p w14:paraId="7BAFD60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687118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1FC78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E4BBB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04705C6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34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0053062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29CE1C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43B78D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7A7F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44B574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723F9F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保障十届二次政协全会顺利召开，通过政协全会，委员把政治经济文化社会生活中的重要问题及人民普遍关心的问题开展调研后的结果，进行协商讨论，通过调研报告、提案、建议或其他形式，向党和政府提出意见和建议。　</w:t>
            </w:r>
          </w:p>
        </w:tc>
        <w:tc>
          <w:tcPr>
            <w:tcW w:w="4253" w:type="dxa"/>
            <w:gridSpan w:val="4"/>
            <w:noWrap w:val="0"/>
            <w:vAlign w:val="center"/>
          </w:tcPr>
          <w:p w14:paraId="51CF73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保障十届二次政协全会顺利召开，通过政协全会，委员把政治经济文化社会生活中的重要问题及人民普遍关心的问题开展调研后的结果，进行协商讨论，通过调研报告、提案、建议或其他形式，向党和政府提出意见和建议。</w:t>
            </w:r>
          </w:p>
        </w:tc>
      </w:tr>
      <w:tr w14:paraId="086B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3D6B52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7805667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22978CA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56BEBF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513ABF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258" w:type="dxa"/>
            <w:noWrap w:val="0"/>
            <w:vAlign w:val="center"/>
          </w:tcPr>
          <w:p w14:paraId="0D28CE9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32" w:type="dxa"/>
            <w:noWrap w:val="0"/>
            <w:vAlign w:val="center"/>
          </w:tcPr>
          <w:p w14:paraId="363D79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048" w:type="dxa"/>
            <w:noWrap w:val="0"/>
            <w:vAlign w:val="center"/>
          </w:tcPr>
          <w:p w14:paraId="3C006A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3115350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254" w:type="dxa"/>
            <w:noWrap w:val="0"/>
            <w:vAlign w:val="center"/>
          </w:tcPr>
          <w:p w14:paraId="19E9C0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31810D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08" w:type="dxa"/>
            <w:noWrap w:val="0"/>
            <w:vAlign w:val="center"/>
          </w:tcPr>
          <w:p w14:paraId="1D736BA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0CD28EC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338932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9975B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CFB4A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3060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continue"/>
            <w:noWrap w:val="0"/>
            <w:vAlign w:val="center"/>
          </w:tcPr>
          <w:p w14:paraId="2242143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noWrap w:val="0"/>
            <w:vAlign w:val="center"/>
          </w:tcPr>
          <w:p w14:paraId="6B25D7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18"/>
                <w:szCs w:val="18"/>
              </w:rPr>
              <w:t>投入管理指标</w:t>
            </w:r>
            <w:r>
              <w:rPr>
                <w:rFonts w:hint="eastAsia" w:ascii="仿宋" w:hAnsi="仿宋" w:eastAsia="仿宋" w:cs="仿宋"/>
                <w:color w:val="000000"/>
                <w:kern w:val="0"/>
                <w:sz w:val="15"/>
                <w:szCs w:val="15"/>
              </w:rPr>
              <w:t>（10分）</w:t>
            </w:r>
          </w:p>
        </w:tc>
        <w:tc>
          <w:tcPr>
            <w:tcW w:w="1258" w:type="dxa"/>
            <w:noWrap w:val="0"/>
            <w:vAlign w:val="center"/>
          </w:tcPr>
          <w:p w14:paraId="651536B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预算管理    （10分）</w:t>
            </w:r>
          </w:p>
        </w:tc>
        <w:tc>
          <w:tcPr>
            <w:tcW w:w="1132" w:type="dxa"/>
            <w:noWrap w:val="0"/>
            <w:vAlign w:val="center"/>
          </w:tcPr>
          <w:p w14:paraId="35CF41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预算执行率</w:t>
            </w:r>
          </w:p>
        </w:tc>
        <w:tc>
          <w:tcPr>
            <w:tcW w:w="1048" w:type="dxa"/>
            <w:noWrap w:val="0"/>
            <w:vAlign w:val="center"/>
          </w:tcPr>
          <w:p w14:paraId="4C32665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1254" w:type="dxa"/>
            <w:noWrap w:val="0"/>
            <w:vAlign w:val="center"/>
          </w:tcPr>
          <w:p w14:paraId="231B8D6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100%</w:t>
            </w:r>
          </w:p>
        </w:tc>
        <w:tc>
          <w:tcPr>
            <w:tcW w:w="708" w:type="dxa"/>
            <w:noWrap w:val="0"/>
            <w:vAlign w:val="center"/>
          </w:tcPr>
          <w:p w14:paraId="120409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873" w:type="dxa"/>
            <w:noWrap w:val="0"/>
            <w:vAlign w:val="center"/>
          </w:tcPr>
          <w:p w14:paraId="4D80879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418" w:type="dxa"/>
            <w:noWrap w:val="0"/>
            <w:vAlign w:val="center"/>
          </w:tcPr>
          <w:p w14:paraId="231D073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r>
      <w:tr w14:paraId="1162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A33B2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6B84D72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22FE949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258" w:type="dxa"/>
            <w:noWrap w:val="0"/>
            <w:vAlign w:val="center"/>
          </w:tcPr>
          <w:p w14:paraId="08FFD8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32" w:type="dxa"/>
            <w:noWrap w:val="0"/>
            <w:vAlign w:val="center"/>
          </w:tcPr>
          <w:p w14:paraId="5CB6B5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会议</w:t>
            </w:r>
            <w:r>
              <w:rPr>
                <w:rFonts w:hint="eastAsia" w:ascii="仿宋" w:hAnsi="仿宋" w:eastAsia="仿宋" w:cs="仿宋"/>
                <w:color w:val="000000"/>
                <w:kern w:val="0"/>
                <w:sz w:val="20"/>
                <w:szCs w:val="20"/>
              </w:rPr>
              <w:t>次</w:t>
            </w:r>
            <w:r>
              <w:rPr>
                <w:rFonts w:hint="eastAsia" w:ascii="仿宋" w:hAnsi="仿宋" w:eastAsia="仿宋" w:cs="仿宋"/>
                <w:color w:val="000000"/>
                <w:kern w:val="0"/>
                <w:sz w:val="20"/>
                <w:szCs w:val="20"/>
                <w:lang w:eastAsia="zh-CN"/>
              </w:rPr>
              <w:t>数</w:t>
            </w:r>
          </w:p>
        </w:tc>
        <w:tc>
          <w:tcPr>
            <w:tcW w:w="1048" w:type="dxa"/>
            <w:noWrap w:val="0"/>
            <w:vAlign w:val="center"/>
          </w:tcPr>
          <w:p w14:paraId="033A0DB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w:t>
            </w:r>
          </w:p>
        </w:tc>
        <w:tc>
          <w:tcPr>
            <w:tcW w:w="1254" w:type="dxa"/>
            <w:noWrap w:val="0"/>
            <w:vAlign w:val="center"/>
          </w:tcPr>
          <w:p w14:paraId="41AE40B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w:t>
            </w:r>
          </w:p>
        </w:tc>
        <w:tc>
          <w:tcPr>
            <w:tcW w:w="708" w:type="dxa"/>
            <w:noWrap w:val="0"/>
            <w:vAlign w:val="center"/>
          </w:tcPr>
          <w:p w14:paraId="27F136A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5E686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5AF453E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E63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78FE0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B67B5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5F08AE5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32" w:type="dxa"/>
            <w:noWrap w:val="0"/>
            <w:vAlign w:val="center"/>
          </w:tcPr>
          <w:p w14:paraId="74914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出勤率</w:t>
            </w:r>
          </w:p>
        </w:tc>
        <w:tc>
          <w:tcPr>
            <w:tcW w:w="1048" w:type="dxa"/>
            <w:noWrap w:val="0"/>
            <w:vAlign w:val="center"/>
          </w:tcPr>
          <w:p w14:paraId="2C001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95%</w:t>
            </w:r>
            <w:r>
              <w:rPr>
                <w:rFonts w:hint="eastAsia" w:ascii="仿宋" w:hAnsi="仿宋" w:eastAsia="仿宋" w:cs="仿宋"/>
                <w:color w:val="000000"/>
                <w:kern w:val="0"/>
                <w:sz w:val="20"/>
                <w:szCs w:val="20"/>
              </w:rPr>
              <w:t>　</w:t>
            </w:r>
          </w:p>
        </w:tc>
        <w:tc>
          <w:tcPr>
            <w:tcW w:w="1254" w:type="dxa"/>
            <w:noWrap w:val="0"/>
            <w:vAlign w:val="center"/>
          </w:tcPr>
          <w:p w14:paraId="58F5C71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708" w:type="dxa"/>
            <w:noWrap w:val="0"/>
            <w:vAlign w:val="center"/>
          </w:tcPr>
          <w:p w14:paraId="52CF96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708C7D9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47BB25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A26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20D17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581D6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5BDBB6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32" w:type="dxa"/>
            <w:noWrap w:val="0"/>
            <w:vAlign w:val="center"/>
          </w:tcPr>
          <w:p w14:paraId="0077DF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项目时间</w:t>
            </w:r>
          </w:p>
        </w:tc>
        <w:tc>
          <w:tcPr>
            <w:tcW w:w="1048" w:type="dxa"/>
            <w:noWrap w:val="0"/>
            <w:vAlign w:val="center"/>
          </w:tcPr>
          <w:p w14:paraId="517BBF7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1年</w:t>
            </w:r>
          </w:p>
        </w:tc>
        <w:tc>
          <w:tcPr>
            <w:tcW w:w="1254" w:type="dxa"/>
            <w:noWrap w:val="0"/>
            <w:vAlign w:val="center"/>
          </w:tcPr>
          <w:p w14:paraId="745754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1年　　　　　　　　　　　　　　　　　　　　　　　　　　　　　　　　　　　　　　　　　　　　　　　　　　　　　　　　　　　　　　　　　　　　　　　　　　　　　　　　　　</w:t>
            </w:r>
          </w:p>
        </w:tc>
        <w:tc>
          <w:tcPr>
            <w:tcW w:w="708" w:type="dxa"/>
            <w:noWrap w:val="0"/>
            <w:vAlign w:val="center"/>
          </w:tcPr>
          <w:p w14:paraId="559F063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6C19B9B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6D3EFD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10AC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253B8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59DC8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restart"/>
            <w:noWrap w:val="0"/>
            <w:vAlign w:val="center"/>
          </w:tcPr>
          <w:p w14:paraId="209D30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32" w:type="dxa"/>
            <w:noWrap w:val="0"/>
            <w:vAlign w:val="center"/>
          </w:tcPr>
          <w:p w14:paraId="0DB5B1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项目成本</w:t>
            </w:r>
          </w:p>
        </w:tc>
        <w:tc>
          <w:tcPr>
            <w:tcW w:w="1048" w:type="dxa"/>
            <w:noWrap w:val="0"/>
            <w:vAlign w:val="center"/>
          </w:tcPr>
          <w:p w14:paraId="3D847209">
            <w:pPr>
              <w:keepNext w:val="0"/>
              <w:keepLines w:val="0"/>
              <w:pageBreakBefore w:val="0"/>
              <w:widowControl/>
              <w:kinsoku/>
              <w:wordWrap/>
              <w:overflowPunct/>
              <w:topLinePunct w:val="0"/>
              <w:autoSpaceDE/>
              <w:autoSpaceDN/>
              <w:bidi w:val="0"/>
              <w:adjustRightInd/>
              <w:snapToGrid/>
              <w:spacing w:line="280" w:lineRule="exact"/>
              <w:ind w:firstLine="200" w:firstLineChars="1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24万元</w:t>
            </w:r>
          </w:p>
        </w:tc>
        <w:tc>
          <w:tcPr>
            <w:tcW w:w="1254" w:type="dxa"/>
            <w:noWrap w:val="0"/>
            <w:vAlign w:val="center"/>
          </w:tcPr>
          <w:p w14:paraId="082C76C8">
            <w:pPr>
              <w:keepNext w:val="0"/>
              <w:keepLines w:val="0"/>
              <w:pageBreakBefore w:val="0"/>
              <w:widowControl/>
              <w:kinsoku/>
              <w:wordWrap/>
              <w:overflowPunct/>
              <w:topLinePunct w:val="0"/>
              <w:autoSpaceDE/>
              <w:autoSpaceDN/>
              <w:bidi w:val="0"/>
              <w:adjustRightInd/>
              <w:snapToGrid/>
              <w:spacing w:line="280" w:lineRule="exact"/>
              <w:ind w:firstLine="200" w:firstLineChars="1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24万元</w:t>
            </w:r>
          </w:p>
        </w:tc>
        <w:tc>
          <w:tcPr>
            <w:tcW w:w="708" w:type="dxa"/>
            <w:noWrap w:val="0"/>
            <w:vAlign w:val="center"/>
          </w:tcPr>
          <w:p w14:paraId="69D902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10</w:t>
            </w:r>
          </w:p>
        </w:tc>
        <w:tc>
          <w:tcPr>
            <w:tcW w:w="873" w:type="dxa"/>
            <w:noWrap w:val="0"/>
            <w:vAlign w:val="center"/>
          </w:tcPr>
          <w:p w14:paraId="33B2F0B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3D6654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1481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F6D4C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B9E54E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continue"/>
            <w:noWrap w:val="0"/>
            <w:vAlign w:val="center"/>
          </w:tcPr>
          <w:p w14:paraId="145D474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32" w:type="dxa"/>
            <w:noWrap w:val="0"/>
            <w:vAlign w:val="center"/>
          </w:tcPr>
          <w:p w14:paraId="661A36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1048" w:type="dxa"/>
            <w:noWrap w:val="0"/>
            <w:vAlign w:val="center"/>
          </w:tcPr>
          <w:p w14:paraId="3FC4D3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0%　　</w:t>
            </w:r>
          </w:p>
        </w:tc>
        <w:tc>
          <w:tcPr>
            <w:tcW w:w="1254" w:type="dxa"/>
            <w:noWrap w:val="0"/>
            <w:vAlign w:val="center"/>
          </w:tcPr>
          <w:p w14:paraId="3DDE208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4CC9CC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5B593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5FFE0E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335D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CCE505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EA756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continue"/>
            <w:noWrap w:val="0"/>
            <w:vAlign w:val="center"/>
          </w:tcPr>
          <w:p w14:paraId="39A100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132" w:type="dxa"/>
            <w:noWrap w:val="0"/>
            <w:vAlign w:val="center"/>
          </w:tcPr>
          <w:p w14:paraId="111545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生态环境成本节约率</w:t>
            </w:r>
          </w:p>
        </w:tc>
        <w:tc>
          <w:tcPr>
            <w:tcW w:w="1048" w:type="dxa"/>
            <w:noWrap w:val="0"/>
            <w:vAlign w:val="center"/>
          </w:tcPr>
          <w:p w14:paraId="1A5B02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0%</w:t>
            </w:r>
          </w:p>
        </w:tc>
        <w:tc>
          <w:tcPr>
            <w:tcW w:w="1254" w:type="dxa"/>
            <w:noWrap w:val="0"/>
            <w:vAlign w:val="center"/>
          </w:tcPr>
          <w:p w14:paraId="2B95A5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540D2EF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436228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050808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DEC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CFF785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1591204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1325D2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258" w:type="dxa"/>
            <w:noWrap w:val="0"/>
            <w:vAlign w:val="center"/>
          </w:tcPr>
          <w:p w14:paraId="5F37D20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43FE064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32" w:type="dxa"/>
            <w:noWrap w:val="0"/>
            <w:vAlign w:val="center"/>
          </w:tcPr>
          <w:p w14:paraId="3105A6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发挥专项资金效益</w:t>
            </w:r>
          </w:p>
        </w:tc>
        <w:tc>
          <w:tcPr>
            <w:tcW w:w="1048" w:type="dxa"/>
            <w:noWrap w:val="0"/>
            <w:vAlign w:val="center"/>
          </w:tcPr>
          <w:p w14:paraId="67AA87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1254" w:type="dxa"/>
            <w:noWrap w:val="0"/>
            <w:vAlign w:val="center"/>
          </w:tcPr>
          <w:p w14:paraId="7056E9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708" w:type="dxa"/>
            <w:noWrap w:val="0"/>
            <w:vAlign w:val="center"/>
          </w:tcPr>
          <w:p w14:paraId="56CBF9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52682F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732523A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979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5494D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39AC8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147E8F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744D5E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32" w:type="dxa"/>
            <w:noWrap w:val="0"/>
            <w:vAlign w:val="center"/>
          </w:tcPr>
          <w:p w14:paraId="3C10D9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w:t>
            </w:r>
          </w:p>
        </w:tc>
        <w:tc>
          <w:tcPr>
            <w:tcW w:w="1048" w:type="dxa"/>
            <w:noWrap w:val="0"/>
            <w:vAlign w:val="center"/>
          </w:tcPr>
          <w:p w14:paraId="28B7160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4E43B90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5F1C1F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455C99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700240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ED1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FEE415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E8C4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4347DAD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34BD216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32" w:type="dxa"/>
            <w:noWrap w:val="0"/>
            <w:vAlign w:val="center"/>
          </w:tcPr>
          <w:p w14:paraId="32A9FA7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生态效益</w:t>
            </w:r>
          </w:p>
        </w:tc>
        <w:tc>
          <w:tcPr>
            <w:tcW w:w="1048" w:type="dxa"/>
            <w:noWrap w:val="0"/>
            <w:vAlign w:val="center"/>
          </w:tcPr>
          <w:p w14:paraId="1E2D5B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5AC24A4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70039A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ABC3A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FD550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89C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D1415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05DE94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45F8D00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32" w:type="dxa"/>
            <w:noWrap w:val="0"/>
            <w:vAlign w:val="center"/>
          </w:tcPr>
          <w:p w14:paraId="1B5835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w:t>
            </w:r>
          </w:p>
        </w:tc>
        <w:tc>
          <w:tcPr>
            <w:tcW w:w="1048" w:type="dxa"/>
            <w:noWrap w:val="0"/>
            <w:vAlign w:val="center"/>
          </w:tcPr>
          <w:p w14:paraId="44DB66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146B3C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04FA7D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16E8224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0C7BBF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ED5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604F7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14D9BC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7150C30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63769A1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258" w:type="dxa"/>
            <w:noWrap w:val="0"/>
            <w:vAlign w:val="center"/>
          </w:tcPr>
          <w:p w14:paraId="5635C53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32" w:type="dxa"/>
            <w:noWrap w:val="0"/>
            <w:vAlign w:val="center"/>
          </w:tcPr>
          <w:p w14:paraId="063CF8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b w:val="0"/>
                <w:bCs w:val="0"/>
                <w:sz w:val="20"/>
                <w:szCs w:val="20"/>
              </w:rPr>
              <w:t>社会公众及服务对象满意度</w:t>
            </w:r>
          </w:p>
        </w:tc>
        <w:tc>
          <w:tcPr>
            <w:tcW w:w="1048" w:type="dxa"/>
            <w:noWrap w:val="0"/>
            <w:vAlign w:val="center"/>
          </w:tcPr>
          <w:p w14:paraId="10AB25F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1254" w:type="dxa"/>
            <w:noWrap w:val="0"/>
            <w:vAlign w:val="center"/>
          </w:tcPr>
          <w:p w14:paraId="7BD41F1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708" w:type="dxa"/>
            <w:noWrap w:val="0"/>
            <w:vAlign w:val="center"/>
          </w:tcPr>
          <w:p w14:paraId="27C9CB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w:t>
            </w:r>
            <w:r>
              <w:rPr>
                <w:rFonts w:hint="eastAsia" w:ascii="仿宋" w:hAnsi="仿宋" w:eastAsia="仿宋" w:cs="仿宋"/>
                <w:color w:val="000000"/>
                <w:kern w:val="0"/>
                <w:sz w:val="20"/>
                <w:szCs w:val="20"/>
              </w:rPr>
              <w:t>　</w:t>
            </w:r>
          </w:p>
        </w:tc>
        <w:tc>
          <w:tcPr>
            <w:tcW w:w="873" w:type="dxa"/>
            <w:noWrap w:val="0"/>
            <w:vAlign w:val="center"/>
          </w:tcPr>
          <w:p w14:paraId="358842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w:t>
            </w:r>
          </w:p>
        </w:tc>
        <w:tc>
          <w:tcPr>
            <w:tcW w:w="1418" w:type="dxa"/>
            <w:noWrap w:val="0"/>
            <w:vAlign w:val="center"/>
          </w:tcPr>
          <w:p w14:paraId="52440DE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BF3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2" w:type="dxa"/>
            <w:gridSpan w:val="6"/>
            <w:noWrap w:val="0"/>
            <w:vAlign w:val="center"/>
          </w:tcPr>
          <w:p w14:paraId="22C1D3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08" w:type="dxa"/>
            <w:noWrap w:val="0"/>
            <w:vAlign w:val="center"/>
          </w:tcPr>
          <w:p w14:paraId="2C9309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30CAD33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99</w:t>
            </w:r>
          </w:p>
        </w:tc>
        <w:tc>
          <w:tcPr>
            <w:tcW w:w="1418" w:type="dxa"/>
            <w:noWrap w:val="0"/>
            <w:vAlign w:val="center"/>
          </w:tcPr>
          <w:p w14:paraId="6EC0C0E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bl>
    <w:p w14:paraId="36507684">
      <w:pPr>
        <w:widowControl w:val="0"/>
        <w:kinsoku/>
        <w:autoSpaceDE/>
        <w:autoSpaceDN/>
        <w:adjustRightInd/>
        <w:snapToGrid/>
        <w:spacing w:line="600" w:lineRule="exact"/>
        <w:jc w:val="both"/>
        <w:textAlignment w:val="auto"/>
        <w:rPr>
          <w:rFonts w:hint="default"/>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w:t>
      </w:r>
    </w:p>
    <w:p w14:paraId="6216F63A">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宋体-方正超大字符集"/>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体-方正超大字符集">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NzllZjE1NjI1ODMxZmFmMDM3NzNkMjFmZDViYmEifQ=="/>
  </w:docVars>
  <w:rsids>
    <w:rsidRoot w:val="0D684207"/>
    <w:rsid w:val="07CE4960"/>
    <w:rsid w:val="0AA25A34"/>
    <w:rsid w:val="0D684207"/>
    <w:rsid w:val="0E6704C0"/>
    <w:rsid w:val="0FA61B22"/>
    <w:rsid w:val="19263CD4"/>
    <w:rsid w:val="212D20A3"/>
    <w:rsid w:val="21EF7359"/>
    <w:rsid w:val="28123DA1"/>
    <w:rsid w:val="2D4F514F"/>
    <w:rsid w:val="32EE0F67"/>
    <w:rsid w:val="3C2053CA"/>
    <w:rsid w:val="3D696B0C"/>
    <w:rsid w:val="425410B6"/>
    <w:rsid w:val="43921FE1"/>
    <w:rsid w:val="55774994"/>
    <w:rsid w:val="5B8F0C89"/>
    <w:rsid w:val="685E210F"/>
    <w:rsid w:val="7744599E"/>
    <w:rsid w:val="7B5B60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4">
    <w:name w:val="Body Text Indent"/>
    <w:basedOn w:val="1"/>
    <w:unhideWhenUsed/>
    <w:qFormat/>
    <w:uiPriority w:val="0"/>
    <w:pPr>
      <w:spacing w:beforeLines="0" w:afterLines="0"/>
      <w:ind w:firstLine="640" w:firstLineChars="200"/>
    </w:pPr>
    <w:rPr>
      <w:rFonts w:hint="default"/>
      <w:sz w:val="32"/>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4"/>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2962</Words>
  <Characters>3063</Characters>
  <Lines>0</Lines>
  <Paragraphs>0</Paragraphs>
  <TotalTime>93</TotalTime>
  <ScaleCrop>false</ScaleCrop>
  <LinksUpToDate>false</LinksUpToDate>
  <CharactersWithSpaces>3289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2024-09-13T07:59:00Z</dcterms:created>
  <dc:creator>向日葵(西区)</dc:creator>
  <cp:lastModifiedBy>向日葵(西区)</cp:lastModifiedBy>
  <cp:lastPrinted>2024-09-24T08:53:19Z</cp:lastPrinted>
  <dcterms:modified xsi:type="dcterms:W3CDTF">2024-09-24T08:53:22Z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1C3806963C064DF7B02F33FBF54550EF_11</vt:lpwstr>
  </property>
</Properties>
</file>