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7650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shd w:val="clear" w:color="auto" w:fill="FFFFFF"/>
          <w:lang w:eastAsia="zh-CN"/>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lang w:eastAsia="zh-CN"/>
        </w:rPr>
        <w:t>会同县政协委员交通通讯补助</w:t>
      </w:r>
    </w:p>
    <w:p w14:paraId="3A5A514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14:paraId="16F44E9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_GBK" w:hAnsi="方正小标宋_GBK" w:eastAsia="方正小标宋_GBK" w:cs="方正小标宋_GBK"/>
          <w:i w:val="0"/>
          <w:iCs w:val="0"/>
          <w:caps w:val="0"/>
          <w:color w:val="000000"/>
          <w:spacing w:val="0"/>
          <w:sz w:val="24"/>
          <w:szCs w:val="24"/>
        </w:rPr>
      </w:pPr>
    </w:p>
    <w:p w14:paraId="6C1D303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楷体_GB2312" w:hAnsi="楷体_GB2312" w:eastAsia="楷体_GB2312" w:cs="楷体_GB2312"/>
          <w:b/>
          <w:bCs/>
          <w:i w:val="0"/>
          <w:iCs w:val="0"/>
          <w:caps w:val="0"/>
          <w:color w:val="000000"/>
          <w:spacing w:val="0"/>
          <w:sz w:val="32"/>
          <w:szCs w:val="32"/>
        </w:rPr>
      </w:pPr>
      <w:r>
        <w:rPr>
          <w:rFonts w:hint="eastAsia" w:ascii="方正小标宋_GBK" w:hAnsi="方正小标宋_GBK" w:eastAsia="方正小标宋_GBK" w:cs="方正小标宋_GBK"/>
          <w:b/>
          <w:bCs/>
          <w:i w:val="0"/>
          <w:iCs w:val="0"/>
          <w:caps w:val="0"/>
          <w:color w:val="000000"/>
          <w:spacing w:val="0"/>
          <w:sz w:val="32"/>
          <w:szCs w:val="32"/>
          <w:shd w:val="clear" w:color="auto" w:fill="FFFFFF"/>
        </w:rPr>
        <w:t> </w:t>
      </w:r>
      <w:r>
        <w:rPr>
          <w:rFonts w:hint="eastAsia" w:ascii="楷体_GB2312" w:hAnsi="楷体_GB2312" w:eastAsia="楷体_GB2312" w:cs="楷体_GB2312"/>
          <w:b/>
          <w:bCs/>
          <w:i w:val="0"/>
          <w:iCs w:val="0"/>
          <w:caps w:val="0"/>
          <w:color w:val="000000"/>
          <w:spacing w:val="0"/>
          <w:sz w:val="32"/>
          <w:szCs w:val="32"/>
          <w:shd w:val="clear" w:color="auto" w:fill="FFFFFF"/>
        </w:rPr>
        <w:t>一、项目基本情况</w:t>
      </w:r>
    </w:p>
    <w:p w14:paraId="3276DD2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070DB2BE">
      <w:pPr>
        <w:ind w:firstLine="640" w:firstLineChars="200"/>
        <w:jc w:val="both"/>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1.项目决策背景：政协委员交通通讯补助</w:t>
      </w:r>
      <w:r>
        <w:rPr>
          <w:rFonts w:hint="eastAsia" w:ascii="楷体_GB2312" w:hAnsi="楷体_GB2312" w:eastAsia="楷体_GB2312" w:cs="楷体_GB2312"/>
          <w:b w:val="0"/>
          <w:bCs w:val="0"/>
          <w:sz w:val="32"/>
          <w:szCs w:val="32"/>
          <w:lang w:val="en-US" w:eastAsia="zh-CN"/>
        </w:rPr>
        <w:t>项目纳入2023年度部门预算范围，经人大会议通过，县财政下达批复文件，包括该项目资金申报、批复符合资金管理办法等相关规定。</w:t>
      </w:r>
    </w:p>
    <w:p w14:paraId="75FF97B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2.项目主要内容：按照《中国人民政治协商会议章程》开展的视察调研、社情民意等相关工作，给予全体委员一定的交通通迅补助</w:t>
      </w:r>
    </w:p>
    <w:p w14:paraId="7F390A2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3.项目组织管理机构：政协会同县委员会办公室</w:t>
      </w:r>
    </w:p>
    <w:p w14:paraId="762115E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3C3FAD2B">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0" w:name="_Toc108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1.预算资金安排及管理情况</w:t>
      </w:r>
      <w:bookmarkEnd w:id="0"/>
    </w:p>
    <w:p w14:paraId="1A23FDE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（1）</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资金来源及拨付流程：</w:t>
      </w:r>
      <w:r>
        <w:rPr>
          <w:rFonts w:hint="eastAsia" w:ascii="楷体_GB2312" w:hAnsi="楷体_GB2312" w:eastAsia="楷体_GB2312" w:cs="楷体_GB2312"/>
          <w:sz w:val="32"/>
          <w:szCs w:val="32"/>
          <w:lang w:val="en-US" w:eastAsia="zh-CN"/>
        </w:rPr>
        <w:t>资金主要来源为年中追加财政一般公共预算拨款。项目实施单位根据年中预算批复按工作任务完成情况向财政履行请款手续，单位按财政规定的资金用途使用项目资金。</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 xml:space="preserve"> </w:t>
      </w:r>
    </w:p>
    <w:p w14:paraId="7A357E2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（2）</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资金到位情况：</w:t>
      </w:r>
      <w:r>
        <w:rPr>
          <w:rFonts w:hint="eastAsia" w:ascii="楷体_GB2312" w:hAnsi="楷体_GB2312" w:eastAsia="楷体_GB2312" w:cs="楷体_GB2312"/>
          <w:sz w:val="32"/>
          <w:szCs w:val="32"/>
          <w:lang w:val="en-US" w:eastAsia="zh-CN"/>
        </w:rPr>
        <w:t>2023年财政年中预算安排经费23.34万元，截2023年实际到位23.34万元，资金到位率100%，到位及时性高。</w:t>
      </w:r>
    </w:p>
    <w:p w14:paraId="50769F2E">
      <w:pPr>
        <w:jc w:val="left"/>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23"/>
          <w:kern w:val="0"/>
          <w:sz w:val="32"/>
          <w:szCs w:val="32"/>
          <w:shd w:val="clear" w:color="auto" w:fill="FFFFFF"/>
          <w:lang w:val="en-US" w:eastAsia="zh-CN" w:bidi="ar"/>
        </w:rPr>
        <w:t>　　（3）</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资金使用情况：</w:t>
      </w:r>
      <w:r>
        <w:rPr>
          <w:rFonts w:hint="eastAsia" w:ascii="楷体_GB2312" w:hAnsi="楷体_GB2312" w:eastAsia="楷体_GB2312" w:cs="楷体_GB2312"/>
          <w:sz w:val="32"/>
          <w:szCs w:val="32"/>
          <w:lang w:val="en-US" w:eastAsia="zh-CN"/>
        </w:rPr>
        <w:t>截止评价时点，此项目资金实际支出23.34万元，资金开支范围、标准及支付进度等均与项目批复一致，支付依据合规合法，资金支付与预算相符。2023年政协委员学习培训及会议经费</w:t>
      </w:r>
      <w:r>
        <w:rPr>
          <w:rFonts w:hint="eastAsia" w:ascii="楷体_GB2312" w:hAnsi="楷体_GB2312" w:eastAsia="楷体_GB2312" w:cs="楷体_GB2312"/>
          <w:sz w:val="30"/>
          <w:szCs w:val="30"/>
          <w:lang w:eastAsia="zh-CN"/>
        </w:rPr>
        <w:t>成本</w:t>
      </w:r>
      <w:r>
        <w:rPr>
          <w:rFonts w:hint="eastAsia" w:ascii="楷体_GB2312" w:hAnsi="楷体_GB2312" w:eastAsia="楷体_GB2312" w:cs="楷体_GB2312"/>
          <w:sz w:val="32"/>
          <w:szCs w:val="32"/>
          <w:lang w:val="en-US" w:eastAsia="zh-CN"/>
        </w:rPr>
        <w:t>主要用于</w:t>
      </w: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政协委员参加视察调研、社情民意等相关工作，给予全体委员一定的交通通迅补助的费用开支，收支</w:t>
      </w:r>
      <w:r>
        <w:rPr>
          <w:rFonts w:hint="eastAsia" w:ascii="楷体_GB2312" w:hAnsi="楷体_GB2312" w:eastAsia="楷体_GB2312" w:cs="楷体_GB2312"/>
          <w:sz w:val="32"/>
          <w:szCs w:val="32"/>
          <w:lang w:val="en-US" w:eastAsia="zh-CN"/>
        </w:rPr>
        <w:t>平衡。</w:t>
      </w:r>
    </w:p>
    <w:p w14:paraId="397CFA2A">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555555"/>
          <w:spacing w:val="0"/>
          <w:sz w:val="32"/>
          <w:szCs w:val="32"/>
          <w:shd w:val="clear" w:color="auto" w:fill="FFFFFF"/>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（4）资金管理制度及执行情况：</w:t>
      </w:r>
      <w:r>
        <w:rPr>
          <w:rFonts w:hint="eastAsia" w:ascii="楷体_GB2312" w:hAnsi="楷体_GB2312" w:eastAsia="楷体_GB2312" w:cs="楷体_GB2312"/>
          <w:sz w:val="32"/>
          <w:szCs w:val="32"/>
          <w:lang w:val="en-US" w:eastAsia="zh-CN"/>
        </w:rPr>
        <w:t>政协</w:t>
      </w:r>
      <w:r>
        <w:rPr>
          <w:rFonts w:hint="eastAsia" w:ascii="楷体_GB2312" w:hAnsi="楷体_GB2312" w:eastAsia="楷体_GB2312" w:cs="楷体_GB2312"/>
          <w:i w:val="0"/>
          <w:iCs w:val="0"/>
          <w:caps w:val="0"/>
          <w:color w:val="555555"/>
          <w:spacing w:val="0"/>
          <w:sz w:val="32"/>
          <w:szCs w:val="32"/>
          <w:shd w:val="clear" w:color="auto" w:fill="FFFFFF"/>
        </w:rPr>
        <w:t>制定了</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财务管理制度》、《</w:t>
      </w:r>
      <w:r>
        <w:rPr>
          <w:rFonts w:hint="eastAsia" w:ascii="楷体_GB2312" w:hAnsi="楷体_GB2312" w:eastAsia="楷体_GB2312" w:cs="楷体_GB2312"/>
          <w:i w:val="0"/>
          <w:iCs w:val="0"/>
          <w:caps w:val="0"/>
          <w:color w:val="555555"/>
          <w:spacing w:val="0"/>
          <w:sz w:val="32"/>
          <w:szCs w:val="32"/>
          <w:shd w:val="clear" w:color="auto" w:fill="FFFFFF"/>
          <w:lang w:eastAsia="zh-CN"/>
        </w:rPr>
        <w:t>公务用车使用管理制度</w:t>
      </w:r>
      <w:r>
        <w:rPr>
          <w:rFonts w:hint="eastAsia" w:ascii="楷体_GB2312" w:hAnsi="楷体_GB2312" w:eastAsia="楷体_GB2312" w:cs="楷体_GB2312"/>
          <w:i w:val="0"/>
          <w:iCs w:val="0"/>
          <w:caps w:val="0"/>
          <w:color w:val="555555"/>
          <w:spacing w:val="0"/>
          <w:sz w:val="32"/>
          <w:szCs w:val="32"/>
          <w:shd w:val="clear" w:color="auto" w:fill="FFFFFF"/>
        </w:rPr>
        <w:t>》</w:t>
      </w:r>
      <w:r>
        <w:rPr>
          <w:rFonts w:hint="eastAsia" w:ascii="楷体_GB2312" w:hAnsi="楷体_GB2312" w:eastAsia="楷体_GB2312" w:cs="楷体_GB2312"/>
          <w:i w:val="0"/>
          <w:iCs w:val="0"/>
          <w:caps w:val="0"/>
          <w:color w:val="555555"/>
          <w:spacing w:val="0"/>
          <w:sz w:val="32"/>
          <w:szCs w:val="32"/>
          <w:shd w:val="clear" w:color="auto" w:fill="FFFFFF"/>
          <w:lang w:eastAsia="zh-CN"/>
        </w:rPr>
        <w:t>等</w:t>
      </w:r>
      <w:r>
        <w:rPr>
          <w:rFonts w:hint="eastAsia" w:ascii="楷体_GB2312" w:hAnsi="楷体_GB2312" w:eastAsia="楷体_GB2312" w:cs="楷体_GB2312"/>
          <w:i w:val="0"/>
          <w:iCs w:val="0"/>
          <w:caps w:val="0"/>
          <w:color w:val="555555"/>
          <w:spacing w:val="0"/>
          <w:sz w:val="32"/>
          <w:szCs w:val="32"/>
          <w:shd w:val="clear" w:color="auto" w:fill="FFFFFF"/>
        </w:rPr>
        <w:t>一系列规章制度，建立了“有章可依、有章必循、违章必究”的管理机制，成立了工作领导小组。</w:t>
      </w:r>
      <w:r>
        <w:rPr>
          <w:rFonts w:hint="eastAsia" w:ascii="楷体_GB2312" w:hAnsi="楷体_GB2312" w:eastAsia="楷体_GB2312" w:cs="楷体_GB2312"/>
          <w:sz w:val="32"/>
          <w:szCs w:val="32"/>
          <w:lang w:val="en-US" w:eastAsia="zh-CN"/>
        </w:rPr>
        <w:t>严格履行报账程序</w:t>
      </w:r>
      <w:r>
        <w:rPr>
          <w:rFonts w:hint="eastAsia" w:ascii="楷体_GB2312" w:hAnsi="楷体_GB2312" w:eastAsia="楷体_GB2312" w:cs="楷体_GB2312"/>
          <w:i w:val="0"/>
          <w:iCs w:val="0"/>
          <w:caps w:val="0"/>
          <w:color w:val="555555"/>
          <w:spacing w:val="0"/>
          <w:sz w:val="32"/>
          <w:szCs w:val="32"/>
          <w:shd w:val="clear" w:color="auto" w:fill="FFFFFF"/>
        </w:rPr>
        <w:t>，强化报销环节管理，认真落实经办人、</w:t>
      </w:r>
      <w:r>
        <w:rPr>
          <w:rFonts w:hint="eastAsia" w:ascii="楷体_GB2312" w:hAnsi="楷体_GB2312" w:eastAsia="楷体_GB2312" w:cs="楷体_GB2312"/>
          <w:i w:val="0"/>
          <w:iCs w:val="0"/>
          <w:caps w:val="0"/>
          <w:color w:val="555555"/>
          <w:spacing w:val="0"/>
          <w:sz w:val="32"/>
          <w:szCs w:val="32"/>
          <w:shd w:val="clear" w:color="auto" w:fill="FFFFFF"/>
          <w:lang w:eastAsia="zh-CN"/>
        </w:rPr>
        <w:t>审核人</w:t>
      </w:r>
      <w:r>
        <w:rPr>
          <w:rFonts w:hint="eastAsia" w:ascii="楷体_GB2312" w:hAnsi="楷体_GB2312" w:eastAsia="楷体_GB2312" w:cs="楷体_GB2312"/>
          <w:i w:val="0"/>
          <w:iCs w:val="0"/>
          <w:caps w:val="0"/>
          <w:color w:val="555555"/>
          <w:spacing w:val="0"/>
          <w:sz w:val="32"/>
          <w:szCs w:val="32"/>
          <w:shd w:val="clear" w:color="auto" w:fill="FFFFFF"/>
        </w:rPr>
        <w:t>、财务管理人员</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领导</w:t>
      </w:r>
      <w:r>
        <w:rPr>
          <w:rFonts w:hint="eastAsia" w:ascii="楷体_GB2312" w:hAnsi="楷体_GB2312" w:eastAsia="楷体_GB2312" w:cs="楷体_GB2312"/>
          <w:i w:val="0"/>
          <w:iCs w:val="0"/>
          <w:caps w:val="0"/>
          <w:color w:val="555555"/>
          <w:spacing w:val="0"/>
          <w:sz w:val="32"/>
          <w:szCs w:val="32"/>
          <w:shd w:val="clear" w:color="auto" w:fill="FFFFFF"/>
          <w:lang w:eastAsia="zh-CN"/>
        </w:rPr>
        <w:t>的</w:t>
      </w:r>
      <w:r>
        <w:rPr>
          <w:rFonts w:hint="eastAsia" w:ascii="楷体_GB2312" w:hAnsi="楷体_GB2312" w:eastAsia="楷体_GB2312" w:cs="楷体_GB2312"/>
          <w:i w:val="0"/>
          <w:iCs w:val="0"/>
          <w:caps w:val="0"/>
          <w:color w:val="555555"/>
          <w:spacing w:val="0"/>
          <w:sz w:val="32"/>
          <w:szCs w:val="32"/>
          <w:shd w:val="clear" w:color="auto" w:fill="FFFFFF"/>
        </w:rPr>
        <w:t>责任，为</w:t>
      </w:r>
      <w:r>
        <w:rPr>
          <w:rFonts w:hint="eastAsia" w:ascii="楷体_GB2312" w:hAnsi="楷体_GB2312" w:eastAsia="楷体_GB2312" w:cs="楷体_GB2312"/>
          <w:i w:val="0"/>
          <w:iCs w:val="0"/>
          <w:caps w:val="0"/>
          <w:color w:val="555555"/>
          <w:spacing w:val="0"/>
          <w:sz w:val="32"/>
          <w:szCs w:val="32"/>
          <w:shd w:val="clear" w:color="auto" w:fill="FFFFFF"/>
          <w:lang w:eastAsia="zh-CN"/>
        </w:rPr>
        <w:t>资金</w:t>
      </w:r>
      <w:r>
        <w:rPr>
          <w:rFonts w:hint="eastAsia" w:ascii="楷体_GB2312" w:hAnsi="楷体_GB2312" w:eastAsia="楷体_GB2312" w:cs="楷体_GB2312"/>
          <w:i w:val="0"/>
          <w:iCs w:val="0"/>
          <w:caps w:val="0"/>
          <w:color w:val="555555"/>
          <w:spacing w:val="0"/>
          <w:sz w:val="32"/>
          <w:szCs w:val="32"/>
          <w:shd w:val="clear" w:color="auto" w:fill="FFFFFF"/>
        </w:rPr>
        <w:t>依法</w:t>
      </w:r>
      <w:r>
        <w:rPr>
          <w:rFonts w:hint="eastAsia" w:ascii="楷体_GB2312" w:hAnsi="楷体_GB2312" w:eastAsia="楷体_GB2312" w:cs="楷体_GB2312"/>
          <w:i w:val="0"/>
          <w:iCs w:val="0"/>
          <w:caps w:val="0"/>
          <w:color w:val="555555"/>
          <w:spacing w:val="0"/>
          <w:sz w:val="32"/>
          <w:szCs w:val="32"/>
          <w:shd w:val="clear" w:color="auto" w:fill="FFFFFF"/>
          <w:lang w:eastAsia="zh-CN"/>
        </w:rPr>
        <w:t>使用和依规</w:t>
      </w:r>
      <w:r>
        <w:rPr>
          <w:rFonts w:hint="eastAsia" w:ascii="楷体_GB2312" w:hAnsi="楷体_GB2312" w:eastAsia="楷体_GB2312" w:cs="楷体_GB2312"/>
          <w:i w:val="0"/>
          <w:iCs w:val="0"/>
          <w:caps w:val="0"/>
          <w:color w:val="555555"/>
          <w:spacing w:val="0"/>
          <w:sz w:val="32"/>
          <w:szCs w:val="32"/>
          <w:shd w:val="clear" w:color="auto" w:fill="FFFFFF"/>
        </w:rPr>
        <w:t>管理营造了良好的组织管理环境。</w:t>
      </w:r>
    </w:p>
    <w:p w14:paraId="4ED328A4">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（5）项目组织实施管理情况：</w:t>
      </w:r>
      <w:r>
        <w:rPr>
          <w:rFonts w:hint="eastAsia" w:ascii="楷体_GB2312" w:hAnsi="楷体_GB2312" w:eastAsia="楷体_GB2312" w:cs="楷体_GB2312"/>
          <w:sz w:val="32"/>
          <w:szCs w:val="32"/>
          <w:lang w:val="en-US" w:eastAsia="zh-CN"/>
        </w:rPr>
        <w:t>会计核算及账务处理等均遵照执行行政单位会计制度，对照项目资金管理办法，实行专款专用。财务处理及时，会计核算规范。  加强预算管理，规范财务行为而制定的管理制度健全完整，制定内部控制制度并成立内控领导小组，制定了《专项资金管理办法》，按照《会计法》，资金专款专用，由业务股室制订项目资金使用计划，分管领导审核，交局党组会议研无截留、挤占、挪用、虚列开支，支出时依据合理合规，无虚列套取。</w:t>
      </w:r>
    </w:p>
    <w:p w14:paraId="7D66A73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（三）</w:t>
      </w:r>
      <w:r>
        <w:rPr>
          <w:rFonts w:hint="eastAsia" w:ascii="楷体_GB2312" w:hAnsi="楷体_GB2312" w:eastAsia="楷体_GB2312" w:cs="楷体_GB2312"/>
          <w:b w:val="0"/>
          <w:bCs w:val="0"/>
          <w:i w:val="0"/>
          <w:iCs w:val="0"/>
          <w:caps w:val="0"/>
          <w:color w:val="000000"/>
          <w:spacing w:val="0"/>
          <w:sz w:val="32"/>
          <w:szCs w:val="32"/>
          <w:shd w:val="clear" w:color="auto" w:fill="FFFFFF"/>
        </w:rPr>
        <w:t>预算绩效目标情况</w:t>
      </w:r>
    </w:p>
    <w:p w14:paraId="08437172">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jc w:val="left"/>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1.绩效目标：</w:t>
      </w:r>
      <w:r>
        <w:rPr>
          <w:rFonts w:hint="eastAsia" w:ascii="楷体_GB2312" w:hAnsi="楷体_GB2312" w:eastAsia="楷体_GB2312" w:cs="楷体_GB2312"/>
          <w:b w:val="0"/>
          <w:bCs w:val="0"/>
          <w:sz w:val="32"/>
          <w:szCs w:val="32"/>
          <w:lang w:val="en-US" w:eastAsia="zh-CN"/>
        </w:rPr>
        <w:t>通过项目过程实时控制，全年较好的完成了各项绩效目标</w:t>
      </w:r>
      <w:r>
        <w:rPr>
          <w:rFonts w:hint="eastAsia" w:ascii="楷体_GB2312" w:hAnsi="楷体_GB2312" w:eastAsia="楷体_GB2312" w:cs="楷体_GB2312"/>
          <w:i w:val="0"/>
          <w:iCs w:val="0"/>
          <w:caps w:val="0"/>
          <w:color w:val="000000"/>
          <w:spacing w:val="0"/>
          <w:sz w:val="32"/>
          <w:szCs w:val="32"/>
          <w:shd w:val="clear" w:color="auto" w:fill="FFFFFF"/>
          <w:lang w:val="en-US" w:eastAsia="zh-CN"/>
        </w:rPr>
        <w:t>。政协委员交通、通讯补助按时发放到位。</w:t>
      </w:r>
    </w:p>
    <w:p w14:paraId="11A5C147">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　2.绩效指标：4</w:t>
      </w:r>
      <w:r>
        <w:rPr>
          <w:rFonts w:hint="eastAsia" w:ascii="楷体_GB2312" w:hAnsi="楷体_GB2312" w:eastAsia="楷体_GB2312" w:cs="楷体_GB2312"/>
          <w:b w:val="0"/>
          <w:bCs w:val="0"/>
          <w:sz w:val="32"/>
          <w:szCs w:val="32"/>
          <w:lang w:val="en-US" w:eastAsia="zh-CN"/>
        </w:rPr>
        <w:t>个一级指标、10个二级指标，12个三级指标按时间截点较好的完成。</w:t>
      </w:r>
    </w:p>
    <w:p w14:paraId="0C9FFAD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p>
    <w:p w14:paraId="1E59B0AC">
      <w:pPr>
        <w:pStyle w:val="7"/>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二、绩效评价工作情况</w:t>
      </w:r>
    </w:p>
    <w:p w14:paraId="102AEE5A">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r>
        <w:rPr>
          <w:rFonts w:hint="eastAsia" w:ascii="楷体_GB2312" w:hAnsi="楷体_GB2312" w:eastAsia="楷体_GB2312" w:cs="楷体_GB2312"/>
          <w:b w:val="0"/>
          <w:bCs w:val="0"/>
          <w:sz w:val="32"/>
          <w:szCs w:val="32"/>
          <w:lang w:val="en-US" w:eastAsia="zh-CN"/>
        </w:rPr>
        <w:t>有效地发挥资金效益，按规定依法依规使用资金。</w:t>
      </w:r>
    </w:p>
    <w:p w14:paraId="7E6A3260">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bookmarkStart w:id="1" w:name="_Toc1184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bookmarkStart w:id="2" w:name="_Toc3183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会同县政协办2023年度政协委员交通通讯补助经费绩效评价。</w:t>
      </w:r>
    </w:p>
    <w:p w14:paraId="76284CDB">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评价原则采用相关性原则、重要性原则、可比性原则、系统性原则等</w:t>
      </w:r>
    </w:p>
    <w:p w14:paraId="1FBE7C82">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评价指标体系根据评价对象设置共性指标（决策管理、投入、项目实施及社会效益、经济效益等）和个性指标（经济效益指标、社会效益指标、生态效益指标及可持续影响指标），定量指标和定性指标。</w:t>
      </w:r>
    </w:p>
    <w:p w14:paraId="1F41D535">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绩效评价方法主要采用计划标准、行业标准和历史标准。</w:t>
      </w:r>
    </w:p>
    <w:p w14:paraId="7AF48EA5">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51730697">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bookmarkStart w:id="3" w:name="_Toc7615"/>
      <w:bookmarkStart w:id="4" w:name="_Toc32076"/>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三、主要绩效及评价结论</w:t>
      </w:r>
      <w:bookmarkEnd w:id="3"/>
      <w:bookmarkEnd w:id="4"/>
    </w:p>
    <w:p w14:paraId="022B0433">
      <w:pPr>
        <w:keepNext w:val="0"/>
        <w:keepLines w:val="0"/>
        <w:pageBreakBefore w:val="0"/>
        <w:widowControl w:val="0"/>
        <w:kinsoku/>
        <w:wordWrap/>
        <w:overflowPunct/>
        <w:topLinePunct w:val="0"/>
        <w:autoSpaceDE/>
        <w:autoSpaceDN/>
        <w:bidi w:val="0"/>
        <w:adjustRightInd/>
        <w:snapToGrid/>
        <w:spacing w:line="360" w:lineRule="auto"/>
        <w:ind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r>
        <w:rPr>
          <w:rFonts w:hint="eastAsia" w:ascii="楷体_GB2312" w:hAnsi="楷体_GB2312" w:eastAsia="楷体_GB2312" w:cs="楷体_GB2312"/>
          <w:b w:val="0"/>
          <w:bCs w:val="0"/>
          <w:sz w:val="32"/>
          <w:szCs w:val="32"/>
          <w:lang w:val="en-US" w:eastAsia="zh-CN"/>
        </w:rPr>
        <w:t>项目实施能在效促进社会发展</w:t>
      </w:r>
      <w:r>
        <w:rPr>
          <w:rFonts w:hint="eastAsia" w:ascii="楷体_GB2312" w:hAnsi="楷体_GB2312" w:eastAsia="楷体_GB2312" w:cs="楷体_GB2312"/>
          <w:b w:val="0"/>
          <w:bCs w:val="0"/>
          <w:color w:val="000000"/>
          <w:kern w:val="0"/>
          <w:sz w:val="32"/>
          <w:szCs w:val="32"/>
          <w:lang w:eastAsia="zh-CN"/>
        </w:rPr>
        <w:t>。</w:t>
      </w:r>
    </w:p>
    <w:p w14:paraId="482E15A6">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r>
        <w:rPr>
          <w:rFonts w:hint="eastAsia" w:ascii="楷体_GB2312" w:hAnsi="楷体_GB2312" w:eastAsia="楷体_GB2312" w:cs="楷体_GB2312"/>
          <w:b w:val="0"/>
          <w:bCs w:val="0"/>
          <w:sz w:val="32"/>
          <w:szCs w:val="32"/>
          <w:lang w:val="en-US" w:eastAsia="zh-CN"/>
        </w:rPr>
        <w:t>项目实施能促进生态发展</w:t>
      </w:r>
    </w:p>
    <w:p w14:paraId="5851E603">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r>
        <w:rPr>
          <w:rFonts w:hint="eastAsia" w:ascii="楷体_GB2312" w:hAnsi="楷体_GB2312" w:eastAsia="楷体_GB2312" w:cs="楷体_GB2312"/>
          <w:b w:val="0"/>
          <w:bCs w:val="0"/>
          <w:sz w:val="32"/>
          <w:szCs w:val="32"/>
          <w:lang w:val="en-US" w:eastAsia="zh-CN"/>
        </w:rPr>
        <w:t>项目实施能保障联系和服务界别群众，从而对可持续发展带来有利影响</w:t>
      </w:r>
      <w:r>
        <w:rPr>
          <w:rFonts w:hint="eastAsia" w:ascii="楷体_GB2312" w:hAnsi="楷体_GB2312" w:eastAsia="楷体_GB2312" w:cs="楷体_GB2312"/>
          <w:b w:val="0"/>
          <w:bCs w:val="0"/>
          <w:color w:val="000000"/>
          <w:kern w:val="0"/>
          <w:sz w:val="32"/>
          <w:szCs w:val="32"/>
          <w:lang w:eastAsia="zh-CN"/>
        </w:rPr>
        <w:t>。</w:t>
      </w:r>
    </w:p>
    <w:p w14:paraId="690CB2AA">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满意度情况：委员</w:t>
      </w:r>
      <w:r>
        <w:rPr>
          <w:rFonts w:hint="eastAsia" w:ascii="楷体_GB2312" w:hAnsi="楷体_GB2312" w:eastAsia="楷体_GB2312" w:cs="楷体_GB2312"/>
          <w:b w:val="0"/>
          <w:bCs w:val="0"/>
          <w:color w:val="000000"/>
          <w:kern w:val="0"/>
          <w:sz w:val="32"/>
          <w:szCs w:val="32"/>
          <w:lang w:val="en-US" w:eastAsia="zh-CN"/>
        </w:rPr>
        <w:t>满意度达95%以上。</w:t>
      </w:r>
    </w:p>
    <w:p w14:paraId="7B653411">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评价结论：评分等级：优　　</w:t>
      </w:r>
      <w:bookmarkStart w:id="28" w:name="_GoBack"/>
      <w:bookmarkEnd w:id="28"/>
      <w:r>
        <w:rPr>
          <w:rFonts w:hint="eastAsia" w:ascii="楷体_GB2312" w:hAnsi="楷体_GB2312" w:eastAsia="楷体_GB2312" w:cs="楷体_GB2312"/>
          <w:color w:val="auto"/>
          <w:kern w:val="0"/>
          <w:sz w:val="32"/>
          <w:szCs w:val="32"/>
          <w:shd w:val="clear" w:color="auto" w:fill="auto"/>
          <w:lang w:val="en-US" w:eastAsia="zh-CN" w:bidi="ar"/>
        </w:rPr>
        <w:t>评分结果：100分</w:t>
      </w:r>
    </w:p>
    <w:p w14:paraId="254AC9BF">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5" w:name="_Toc16332"/>
      <w:bookmarkStart w:id="6" w:name="_Toc27541"/>
    </w:p>
    <w:p w14:paraId="3BAF8919">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四、绩效评价指标分析</w:t>
      </w:r>
      <w:bookmarkEnd w:id="5"/>
      <w:bookmarkEnd w:id="6"/>
    </w:p>
    <w:p w14:paraId="0B19640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bookmarkStart w:id="8" w:name="_Toc28411"/>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政协委员交通通讯补助经费是为保障政协委员在调研、视察等履职过程中，联系群众而发生的交通通讯费用给予一定的补助。</w:t>
      </w:r>
    </w:p>
    <w:p w14:paraId="798421A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28C1C5F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9" w:name="_Toc1014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1.资金管理</w:t>
      </w:r>
      <w:bookmarkEnd w:id="9"/>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：为保障项目的顺利实施，县政协在使用过程中严格按照本单位制定的管理制度执行，资金专款专用。</w:t>
      </w:r>
      <w:r>
        <w:rPr>
          <w:rFonts w:hint="eastAsia" w:ascii="楷体_GB2312" w:hAnsi="楷体_GB2312" w:eastAsia="楷体_GB2312" w:cs="楷体_GB2312"/>
          <w:sz w:val="32"/>
          <w:szCs w:val="32"/>
          <w:lang w:val="en-US" w:eastAsia="zh-CN"/>
        </w:rPr>
        <w:t>无截留、挤占、挪用、虚列开支，支出时依据合理合规，无虚列套取。</w:t>
      </w:r>
    </w:p>
    <w:p w14:paraId="272BB3D9">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0" w:name="_Toc12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2.项目实施</w:t>
      </w:r>
      <w:bookmarkEnd w:id="10"/>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sz w:val="32"/>
          <w:szCs w:val="32"/>
          <w:lang w:val="en-US" w:eastAsia="zh-CN"/>
        </w:rPr>
        <w:t>政协</w:t>
      </w:r>
      <w:r>
        <w:rPr>
          <w:rFonts w:hint="eastAsia" w:ascii="楷体_GB2312" w:hAnsi="楷体_GB2312" w:eastAsia="楷体_GB2312" w:cs="楷体_GB2312"/>
          <w:i w:val="0"/>
          <w:iCs w:val="0"/>
          <w:caps w:val="0"/>
          <w:color w:val="555555"/>
          <w:spacing w:val="0"/>
          <w:sz w:val="32"/>
          <w:szCs w:val="32"/>
          <w:shd w:val="clear" w:color="auto" w:fill="FFFFFF"/>
        </w:rPr>
        <w:t>制定了</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财务管理制度》、《</w:t>
      </w:r>
      <w:r>
        <w:rPr>
          <w:rFonts w:hint="eastAsia" w:ascii="楷体_GB2312" w:hAnsi="楷体_GB2312" w:eastAsia="楷体_GB2312" w:cs="楷体_GB2312"/>
          <w:i w:val="0"/>
          <w:iCs w:val="0"/>
          <w:caps w:val="0"/>
          <w:color w:val="555555"/>
          <w:spacing w:val="0"/>
          <w:sz w:val="32"/>
          <w:szCs w:val="32"/>
          <w:shd w:val="clear" w:color="auto" w:fill="FFFFFF"/>
          <w:lang w:eastAsia="zh-CN"/>
        </w:rPr>
        <w:t>公务用车使用管理制度</w:t>
      </w:r>
      <w:r>
        <w:rPr>
          <w:rFonts w:hint="eastAsia" w:ascii="楷体_GB2312" w:hAnsi="楷体_GB2312" w:eastAsia="楷体_GB2312" w:cs="楷体_GB2312"/>
          <w:i w:val="0"/>
          <w:iCs w:val="0"/>
          <w:caps w:val="0"/>
          <w:color w:val="555555"/>
          <w:spacing w:val="0"/>
          <w:sz w:val="32"/>
          <w:szCs w:val="32"/>
          <w:shd w:val="clear" w:color="auto" w:fill="FFFFFF"/>
        </w:rPr>
        <w:t>》</w:t>
      </w:r>
      <w:r>
        <w:rPr>
          <w:rFonts w:hint="eastAsia" w:ascii="楷体_GB2312" w:hAnsi="楷体_GB2312" w:eastAsia="楷体_GB2312" w:cs="楷体_GB2312"/>
          <w:i w:val="0"/>
          <w:iCs w:val="0"/>
          <w:caps w:val="0"/>
          <w:color w:val="555555"/>
          <w:spacing w:val="0"/>
          <w:sz w:val="32"/>
          <w:szCs w:val="32"/>
          <w:shd w:val="clear" w:color="auto" w:fill="FFFFFF"/>
          <w:lang w:eastAsia="zh-CN"/>
        </w:rPr>
        <w:t>等</w:t>
      </w:r>
      <w:r>
        <w:rPr>
          <w:rFonts w:hint="eastAsia" w:ascii="楷体_GB2312" w:hAnsi="楷体_GB2312" w:eastAsia="楷体_GB2312" w:cs="楷体_GB2312"/>
          <w:i w:val="0"/>
          <w:iCs w:val="0"/>
          <w:caps w:val="0"/>
          <w:color w:val="555555"/>
          <w:spacing w:val="0"/>
          <w:sz w:val="32"/>
          <w:szCs w:val="32"/>
          <w:shd w:val="clear" w:color="auto" w:fill="FFFFFF"/>
        </w:rPr>
        <w:t>一系列规章制度，建立了“有章可依、有章必循、违章必究”的管理机制，成立了工作领导小组。</w:t>
      </w:r>
      <w:r>
        <w:rPr>
          <w:rFonts w:hint="eastAsia" w:ascii="楷体_GB2312" w:hAnsi="楷体_GB2312" w:eastAsia="楷体_GB2312" w:cs="楷体_GB2312"/>
          <w:sz w:val="32"/>
          <w:szCs w:val="32"/>
          <w:lang w:val="en-US" w:eastAsia="zh-CN"/>
        </w:rPr>
        <w:t>严格履行报账程序</w:t>
      </w:r>
      <w:r>
        <w:rPr>
          <w:rFonts w:hint="eastAsia" w:ascii="楷体_GB2312" w:hAnsi="楷体_GB2312" w:eastAsia="楷体_GB2312" w:cs="楷体_GB2312"/>
          <w:i w:val="0"/>
          <w:iCs w:val="0"/>
          <w:caps w:val="0"/>
          <w:color w:val="555555"/>
          <w:spacing w:val="0"/>
          <w:sz w:val="32"/>
          <w:szCs w:val="32"/>
          <w:shd w:val="clear" w:color="auto" w:fill="FFFFFF"/>
        </w:rPr>
        <w:t>，强化报销环节管理，认真落实经办人、</w:t>
      </w:r>
      <w:r>
        <w:rPr>
          <w:rFonts w:hint="eastAsia" w:ascii="楷体_GB2312" w:hAnsi="楷体_GB2312" w:eastAsia="楷体_GB2312" w:cs="楷体_GB2312"/>
          <w:i w:val="0"/>
          <w:iCs w:val="0"/>
          <w:caps w:val="0"/>
          <w:color w:val="555555"/>
          <w:spacing w:val="0"/>
          <w:sz w:val="32"/>
          <w:szCs w:val="32"/>
          <w:shd w:val="clear" w:color="auto" w:fill="FFFFFF"/>
          <w:lang w:eastAsia="zh-CN"/>
        </w:rPr>
        <w:t>审核人</w:t>
      </w:r>
      <w:r>
        <w:rPr>
          <w:rFonts w:hint="eastAsia" w:ascii="楷体_GB2312" w:hAnsi="楷体_GB2312" w:eastAsia="楷体_GB2312" w:cs="楷体_GB2312"/>
          <w:i w:val="0"/>
          <w:iCs w:val="0"/>
          <w:caps w:val="0"/>
          <w:color w:val="555555"/>
          <w:spacing w:val="0"/>
          <w:sz w:val="32"/>
          <w:szCs w:val="32"/>
          <w:shd w:val="clear" w:color="auto" w:fill="FFFFFF"/>
        </w:rPr>
        <w:t>、财务管理人员</w:t>
      </w:r>
      <w:r>
        <w:rPr>
          <w:rFonts w:hint="eastAsia" w:ascii="楷体_GB2312" w:hAnsi="楷体_GB2312" w:eastAsia="楷体_GB2312" w:cs="楷体_GB2312"/>
          <w:i w:val="0"/>
          <w:iCs w:val="0"/>
          <w:caps w:val="0"/>
          <w:color w:val="555555"/>
          <w:spacing w:val="0"/>
          <w:sz w:val="32"/>
          <w:szCs w:val="32"/>
          <w:shd w:val="clear" w:color="auto" w:fill="FFFFFF"/>
          <w:lang w:eastAsia="zh-CN"/>
        </w:rPr>
        <w:t>、</w:t>
      </w:r>
      <w:r>
        <w:rPr>
          <w:rFonts w:hint="eastAsia" w:ascii="楷体_GB2312" w:hAnsi="楷体_GB2312" w:eastAsia="楷体_GB2312" w:cs="楷体_GB2312"/>
          <w:i w:val="0"/>
          <w:iCs w:val="0"/>
          <w:caps w:val="0"/>
          <w:color w:val="555555"/>
          <w:spacing w:val="0"/>
          <w:sz w:val="32"/>
          <w:szCs w:val="32"/>
          <w:shd w:val="clear" w:color="auto" w:fill="FFFFFF"/>
        </w:rPr>
        <w:t>领导</w:t>
      </w:r>
      <w:r>
        <w:rPr>
          <w:rFonts w:hint="eastAsia" w:ascii="楷体_GB2312" w:hAnsi="楷体_GB2312" w:eastAsia="楷体_GB2312" w:cs="楷体_GB2312"/>
          <w:i w:val="0"/>
          <w:iCs w:val="0"/>
          <w:caps w:val="0"/>
          <w:color w:val="555555"/>
          <w:spacing w:val="0"/>
          <w:sz w:val="32"/>
          <w:szCs w:val="32"/>
          <w:shd w:val="clear" w:color="auto" w:fill="FFFFFF"/>
          <w:lang w:eastAsia="zh-CN"/>
        </w:rPr>
        <w:t>的</w:t>
      </w:r>
      <w:r>
        <w:rPr>
          <w:rFonts w:hint="eastAsia" w:ascii="楷体_GB2312" w:hAnsi="楷体_GB2312" w:eastAsia="楷体_GB2312" w:cs="楷体_GB2312"/>
          <w:i w:val="0"/>
          <w:iCs w:val="0"/>
          <w:caps w:val="0"/>
          <w:color w:val="555555"/>
          <w:spacing w:val="0"/>
          <w:sz w:val="32"/>
          <w:szCs w:val="32"/>
          <w:shd w:val="clear" w:color="auto" w:fill="FFFFFF"/>
        </w:rPr>
        <w:t>责任，为</w:t>
      </w:r>
      <w:r>
        <w:rPr>
          <w:rFonts w:hint="eastAsia" w:ascii="楷体_GB2312" w:hAnsi="楷体_GB2312" w:eastAsia="楷体_GB2312" w:cs="楷体_GB2312"/>
          <w:i w:val="0"/>
          <w:iCs w:val="0"/>
          <w:caps w:val="0"/>
          <w:color w:val="555555"/>
          <w:spacing w:val="0"/>
          <w:sz w:val="32"/>
          <w:szCs w:val="32"/>
          <w:shd w:val="clear" w:color="auto" w:fill="FFFFFF"/>
          <w:lang w:eastAsia="zh-CN"/>
        </w:rPr>
        <w:t>资金</w:t>
      </w:r>
      <w:r>
        <w:rPr>
          <w:rFonts w:hint="eastAsia" w:ascii="楷体_GB2312" w:hAnsi="楷体_GB2312" w:eastAsia="楷体_GB2312" w:cs="楷体_GB2312"/>
          <w:i w:val="0"/>
          <w:iCs w:val="0"/>
          <w:caps w:val="0"/>
          <w:color w:val="555555"/>
          <w:spacing w:val="0"/>
          <w:sz w:val="32"/>
          <w:szCs w:val="32"/>
          <w:shd w:val="clear" w:color="auto" w:fill="FFFFFF"/>
        </w:rPr>
        <w:t>依法</w:t>
      </w:r>
      <w:r>
        <w:rPr>
          <w:rFonts w:hint="eastAsia" w:ascii="楷体_GB2312" w:hAnsi="楷体_GB2312" w:eastAsia="楷体_GB2312" w:cs="楷体_GB2312"/>
          <w:i w:val="0"/>
          <w:iCs w:val="0"/>
          <w:caps w:val="0"/>
          <w:color w:val="555555"/>
          <w:spacing w:val="0"/>
          <w:sz w:val="32"/>
          <w:szCs w:val="32"/>
          <w:shd w:val="clear" w:color="auto" w:fill="FFFFFF"/>
          <w:lang w:eastAsia="zh-CN"/>
        </w:rPr>
        <w:t>使用和依规</w:t>
      </w:r>
      <w:r>
        <w:rPr>
          <w:rFonts w:hint="eastAsia" w:ascii="楷体_GB2312" w:hAnsi="楷体_GB2312" w:eastAsia="楷体_GB2312" w:cs="楷体_GB2312"/>
          <w:i w:val="0"/>
          <w:iCs w:val="0"/>
          <w:caps w:val="0"/>
          <w:color w:val="555555"/>
          <w:spacing w:val="0"/>
          <w:sz w:val="32"/>
          <w:szCs w:val="32"/>
          <w:shd w:val="clear" w:color="auto" w:fill="FFFFFF"/>
        </w:rPr>
        <w:t>管理营造了良好的组织管理环境。</w:t>
      </w:r>
      <w:r>
        <w:rPr>
          <w:rFonts w:hint="eastAsia" w:ascii="楷体_GB2312" w:hAnsi="楷体_GB2312" w:eastAsia="楷体_GB2312" w:cs="楷体_GB2312"/>
          <w:sz w:val="32"/>
          <w:szCs w:val="32"/>
          <w:lang w:val="en-US" w:eastAsia="zh-CN"/>
        </w:rPr>
        <w:t>会计核算及账务处理等均遵照执行行政单位会计制度，对照项目资金管理办法，实行专款专用。财务处理及时，会计核算规范。  加强预算管理，规范财务行为而制定的管理制度健全完整，制定内部控制制度并成立内控领导小组，严控把关。资金无截留、挤占、挪用、虚列开支，支出时依据合理合规，无虚列套取。</w:t>
      </w:r>
    </w:p>
    <w:p w14:paraId="29F122B3">
      <w:pPr>
        <w:pStyle w:val="7"/>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1"/>
    </w:p>
    <w:p w14:paraId="42C48B1F">
      <w:pPr>
        <w:pStyle w:val="7"/>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2" w:name="_Toc2074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1.产出数量</w:t>
      </w:r>
      <w:bookmarkEnd w:id="1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w:t>
      </w:r>
      <w:bookmarkStart w:id="13" w:name="_Toc5372"/>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通讯交通补贴发放工作完成率达100%</w:t>
      </w:r>
    </w:p>
    <w:p w14:paraId="233D93CF">
      <w:pPr>
        <w:pStyle w:val="7"/>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2.产出质量</w:t>
      </w:r>
      <w:bookmarkEnd w:id="13"/>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：经费使用准确性达至100%。</w:t>
      </w:r>
    </w:p>
    <w:p w14:paraId="678A31AA">
      <w:pPr>
        <w:pStyle w:val="7"/>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4" w:name="_Toc25948"/>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3.产出成本</w:t>
      </w:r>
      <w:bookmarkEnd w:id="14"/>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：项目成本控制在23.34万元范围之内</w:t>
      </w:r>
    </w:p>
    <w:p w14:paraId="03E7146C">
      <w:pPr>
        <w:pStyle w:val="7"/>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pPr>
      <w:bookmarkStart w:id="15" w:name="_Toc21477"/>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4.产出时效</w:t>
      </w:r>
      <w:bookmarkEnd w:id="15"/>
      <w:r>
        <w:rPr>
          <w:rFonts w:hint="eastAsia" w:ascii="楷体_GB2312" w:hAnsi="楷体_GB2312" w:eastAsia="楷体_GB2312" w:cs="楷体_GB2312"/>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0"/>
          <w:szCs w:val="30"/>
          <w:lang w:val="en-US" w:eastAsia="zh-CN"/>
        </w:rPr>
        <w:t>工作任务2023年12月31日前完成</w:t>
      </w:r>
    </w:p>
    <w:p w14:paraId="7521347B">
      <w:pPr>
        <w:keepNext w:val="0"/>
        <w:keepLines w:val="0"/>
        <w:pageBreakBefore w:val="0"/>
        <w:numPr>
          <w:ilvl w:val="0"/>
          <w:numId w:val="0"/>
        </w:numPr>
        <w:kinsoku/>
        <w:wordWrap/>
        <w:overflowPunct/>
        <w:topLinePunct w:val="0"/>
        <w:autoSpaceDE/>
        <w:autoSpaceDN/>
        <w:bidi w:val="0"/>
        <w:adjustRightInd/>
        <w:snapToGrid/>
        <w:spacing w:line="520" w:lineRule="exact"/>
        <w:ind w:right="0" w:rightChars="0" w:firstLine="548" w:firstLineChars="200"/>
        <w:textAlignment w:val="auto"/>
        <w:rPr>
          <w:rFonts w:hint="eastAsia" w:ascii="楷体_GB2312" w:hAnsi="楷体_GB2312" w:eastAsia="楷体_GB2312" w:cs="楷体_GB2312"/>
          <w:b w:val="0"/>
          <w:bCs w:val="0"/>
          <w:sz w:val="32"/>
          <w:szCs w:val="32"/>
          <w:lang w:val="en-US" w:eastAsia="zh-CN"/>
        </w:rPr>
      </w:pPr>
      <w:bookmarkStart w:id="16" w:name="_Toc3072"/>
      <w:bookmarkStart w:id="17" w:name="_Toc12690"/>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6"/>
      <w:bookmarkEnd w:id="1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充分发挥专项资金效益</w:t>
      </w:r>
      <w:r>
        <w:rPr>
          <w:rFonts w:hint="eastAsia" w:ascii="楷体_GB2312" w:hAnsi="楷体_GB2312" w:eastAsia="楷体_GB2312" w:cs="楷体_GB2312"/>
          <w:b/>
          <w:bCs/>
          <w:sz w:val="32"/>
          <w:szCs w:val="32"/>
          <w:lang w:val="en-US" w:eastAsia="zh-CN"/>
        </w:rPr>
        <w:t>，</w:t>
      </w:r>
      <w:r>
        <w:rPr>
          <w:rFonts w:hint="eastAsia" w:ascii="楷体_GB2312" w:hAnsi="楷体_GB2312" w:eastAsia="楷体_GB2312" w:cs="楷体_GB2312"/>
          <w:b w:val="0"/>
          <w:bCs w:val="0"/>
          <w:sz w:val="32"/>
          <w:szCs w:val="32"/>
          <w:lang w:val="en-US" w:eastAsia="zh-CN"/>
        </w:rPr>
        <w:t>2023年，。</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政协委员在调研、视察等履职过程中，联系群众而发生的交通、通讯费用给予一定的补助。该补助及时准确发放到位，充分调动委员履职的工作积极性，</w:t>
      </w:r>
      <w:r>
        <w:rPr>
          <w:rFonts w:hint="eastAsia" w:ascii="楷体_GB2312" w:hAnsi="楷体_GB2312" w:eastAsia="楷体_GB2312" w:cs="楷体_GB2312"/>
          <w:b w:val="0"/>
          <w:bCs w:val="0"/>
          <w:sz w:val="32"/>
          <w:szCs w:val="32"/>
          <w:lang w:val="en-US" w:eastAsia="zh-CN"/>
        </w:rPr>
        <w:t>从而为县域发展带来明显的经济效益、社会效益、生态效益和可持续发展效益。</w:t>
      </w:r>
    </w:p>
    <w:p w14:paraId="4E2D56BC">
      <w:pPr>
        <w:pStyle w:val="7"/>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14:paraId="3E96C6E6">
      <w:pPr>
        <w:keepNext w:val="0"/>
        <w:keepLines w:val="0"/>
        <w:pageBreakBefore w:val="0"/>
        <w:widowControl w:val="0"/>
        <w:kinsoku/>
        <w:wordWrap/>
        <w:overflowPunct/>
        <w:topLinePunct w:val="0"/>
        <w:autoSpaceDE/>
        <w:autoSpaceDN/>
        <w:bidi w:val="0"/>
        <w:adjustRightInd/>
        <w:snapToGrid w:val="0"/>
        <w:spacing w:line="520" w:lineRule="exact"/>
        <w:ind w:firstLine="643" w:firstLineChars="200"/>
        <w:textAlignment w:val="auto"/>
        <w:outlineLvl w:val="0"/>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pPr>
      <w:bookmarkStart w:id="18" w:name="_Toc390267055"/>
      <w:bookmarkStart w:id="19" w:name="_Toc390096931"/>
      <w:bookmarkStart w:id="20" w:name="_Toc12414"/>
      <w:bookmarkStart w:id="21" w:name="_Toc24241"/>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楷体_GB2312" w:hAnsi="楷体_GB2312" w:eastAsia="楷体_GB2312" w:cs="楷体_GB2312"/>
          <w:b/>
          <w:bCs/>
          <w:i w:val="0"/>
          <w:iCs w:val="0"/>
          <w:caps w:val="0"/>
          <w:color w:val="000000"/>
          <w:spacing w:val="0"/>
          <w:kern w:val="0"/>
          <w:sz w:val="32"/>
          <w:szCs w:val="32"/>
          <w:shd w:val="clear" w:color="auto" w:fill="FFFFFF"/>
          <w:lang w:val="en-US" w:eastAsia="zh-CN" w:bidi="ar"/>
        </w:rPr>
        <w:t>及建议</w:t>
      </w:r>
      <w:bookmarkEnd w:id="20"/>
      <w:bookmarkEnd w:id="21"/>
    </w:p>
    <w:p w14:paraId="2D6008B8">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：对政协委员按界别分组管理，对于积极履职的政协委员在联系群众、开展政协工作时产生的交通通讯费用给予一定的补助。</w:t>
      </w:r>
    </w:p>
    <w:p w14:paraId="275BB1F1">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4" w:name="_Toc2597"/>
      <w:bookmarkStart w:id="25" w:name="_Toc67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r>
        <w:rPr>
          <w:rFonts w:hint="eastAsia" w:ascii="楷体_GB2312" w:hAnsi="楷体_GB2312" w:eastAsia="楷体_GB2312" w:cs="楷体_GB2312"/>
          <w:b w:val="0"/>
          <w:bCs w:val="0"/>
          <w:sz w:val="32"/>
          <w:szCs w:val="32"/>
          <w:lang w:val="en-US" w:eastAsia="zh-CN"/>
        </w:rPr>
        <w:t>满意度指标的准确性和有效性有等提高。</w:t>
      </w:r>
    </w:p>
    <w:p w14:paraId="4EBE0DAD">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bookmarkStart w:id="26" w:name="_Toc16271"/>
      <w:bookmarkStart w:id="27" w:name="_Toc29278"/>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始终要把促进发展作为政协委员履职的第一要务，紧紧围绕推动发展精准建言，注重民主协商的质量，加强民主监督的时效；凝心聚力，汇聚共识。定期开展满意度调查工作，广泛收集委员的意见和建议，确保预算绩效管理中满意度的指标真实。</w:t>
      </w:r>
    </w:p>
    <w:p w14:paraId="2F49F77C">
      <w:pPr>
        <w:rPr>
          <w:rFonts w:hint="eastAsia" w:ascii="楷体_GB2312" w:hAnsi="楷体_GB2312" w:eastAsia="楷体_GB2312" w:cs="楷体_GB2312"/>
        </w:rPr>
      </w:pPr>
    </w:p>
    <w:p w14:paraId="42B94942">
      <w:pPr>
        <w:rPr>
          <w:rFonts w:hint="eastAsia" w:ascii="楷体_GB2312" w:hAnsi="楷体_GB2312" w:eastAsia="楷体_GB2312" w:cs="楷体_GB2312"/>
        </w:rPr>
      </w:pPr>
    </w:p>
    <w:p w14:paraId="1735584E">
      <w:pPr>
        <w:rPr>
          <w:rFonts w:hint="eastAsia" w:ascii="楷体_GB2312" w:hAnsi="楷体_GB2312" w:eastAsia="楷体_GB2312" w:cs="楷体_GB2312"/>
        </w:rPr>
      </w:pPr>
    </w:p>
    <w:p w14:paraId="3BF1D3B9">
      <w:pPr>
        <w:bidi w:val="0"/>
        <w:rPr>
          <w:rFonts w:hint="eastAsia" w:ascii="Times New Roman" w:hAnsi="Times New Roman" w:eastAsia="宋体" w:cs="Times New Roman"/>
          <w:kern w:val="2"/>
          <w:sz w:val="21"/>
          <w:szCs w:val="24"/>
          <w:lang w:val="en-US" w:eastAsia="zh-CN" w:bidi="ar-SA"/>
        </w:rPr>
      </w:pPr>
    </w:p>
    <w:p w14:paraId="77F9551C">
      <w:pPr>
        <w:bidi w:val="0"/>
        <w:rPr>
          <w:rFonts w:hint="eastAsia"/>
          <w:lang w:val="en-US" w:eastAsia="zh-CN"/>
        </w:rPr>
      </w:pPr>
    </w:p>
    <w:p w14:paraId="06149C71">
      <w:pPr>
        <w:bidi w:val="0"/>
        <w:rPr>
          <w:rFonts w:hint="eastAsia"/>
          <w:lang w:val="en-US" w:eastAsia="zh-CN"/>
        </w:rPr>
      </w:pPr>
    </w:p>
    <w:p w14:paraId="599B37BB">
      <w:pPr>
        <w:bidi w:val="0"/>
        <w:rPr>
          <w:rFonts w:hint="eastAsia"/>
          <w:lang w:val="en-US" w:eastAsia="zh-CN"/>
        </w:rPr>
      </w:pPr>
    </w:p>
    <w:p w14:paraId="7F7FC7C2">
      <w:pPr>
        <w:bidi w:val="0"/>
        <w:rPr>
          <w:rFonts w:hint="eastAsia"/>
          <w:lang w:val="en-US" w:eastAsia="zh-CN"/>
        </w:rPr>
      </w:pPr>
    </w:p>
    <w:p w14:paraId="74CFDDB1">
      <w:pPr>
        <w:bidi w:val="0"/>
        <w:rPr>
          <w:rFonts w:hint="eastAsia"/>
          <w:lang w:val="en-US" w:eastAsia="zh-CN"/>
        </w:rPr>
      </w:pPr>
    </w:p>
    <w:p w14:paraId="23E6CD43">
      <w:pPr>
        <w:bidi w:val="0"/>
        <w:rPr>
          <w:rFonts w:hint="eastAsia"/>
          <w:lang w:val="en-US" w:eastAsia="zh-CN"/>
        </w:rPr>
      </w:pPr>
    </w:p>
    <w:p w14:paraId="16C007AC">
      <w:pPr>
        <w:bidi w:val="0"/>
        <w:rPr>
          <w:rFonts w:hint="eastAsia"/>
          <w:lang w:val="en-US" w:eastAsia="zh-CN"/>
        </w:rPr>
      </w:pPr>
    </w:p>
    <w:p w14:paraId="0D6A38B5">
      <w:pPr>
        <w:bidi w:val="0"/>
        <w:rPr>
          <w:rFonts w:hint="eastAsia"/>
          <w:lang w:val="en-US" w:eastAsia="zh-CN"/>
        </w:rPr>
      </w:pPr>
    </w:p>
    <w:p w14:paraId="670E7ACD">
      <w:pPr>
        <w:bidi w:val="0"/>
        <w:rPr>
          <w:rFonts w:hint="eastAsia"/>
          <w:lang w:val="en-US" w:eastAsia="zh-CN"/>
        </w:rPr>
      </w:pPr>
    </w:p>
    <w:p w14:paraId="28BF6B7E">
      <w:pPr>
        <w:bidi w:val="0"/>
        <w:rPr>
          <w:rFonts w:hint="eastAsia"/>
          <w:lang w:val="en-US" w:eastAsia="zh-CN"/>
        </w:rPr>
      </w:pPr>
    </w:p>
    <w:p w14:paraId="0AE7C263">
      <w:pPr>
        <w:bidi w:val="0"/>
        <w:jc w:val="left"/>
        <w:rPr>
          <w:rFonts w:hint="eastAsia"/>
          <w:lang w:val="en-US" w:eastAsia="zh-CN"/>
        </w:rPr>
      </w:pPr>
    </w:p>
    <w:p w14:paraId="5C5955F8">
      <w:pPr>
        <w:pStyle w:val="2"/>
        <w:rPr>
          <w:rFonts w:hint="eastAsia"/>
          <w:lang w:val="en-US" w:eastAsia="zh-CN"/>
        </w:rPr>
      </w:pPr>
    </w:p>
    <w:p w14:paraId="3EE79C38">
      <w:pPr>
        <w:rPr>
          <w:rFonts w:hint="eastAsia"/>
          <w:lang w:val="en-US" w:eastAsia="zh-CN"/>
        </w:rPr>
      </w:pPr>
    </w:p>
    <w:p w14:paraId="2A9252B8">
      <w:pPr>
        <w:pStyle w:val="2"/>
        <w:rPr>
          <w:rFonts w:hint="eastAsia"/>
          <w:lang w:val="en-US" w:eastAsia="zh-CN"/>
        </w:rPr>
      </w:pPr>
    </w:p>
    <w:p w14:paraId="3D9F8333">
      <w:pPr>
        <w:rPr>
          <w:rFonts w:hint="eastAsia"/>
          <w:lang w:val="en-US" w:eastAsia="zh-CN"/>
        </w:rPr>
      </w:pPr>
    </w:p>
    <w:p w14:paraId="27A2F15E">
      <w:pPr>
        <w:pStyle w:val="2"/>
        <w:rPr>
          <w:rFonts w:hint="eastAsia"/>
          <w:lang w:val="en-US" w:eastAsia="zh-CN"/>
        </w:rPr>
      </w:pPr>
    </w:p>
    <w:p w14:paraId="5405B9D7">
      <w:pPr>
        <w:rPr>
          <w:rFonts w:hint="eastAsia"/>
          <w:lang w:val="en-US" w:eastAsia="zh-CN"/>
        </w:rPr>
      </w:pPr>
    </w:p>
    <w:p w14:paraId="404218E4">
      <w:pPr>
        <w:pStyle w:val="2"/>
        <w:rPr>
          <w:rFonts w:hint="eastAsia"/>
          <w:lang w:val="en-US" w:eastAsia="zh-CN"/>
        </w:rPr>
      </w:pPr>
    </w:p>
    <w:p w14:paraId="3CC0E8B1">
      <w:pPr>
        <w:pStyle w:val="2"/>
        <w:ind w:left="0" w:leftChars="0" w:firstLine="0" w:firstLineChars="0"/>
        <w:rPr>
          <w:rFonts w:hint="eastAsia"/>
          <w:lang w:val="en-US" w:eastAsia="zh-CN"/>
        </w:rPr>
      </w:pPr>
    </w:p>
    <w:p w14:paraId="4CCE13C1">
      <w:pPr>
        <w:rPr>
          <w:rFonts w:hint="eastAsia"/>
          <w:lang w:val="en-US" w:eastAsia="zh-CN"/>
        </w:rPr>
      </w:pPr>
    </w:p>
    <w:p w14:paraId="320605B9">
      <w:pPr>
        <w:pStyle w:val="2"/>
        <w:rPr>
          <w:rFonts w:hint="eastAsia"/>
          <w:lang w:val="en-US" w:eastAsia="zh-CN"/>
        </w:rPr>
      </w:pPr>
    </w:p>
    <w:p w14:paraId="285A014A">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p>
    <w:p w14:paraId="0A3BE369">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p>
    <w:p w14:paraId="209C0E6C">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t>项目支出绩效自评表</w:t>
      </w:r>
    </w:p>
    <w:tbl>
      <w:tblPr>
        <w:tblStyle w:val="8"/>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258"/>
        <w:gridCol w:w="1230"/>
        <w:gridCol w:w="950"/>
        <w:gridCol w:w="1254"/>
        <w:gridCol w:w="708"/>
        <w:gridCol w:w="873"/>
        <w:gridCol w:w="1418"/>
      </w:tblGrid>
      <w:tr w14:paraId="5111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14:paraId="1D7359E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5377B00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8"/>
            <w:noWrap w:val="0"/>
            <w:vAlign w:val="center"/>
          </w:tcPr>
          <w:p w14:paraId="5FA77CD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政协委员交通通讯补助经费</w:t>
            </w:r>
          </w:p>
        </w:tc>
      </w:tr>
      <w:tr w14:paraId="4029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14:paraId="33CC6E9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18" w:type="dxa"/>
            <w:gridSpan w:val="4"/>
            <w:noWrap w:val="0"/>
            <w:vAlign w:val="center"/>
          </w:tcPr>
          <w:p w14:paraId="63B5DAC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1C5E3F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2999" w:type="dxa"/>
            <w:gridSpan w:val="3"/>
            <w:noWrap w:val="0"/>
            <w:vAlign w:val="center"/>
          </w:tcPr>
          <w:p w14:paraId="7FAA00F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中国人民政治协商会议湖南省会同县委员会</w:t>
            </w:r>
          </w:p>
        </w:tc>
      </w:tr>
      <w:tr w14:paraId="3365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6C6BD54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338" w:type="dxa"/>
            <w:gridSpan w:val="2"/>
            <w:noWrap w:val="0"/>
            <w:vAlign w:val="center"/>
          </w:tcPr>
          <w:p w14:paraId="035AA77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30" w:type="dxa"/>
            <w:noWrap w:val="0"/>
            <w:vAlign w:val="center"/>
          </w:tcPr>
          <w:p w14:paraId="7CB116F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2F29DD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950" w:type="dxa"/>
            <w:noWrap w:val="0"/>
            <w:vAlign w:val="center"/>
          </w:tcPr>
          <w:p w14:paraId="5AB879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7C8768B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54" w:type="dxa"/>
            <w:noWrap w:val="0"/>
            <w:vAlign w:val="center"/>
          </w:tcPr>
          <w:p w14:paraId="32F95B3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14:paraId="24722AD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708" w:type="dxa"/>
            <w:noWrap w:val="0"/>
            <w:vAlign w:val="center"/>
          </w:tcPr>
          <w:p w14:paraId="6D98C1E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873" w:type="dxa"/>
            <w:noWrap w:val="0"/>
            <w:vAlign w:val="center"/>
          </w:tcPr>
          <w:p w14:paraId="7EE7E20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418" w:type="dxa"/>
            <w:noWrap w:val="0"/>
            <w:vAlign w:val="center"/>
          </w:tcPr>
          <w:p w14:paraId="5C40BEB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14:paraId="48F3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315E67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33B7B8D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230" w:type="dxa"/>
            <w:noWrap w:val="0"/>
            <w:vAlign w:val="center"/>
          </w:tcPr>
          <w:p w14:paraId="330938A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p>
        </w:tc>
        <w:tc>
          <w:tcPr>
            <w:tcW w:w="950" w:type="dxa"/>
            <w:noWrap w:val="0"/>
            <w:vAlign w:val="center"/>
          </w:tcPr>
          <w:p w14:paraId="61E07CF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23.34</w:t>
            </w:r>
          </w:p>
        </w:tc>
        <w:tc>
          <w:tcPr>
            <w:tcW w:w="1254" w:type="dxa"/>
            <w:noWrap w:val="0"/>
            <w:vAlign w:val="center"/>
          </w:tcPr>
          <w:p w14:paraId="448A9E5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23.34</w:t>
            </w:r>
          </w:p>
        </w:tc>
        <w:tc>
          <w:tcPr>
            <w:tcW w:w="708" w:type="dxa"/>
            <w:noWrap w:val="0"/>
            <w:vAlign w:val="center"/>
          </w:tcPr>
          <w:p w14:paraId="185857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w:t>
            </w:r>
          </w:p>
        </w:tc>
        <w:tc>
          <w:tcPr>
            <w:tcW w:w="873" w:type="dxa"/>
            <w:noWrap w:val="0"/>
            <w:vAlign w:val="center"/>
          </w:tcPr>
          <w:p w14:paraId="4F924EC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5570983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r>
      <w:tr w14:paraId="19B2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BA0FDB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341D7AD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230" w:type="dxa"/>
            <w:noWrap w:val="0"/>
            <w:vAlign w:val="center"/>
          </w:tcPr>
          <w:p w14:paraId="0BFB83D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950" w:type="dxa"/>
            <w:noWrap w:val="0"/>
            <w:vAlign w:val="center"/>
          </w:tcPr>
          <w:p w14:paraId="0E5D84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23.34</w:t>
            </w:r>
          </w:p>
        </w:tc>
        <w:tc>
          <w:tcPr>
            <w:tcW w:w="1254" w:type="dxa"/>
            <w:noWrap w:val="0"/>
            <w:vAlign w:val="center"/>
          </w:tcPr>
          <w:p w14:paraId="719794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23.34</w:t>
            </w:r>
          </w:p>
        </w:tc>
        <w:tc>
          <w:tcPr>
            <w:tcW w:w="708" w:type="dxa"/>
            <w:noWrap w:val="0"/>
            <w:vAlign w:val="center"/>
          </w:tcPr>
          <w:p w14:paraId="079F56D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732B5FF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100%</w:t>
            </w:r>
            <w:r>
              <w:rPr>
                <w:rFonts w:hint="eastAsia" w:ascii="仿宋" w:hAnsi="仿宋" w:eastAsia="仿宋" w:cs="仿宋"/>
                <w:color w:val="000000"/>
                <w:kern w:val="0"/>
                <w:sz w:val="20"/>
                <w:szCs w:val="20"/>
              </w:rPr>
              <w:t>　</w:t>
            </w:r>
          </w:p>
        </w:tc>
        <w:tc>
          <w:tcPr>
            <w:tcW w:w="1418" w:type="dxa"/>
            <w:noWrap w:val="0"/>
            <w:vAlign w:val="center"/>
          </w:tcPr>
          <w:p w14:paraId="6AEDAAB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11C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25E8A3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6A114511">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230" w:type="dxa"/>
            <w:noWrap w:val="0"/>
            <w:vAlign w:val="center"/>
          </w:tcPr>
          <w:p w14:paraId="21EE63F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950" w:type="dxa"/>
            <w:noWrap w:val="0"/>
            <w:vAlign w:val="center"/>
          </w:tcPr>
          <w:p w14:paraId="38C49F7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1F963AC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8" w:type="dxa"/>
            <w:noWrap w:val="0"/>
            <w:vAlign w:val="center"/>
          </w:tcPr>
          <w:p w14:paraId="33191B1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4553668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39BFA54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BCB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14:paraId="699EB71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338" w:type="dxa"/>
            <w:gridSpan w:val="2"/>
            <w:noWrap w:val="0"/>
            <w:vAlign w:val="center"/>
          </w:tcPr>
          <w:p w14:paraId="78333214">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230" w:type="dxa"/>
            <w:noWrap w:val="0"/>
            <w:vAlign w:val="center"/>
          </w:tcPr>
          <w:p w14:paraId="6FE3B4D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950" w:type="dxa"/>
            <w:noWrap w:val="0"/>
            <w:vAlign w:val="center"/>
          </w:tcPr>
          <w:p w14:paraId="7BAFD60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54" w:type="dxa"/>
            <w:noWrap w:val="0"/>
            <w:vAlign w:val="center"/>
          </w:tcPr>
          <w:p w14:paraId="6871189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708" w:type="dxa"/>
            <w:noWrap w:val="0"/>
            <w:vAlign w:val="center"/>
          </w:tcPr>
          <w:p w14:paraId="1FC783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14:paraId="1E4BBB8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14:paraId="04705C6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834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noWrap w:val="0"/>
            <w:vAlign w:val="center"/>
          </w:tcPr>
          <w:p w14:paraId="0053062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18" w:type="dxa"/>
            <w:gridSpan w:val="4"/>
            <w:noWrap w:val="0"/>
            <w:vAlign w:val="center"/>
          </w:tcPr>
          <w:p w14:paraId="29CE1CC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noWrap w:val="0"/>
            <w:vAlign w:val="center"/>
          </w:tcPr>
          <w:p w14:paraId="43B78D6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7A7F4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14:paraId="44B574C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4518" w:type="dxa"/>
            <w:gridSpan w:val="4"/>
            <w:noWrap w:val="0"/>
            <w:vAlign w:val="center"/>
          </w:tcPr>
          <w:p w14:paraId="723F9F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认真开展好政协一年一度全体大会，和按照《中国人民政治协商会议章程》开展的视察调研、社情民意等相关工作，给予全体委员一定的交通通迅补助。　　</w:t>
            </w:r>
          </w:p>
        </w:tc>
        <w:tc>
          <w:tcPr>
            <w:tcW w:w="4253" w:type="dxa"/>
            <w:gridSpan w:val="4"/>
            <w:noWrap w:val="0"/>
            <w:vAlign w:val="center"/>
          </w:tcPr>
          <w:p w14:paraId="51CF738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认真开展好政协一年一度全体大会，和按照《中国人民政治协商会议章程》开展的视察调研、社情民意等相关工作，给予全体委员一定的交通通迅补助。</w:t>
            </w:r>
          </w:p>
        </w:tc>
      </w:tr>
      <w:tr w14:paraId="086B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3D6B526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7805667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22978CA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556BEBF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14:paraId="513ABF9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258" w:type="dxa"/>
            <w:noWrap w:val="0"/>
            <w:vAlign w:val="center"/>
          </w:tcPr>
          <w:p w14:paraId="0D28CE9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230" w:type="dxa"/>
            <w:noWrap w:val="0"/>
            <w:vAlign w:val="center"/>
          </w:tcPr>
          <w:p w14:paraId="363D79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950" w:type="dxa"/>
            <w:noWrap w:val="0"/>
            <w:vAlign w:val="center"/>
          </w:tcPr>
          <w:p w14:paraId="3C006AB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3115350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254" w:type="dxa"/>
            <w:noWrap w:val="0"/>
            <w:vAlign w:val="center"/>
          </w:tcPr>
          <w:p w14:paraId="19E9C0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31810D1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08" w:type="dxa"/>
            <w:noWrap w:val="0"/>
            <w:vAlign w:val="center"/>
          </w:tcPr>
          <w:p w14:paraId="1D736BA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3" w:type="dxa"/>
            <w:noWrap w:val="0"/>
            <w:vAlign w:val="center"/>
          </w:tcPr>
          <w:p w14:paraId="0CD28EC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18" w:type="dxa"/>
            <w:noWrap w:val="0"/>
            <w:vAlign w:val="center"/>
          </w:tcPr>
          <w:p w14:paraId="3389320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49975B9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7CFB4A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30607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continue"/>
            <w:noWrap w:val="0"/>
            <w:vAlign w:val="center"/>
          </w:tcPr>
          <w:p w14:paraId="2242143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noWrap w:val="0"/>
            <w:vAlign w:val="center"/>
          </w:tcPr>
          <w:p w14:paraId="6B25D73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18"/>
                <w:szCs w:val="18"/>
              </w:rPr>
              <w:t>投入管理指标</w:t>
            </w:r>
            <w:r>
              <w:rPr>
                <w:rFonts w:hint="eastAsia" w:ascii="仿宋" w:hAnsi="仿宋" w:eastAsia="仿宋" w:cs="仿宋"/>
                <w:color w:val="000000"/>
                <w:kern w:val="0"/>
                <w:sz w:val="15"/>
                <w:szCs w:val="15"/>
              </w:rPr>
              <w:t>（10分）</w:t>
            </w:r>
          </w:p>
        </w:tc>
        <w:tc>
          <w:tcPr>
            <w:tcW w:w="1258" w:type="dxa"/>
            <w:noWrap w:val="0"/>
            <w:vAlign w:val="center"/>
          </w:tcPr>
          <w:p w14:paraId="651536B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预算管理    （10分）</w:t>
            </w:r>
          </w:p>
        </w:tc>
        <w:tc>
          <w:tcPr>
            <w:tcW w:w="1230" w:type="dxa"/>
            <w:noWrap w:val="0"/>
            <w:vAlign w:val="center"/>
          </w:tcPr>
          <w:p w14:paraId="35CF41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预算执行率</w:t>
            </w:r>
          </w:p>
        </w:tc>
        <w:tc>
          <w:tcPr>
            <w:tcW w:w="950" w:type="dxa"/>
            <w:noWrap w:val="0"/>
            <w:vAlign w:val="center"/>
          </w:tcPr>
          <w:p w14:paraId="4C32665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100%</w:t>
            </w:r>
          </w:p>
        </w:tc>
        <w:tc>
          <w:tcPr>
            <w:tcW w:w="1254" w:type="dxa"/>
            <w:noWrap w:val="0"/>
            <w:vAlign w:val="center"/>
          </w:tcPr>
          <w:p w14:paraId="231B8D6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100%</w:t>
            </w:r>
          </w:p>
        </w:tc>
        <w:tc>
          <w:tcPr>
            <w:tcW w:w="708" w:type="dxa"/>
            <w:noWrap w:val="0"/>
            <w:vAlign w:val="center"/>
          </w:tcPr>
          <w:p w14:paraId="120409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873" w:type="dxa"/>
            <w:noWrap w:val="0"/>
            <w:vAlign w:val="center"/>
          </w:tcPr>
          <w:p w14:paraId="4D80879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tc>
        <w:tc>
          <w:tcPr>
            <w:tcW w:w="1418" w:type="dxa"/>
            <w:noWrap w:val="0"/>
            <w:vAlign w:val="center"/>
          </w:tcPr>
          <w:p w14:paraId="231D073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r>
      <w:tr w14:paraId="1162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3A33B2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6B84D72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22FE949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r>
              <w:rPr>
                <w:rFonts w:hint="eastAsia" w:ascii="仿宋" w:hAnsi="仿宋" w:eastAsia="仿宋" w:cs="仿宋"/>
                <w:color w:val="000000"/>
                <w:kern w:val="0"/>
                <w:sz w:val="20"/>
                <w:szCs w:val="20"/>
                <w:lang w:eastAsia="zh-CN"/>
              </w:rPr>
              <w:t>）</w:t>
            </w:r>
          </w:p>
        </w:tc>
        <w:tc>
          <w:tcPr>
            <w:tcW w:w="1258" w:type="dxa"/>
            <w:noWrap w:val="0"/>
            <w:vAlign w:val="center"/>
          </w:tcPr>
          <w:p w14:paraId="08FFD83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230" w:type="dxa"/>
            <w:noWrap w:val="0"/>
            <w:vAlign w:val="center"/>
          </w:tcPr>
          <w:p w14:paraId="5CB6B5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通讯交通补贴发放工作完成率</w:t>
            </w:r>
          </w:p>
        </w:tc>
        <w:tc>
          <w:tcPr>
            <w:tcW w:w="950" w:type="dxa"/>
            <w:noWrap w:val="0"/>
            <w:vAlign w:val="center"/>
          </w:tcPr>
          <w:p w14:paraId="033A0DB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254" w:type="dxa"/>
            <w:noWrap w:val="0"/>
            <w:vAlign w:val="center"/>
          </w:tcPr>
          <w:p w14:paraId="41AE40B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708" w:type="dxa"/>
            <w:noWrap w:val="0"/>
            <w:vAlign w:val="center"/>
          </w:tcPr>
          <w:p w14:paraId="27F136A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05E686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5AF453E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6E63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78FE02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B67B59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5F08AE5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230" w:type="dxa"/>
            <w:noWrap w:val="0"/>
            <w:vAlign w:val="center"/>
          </w:tcPr>
          <w:p w14:paraId="7491443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经费使用准确性</w:t>
            </w:r>
          </w:p>
        </w:tc>
        <w:tc>
          <w:tcPr>
            <w:tcW w:w="950" w:type="dxa"/>
            <w:noWrap w:val="0"/>
            <w:vAlign w:val="center"/>
          </w:tcPr>
          <w:p w14:paraId="2C00132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100%</w:t>
            </w:r>
            <w:r>
              <w:rPr>
                <w:rFonts w:hint="eastAsia" w:ascii="仿宋" w:hAnsi="仿宋" w:eastAsia="仿宋" w:cs="仿宋"/>
                <w:color w:val="000000"/>
                <w:kern w:val="0"/>
                <w:sz w:val="20"/>
                <w:szCs w:val="20"/>
              </w:rPr>
              <w:t>　</w:t>
            </w:r>
          </w:p>
        </w:tc>
        <w:tc>
          <w:tcPr>
            <w:tcW w:w="1254" w:type="dxa"/>
            <w:noWrap w:val="0"/>
            <w:vAlign w:val="center"/>
          </w:tcPr>
          <w:p w14:paraId="58F5C71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708" w:type="dxa"/>
            <w:noWrap w:val="0"/>
            <w:vAlign w:val="center"/>
          </w:tcPr>
          <w:p w14:paraId="52CF96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708C7D9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47BB256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A26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120D17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4581D6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5BDBB6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230" w:type="dxa"/>
            <w:noWrap w:val="0"/>
            <w:vAlign w:val="center"/>
          </w:tcPr>
          <w:p w14:paraId="0077DF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完成及时率</w:t>
            </w:r>
          </w:p>
        </w:tc>
        <w:tc>
          <w:tcPr>
            <w:tcW w:w="950" w:type="dxa"/>
            <w:noWrap w:val="0"/>
            <w:vAlign w:val="center"/>
          </w:tcPr>
          <w:p w14:paraId="517BBF7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254" w:type="dxa"/>
            <w:noWrap w:val="0"/>
            <w:vAlign w:val="center"/>
          </w:tcPr>
          <w:p w14:paraId="7457540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　　　　　　　　　　　　　　　　　　　　　　　　　　　　　　　　　　　　　　　　　　　　　　　　　　　　　　　　　　　　　　　　　　　　　　　　　　　　　　　　　　　</w:t>
            </w:r>
          </w:p>
        </w:tc>
        <w:tc>
          <w:tcPr>
            <w:tcW w:w="708" w:type="dxa"/>
            <w:noWrap w:val="0"/>
            <w:vAlign w:val="center"/>
          </w:tcPr>
          <w:p w14:paraId="559F063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6C19B9B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6D3EFD4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10AC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253B8D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359DC8B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vMerge w:val="restart"/>
            <w:noWrap w:val="0"/>
            <w:vAlign w:val="center"/>
          </w:tcPr>
          <w:p w14:paraId="209D30D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230" w:type="dxa"/>
            <w:noWrap w:val="0"/>
            <w:vAlign w:val="center"/>
          </w:tcPr>
          <w:p w14:paraId="0DB5B1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项目成本</w:t>
            </w:r>
          </w:p>
        </w:tc>
        <w:tc>
          <w:tcPr>
            <w:tcW w:w="950" w:type="dxa"/>
            <w:noWrap w:val="0"/>
            <w:vAlign w:val="center"/>
          </w:tcPr>
          <w:p w14:paraId="3D84720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23.34万元</w:t>
            </w:r>
          </w:p>
        </w:tc>
        <w:tc>
          <w:tcPr>
            <w:tcW w:w="1254" w:type="dxa"/>
            <w:noWrap w:val="0"/>
            <w:vAlign w:val="center"/>
          </w:tcPr>
          <w:p w14:paraId="082C76C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23.34万元</w:t>
            </w:r>
          </w:p>
        </w:tc>
        <w:tc>
          <w:tcPr>
            <w:tcW w:w="708" w:type="dxa"/>
            <w:noWrap w:val="0"/>
            <w:vAlign w:val="center"/>
          </w:tcPr>
          <w:p w14:paraId="69D902E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10</w:t>
            </w:r>
          </w:p>
        </w:tc>
        <w:tc>
          <w:tcPr>
            <w:tcW w:w="873" w:type="dxa"/>
            <w:noWrap w:val="0"/>
            <w:vAlign w:val="center"/>
          </w:tcPr>
          <w:p w14:paraId="33B2F0B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3D6654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r w14:paraId="1481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F6D4C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2B9E54E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vMerge w:val="continue"/>
            <w:noWrap w:val="0"/>
            <w:vAlign w:val="center"/>
          </w:tcPr>
          <w:p w14:paraId="145D474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230" w:type="dxa"/>
            <w:noWrap w:val="0"/>
            <w:vAlign w:val="center"/>
          </w:tcPr>
          <w:p w14:paraId="661A363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社会成本节约率</w:t>
            </w:r>
          </w:p>
        </w:tc>
        <w:tc>
          <w:tcPr>
            <w:tcW w:w="950" w:type="dxa"/>
            <w:noWrap w:val="0"/>
            <w:vAlign w:val="center"/>
          </w:tcPr>
          <w:p w14:paraId="3FC4D39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　0%　　</w:t>
            </w:r>
          </w:p>
        </w:tc>
        <w:tc>
          <w:tcPr>
            <w:tcW w:w="1254" w:type="dxa"/>
            <w:noWrap w:val="0"/>
            <w:vAlign w:val="center"/>
          </w:tcPr>
          <w:p w14:paraId="3DDE208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0%　</w:t>
            </w:r>
          </w:p>
        </w:tc>
        <w:tc>
          <w:tcPr>
            <w:tcW w:w="708" w:type="dxa"/>
            <w:noWrap w:val="0"/>
            <w:vAlign w:val="center"/>
          </w:tcPr>
          <w:p w14:paraId="4CC9CC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65B5934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5FFE0EE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r w14:paraId="335D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CCE505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7EA756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vMerge w:val="continue"/>
            <w:noWrap w:val="0"/>
            <w:vAlign w:val="center"/>
          </w:tcPr>
          <w:p w14:paraId="39A100C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230" w:type="dxa"/>
            <w:noWrap w:val="0"/>
            <w:vAlign w:val="center"/>
          </w:tcPr>
          <w:p w14:paraId="111545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生态环境成本节约率</w:t>
            </w:r>
          </w:p>
        </w:tc>
        <w:tc>
          <w:tcPr>
            <w:tcW w:w="950" w:type="dxa"/>
            <w:noWrap w:val="0"/>
            <w:vAlign w:val="center"/>
          </w:tcPr>
          <w:p w14:paraId="1A5B027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0%</w:t>
            </w:r>
          </w:p>
        </w:tc>
        <w:tc>
          <w:tcPr>
            <w:tcW w:w="1254" w:type="dxa"/>
            <w:noWrap w:val="0"/>
            <w:vAlign w:val="center"/>
          </w:tcPr>
          <w:p w14:paraId="2B95A51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eastAsia="zh-CN"/>
              </w:rPr>
              <w:t>　</w:t>
            </w:r>
            <w:r>
              <w:rPr>
                <w:rFonts w:hint="eastAsia" w:ascii="仿宋" w:hAnsi="仿宋" w:eastAsia="仿宋" w:cs="仿宋"/>
                <w:color w:val="000000"/>
                <w:kern w:val="0"/>
                <w:sz w:val="20"/>
                <w:szCs w:val="20"/>
                <w:lang w:val="en-US" w:eastAsia="zh-CN"/>
              </w:rPr>
              <w:t>0%　</w:t>
            </w:r>
          </w:p>
        </w:tc>
        <w:tc>
          <w:tcPr>
            <w:tcW w:w="708" w:type="dxa"/>
            <w:noWrap w:val="0"/>
            <w:vAlign w:val="center"/>
          </w:tcPr>
          <w:p w14:paraId="540D2EF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4362288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0050808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DEC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CFF785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14:paraId="1591204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1325D27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258" w:type="dxa"/>
            <w:noWrap w:val="0"/>
            <w:vAlign w:val="center"/>
          </w:tcPr>
          <w:p w14:paraId="5F37D20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43FE064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30" w:type="dxa"/>
            <w:noWrap w:val="0"/>
            <w:vAlign w:val="center"/>
          </w:tcPr>
          <w:p w14:paraId="3105A60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发挥专项资金效益</w:t>
            </w:r>
          </w:p>
        </w:tc>
        <w:tc>
          <w:tcPr>
            <w:tcW w:w="950" w:type="dxa"/>
            <w:noWrap w:val="0"/>
            <w:vAlign w:val="center"/>
          </w:tcPr>
          <w:p w14:paraId="67AA877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效果明显</w:t>
            </w:r>
          </w:p>
        </w:tc>
        <w:tc>
          <w:tcPr>
            <w:tcW w:w="1254" w:type="dxa"/>
            <w:noWrap w:val="0"/>
            <w:vAlign w:val="center"/>
          </w:tcPr>
          <w:p w14:paraId="7056E95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效果明显</w:t>
            </w:r>
          </w:p>
        </w:tc>
        <w:tc>
          <w:tcPr>
            <w:tcW w:w="708" w:type="dxa"/>
            <w:noWrap w:val="0"/>
            <w:vAlign w:val="center"/>
          </w:tcPr>
          <w:p w14:paraId="56CBF9C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52682FD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732523A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979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5494DA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39AC8C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147E8FF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6744D5E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30" w:type="dxa"/>
            <w:noWrap w:val="0"/>
            <w:vAlign w:val="center"/>
          </w:tcPr>
          <w:p w14:paraId="3C10D99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社会效益</w:t>
            </w:r>
          </w:p>
        </w:tc>
        <w:tc>
          <w:tcPr>
            <w:tcW w:w="950" w:type="dxa"/>
            <w:noWrap w:val="0"/>
            <w:vAlign w:val="center"/>
          </w:tcPr>
          <w:p w14:paraId="28B7160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4E43B90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5F1C1F0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455C99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7002409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ED1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FEE415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14:paraId="14E8C49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4347DAD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34BD216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30" w:type="dxa"/>
            <w:noWrap w:val="0"/>
            <w:vAlign w:val="center"/>
          </w:tcPr>
          <w:p w14:paraId="32A9FA7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生态效益</w:t>
            </w:r>
          </w:p>
        </w:tc>
        <w:tc>
          <w:tcPr>
            <w:tcW w:w="950" w:type="dxa"/>
            <w:noWrap w:val="0"/>
            <w:vAlign w:val="center"/>
          </w:tcPr>
          <w:p w14:paraId="1E2D5B5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5AC24A4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170039A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873" w:type="dxa"/>
            <w:noWrap w:val="0"/>
            <w:vAlign w:val="center"/>
          </w:tcPr>
          <w:p w14:paraId="6ABC3AC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418" w:type="dxa"/>
            <w:noWrap w:val="0"/>
            <w:vAlign w:val="center"/>
          </w:tcPr>
          <w:p w14:paraId="0FD550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489C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D1415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vMerge w:val="continue"/>
            <w:noWrap w:val="0"/>
            <w:vAlign w:val="center"/>
          </w:tcPr>
          <w:p w14:paraId="05DE94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58" w:type="dxa"/>
            <w:noWrap w:val="0"/>
            <w:vAlign w:val="center"/>
          </w:tcPr>
          <w:p w14:paraId="45F8D00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230" w:type="dxa"/>
            <w:noWrap w:val="0"/>
            <w:vAlign w:val="center"/>
          </w:tcPr>
          <w:p w14:paraId="1B58356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w:t>
            </w:r>
          </w:p>
        </w:tc>
        <w:tc>
          <w:tcPr>
            <w:tcW w:w="950" w:type="dxa"/>
            <w:noWrap w:val="0"/>
            <w:vAlign w:val="center"/>
          </w:tcPr>
          <w:p w14:paraId="44DB661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1254" w:type="dxa"/>
            <w:noWrap w:val="0"/>
            <w:vAlign w:val="center"/>
          </w:tcPr>
          <w:p w14:paraId="146B3C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效果明显</w:t>
            </w:r>
            <w:r>
              <w:rPr>
                <w:rFonts w:hint="eastAsia" w:ascii="仿宋" w:hAnsi="仿宋" w:eastAsia="仿宋" w:cs="仿宋"/>
                <w:color w:val="000000"/>
                <w:kern w:val="0"/>
                <w:sz w:val="20"/>
                <w:szCs w:val="20"/>
              </w:rPr>
              <w:t>　</w:t>
            </w:r>
          </w:p>
        </w:tc>
        <w:tc>
          <w:tcPr>
            <w:tcW w:w="708" w:type="dxa"/>
            <w:noWrap w:val="0"/>
            <w:vAlign w:val="center"/>
          </w:tcPr>
          <w:p w14:paraId="104FA7D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14:paraId="16E8224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0C7BBF0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ED5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604F70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14:paraId="14D9BC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7150C30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63769A1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258" w:type="dxa"/>
            <w:noWrap w:val="0"/>
            <w:vAlign w:val="center"/>
          </w:tcPr>
          <w:p w14:paraId="5635C53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230" w:type="dxa"/>
            <w:noWrap w:val="0"/>
            <w:vAlign w:val="center"/>
          </w:tcPr>
          <w:p w14:paraId="063CF8B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委员</w:t>
            </w:r>
            <w:r>
              <w:rPr>
                <w:rFonts w:hint="eastAsia" w:ascii="仿宋" w:hAnsi="仿宋" w:eastAsia="仿宋" w:cs="仿宋"/>
                <w:color w:val="000000"/>
                <w:kern w:val="0"/>
                <w:sz w:val="20"/>
                <w:szCs w:val="20"/>
              </w:rPr>
              <w:t>满意度</w:t>
            </w:r>
          </w:p>
        </w:tc>
        <w:tc>
          <w:tcPr>
            <w:tcW w:w="950" w:type="dxa"/>
            <w:noWrap w:val="0"/>
            <w:vAlign w:val="center"/>
          </w:tcPr>
          <w:p w14:paraId="10AB25F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1254" w:type="dxa"/>
            <w:noWrap w:val="0"/>
            <w:vAlign w:val="center"/>
          </w:tcPr>
          <w:p w14:paraId="7BD41F1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95%</w:t>
            </w:r>
          </w:p>
        </w:tc>
        <w:tc>
          <w:tcPr>
            <w:tcW w:w="708" w:type="dxa"/>
            <w:noWrap w:val="0"/>
            <w:vAlign w:val="center"/>
          </w:tcPr>
          <w:p w14:paraId="27C9CBF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　10</w:t>
            </w:r>
            <w:r>
              <w:rPr>
                <w:rFonts w:hint="eastAsia" w:ascii="仿宋" w:hAnsi="仿宋" w:eastAsia="仿宋" w:cs="仿宋"/>
                <w:color w:val="000000"/>
                <w:kern w:val="0"/>
                <w:sz w:val="20"/>
                <w:szCs w:val="20"/>
              </w:rPr>
              <w:t>　</w:t>
            </w:r>
          </w:p>
        </w:tc>
        <w:tc>
          <w:tcPr>
            <w:tcW w:w="873" w:type="dxa"/>
            <w:noWrap w:val="0"/>
            <w:vAlign w:val="center"/>
          </w:tcPr>
          <w:p w14:paraId="3588428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1418" w:type="dxa"/>
            <w:noWrap w:val="0"/>
            <w:vAlign w:val="center"/>
          </w:tcPr>
          <w:p w14:paraId="52440DE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5BF3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52" w:type="dxa"/>
            <w:gridSpan w:val="6"/>
            <w:noWrap w:val="0"/>
            <w:vAlign w:val="center"/>
          </w:tcPr>
          <w:p w14:paraId="22C1D3A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08" w:type="dxa"/>
            <w:noWrap w:val="0"/>
            <w:vAlign w:val="center"/>
          </w:tcPr>
          <w:p w14:paraId="2C9309D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3" w:type="dxa"/>
            <w:noWrap w:val="0"/>
            <w:vAlign w:val="center"/>
          </w:tcPr>
          <w:p w14:paraId="30CAD33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14:paraId="6EC0C0E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r>
    </w:tbl>
    <w:p w14:paraId="36507684">
      <w:pPr>
        <w:widowControl w:val="0"/>
        <w:kinsoku/>
        <w:autoSpaceDE/>
        <w:autoSpaceDN/>
        <w:adjustRightInd/>
        <w:snapToGrid/>
        <w:spacing w:line="600" w:lineRule="exact"/>
        <w:jc w:val="both"/>
        <w:textAlignment w:val="auto"/>
        <w:rPr>
          <w:rFonts w:hint="default"/>
          <w:lang w:val="en-US" w:eastAsia="zh-CN"/>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填报日期：</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ascii="Times New Roman" w:hAnsi="Times New Roman" w:eastAsia="仿宋_GB2312" w:cs="Times New Roman"/>
          <w:snapToGrid/>
          <w:color w:val="000000"/>
          <w:kern w:val="0"/>
          <w:sz w:val="24"/>
          <w:szCs w:val="24"/>
          <w:lang w:val="en-US" w:eastAsia="zh-CN" w:bidi="ar-SA"/>
        </w:rPr>
        <w:t xml:space="preserve"> </w:t>
      </w:r>
    </w:p>
    <w:p w14:paraId="54EA8F75">
      <w:pPr>
        <w:pStyle w:val="5"/>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eastAsia" w:ascii="黑体" w:hAnsi="黑体" w:eastAsia="黑体" w:cs="黑体"/>
          <w:b w:val="0"/>
          <w:bCs/>
          <w:sz w:val="32"/>
          <w:szCs w:val="32"/>
          <w:shd w:val="clear" w:color="auto" w:fill="auto"/>
          <w:lang w:eastAsia="zh-CN"/>
        </w:rPr>
      </w:pPr>
    </w:p>
    <w:p w14:paraId="210B0D57">
      <w:pPr>
        <w:pStyle w:val="5"/>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eastAsia" w:ascii="黑体" w:hAnsi="黑体" w:eastAsia="黑体" w:cs="黑体"/>
          <w:b w:val="0"/>
          <w:bCs/>
          <w:sz w:val="32"/>
          <w:szCs w:val="32"/>
          <w:shd w:val="clear" w:color="auto" w:fill="auto"/>
          <w:lang w:eastAsia="zh-CN"/>
        </w:rPr>
      </w:pPr>
    </w:p>
    <w:p w14:paraId="303CDAD1">
      <w:pPr>
        <w:pStyle w:val="5"/>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eastAsia" w:ascii="黑体" w:hAnsi="黑体" w:eastAsia="黑体" w:cs="黑体"/>
          <w:b w:val="0"/>
          <w:bCs/>
          <w:sz w:val="32"/>
          <w:szCs w:val="32"/>
          <w:shd w:val="clear" w:color="auto" w:fill="auto"/>
          <w:lang w:eastAsia="zh-CN"/>
        </w:rPr>
      </w:pPr>
    </w:p>
    <w:p w14:paraId="721F2E02">
      <w:pPr>
        <w:pStyle w:val="5"/>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eastAsia" w:ascii="黑体" w:hAnsi="黑体" w:eastAsia="黑体" w:cs="黑体"/>
          <w:b w:val="0"/>
          <w:bCs/>
          <w:sz w:val="32"/>
          <w:szCs w:val="32"/>
          <w:shd w:val="clear" w:color="auto" w:fill="auto"/>
          <w:lang w:eastAsia="zh-CN"/>
        </w:rPr>
      </w:pPr>
    </w:p>
    <w:p w14:paraId="76544A69">
      <w:pPr>
        <w:pStyle w:val="5"/>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eastAsia" w:ascii="黑体" w:hAnsi="黑体" w:eastAsia="黑体" w:cs="黑体"/>
          <w:b w:val="0"/>
          <w:bCs/>
          <w:sz w:val="32"/>
          <w:szCs w:val="32"/>
          <w:shd w:val="clear" w:color="auto" w:fill="auto"/>
          <w:lang w:eastAsia="zh-CN"/>
        </w:rPr>
      </w:pPr>
    </w:p>
    <w:p w14:paraId="37B0442F">
      <w:pPr>
        <w:pStyle w:val="5"/>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eastAsia" w:ascii="黑体" w:hAnsi="黑体" w:eastAsia="黑体" w:cs="黑体"/>
          <w:b w:val="0"/>
          <w:bCs/>
          <w:sz w:val="32"/>
          <w:szCs w:val="32"/>
          <w:shd w:val="clear" w:color="auto" w:fill="auto"/>
          <w:lang w:eastAsia="zh-CN"/>
        </w:rPr>
      </w:pPr>
    </w:p>
    <w:p w14:paraId="4EF35ACB">
      <w:pPr>
        <w:pStyle w:val="5"/>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eastAsia" w:ascii="黑体" w:hAnsi="黑体" w:eastAsia="黑体" w:cs="黑体"/>
          <w:b w:val="0"/>
          <w:bCs/>
          <w:sz w:val="32"/>
          <w:szCs w:val="32"/>
          <w:shd w:val="clear" w:color="auto" w:fill="auto"/>
          <w:lang w:eastAsia="zh-CN"/>
        </w:rPr>
      </w:pPr>
    </w:p>
    <w:p w14:paraId="221CD6CF">
      <w:pPr>
        <w:pStyle w:val="5"/>
        <w:keepNext w:val="0"/>
        <w:keepLines w:val="0"/>
        <w:pageBreakBefore w:val="0"/>
        <w:widowControl w:val="0"/>
        <w:kinsoku/>
        <w:wordWrap/>
        <w:overflowPunct/>
        <w:topLinePunct w:val="0"/>
        <w:autoSpaceDE/>
        <w:autoSpaceDN/>
        <w:bidi w:val="0"/>
        <w:adjustRightInd/>
        <w:snapToGrid/>
        <w:spacing w:line="600" w:lineRule="atLeast"/>
        <w:ind w:left="0" w:leftChars="0" w:firstLine="0" w:firstLineChars="0"/>
        <w:textAlignment w:val="auto"/>
        <w:rPr>
          <w:rFonts w:hint="eastAsia" w:ascii="黑体" w:hAnsi="黑体" w:eastAsia="黑体" w:cs="黑体"/>
          <w:b w:val="0"/>
          <w:bCs/>
          <w:sz w:val="32"/>
          <w:szCs w:val="32"/>
          <w:shd w:val="clear" w:color="auto" w:fill="auto"/>
          <w:lang w:eastAsia="zh-CN"/>
        </w:rPr>
      </w:pPr>
    </w:p>
    <w:p w14:paraId="3CC7DAF0">
      <w:pPr>
        <w:pStyle w:val="2"/>
        <w:ind w:left="0" w:leftChars="0" w:firstLine="0" w:firstLineChars="0"/>
        <w:rPr>
          <w:rFonts w:hint="eastAsia"/>
          <w:lang w:val="en-US" w:eastAsia="zh-CN"/>
        </w:rPr>
      </w:pPr>
    </w:p>
    <w:sectPr>
      <w:pgSz w:w="11906" w:h="16838"/>
      <w:pgMar w:top="1270"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宋体-方正超大字符集"/>
    <w:panose1 w:val="03000509000000000000"/>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宋体-方正超大字符集">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NzllZjE1NjI1ODMxZmFmMDM3NzNkMjFmZDViYmEifQ=="/>
  </w:docVars>
  <w:rsids>
    <w:rsidRoot w:val="0C4A48DA"/>
    <w:rsid w:val="0C4A48DA"/>
    <w:rsid w:val="13C133CE"/>
    <w:rsid w:val="33B40C06"/>
    <w:rsid w:val="4B0107E7"/>
    <w:rsid w:val="53225515"/>
    <w:rsid w:val="673D196D"/>
    <w:rsid w:val="79FC2D6E"/>
    <w:rsid w:val="7D8F31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BodyText1I2"/>
    <w:basedOn w:val="3"/>
    <w:next w:val="1"/>
    <w:unhideWhenUsed/>
    <w:qFormat/>
    <w:uiPriority w:val="0"/>
    <w:pPr>
      <w:ind w:firstLine="200" w:firstLineChars="200"/>
    </w:pPr>
    <w:rPr>
      <w:rFonts w:hint="default" w:ascii="Calibri" w:hAnsi="Calibri" w:eastAsia="仿宋_GB2312"/>
      <w:sz w:val="36"/>
    </w:rPr>
  </w:style>
  <w:style w:type="paragraph" w:customStyle="1" w:styleId="3">
    <w:name w:val="BodyTextIndent"/>
    <w:basedOn w:val="1"/>
    <w:unhideWhenUsed/>
    <w:qFormat/>
    <w:uiPriority w:val="0"/>
    <w:pPr>
      <w:spacing w:after="120"/>
      <w:ind w:left="420" w:leftChars="200"/>
      <w:textAlignment w:val="baseline"/>
    </w:pPr>
    <w:rPr>
      <w:rFonts w:hint="eastAsia"/>
      <w:sz w:val="21"/>
      <w:lang w:val="en-US" w:eastAsia="zh-CN"/>
    </w:rPr>
  </w:style>
  <w:style w:type="paragraph" w:styleId="4">
    <w:name w:val="Body Text Indent"/>
    <w:basedOn w:val="1"/>
    <w:unhideWhenUsed/>
    <w:qFormat/>
    <w:uiPriority w:val="0"/>
    <w:pPr>
      <w:spacing w:beforeLines="0" w:afterLines="0"/>
      <w:ind w:firstLine="640" w:firstLineChars="200"/>
    </w:pPr>
    <w:rPr>
      <w:rFonts w:hint="default"/>
      <w:sz w:val="32"/>
    </w:rPr>
  </w:style>
  <w:style w:type="paragraph" w:styleId="5">
    <w:name w:val="toc 3"/>
    <w:basedOn w:val="1"/>
    <w:next w:val="1"/>
    <w:qFormat/>
    <w:uiPriority w:val="0"/>
    <w:pPr>
      <w:ind w:left="840" w:leftChars="400"/>
    </w:p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7">
    <w:name w:val="Body Text First Indent 2"/>
    <w:basedOn w:val="4"/>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2789</Words>
  <Characters>2945</Characters>
  <Lines>0</Lines>
  <Paragraphs>0</Paragraphs>
  <TotalTime>15</TotalTime>
  <ScaleCrop>false</ScaleCrop>
  <LinksUpToDate>false</LinksUpToDate>
  <CharactersWithSpaces>3177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2024-09-13T09:51:00Z</dcterms:created>
  <dc:creator>向日葵(西区)</dc:creator>
  <cp:lastModifiedBy>向日葵(西区)</cp:lastModifiedBy>
  <dcterms:modified xsi:type="dcterms:W3CDTF">2024-09-24T08:58:48Z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D23EB5BD950A4CBAAB717F154E3BC24A_13</vt:lpwstr>
  </property>
</Properties>
</file>