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505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eastAsia="zh-CN"/>
        </w:rPr>
        <w:t>会同县政协委员经费</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w:t>
      </w:r>
    </w:p>
    <w:p w14:paraId="3A5A51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绩效自评报告</w:t>
      </w:r>
    </w:p>
    <w:p w14:paraId="16F44E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rPr>
      </w:pPr>
    </w:p>
    <w:p w14:paraId="6C1D30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楷体_GB2312" w:hAnsi="楷体_GB2312" w:eastAsia="楷体_GB2312" w:cs="楷体_GB2312"/>
          <w:b/>
          <w:bCs/>
          <w:i w:val="0"/>
          <w:iCs w:val="0"/>
          <w:caps w:val="0"/>
          <w:color w:val="000000"/>
          <w:spacing w:val="0"/>
          <w:sz w:val="32"/>
          <w:szCs w:val="32"/>
        </w:rPr>
      </w:pPr>
      <w:r>
        <w:rPr>
          <w:rFonts w:hint="eastAsia" w:ascii="楷体_GB2312" w:hAnsi="楷体_GB2312" w:eastAsia="楷体_GB2312" w:cs="楷体_GB2312"/>
          <w:i w:val="0"/>
          <w:iCs w:val="0"/>
          <w:caps w:val="0"/>
          <w:color w:val="000000"/>
          <w:spacing w:val="0"/>
          <w:sz w:val="32"/>
          <w:szCs w:val="32"/>
          <w:shd w:val="clear" w:color="auto" w:fill="FFFFFF"/>
        </w:rPr>
        <w:t> </w:t>
      </w:r>
      <w:r>
        <w:rPr>
          <w:rFonts w:hint="eastAsia" w:ascii="楷体_GB2312" w:hAnsi="楷体_GB2312" w:eastAsia="楷体_GB2312" w:cs="楷体_GB2312"/>
          <w:b/>
          <w:bCs/>
          <w:i w:val="0"/>
          <w:iCs w:val="0"/>
          <w:caps w:val="0"/>
          <w:color w:val="000000"/>
          <w:spacing w:val="0"/>
          <w:sz w:val="32"/>
          <w:szCs w:val="32"/>
          <w:shd w:val="clear" w:color="auto" w:fill="FFFFFF"/>
        </w:rPr>
        <w:t>一、项目基本情况</w:t>
      </w:r>
    </w:p>
    <w:p w14:paraId="3276DD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070DB2BE">
      <w:pPr>
        <w:ind w:firstLine="640" w:firstLineChars="200"/>
        <w:jc w:val="both"/>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1.项目决策背景：委员经费</w:t>
      </w:r>
      <w:r>
        <w:rPr>
          <w:rFonts w:hint="eastAsia" w:ascii="楷体_GB2312" w:hAnsi="楷体_GB2312" w:eastAsia="楷体_GB2312" w:cs="楷体_GB2312"/>
          <w:b w:val="0"/>
          <w:bCs w:val="0"/>
          <w:sz w:val="32"/>
          <w:szCs w:val="32"/>
          <w:lang w:val="en-US" w:eastAsia="zh-CN"/>
        </w:rPr>
        <w:t>项目纳入2023年度部门预算范围，经人大会议通过，县财政下达批复文件，包括该项目资金申报、批复符合资金管理办法等相关规定。</w:t>
      </w:r>
    </w:p>
    <w:p w14:paraId="1E3E05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2.项目主要内容：该项目为政协委员参与政治协商、民主监督、参政议政等履职活动提供财力保障。</w:t>
      </w:r>
    </w:p>
    <w:p w14:paraId="7F390A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3.项目组织管理机构：政协会同县委员会办公室</w:t>
      </w:r>
    </w:p>
    <w:p w14:paraId="762115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3C3FAD2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0" w:name="_Toc108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1.预算资金安排及管理情况</w:t>
      </w:r>
      <w:bookmarkEnd w:id="0"/>
    </w:p>
    <w:p w14:paraId="1A23FD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（1）</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资金来源及拨付流程：</w:t>
      </w:r>
      <w:r>
        <w:rPr>
          <w:rFonts w:hint="eastAsia" w:ascii="楷体_GB2312" w:hAnsi="楷体_GB2312" w:eastAsia="楷体_GB2312" w:cs="楷体_GB2312"/>
          <w:sz w:val="32"/>
          <w:szCs w:val="32"/>
          <w:lang w:val="en-US" w:eastAsia="zh-CN"/>
        </w:rPr>
        <w:t>资金主要来源为年初财政一般公共预算拨款。项目实施单位根据年初预算批复按工作任务完成情况向财政履行请款手续，单位按财政规定的资金用途使用项目资金。</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 xml:space="preserve"> </w:t>
      </w:r>
    </w:p>
    <w:p w14:paraId="7A357E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（2）</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资金到位情况：</w:t>
      </w:r>
      <w:r>
        <w:rPr>
          <w:rFonts w:hint="eastAsia" w:ascii="楷体_GB2312" w:hAnsi="楷体_GB2312" w:eastAsia="楷体_GB2312" w:cs="楷体_GB2312"/>
          <w:sz w:val="32"/>
          <w:szCs w:val="32"/>
          <w:lang w:val="en-US" w:eastAsia="zh-CN"/>
        </w:rPr>
        <w:t>2023年财政年初预算安排经费22.4万元，截止2023年底实际到位22.4万元，资金到位率100%，到位及时性高。</w:t>
      </w:r>
    </w:p>
    <w:p w14:paraId="50769F2E">
      <w:pPr>
        <w:jc w:val="left"/>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（3）</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资金使用情况：</w:t>
      </w:r>
      <w:r>
        <w:rPr>
          <w:rFonts w:hint="eastAsia" w:ascii="楷体_GB2312" w:hAnsi="楷体_GB2312" w:eastAsia="楷体_GB2312" w:cs="楷体_GB2312"/>
          <w:sz w:val="32"/>
          <w:szCs w:val="32"/>
          <w:lang w:val="en-US" w:eastAsia="zh-CN"/>
        </w:rPr>
        <w:t>截止评价时点，此项目资金实际支出22.4万元，资金开支范围、标准及支付进度等均与项目批复一致，支付依据合规合法，资金支付与预算相符。2023年政协委员经费</w:t>
      </w:r>
      <w:r>
        <w:rPr>
          <w:rFonts w:hint="eastAsia" w:ascii="楷体_GB2312" w:hAnsi="楷体_GB2312" w:eastAsia="楷体_GB2312" w:cs="楷体_GB2312"/>
          <w:sz w:val="30"/>
          <w:szCs w:val="30"/>
          <w:lang w:eastAsia="zh-CN"/>
        </w:rPr>
        <w:t>成本</w:t>
      </w:r>
      <w:r>
        <w:rPr>
          <w:rFonts w:hint="eastAsia" w:ascii="楷体_GB2312" w:hAnsi="楷体_GB2312" w:eastAsia="楷体_GB2312" w:cs="楷体_GB2312"/>
          <w:sz w:val="32"/>
          <w:szCs w:val="32"/>
          <w:lang w:val="en-US" w:eastAsia="zh-CN"/>
        </w:rPr>
        <w:t>主要用于</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政协委员参与政治协商、民主监督、参政议政等履职活动的费用开支，收支</w:t>
      </w:r>
      <w:r>
        <w:rPr>
          <w:rFonts w:hint="eastAsia" w:ascii="楷体_GB2312" w:hAnsi="楷体_GB2312" w:eastAsia="楷体_GB2312" w:cs="楷体_GB2312"/>
          <w:sz w:val="32"/>
          <w:szCs w:val="32"/>
          <w:lang w:val="en-US" w:eastAsia="zh-CN"/>
        </w:rPr>
        <w:t>平衡。</w:t>
      </w:r>
    </w:p>
    <w:p w14:paraId="2BF6B3D1">
      <w:pPr>
        <w:keepNext w:val="0"/>
        <w:keepLines w:val="0"/>
        <w:pageBreakBefore w:val="0"/>
        <w:numPr>
          <w:ilvl w:val="0"/>
          <w:numId w:val="1"/>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资金管理制度及执行情况：我办</w:t>
      </w:r>
      <w:r>
        <w:rPr>
          <w:rFonts w:hint="eastAsia" w:ascii="楷体_GB2312" w:hAnsi="楷体_GB2312" w:eastAsia="楷体_GB2312" w:cs="楷体_GB2312"/>
          <w:i w:val="0"/>
          <w:iCs w:val="0"/>
          <w:caps w:val="0"/>
          <w:color w:val="555555"/>
          <w:spacing w:val="0"/>
          <w:sz w:val="32"/>
          <w:szCs w:val="32"/>
          <w:shd w:val="clear" w:color="auto" w:fill="FFFFFF"/>
        </w:rPr>
        <w:t>制定了一系列规章制度，如《财务管理制度》、《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》、《专项资金管理制度》等，建立了“有章可依、有章必循、违章必究”的管理机制，成立了工作领导小组，。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分管</w:t>
      </w:r>
      <w:r>
        <w:rPr>
          <w:rFonts w:hint="eastAsia" w:ascii="楷体_GB2312" w:hAnsi="楷体_GB2312" w:eastAsia="楷体_GB2312" w:cs="楷体_GB2312"/>
          <w:i w:val="0"/>
          <w:iCs w:val="0"/>
          <w:caps w:val="0"/>
          <w:color w:val="555555"/>
          <w:spacing w:val="0"/>
          <w:sz w:val="32"/>
          <w:szCs w:val="32"/>
          <w:shd w:val="clear" w:color="auto" w:fill="FFFFFF"/>
        </w:rPr>
        <w:t>领导、财务管理人员责任，为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r>
        <w:rPr>
          <w:rFonts w:hint="eastAsia" w:ascii="楷体_GB2312" w:hAnsi="楷体_GB2312" w:eastAsia="楷体_GB2312" w:cs="楷体_GB2312"/>
          <w:sz w:val="32"/>
          <w:szCs w:val="32"/>
          <w:lang w:val="en-US" w:eastAsia="zh-CN"/>
        </w:rPr>
        <w:t xml:space="preserve">会计核算及账务处理等均遵照执行行政单位会计制度，对照项目资金管理办法，实行专款专用。财务处理及时，会计核算规范。 </w:t>
      </w:r>
    </w:p>
    <w:p w14:paraId="4ED328A4">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（5）项目组织实施管理情况：</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  加强预算管理，规范财务行为而制定的管理制度健全完整，制定内部控制制度并成立内控领导小组，制定了《专项资金管理办法》，按照《会计法》，资金专款专用，由业务股室制订项目资金使用计划，分管领导审核，交局党组会议研无截留、挤占、挪用、虚列开支，支出时依据合理合规，无虚列套取。</w:t>
      </w:r>
    </w:p>
    <w:p w14:paraId="7D66A7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3779BBC8">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textAlignment w:val="auto"/>
        <w:rPr>
          <w:rFonts w:hint="eastAsia" w:ascii="楷体_GB2312" w:hAnsi="楷体_GB2312" w:eastAsia="楷体_GB2312" w:cs="楷体_GB2312"/>
          <w:i w:val="0"/>
          <w:iCs w:val="0"/>
          <w:caps w:val="0"/>
          <w:color w:val="000000"/>
          <w:spacing w:val="0"/>
          <w:sz w:val="32"/>
          <w:szCs w:val="32"/>
          <w:shd w:val="clear" w:color="auto" w:fill="FFFFFF"/>
          <w:lang w:val="en-US" w:eastAsia="zh-CN"/>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1.绩效目标：</w:t>
      </w:r>
      <w:r>
        <w:rPr>
          <w:rFonts w:hint="eastAsia" w:ascii="楷体_GB2312" w:hAnsi="楷体_GB2312" w:eastAsia="楷体_GB2312" w:cs="楷体_GB2312"/>
          <w:b w:val="0"/>
          <w:bCs w:val="0"/>
          <w:sz w:val="32"/>
          <w:szCs w:val="32"/>
          <w:lang w:val="en-US" w:eastAsia="zh-CN"/>
        </w:rPr>
        <w:t>通过项目过程实时控制，全年较好的完成了各项绩效目标，依照政协的三大职能（即</w:t>
      </w:r>
      <w:r>
        <w:rPr>
          <w:rFonts w:hint="eastAsia" w:ascii="楷体_GB2312" w:hAnsi="楷体_GB2312" w:eastAsia="楷体_GB2312" w:cs="楷体_GB2312"/>
          <w:i w:val="0"/>
          <w:iCs w:val="0"/>
          <w:caps w:val="0"/>
          <w:color w:val="000000"/>
          <w:spacing w:val="0"/>
          <w:sz w:val="32"/>
          <w:szCs w:val="32"/>
          <w:shd w:val="clear" w:color="auto" w:fill="FFFFFF"/>
          <w:lang w:val="en-US" w:eastAsia="zh-CN"/>
        </w:rPr>
        <w:t>政治协商、民主监督、参政议政</w:t>
      </w:r>
      <w:r>
        <w:rPr>
          <w:rFonts w:hint="eastAsia" w:ascii="楷体_GB2312" w:hAnsi="楷体_GB2312" w:eastAsia="楷体_GB2312" w:cs="楷体_GB2312"/>
          <w:b w:val="0"/>
          <w:bCs w:val="0"/>
          <w:sz w:val="32"/>
          <w:szCs w:val="32"/>
          <w:lang w:val="en-US" w:eastAsia="zh-CN"/>
        </w:rPr>
        <w:t>）要求，保障政协委员在履职过程中发生的调研、视察、办公等费用</w:t>
      </w:r>
      <w:r>
        <w:rPr>
          <w:rFonts w:hint="eastAsia" w:ascii="楷体_GB2312" w:hAnsi="楷体_GB2312" w:eastAsia="楷体_GB2312" w:cs="楷体_GB2312"/>
          <w:i w:val="0"/>
          <w:iCs w:val="0"/>
          <w:caps w:val="0"/>
          <w:color w:val="000000"/>
          <w:spacing w:val="0"/>
          <w:sz w:val="32"/>
          <w:szCs w:val="32"/>
          <w:shd w:val="clear" w:color="auto" w:fill="FFFFFF"/>
          <w:lang w:val="en-US" w:eastAsia="zh-CN"/>
        </w:rPr>
        <w:t>。</w:t>
      </w:r>
    </w:p>
    <w:p w14:paraId="084371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p>
    <w:p w14:paraId="11A5C147">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2.绩效指标：4</w:t>
      </w:r>
      <w:r>
        <w:rPr>
          <w:rFonts w:hint="eastAsia" w:ascii="楷体_GB2312" w:hAnsi="楷体_GB2312" w:eastAsia="楷体_GB2312" w:cs="楷体_GB2312"/>
          <w:b w:val="0"/>
          <w:bCs w:val="0"/>
          <w:sz w:val="32"/>
          <w:szCs w:val="32"/>
          <w:lang w:val="en-US" w:eastAsia="zh-CN"/>
        </w:rPr>
        <w:t>个一级指标、10个二级指标，12个三级指标按时间截点较好的完成。</w:t>
      </w:r>
    </w:p>
    <w:p w14:paraId="0C9FFA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p>
    <w:p w14:paraId="1E59B0AC">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二、绩效评价工作情况</w:t>
      </w:r>
    </w:p>
    <w:p w14:paraId="102AEE5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r>
        <w:rPr>
          <w:rFonts w:hint="eastAsia" w:ascii="楷体_GB2312" w:hAnsi="楷体_GB2312" w:eastAsia="楷体_GB2312" w:cs="楷体_GB2312"/>
          <w:b w:val="0"/>
          <w:bCs w:val="0"/>
          <w:sz w:val="32"/>
          <w:szCs w:val="32"/>
          <w:lang w:val="en-US" w:eastAsia="zh-CN"/>
        </w:rPr>
        <w:t>有效地发挥资金效益，按规定依法依规使用资金。</w:t>
      </w:r>
    </w:p>
    <w:p w14:paraId="7E6A3260">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bookmarkStart w:id="2"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会同县政协办2023年度委员经费绩效评价。</w:t>
      </w:r>
    </w:p>
    <w:p w14:paraId="76284CD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评价原则采用相关性原则、重要性原则、可比性原则、系统性原则等</w:t>
      </w:r>
    </w:p>
    <w:p w14:paraId="1FBE7C82">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评价指标体系根据评价对象设置共性指标（决策管理、投入、项目实施及社会效益、经济效益等）和个性指标（经济效益指标、社会效益指标、生态效益指标及可持续影响指标），定量指标和定性指标。</w:t>
      </w:r>
    </w:p>
    <w:p w14:paraId="1F41D535">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绩效评价方法主要采用计划标准、行业标准和历史标准。</w:t>
      </w:r>
    </w:p>
    <w:p w14:paraId="7AF48EA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51730697">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三、主要绩效及评价结论</w:t>
      </w:r>
      <w:bookmarkEnd w:id="3"/>
      <w:bookmarkEnd w:id="4"/>
    </w:p>
    <w:p w14:paraId="022B0433">
      <w:pPr>
        <w:keepNext w:val="0"/>
        <w:keepLines w:val="0"/>
        <w:pageBreakBefore w:val="0"/>
        <w:widowControl w:val="0"/>
        <w:kinsoku/>
        <w:wordWrap/>
        <w:overflowPunct/>
        <w:topLinePunct w:val="0"/>
        <w:autoSpaceDE/>
        <w:autoSpaceDN/>
        <w:bidi w:val="0"/>
        <w:adjustRightInd/>
        <w:snapToGrid/>
        <w:spacing w:line="360" w:lineRule="auto"/>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r>
        <w:rPr>
          <w:rFonts w:hint="eastAsia" w:ascii="楷体_GB2312" w:hAnsi="楷体_GB2312" w:eastAsia="楷体_GB2312" w:cs="楷体_GB2312"/>
          <w:b w:val="0"/>
          <w:bCs w:val="0"/>
          <w:sz w:val="32"/>
          <w:szCs w:val="32"/>
          <w:lang w:val="en-US" w:eastAsia="zh-CN"/>
        </w:rPr>
        <w:t>项目实施能在效促进社会发展</w:t>
      </w:r>
      <w:r>
        <w:rPr>
          <w:rFonts w:hint="eastAsia" w:ascii="楷体_GB2312" w:hAnsi="楷体_GB2312" w:eastAsia="楷体_GB2312" w:cs="楷体_GB2312"/>
          <w:b w:val="0"/>
          <w:bCs w:val="0"/>
          <w:color w:val="000000"/>
          <w:kern w:val="0"/>
          <w:sz w:val="32"/>
          <w:szCs w:val="32"/>
          <w:lang w:eastAsia="zh-CN"/>
        </w:rPr>
        <w:t>。</w:t>
      </w:r>
    </w:p>
    <w:p w14:paraId="482E15A6">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r>
        <w:rPr>
          <w:rFonts w:hint="eastAsia" w:ascii="楷体_GB2312" w:hAnsi="楷体_GB2312" w:eastAsia="楷体_GB2312" w:cs="楷体_GB2312"/>
          <w:b w:val="0"/>
          <w:bCs w:val="0"/>
          <w:sz w:val="32"/>
          <w:szCs w:val="32"/>
          <w:lang w:val="en-US" w:eastAsia="zh-CN"/>
        </w:rPr>
        <w:t>项目实施能促进生态发展</w:t>
      </w:r>
    </w:p>
    <w:p w14:paraId="5851E60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r>
        <w:rPr>
          <w:rFonts w:hint="eastAsia" w:ascii="楷体_GB2312" w:hAnsi="楷体_GB2312" w:eastAsia="楷体_GB2312" w:cs="楷体_GB2312"/>
          <w:b w:val="0"/>
          <w:bCs w:val="0"/>
          <w:sz w:val="32"/>
          <w:szCs w:val="32"/>
          <w:lang w:val="en-US" w:eastAsia="zh-CN"/>
        </w:rPr>
        <w:t>项目实施能保障联系和服务界别群众，从而对可持续发展带来有利影响</w:t>
      </w:r>
      <w:r>
        <w:rPr>
          <w:rFonts w:hint="eastAsia" w:ascii="楷体_GB2312" w:hAnsi="楷体_GB2312" w:eastAsia="楷体_GB2312" w:cs="楷体_GB2312"/>
          <w:b w:val="0"/>
          <w:bCs w:val="0"/>
          <w:color w:val="000000"/>
          <w:kern w:val="0"/>
          <w:sz w:val="32"/>
          <w:szCs w:val="32"/>
          <w:lang w:eastAsia="zh-CN"/>
        </w:rPr>
        <w:t>。</w:t>
      </w:r>
    </w:p>
    <w:p w14:paraId="690CB2A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r>
        <w:rPr>
          <w:rFonts w:hint="eastAsia" w:ascii="楷体_GB2312" w:hAnsi="楷体_GB2312" w:eastAsia="楷体_GB2312" w:cs="楷体_GB2312"/>
          <w:b w:val="0"/>
          <w:bCs w:val="0"/>
          <w:sz w:val="32"/>
          <w:szCs w:val="32"/>
          <w:lang w:val="en-US" w:eastAsia="zh-CN"/>
        </w:rPr>
        <w:t>社会公众</w:t>
      </w:r>
      <w:r>
        <w:rPr>
          <w:rFonts w:hint="eastAsia" w:ascii="楷体_GB2312" w:hAnsi="楷体_GB2312" w:eastAsia="楷体_GB2312" w:cs="楷体_GB2312"/>
          <w:b w:val="0"/>
          <w:bCs w:val="0"/>
          <w:color w:val="000000"/>
          <w:kern w:val="0"/>
          <w:sz w:val="32"/>
          <w:szCs w:val="32"/>
          <w:lang w:val="en-US" w:eastAsia="zh-CN"/>
        </w:rPr>
        <w:t>满意度达95%以上。</w:t>
      </w:r>
    </w:p>
    <w:p w14:paraId="7B653411">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评价结论：评分等级</w:t>
      </w:r>
      <w:bookmarkStart w:id="28" w:name="_GoBack"/>
      <w:bookmarkEnd w:id="28"/>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：优　　</w:t>
      </w:r>
      <w:r>
        <w:rPr>
          <w:rFonts w:hint="eastAsia" w:ascii="楷体_GB2312" w:hAnsi="楷体_GB2312" w:eastAsia="楷体_GB2312" w:cs="楷体_GB2312"/>
          <w:color w:val="auto"/>
          <w:kern w:val="0"/>
          <w:sz w:val="32"/>
          <w:szCs w:val="32"/>
          <w:shd w:val="clear" w:color="auto" w:fill="auto"/>
          <w:lang w:val="en-US" w:eastAsia="zh-CN" w:bidi="ar"/>
        </w:rPr>
        <w:t>评分结果：100分</w:t>
      </w:r>
    </w:p>
    <w:p w14:paraId="1393135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5" w:name="_Toc16332"/>
      <w:bookmarkStart w:id="6" w:name="_Toc27541"/>
    </w:p>
    <w:p w14:paraId="3BAF8919">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四、绩效评价指标分析</w:t>
      </w:r>
      <w:bookmarkEnd w:id="5"/>
      <w:bookmarkEnd w:id="6"/>
    </w:p>
    <w:p w14:paraId="214D397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：委员经费是为保障政协委员认真履行三大职能，关注民生，深入调查研究，积极参政议政，建言献策，开展政治协商，民主监督等工作。</w:t>
      </w:r>
    </w:p>
    <w:p w14:paraId="798421A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28C1C5F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9" w:name="_Toc1014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1.资金管理</w:t>
      </w:r>
      <w:bookmarkEnd w:id="9"/>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：为保障项目的顺利实施，县政协在使用过程中严格按照本单位制定的管理制度执行，资金专款专用。</w:t>
      </w:r>
      <w:r>
        <w:rPr>
          <w:rFonts w:hint="eastAsia" w:ascii="楷体_GB2312" w:hAnsi="楷体_GB2312" w:eastAsia="楷体_GB2312" w:cs="楷体_GB2312"/>
          <w:sz w:val="32"/>
          <w:szCs w:val="32"/>
          <w:lang w:val="en-US" w:eastAsia="zh-CN"/>
        </w:rPr>
        <w:t>无截留、挤占、挪用、虚列开支，支出时依据合理合规，无虚列套取。</w:t>
      </w:r>
    </w:p>
    <w:p w14:paraId="272BB3D9">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0" w:name="_Toc12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2.项目实施</w:t>
      </w:r>
      <w:bookmarkEnd w:id="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  加强预算管理，规范财务行为而制定的管理制度健全完整，制定内部控制制度并成立内控领导小组，严控把关。资金无截留、挤占、挪用、虚列开支，支出时依据合理合规，无虚列套取。</w:t>
      </w:r>
    </w:p>
    <w:p w14:paraId="29F122B3">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4195E058">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2" w:name="_Toc2074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1.产出数量</w:t>
      </w:r>
      <w:bookmarkEnd w:id="1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：全年</w:t>
      </w:r>
      <w:bookmarkStart w:id="13" w:name="_Toc537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完成委员调研视察5次，完成调研视察报告25篇</w:t>
      </w:r>
    </w:p>
    <w:p w14:paraId="233D93CF">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2.产出质量</w:t>
      </w:r>
      <w:bookmarkEnd w:id="13"/>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：经费使用准确性达至100%。</w:t>
      </w:r>
    </w:p>
    <w:p w14:paraId="678A31AA">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4" w:name="_Toc25948"/>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3.产出成本</w:t>
      </w:r>
      <w:bookmarkEnd w:id="14"/>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：委员经费产出成本22.4万元</w:t>
      </w:r>
    </w:p>
    <w:p w14:paraId="03E7146C">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5" w:name="_Toc21477"/>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4.产出时效</w:t>
      </w:r>
      <w:bookmarkEnd w:id="15"/>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0"/>
          <w:szCs w:val="30"/>
          <w:lang w:val="en-US" w:eastAsia="zh-CN"/>
        </w:rPr>
        <w:t>工作任务2023年12月31日前完成</w:t>
      </w:r>
    </w:p>
    <w:p w14:paraId="7521347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6" w:name="_Toc3072"/>
      <w:bookmarkStart w:id="17" w:name="_Toc12690"/>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充分发挥专项资金效益</w:t>
      </w: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val="0"/>
          <w:bCs w:val="0"/>
          <w:sz w:val="32"/>
          <w:szCs w:val="32"/>
          <w:lang w:val="en-US" w:eastAsia="zh-CN"/>
        </w:rPr>
        <w:t>2023年，委员完成调研视察5次，完成调研文章25篇，全年开展专题议政性协商1次，专题协商4次，对口协商16次，参与庭审、旁听和、公共听证、意见征询活动22次，形成调研、视察、监督报告20篇，收集“微建议”409条，交办和办结“微建议”401条，和群众的“衣食住行”息息相关。注重提高委员参政议政能力，通过组织委员走访、调研、视察和民主监督，广泛凝聚政协之力助推营商环境，促进县域发展。从而达到显著的经济效益、社会效益、生态效益和可持续发展效益。</w:t>
      </w:r>
    </w:p>
    <w:p w14:paraId="4E2D56BC">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3E96C6E6">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18" w:name="_Toc390096931"/>
      <w:bookmarkStart w:id="19" w:name="_Toc390267055"/>
      <w:bookmarkStart w:id="20" w:name="_Toc12414"/>
      <w:bookmarkStart w:id="21" w:name="_Toc24241"/>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及建议</w:t>
      </w:r>
      <w:bookmarkEnd w:id="20"/>
      <w:bookmarkEnd w:id="21"/>
    </w:p>
    <w:p w14:paraId="2D6008B8">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我办充分发挥代表面广，包容性强的政协组织优势，以专委会和界别活动小组为纽带，加强委员走访，组织界别委员开展调研、视察、考察等活动，团结各个社会阶层人士，引导他们积极投身会同县域经济发展，从而促进民生，社会和谐。</w:t>
      </w:r>
    </w:p>
    <w:p w14:paraId="275BB1F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6772"/>
      <w:bookmarkStart w:id="25" w:name="_Toc2597"/>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满意度指标的准确性和有效性有等提高。</w:t>
      </w:r>
    </w:p>
    <w:p w14:paraId="4EBE0DAD">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bookmarkStart w:id="26" w:name="_Toc29278"/>
      <w:bookmarkStart w:id="27" w:name="_Toc1627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始终要把促进发展作为政协委员履职的第一要务，紧紧围绕推动发展精准建言，注重民主协商的质量，加强民主监督的时效；凝心聚力，汇聚共识。定期开展满意度调查工作，广泛收集委员的意见和建议，确保预算绩效管理中满意度的指标真实。</w:t>
      </w:r>
    </w:p>
    <w:p w14:paraId="2F49F77C">
      <w:pPr>
        <w:rPr>
          <w:rFonts w:hint="eastAsia" w:ascii="楷体_GB2312" w:hAnsi="楷体_GB2312" w:eastAsia="楷体_GB2312" w:cs="楷体_GB2312"/>
        </w:rPr>
      </w:pPr>
    </w:p>
    <w:p w14:paraId="5E1C9C5F">
      <w:pPr>
        <w:bidi w:val="0"/>
        <w:rPr>
          <w:rFonts w:hint="eastAsia" w:ascii="Times New Roman" w:hAnsi="Times New Roman" w:eastAsia="宋体" w:cs="Times New Roman"/>
          <w:kern w:val="2"/>
          <w:sz w:val="21"/>
          <w:szCs w:val="24"/>
          <w:lang w:val="en-US" w:eastAsia="zh-CN" w:bidi="ar-SA"/>
        </w:rPr>
      </w:pPr>
    </w:p>
    <w:p w14:paraId="5144DAD6">
      <w:pPr>
        <w:bidi w:val="0"/>
        <w:rPr>
          <w:rFonts w:hint="eastAsia"/>
          <w:lang w:val="en-US" w:eastAsia="zh-CN"/>
        </w:rPr>
      </w:pPr>
    </w:p>
    <w:p w14:paraId="738BD572">
      <w:pPr>
        <w:bidi w:val="0"/>
        <w:rPr>
          <w:rFonts w:hint="eastAsia"/>
          <w:lang w:val="en-US" w:eastAsia="zh-CN"/>
        </w:rPr>
      </w:pPr>
    </w:p>
    <w:p w14:paraId="0A05D88A">
      <w:pPr>
        <w:bidi w:val="0"/>
        <w:rPr>
          <w:rFonts w:hint="eastAsia"/>
          <w:lang w:val="en-US" w:eastAsia="zh-CN"/>
        </w:rPr>
      </w:pPr>
    </w:p>
    <w:p w14:paraId="646C29F3">
      <w:pPr>
        <w:bidi w:val="0"/>
        <w:rPr>
          <w:rFonts w:hint="eastAsia"/>
          <w:lang w:val="en-US" w:eastAsia="zh-CN"/>
        </w:rPr>
      </w:pPr>
    </w:p>
    <w:p w14:paraId="0CE025E1">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both"/>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　　　　　　　　　　</w:t>
      </w:r>
    </w:p>
    <w:p w14:paraId="209C0E6C">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both"/>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　　　　　　　　　　项目支出绩效自评表</w:t>
      </w:r>
    </w:p>
    <w:tbl>
      <w:tblPr>
        <w:tblStyle w:val="5"/>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142"/>
        <w:gridCol w:w="1239"/>
        <w:gridCol w:w="1057"/>
        <w:gridCol w:w="1254"/>
        <w:gridCol w:w="708"/>
        <w:gridCol w:w="873"/>
        <w:gridCol w:w="1418"/>
      </w:tblGrid>
      <w:tr w14:paraId="5111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1D7359E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5377B0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5FA77C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委员</w:t>
            </w:r>
            <w:r>
              <w:rPr>
                <w:rFonts w:hint="eastAsia" w:ascii="仿宋" w:hAnsi="仿宋" w:eastAsia="仿宋" w:cs="仿宋"/>
                <w:color w:val="000000"/>
                <w:kern w:val="0"/>
                <w:sz w:val="20"/>
                <w:szCs w:val="20"/>
                <w:lang w:eastAsia="zh-CN"/>
              </w:rPr>
              <w:t>经费</w:t>
            </w:r>
          </w:p>
        </w:tc>
      </w:tr>
      <w:tr w14:paraId="4029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33CC6E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63B5DA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C5E3F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2999" w:type="dxa"/>
            <w:gridSpan w:val="3"/>
            <w:noWrap w:val="0"/>
            <w:vAlign w:val="center"/>
          </w:tcPr>
          <w:p w14:paraId="7FAA00F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中国人民政治协商会议湖南省会同县委员会</w:t>
            </w:r>
          </w:p>
        </w:tc>
      </w:tr>
      <w:tr w14:paraId="3365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C6BD54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222" w:type="dxa"/>
            <w:gridSpan w:val="2"/>
            <w:noWrap w:val="0"/>
            <w:vAlign w:val="center"/>
          </w:tcPr>
          <w:p w14:paraId="035AA77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39" w:type="dxa"/>
            <w:noWrap w:val="0"/>
            <w:vAlign w:val="center"/>
          </w:tcPr>
          <w:p w14:paraId="7CB116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2F29D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057" w:type="dxa"/>
            <w:noWrap w:val="0"/>
            <w:vAlign w:val="center"/>
          </w:tcPr>
          <w:p w14:paraId="5AB879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7C876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54" w:type="dxa"/>
            <w:noWrap w:val="0"/>
            <w:vAlign w:val="center"/>
          </w:tcPr>
          <w:p w14:paraId="32F95B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24722A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08" w:type="dxa"/>
            <w:noWrap w:val="0"/>
            <w:vAlign w:val="center"/>
          </w:tcPr>
          <w:p w14:paraId="6D98C1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7EE7E2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C40BE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48F3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315E6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222" w:type="dxa"/>
            <w:gridSpan w:val="2"/>
            <w:noWrap w:val="0"/>
            <w:vAlign w:val="center"/>
          </w:tcPr>
          <w:p w14:paraId="33B7B8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239" w:type="dxa"/>
            <w:noWrap w:val="0"/>
            <w:vAlign w:val="center"/>
          </w:tcPr>
          <w:p w14:paraId="330938A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22.4</w:t>
            </w:r>
          </w:p>
        </w:tc>
        <w:tc>
          <w:tcPr>
            <w:tcW w:w="1057" w:type="dxa"/>
            <w:noWrap w:val="0"/>
            <w:vAlign w:val="center"/>
          </w:tcPr>
          <w:p w14:paraId="61E07CF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22.4</w:t>
            </w:r>
          </w:p>
        </w:tc>
        <w:tc>
          <w:tcPr>
            <w:tcW w:w="1254" w:type="dxa"/>
            <w:noWrap w:val="0"/>
            <w:vAlign w:val="center"/>
          </w:tcPr>
          <w:p w14:paraId="448A9E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22.4</w:t>
            </w:r>
          </w:p>
        </w:tc>
        <w:tc>
          <w:tcPr>
            <w:tcW w:w="708" w:type="dxa"/>
            <w:noWrap w:val="0"/>
            <w:vAlign w:val="center"/>
          </w:tcPr>
          <w:p w14:paraId="185857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14:paraId="4F924E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5570983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r>
      <w:tr w14:paraId="19B2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BA0FD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222" w:type="dxa"/>
            <w:gridSpan w:val="2"/>
            <w:noWrap w:val="0"/>
            <w:vAlign w:val="center"/>
          </w:tcPr>
          <w:p w14:paraId="341D7AD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239" w:type="dxa"/>
            <w:noWrap w:val="0"/>
            <w:vAlign w:val="center"/>
          </w:tcPr>
          <w:p w14:paraId="0BFB83D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22.4</w:t>
            </w:r>
          </w:p>
        </w:tc>
        <w:tc>
          <w:tcPr>
            <w:tcW w:w="1057" w:type="dxa"/>
            <w:noWrap w:val="0"/>
            <w:vAlign w:val="center"/>
          </w:tcPr>
          <w:p w14:paraId="0E5D84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22.4</w:t>
            </w:r>
          </w:p>
        </w:tc>
        <w:tc>
          <w:tcPr>
            <w:tcW w:w="1254" w:type="dxa"/>
            <w:noWrap w:val="0"/>
            <w:vAlign w:val="center"/>
          </w:tcPr>
          <w:p w14:paraId="71979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22.4</w:t>
            </w:r>
          </w:p>
        </w:tc>
        <w:tc>
          <w:tcPr>
            <w:tcW w:w="708" w:type="dxa"/>
            <w:noWrap w:val="0"/>
            <w:vAlign w:val="center"/>
          </w:tcPr>
          <w:p w14:paraId="079F56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32B5F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100%</w:t>
            </w:r>
            <w:r>
              <w:rPr>
                <w:rFonts w:hint="eastAsia" w:ascii="仿宋" w:hAnsi="仿宋" w:eastAsia="仿宋" w:cs="仿宋"/>
                <w:color w:val="000000"/>
                <w:kern w:val="0"/>
                <w:sz w:val="20"/>
                <w:szCs w:val="20"/>
              </w:rPr>
              <w:t>　</w:t>
            </w:r>
          </w:p>
        </w:tc>
        <w:tc>
          <w:tcPr>
            <w:tcW w:w="1418" w:type="dxa"/>
            <w:noWrap w:val="0"/>
            <w:vAlign w:val="center"/>
          </w:tcPr>
          <w:p w14:paraId="6AEDAA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11C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25E8A3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222" w:type="dxa"/>
            <w:gridSpan w:val="2"/>
            <w:noWrap w:val="0"/>
            <w:vAlign w:val="center"/>
          </w:tcPr>
          <w:p w14:paraId="6A114511">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239" w:type="dxa"/>
            <w:noWrap w:val="0"/>
            <w:vAlign w:val="center"/>
          </w:tcPr>
          <w:p w14:paraId="21EE63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57" w:type="dxa"/>
            <w:noWrap w:val="0"/>
            <w:vAlign w:val="center"/>
          </w:tcPr>
          <w:p w14:paraId="38C49F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F963AC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33191B1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455366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39BFA5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BCB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99EB7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222" w:type="dxa"/>
            <w:gridSpan w:val="2"/>
            <w:noWrap w:val="0"/>
            <w:vAlign w:val="center"/>
          </w:tcPr>
          <w:p w14:paraId="78333214">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239" w:type="dxa"/>
            <w:noWrap w:val="0"/>
            <w:vAlign w:val="center"/>
          </w:tcPr>
          <w:p w14:paraId="6FE3B4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057" w:type="dxa"/>
            <w:noWrap w:val="0"/>
            <w:vAlign w:val="center"/>
          </w:tcPr>
          <w:p w14:paraId="7BAFD60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687118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1FC78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E4BBB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04705C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3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005306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29CE1C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43B78D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7A7F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44B574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723F9F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认真履行政治协商、民主监督、参政议政。　</w:t>
            </w:r>
          </w:p>
        </w:tc>
        <w:tc>
          <w:tcPr>
            <w:tcW w:w="4253" w:type="dxa"/>
            <w:gridSpan w:val="4"/>
            <w:noWrap w:val="0"/>
            <w:vAlign w:val="center"/>
          </w:tcPr>
          <w:p w14:paraId="51CF73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认真履行政治协商、民主监督、参政议政。</w:t>
            </w:r>
          </w:p>
        </w:tc>
      </w:tr>
      <w:tr w14:paraId="086B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3D6B52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7805667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22978C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56BEBF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513ABF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142" w:type="dxa"/>
            <w:noWrap w:val="0"/>
            <w:vAlign w:val="center"/>
          </w:tcPr>
          <w:p w14:paraId="0D28CE9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239" w:type="dxa"/>
            <w:noWrap w:val="0"/>
            <w:vAlign w:val="center"/>
          </w:tcPr>
          <w:p w14:paraId="363D79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057" w:type="dxa"/>
            <w:noWrap w:val="0"/>
            <w:vAlign w:val="center"/>
          </w:tcPr>
          <w:p w14:paraId="3C006A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311535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254" w:type="dxa"/>
            <w:noWrap w:val="0"/>
            <w:vAlign w:val="center"/>
          </w:tcPr>
          <w:p w14:paraId="19E9C0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31810D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08" w:type="dxa"/>
            <w:noWrap w:val="0"/>
            <w:vAlign w:val="center"/>
          </w:tcPr>
          <w:p w14:paraId="1D736B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0CD28EC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338932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9975B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CFB4A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3060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continue"/>
            <w:noWrap w:val="0"/>
            <w:vAlign w:val="center"/>
          </w:tcPr>
          <w:p w14:paraId="2242143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noWrap w:val="0"/>
            <w:vAlign w:val="center"/>
          </w:tcPr>
          <w:p w14:paraId="6B25D7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18"/>
                <w:szCs w:val="18"/>
              </w:rPr>
              <w:t>投入管理指标</w:t>
            </w:r>
            <w:r>
              <w:rPr>
                <w:rFonts w:hint="eastAsia" w:ascii="仿宋" w:hAnsi="仿宋" w:eastAsia="仿宋" w:cs="仿宋"/>
                <w:color w:val="000000"/>
                <w:kern w:val="0"/>
                <w:sz w:val="15"/>
                <w:szCs w:val="15"/>
              </w:rPr>
              <w:t>（10分）</w:t>
            </w:r>
          </w:p>
        </w:tc>
        <w:tc>
          <w:tcPr>
            <w:tcW w:w="1142" w:type="dxa"/>
            <w:noWrap w:val="0"/>
            <w:vAlign w:val="center"/>
          </w:tcPr>
          <w:p w14:paraId="651536B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预算管理    （10分）</w:t>
            </w:r>
          </w:p>
        </w:tc>
        <w:tc>
          <w:tcPr>
            <w:tcW w:w="1239" w:type="dxa"/>
            <w:noWrap w:val="0"/>
            <w:vAlign w:val="center"/>
          </w:tcPr>
          <w:p w14:paraId="35CF41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预算执行率</w:t>
            </w:r>
          </w:p>
        </w:tc>
        <w:tc>
          <w:tcPr>
            <w:tcW w:w="1057" w:type="dxa"/>
            <w:noWrap w:val="0"/>
            <w:vAlign w:val="center"/>
          </w:tcPr>
          <w:p w14:paraId="4C32665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254" w:type="dxa"/>
            <w:noWrap w:val="0"/>
            <w:vAlign w:val="center"/>
          </w:tcPr>
          <w:p w14:paraId="231B8D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100%</w:t>
            </w:r>
          </w:p>
        </w:tc>
        <w:tc>
          <w:tcPr>
            <w:tcW w:w="708" w:type="dxa"/>
            <w:noWrap w:val="0"/>
            <w:vAlign w:val="center"/>
          </w:tcPr>
          <w:p w14:paraId="120409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873" w:type="dxa"/>
            <w:noWrap w:val="0"/>
            <w:vAlign w:val="center"/>
          </w:tcPr>
          <w:p w14:paraId="4D80879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418" w:type="dxa"/>
            <w:noWrap w:val="0"/>
            <w:vAlign w:val="center"/>
          </w:tcPr>
          <w:p w14:paraId="231D07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p>
        </w:tc>
      </w:tr>
      <w:tr w14:paraId="1162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A33B2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6B84D72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22FE949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142" w:type="dxa"/>
            <w:vMerge w:val="restart"/>
            <w:noWrap w:val="0"/>
            <w:vAlign w:val="center"/>
          </w:tcPr>
          <w:p w14:paraId="08FFD8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数量指标</w:t>
            </w:r>
          </w:p>
        </w:tc>
        <w:tc>
          <w:tcPr>
            <w:tcW w:w="1239" w:type="dxa"/>
            <w:noWrap w:val="0"/>
            <w:vAlign w:val="center"/>
          </w:tcPr>
          <w:p w14:paraId="5CB6B5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xml:space="preserve">完成调研文章数 </w:t>
            </w:r>
          </w:p>
        </w:tc>
        <w:tc>
          <w:tcPr>
            <w:tcW w:w="1057" w:type="dxa"/>
            <w:noWrap w:val="0"/>
            <w:vAlign w:val="center"/>
          </w:tcPr>
          <w:p w14:paraId="033A0D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20</w:t>
            </w:r>
          </w:p>
        </w:tc>
        <w:tc>
          <w:tcPr>
            <w:tcW w:w="1254" w:type="dxa"/>
            <w:noWrap w:val="0"/>
            <w:vAlign w:val="center"/>
          </w:tcPr>
          <w:p w14:paraId="41AE40B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25</w:t>
            </w:r>
          </w:p>
        </w:tc>
        <w:tc>
          <w:tcPr>
            <w:tcW w:w="708" w:type="dxa"/>
            <w:noWrap w:val="0"/>
            <w:vAlign w:val="center"/>
          </w:tcPr>
          <w:p w14:paraId="27F136A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5</w:t>
            </w:r>
          </w:p>
        </w:tc>
        <w:tc>
          <w:tcPr>
            <w:tcW w:w="873" w:type="dxa"/>
            <w:noWrap w:val="0"/>
            <w:vAlign w:val="center"/>
          </w:tcPr>
          <w:p w14:paraId="05E686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5AF453E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240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8EA18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67BB7F8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p>
        </w:tc>
        <w:tc>
          <w:tcPr>
            <w:tcW w:w="1142" w:type="dxa"/>
            <w:vMerge w:val="continue"/>
            <w:noWrap w:val="0"/>
            <w:vAlign w:val="center"/>
          </w:tcPr>
          <w:p w14:paraId="6C7B0E6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auto"/>
                <w:kern w:val="0"/>
                <w:sz w:val="20"/>
                <w:szCs w:val="20"/>
              </w:rPr>
            </w:pPr>
          </w:p>
        </w:tc>
        <w:tc>
          <w:tcPr>
            <w:tcW w:w="1239" w:type="dxa"/>
            <w:noWrap w:val="0"/>
            <w:vAlign w:val="center"/>
          </w:tcPr>
          <w:p w14:paraId="26EF5C2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视察次数</w:t>
            </w:r>
          </w:p>
        </w:tc>
        <w:tc>
          <w:tcPr>
            <w:tcW w:w="1057" w:type="dxa"/>
            <w:noWrap w:val="0"/>
            <w:vAlign w:val="center"/>
          </w:tcPr>
          <w:p w14:paraId="00C5ED9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rPr>
              <w:t>≥</w:t>
            </w:r>
            <w:r>
              <w:rPr>
                <w:rFonts w:hint="eastAsia" w:ascii="仿宋" w:hAnsi="仿宋" w:eastAsia="仿宋" w:cs="仿宋"/>
                <w:color w:val="000000"/>
                <w:kern w:val="0"/>
                <w:sz w:val="20"/>
                <w:szCs w:val="20"/>
                <w:lang w:val="en-US" w:eastAsia="zh-CN"/>
              </w:rPr>
              <w:t>4</w:t>
            </w:r>
          </w:p>
        </w:tc>
        <w:tc>
          <w:tcPr>
            <w:tcW w:w="1254" w:type="dxa"/>
            <w:noWrap w:val="0"/>
            <w:vAlign w:val="center"/>
          </w:tcPr>
          <w:p w14:paraId="5ED9C4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708" w:type="dxa"/>
            <w:noWrap w:val="0"/>
            <w:vAlign w:val="center"/>
          </w:tcPr>
          <w:p w14:paraId="42EC80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5</w:t>
            </w:r>
          </w:p>
        </w:tc>
        <w:tc>
          <w:tcPr>
            <w:tcW w:w="873" w:type="dxa"/>
            <w:noWrap w:val="0"/>
            <w:vAlign w:val="center"/>
          </w:tcPr>
          <w:p w14:paraId="4DCAF3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8E7703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6E63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5A57B3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B67B5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noWrap w:val="0"/>
            <w:vAlign w:val="center"/>
          </w:tcPr>
          <w:p w14:paraId="5F08AE5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质量指标</w:t>
            </w:r>
          </w:p>
        </w:tc>
        <w:tc>
          <w:tcPr>
            <w:tcW w:w="1239" w:type="dxa"/>
            <w:noWrap w:val="0"/>
            <w:vAlign w:val="center"/>
          </w:tcPr>
          <w:p w14:paraId="74914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经费使用准确性</w:t>
            </w:r>
          </w:p>
        </w:tc>
        <w:tc>
          <w:tcPr>
            <w:tcW w:w="1057" w:type="dxa"/>
            <w:noWrap w:val="0"/>
            <w:vAlign w:val="center"/>
          </w:tcPr>
          <w:p w14:paraId="2C001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100%</w:t>
            </w:r>
            <w:r>
              <w:rPr>
                <w:rFonts w:hint="eastAsia" w:ascii="仿宋" w:hAnsi="仿宋" w:eastAsia="仿宋" w:cs="仿宋"/>
                <w:color w:val="000000"/>
                <w:kern w:val="0"/>
                <w:sz w:val="20"/>
                <w:szCs w:val="20"/>
              </w:rPr>
              <w:t>　</w:t>
            </w:r>
          </w:p>
        </w:tc>
        <w:tc>
          <w:tcPr>
            <w:tcW w:w="1254" w:type="dxa"/>
            <w:noWrap w:val="0"/>
            <w:vAlign w:val="center"/>
          </w:tcPr>
          <w:p w14:paraId="58F5C7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708" w:type="dxa"/>
            <w:noWrap w:val="0"/>
            <w:vAlign w:val="center"/>
          </w:tcPr>
          <w:p w14:paraId="52CF96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708C7D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7BB25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A26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20D1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581D6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noWrap w:val="0"/>
            <w:vAlign w:val="center"/>
          </w:tcPr>
          <w:p w14:paraId="5BDBB6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时效指标</w:t>
            </w:r>
          </w:p>
        </w:tc>
        <w:tc>
          <w:tcPr>
            <w:tcW w:w="1239" w:type="dxa"/>
            <w:noWrap w:val="0"/>
            <w:vAlign w:val="center"/>
          </w:tcPr>
          <w:p w14:paraId="0077DF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完成及时率</w:t>
            </w:r>
          </w:p>
        </w:tc>
        <w:tc>
          <w:tcPr>
            <w:tcW w:w="1057" w:type="dxa"/>
            <w:noWrap w:val="0"/>
            <w:vAlign w:val="center"/>
          </w:tcPr>
          <w:p w14:paraId="517BBF7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254" w:type="dxa"/>
            <w:noWrap w:val="0"/>
            <w:vAlign w:val="center"/>
          </w:tcPr>
          <w:p w14:paraId="745754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　　　　　　　　　　　　　　　　　　　　　　　　　　　　　　　　　　　　　　　　　　　　　　　　　　　　　　　　　　　　　　　　　　　　　　　　　　　　　　　　　　　</w:t>
            </w:r>
          </w:p>
        </w:tc>
        <w:tc>
          <w:tcPr>
            <w:tcW w:w="708" w:type="dxa"/>
            <w:noWrap w:val="0"/>
            <w:vAlign w:val="center"/>
          </w:tcPr>
          <w:p w14:paraId="559F06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6C19B9B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6D3EFD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10A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53B8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59DC8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vMerge w:val="restart"/>
            <w:noWrap w:val="0"/>
            <w:vAlign w:val="center"/>
          </w:tcPr>
          <w:p w14:paraId="209D30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239" w:type="dxa"/>
            <w:noWrap w:val="0"/>
            <w:vAlign w:val="center"/>
          </w:tcPr>
          <w:p w14:paraId="0DB5B1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项目成本</w:t>
            </w:r>
          </w:p>
        </w:tc>
        <w:tc>
          <w:tcPr>
            <w:tcW w:w="1057" w:type="dxa"/>
            <w:noWrap w:val="0"/>
            <w:vAlign w:val="center"/>
          </w:tcPr>
          <w:p w14:paraId="3D8472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22.4万元</w:t>
            </w:r>
          </w:p>
        </w:tc>
        <w:tc>
          <w:tcPr>
            <w:tcW w:w="1254" w:type="dxa"/>
            <w:noWrap w:val="0"/>
            <w:vAlign w:val="center"/>
          </w:tcPr>
          <w:p w14:paraId="082C76C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22.4万元</w:t>
            </w:r>
          </w:p>
        </w:tc>
        <w:tc>
          <w:tcPr>
            <w:tcW w:w="708" w:type="dxa"/>
            <w:noWrap w:val="0"/>
            <w:vAlign w:val="center"/>
          </w:tcPr>
          <w:p w14:paraId="69D902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10</w:t>
            </w:r>
          </w:p>
        </w:tc>
        <w:tc>
          <w:tcPr>
            <w:tcW w:w="873" w:type="dxa"/>
            <w:noWrap w:val="0"/>
            <w:vAlign w:val="center"/>
          </w:tcPr>
          <w:p w14:paraId="33B2F0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3D6654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1481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F6D4C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B9E54E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vMerge w:val="continue"/>
            <w:noWrap w:val="0"/>
            <w:vAlign w:val="center"/>
          </w:tcPr>
          <w:p w14:paraId="145D474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239" w:type="dxa"/>
            <w:noWrap w:val="0"/>
            <w:vAlign w:val="center"/>
          </w:tcPr>
          <w:p w14:paraId="661A36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1057" w:type="dxa"/>
            <w:noWrap w:val="0"/>
            <w:vAlign w:val="center"/>
          </w:tcPr>
          <w:p w14:paraId="3FC4D3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0%　　</w:t>
            </w:r>
          </w:p>
        </w:tc>
        <w:tc>
          <w:tcPr>
            <w:tcW w:w="1254" w:type="dxa"/>
            <w:noWrap w:val="0"/>
            <w:vAlign w:val="center"/>
          </w:tcPr>
          <w:p w14:paraId="3DDE20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4CC9CC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5B593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5FFE0E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335D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CCE505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EA756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vMerge w:val="continue"/>
            <w:noWrap w:val="0"/>
            <w:vAlign w:val="center"/>
          </w:tcPr>
          <w:p w14:paraId="39A100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239" w:type="dxa"/>
            <w:noWrap w:val="0"/>
            <w:vAlign w:val="center"/>
          </w:tcPr>
          <w:p w14:paraId="111545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生态环境成本节约率</w:t>
            </w:r>
          </w:p>
        </w:tc>
        <w:tc>
          <w:tcPr>
            <w:tcW w:w="1057" w:type="dxa"/>
            <w:noWrap w:val="0"/>
            <w:vAlign w:val="center"/>
          </w:tcPr>
          <w:p w14:paraId="1A5B02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0%</w:t>
            </w:r>
          </w:p>
        </w:tc>
        <w:tc>
          <w:tcPr>
            <w:tcW w:w="1254" w:type="dxa"/>
            <w:noWrap w:val="0"/>
            <w:vAlign w:val="center"/>
          </w:tcPr>
          <w:p w14:paraId="2B95A5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540D2E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436228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050808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DEC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CFF785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1591204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1325D2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142" w:type="dxa"/>
            <w:noWrap w:val="0"/>
            <w:vAlign w:val="center"/>
          </w:tcPr>
          <w:p w14:paraId="5F37D20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3FE064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9" w:type="dxa"/>
            <w:noWrap w:val="0"/>
            <w:vAlign w:val="center"/>
          </w:tcPr>
          <w:p w14:paraId="3105A6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发挥专项资金效益</w:t>
            </w:r>
          </w:p>
        </w:tc>
        <w:tc>
          <w:tcPr>
            <w:tcW w:w="1057" w:type="dxa"/>
            <w:noWrap w:val="0"/>
            <w:vAlign w:val="center"/>
          </w:tcPr>
          <w:p w14:paraId="67AA87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1254" w:type="dxa"/>
            <w:noWrap w:val="0"/>
            <w:vAlign w:val="center"/>
          </w:tcPr>
          <w:p w14:paraId="7056E9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708" w:type="dxa"/>
            <w:noWrap w:val="0"/>
            <w:vAlign w:val="center"/>
          </w:tcPr>
          <w:p w14:paraId="56CBF9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52682F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732523A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979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5494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39AC8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noWrap w:val="0"/>
            <w:vAlign w:val="center"/>
          </w:tcPr>
          <w:p w14:paraId="147E8F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744D5E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9" w:type="dxa"/>
            <w:noWrap w:val="0"/>
            <w:vAlign w:val="center"/>
          </w:tcPr>
          <w:p w14:paraId="3C10D9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w:t>
            </w:r>
          </w:p>
        </w:tc>
        <w:tc>
          <w:tcPr>
            <w:tcW w:w="1057" w:type="dxa"/>
            <w:noWrap w:val="0"/>
            <w:vAlign w:val="center"/>
          </w:tcPr>
          <w:p w14:paraId="28B716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4E43B90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5F1C1F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455C99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700240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ED1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FEE415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E8C4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noWrap w:val="0"/>
            <w:vAlign w:val="center"/>
          </w:tcPr>
          <w:p w14:paraId="4347DAD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34BD216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9" w:type="dxa"/>
            <w:noWrap w:val="0"/>
            <w:vAlign w:val="center"/>
          </w:tcPr>
          <w:p w14:paraId="32A9FA7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生态效益</w:t>
            </w:r>
          </w:p>
        </w:tc>
        <w:tc>
          <w:tcPr>
            <w:tcW w:w="1057" w:type="dxa"/>
            <w:noWrap w:val="0"/>
            <w:vAlign w:val="center"/>
          </w:tcPr>
          <w:p w14:paraId="1E2D5B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5AC24A4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70039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ABC3A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FD550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89C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D1415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05DE94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142" w:type="dxa"/>
            <w:noWrap w:val="0"/>
            <w:vAlign w:val="center"/>
          </w:tcPr>
          <w:p w14:paraId="45F8D00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239" w:type="dxa"/>
            <w:noWrap w:val="0"/>
            <w:vAlign w:val="center"/>
          </w:tcPr>
          <w:p w14:paraId="1B5835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w:t>
            </w:r>
          </w:p>
        </w:tc>
        <w:tc>
          <w:tcPr>
            <w:tcW w:w="1057" w:type="dxa"/>
            <w:noWrap w:val="0"/>
            <w:vAlign w:val="center"/>
          </w:tcPr>
          <w:p w14:paraId="44DB66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146B3C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04FA7D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16E8224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0C7BBF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ED5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604F7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14D9BC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7150C30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3769A1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142" w:type="dxa"/>
            <w:noWrap w:val="0"/>
            <w:vAlign w:val="center"/>
          </w:tcPr>
          <w:p w14:paraId="5635C53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239" w:type="dxa"/>
            <w:noWrap w:val="0"/>
            <w:vAlign w:val="center"/>
          </w:tcPr>
          <w:p w14:paraId="063CF8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委员</w:t>
            </w:r>
            <w:r>
              <w:rPr>
                <w:rFonts w:hint="eastAsia" w:ascii="仿宋" w:hAnsi="仿宋" w:eastAsia="仿宋" w:cs="仿宋"/>
                <w:color w:val="000000"/>
                <w:kern w:val="0"/>
                <w:sz w:val="20"/>
                <w:szCs w:val="20"/>
              </w:rPr>
              <w:t>满意度</w:t>
            </w:r>
          </w:p>
        </w:tc>
        <w:tc>
          <w:tcPr>
            <w:tcW w:w="1057" w:type="dxa"/>
            <w:noWrap w:val="0"/>
            <w:vAlign w:val="center"/>
          </w:tcPr>
          <w:p w14:paraId="10AB25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1254" w:type="dxa"/>
            <w:noWrap w:val="0"/>
            <w:vAlign w:val="center"/>
          </w:tcPr>
          <w:p w14:paraId="7BD41F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8" w:type="dxa"/>
            <w:noWrap w:val="0"/>
            <w:vAlign w:val="center"/>
          </w:tcPr>
          <w:p w14:paraId="27C9CB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w:t>
            </w:r>
            <w:r>
              <w:rPr>
                <w:rFonts w:hint="eastAsia" w:ascii="仿宋" w:hAnsi="仿宋" w:eastAsia="仿宋" w:cs="仿宋"/>
                <w:color w:val="000000"/>
                <w:kern w:val="0"/>
                <w:sz w:val="20"/>
                <w:szCs w:val="20"/>
              </w:rPr>
              <w:t>　</w:t>
            </w:r>
          </w:p>
        </w:tc>
        <w:tc>
          <w:tcPr>
            <w:tcW w:w="873" w:type="dxa"/>
            <w:noWrap w:val="0"/>
            <w:vAlign w:val="center"/>
          </w:tcPr>
          <w:p w14:paraId="358842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2440DE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BF3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2" w:type="dxa"/>
            <w:gridSpan w:val="6"/>
            <w:noWrap w:val="0"/>
            <w:vAlign w:val="center"/>
          </w:tcPr>
          <w:p w14:paraId="22C1D3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08" w:type="dxa"/>
            <w:noWrap w:val="0"/>
            <w:vAlign w:val="center"/>
          </w:tcPr>
          <w:p w14:paraId="2C9309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30CAD33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6EC0C0E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bl>
    <w:p w14:paraId="0FB1CD0D">
      <w:pPr>
        <w:bidi w:val="0"/>
        <w:jc w:val="left"/>
        <w:rPr>
          <w:rFonts w:hint="eastAsia"/>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方正超大字符集">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3568F"/>
    <w:multiLevelType w:val="singleLevel"/>
    <w:tmpl w:val="1C73568F"/>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zllZjE1NjI1ODMxZmFmMDM3NzNkMjFmZDViYmEifQ=="/>
  </w:docVars>
  <w:rsids>
    <w:rsidRoot w:val="61403E1A"/>
    <w:rsid w:val="243F42B7"/>
    <w:rsid w:val="24C201A6"/>
    <w:rsid w:val="2E6C74AD"/>
    <w:rsid w:val="3F5B05FB"/>
    <w:rsid w:val="3F746C97"/>
    <w:rsid w:val="613A0BE0"/>
    <w:rsid w:val="61403E1A"/>
    <w:rsid w:val="6321323C"/>
    <w:rsid w:val="68C61A62"/>
    <w:rsid w:val="759E23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 w:type="paragraph" w:customStyle="1" w:styleId="7">
    <w:name w:val="BodyText1I2"/>
    <w:basedOn w:val="8"/>
    <w:next w:val="1"/>
    <w:unhideWhenUsed/>
    <w:qFormat/>
    <w:uiPriority w:val="0"/>
    <w:pPr>
      <w:ind w:firstLine="200" w:firstLineChars="200"/>
    </w:pPr>
    <w:rPr>
      <w:rFonts w:hint="default" w:ascii="Calibri" w:hAnsi="Calibri" w:eastAsia="仿宋_GB2312"/>
      <w:sz w:val="36"/>
    </w:rPr>
  </w:style>
  <w:style w:type="paragraph" w:customStyle="1" w:styleId="8">
    <w:name w:val="BodyTextIndent"/>
    <w:basedOn w:val="1"/>
    <w:unhideWhenUsed/>
    <w:qFormat/>
    <w:uiPriority w:val="0"/>
    <w:pPr>
      <w:spacing w:after="120"/>
      <w:ind w:left="420" w:leftChars="200"/>
      <w:textAlignment w:val="baseline"/>
    </w:pPr>
    <w:rPr>
      <w:rFonts w:hint="eastAsia"/>
      <w:sz w:val="21"/>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2914</Words>
  <Characters>3066</Characters>
  <Lines>0</Lines>
  <Paragraphs>0</Paragraphs>
  <TotalTime>56</TotalTime>
  <ScaleCrop>false</ScaleCrop>
  <LinksUpToDate>false</LinksUpToDate>
  <CharactersWithSpaces>3321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2024-09-13T01:54:00Z</dcterms:created>
  <dc:creator>向日葵(西区)</dc:creator>
  <cp:lastModifiedBy>向日葵(西区)</cp:lastModifiedBy>
  <cp:lastPrinted>2024-09-24T08:57:38Z</cp:lastPrinted>
  <dcterms:modified xsi:type="dcterms:W3CDTF">2024-09-24T08:58:14Z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F4BBA41EBAF649B3B6745807B88E74C5_11</vt:lpwstr>
  </property>
</Properties>
</file>