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B0869">
      <w:pPr>
        <w:pStyle w:val="4"/>
        <w:widowControl/>
        <w:shd w:val="clear" w:color="auto" w:fill="FFFFFF"/>
        <w:spacing w:before="0" w:beforeAutospacing="0" w:after="0" w:afterAutospacing="0" w:line="480" w:lineRule="atLeas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附件1</w:t>
      </w:r>
    </w:p>
    <w:p w14:paraId="58990B03">
      <w:pPr>
        <w:pStyle w:val="4"/>
        <w:widowControl/>
        <w:shd w:val="clear" w:color="auto" w:fill="FFFFFF"/>
        <w:snapToGrid w:val="0"/>
        <w:spacing w:before="0" w:beforeAutospacing="0" w:after="0" w:afterAutospacing="0" w:line="520" w:lineRule="exact"/>
        <w:jc w:val="center"/>
        <w:rPr>
          <w:rFonts w:ascii="方正小标宋_GBK" w:hAnsi="方正小标宋_GBK" w:eastAsia="方正小标宋_GBK" w:cs="方正小标宋_GBK"/>
          <w:color w:val="00000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sz w:val="44"/>
          <w:szCs w:val="44"/>
          <w:shd w:val="clear" w:color="auto" w:fill="FFFFFF"/>
        </w:rPr>
        <w:t>部门整体支出绩效自评报告</w:t>
      </w:r>
    </w:p>
    <w:p w14:paraId="32034888">
      <w:pPr>
        <w:pStyle w:val="4"/>
        <w:widowControl/>
        <w:shd w:val="clear" w:color="auto" w:fill="FFFFFF"/>
        <w:snapToGrid w:val="0"/>
        <w:spacing w:before="0" w:beforeAutospacing="0" w:after="0" w:afterAutospacing="0" w:line="520" w:lineRule="exact"/>
        <w:jc w:val="center"/>
        <w:rPr>
          <w:rFonts w:ascii="仿宋_GB2312" w:eastAsia="仿宋_GB2312" w:cs="仿宋_GB2312"/>
          <w:color w:val="000000"/>
        </w:rPr>
      </w:pPr>
    </w:p>
    <w:p w14:paraId="3756197B">
      <w:pPr>
        <w:pStyle w:val="4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一、部门、单位基本情况</w:t>
      </w:r>
    </w:p>
    <w:p w14:paraId="04C400F1">
      <w:pPr>
        <w:pStyle w:val="4"/>
        <w:widowControl/>
        <w:shd w:val="clear" w:color="auto" w:fill="FFFFFF"/>
        <w:snapToGrid w:val="0"/>
        <w:spacing w:before="0" w:beforeAutospacing="0" w:after="0" w:afterAutospacing="0" w:line="520" w:lineRule="exact"/>
        <w:ind w:firstLine="548" w:firstLineChars="200"/>
        <w:rPr>
          <w:rFonts w:hint="eastAsia" w:ascii="楷体_GB2312" w:eastAsia="楷体_GB2312" w:cs="楷体_GB2312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ascii="楷体_GB2312" w:eastAsia="楷体_GB2312" w:cs="楷体_GB2312"/>
          <w:color w:val="000000"/>
          <w:spacing w:val="-23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cs="楷体_GB2312"/>
          <w:color w:val="000000"/>
          <w:sz w:val="32"/>
          <w:szCs w:val="32"/>
          <w:shd w:val="clear" w:color="auto" w:fill="FFFFFF"/>
        </w:rPr>
        <w:t>机构设置情况</w:t>
      </w:r>
    </w:p>
    <w:p w14:paraId="61BA66F9">
      <w:pPr>
        <w:pStyle w:val="4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00" w:firstLineChars="200"/>
        <w:rPr>
          <w:rFonts w:hint="eastAsia" w:ascii="仿宋" w:hAnsi="仿宋" w:eastAsia="仿宋" w:cs="仿宋"/>
          <w:color w:val="000000"/>
          <w:sz w:val="30"/>
          <w:szCs w:val="30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县医疗保障局单位</w:t>
      </w:r>
      <w:r>
        <w:rPr>
          <w:rFonts w:hint="eastAsia" w:ascii="仿宋" w:hAnsi="仿宋" w:eastAsia="仿宋" w:cs="仿宋"/>
          <w:sz w:val="30"/>
          <w:szCs w:val="30"/>
        </w:rPr>
        <w:t>性质为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行政机关单位，下设两个二级机构：“会同县医疗保障事务中心”，属副科级公益一类事业单位（参公）；“会同县医疗保障信息中心”，属股级公益一类事业单位。</w:t>
      </w:r>
    </w:p>
    <w:p w14:paraId="05A2214A">
      <w:pPr>
        <w:pStyle w:val="4"/>
        <w:widowControl/>
        <w:numPr>
          <w:ilvl w:val="0"/>
          <w:numId w:val="1"/>
        </w:numPr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rPr>
          <w:rFonts w:ascii="楷体_GB2312" w:eastAsia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cs="楷体_GB2312"/>
          <w:color w:val="000000"/>
          <w:sz w:val="32"/>
          <w:szCs w:val="32"/>
          <w:shd w:val="clear" w:color="auto" w:fill="FFFFFF"/>
        </w:rPr>
        <w:t>人员编制情况</w:t>
      </w:r>
    </w:p>
    <w:p w14:paraId="310CA59C">
      <w:pPr>
        <w:pStyle w:val="4"/>
        <w:widowControl/>
        <w:numPr>
          <w:ilvl w:val="0"/>
          <w:numId w:val="0"/>
        </w:numPr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rPr>
          <w:rFonts w:hint="eastAsia" w:ascii="楷体_GB2312" w:eastAsia="楷体_GB2312" w:cs="楷体_GB2312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eastAsia="zh-CN"/>
        </w:rPr>
        <w:t>现有编制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50名（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eastAsia="zh-CN"/>
        </w:rPr>
        <w:t>机关行政编制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4名，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eastAsia="zh-CN"/>
        </w:rPr>
        <w:t>全额拨款事业编制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46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eastAsia="zh-CN"/>
        </w:rPr>
        <w:t>名），实有在职人员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31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eastAsia="zh-CN"/>
        </w:rPr>
        <w:t>人，退休人员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13人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eastAsia="zh-CN"/>
        </w:rPr>
        <w:t>。实有在职人数比编制数少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19人。我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eastAsia="zh-CN"/>
        </w:rPr>
        <w:t>单位有公务用车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val="en-US" w:eastAsia="zh-CN"/>
        </w:rPr>
        <w:t>1辆。</w:t>
      </w:r>
    </w:p>
    <w:p w14:paraId="1814340A">
      <w:pPr>
        <w:pStyle w:val="4"/>
        <w:widowControl/>
        <w:numPr>
          <w:ilvl w:val="0"/>
          <w:numId w:val="0"/>
        </w:numPr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rPr>
          <w:rFonts w:hint="eastAsia" w:ascii="楷体_GB2312" w:eastAsia="楷体_GB2312" w:cs="楷体_GB2312"/>
          <w:color w:val="000000"/>
          <w:sz w:val="32"/>
          <w:szCs w:val="32"/>
          <w:lang w:eastAsia="zh-CN"/>
        </w:rPr>
      </w:pPr>
    </w:p>
    <w:p w14:paraId="48BA4AC5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40" w:firstLineChars="200"/>
        <w:jc w:val="both"/>
        <w:textAlignment w:val="auto"/>
        <w:rPr>
          <w:rFonts w:ascii="楷体_GB2312" w:eastAsia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cs="楷体_GB2312"/>
          <w:color w:val="000000"/>
          <w:sz w:val="32"/>
          <w:szCs w:val="32"/>
          <w:shd w:val="clear" w:color="auto" w:fill="FFFFFF"/>
        </w:rPr>
        <w:t>主要职能职责</w:t>
      </w:r>
    </w:p>
    <w:p w14:paraId="415D3FC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both"/>
        <w:textAlignment w:val="auto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贯彻执行医疗保障法律法规，落实关于党和国家、省、市关于医疗保障工作的方针政策和决策部署，研究拟订全县医疗保险、生育保险、医疗救助等医疗保障发展规划、标准并组织实施</w:t>
      </w:r>
      <w:r>
        <w:rPr>
          <w:rFonts w:hint="eastAsia" w:ascii="仿宋" w:hAnsi="仿宋" w:eastAsia="仿宋" w:cs="仿宋"/>
          <w:kern w:val="0"/>
          <w:sz w:val="30"/>
          <w:szCs w:val="30"/>
        </w:rPr>
        <w:t>；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贯彻执行国家医疗保障基金监督管理办法，落实省、市具体实施办法，监督管理相关医疗保障基金，建立健全医疗保障基金安全防控机制，推进医疗保障基金支付方式改革；贯彻执行省、市医疗保障筹资和待遇政策，执行省、市城镇职工和城乡居民医疗保障待遇标准；落实省、市城乡统一的药品、医用耗材、医疗服务项目、医疗服务设施等医保目录和支付标准；贯彻执行省、市有关</w:t>
      </w:r>
      <w:r>
        <w:rPr>
          <w:rFonts w:hint="eastAsia" w:ascii="仿宋" w:hAnsi="仿宋" w:eastAsia="仿宋" w:cs="仿宋"/>
          <w:kern w:val="0"/>
          <w:sz w:val="30"/>
          <w:szCs w:val="30"/>
        </w:rPr>
        <w:t>定点医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药</w:t>
      </w:r>
      <w:r>
        <w:rPr>
          <w:rFonts w:hint="eastAsia" w:ascii="仿宋" w:hAnsi="仿宋" w:eastAsia="仿宋" w:cs="仿宋"/>
          <w:kern w:val="0"/>
          <w:sz w:val="30"/>
          <w:szCs w:val="30"/>
        </w:rPr>
        <w:t>机构协议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和支付管理办法，</w:t>
      </w:r>
      <w:r>
        <w:rPr>
          <w:rFonts w:hint="eastAsia" w:ascii="仿宋" w:hAnsi="仿宋" w:eastAsia="仿宋" w:cs="仿宋"/>
          <w:kern w:val="0"/>
          <w:sz w:val="30"/>
          <w:szCs w:val="30"/>
        </w:rPr>
        <w:t>并对有关业务工作进行监督检查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，依法查处医疗保障领域违法违规行为</w:t>
      </w:r>
      <w:r>
        <w:rPr>
          <w:rFonts w:hint="eastAsia" w:ascii="仿宋" w:hAnsi="仿宋" w:eastAsia="仿宋" w:cs="仿宋"/>
          <w:kern w:val="0"/>
          <w:sz w:val="30"/>
          <w:szCs w:val="30"/>
        </w:rPr>
        <w:t>；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负责全县医疗保障经办管理工作、公共服务体系和信息化建设，指导、监督全县医疗保险、大病保险、生育保险、医疗救助等医疗保障经办业务工作，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落实省、市异地就医管理和费用结算政策。</w:t>
      </w:r>
    </w:p>
    <w:p w14:paraId="749EE071">
      <w:pPr>
        <w:pStyle w:val="4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rPr>
          <w:rFonts w:hint="eastAsia" w:ascii="楷体_GB2312" w:eastAsia="楷体_GB2312" w:cs="楷体_GB2312"/>
          <w:color w:val="000000"/>
          <w:sz w:val="32"/>
          <w:szCs w:val="32"/>
          <w:lang w:eastAsia="zh-CN"/>
        </w:rPr>
      </w:pPr>
    </w:p>
    <w:p w14:paraId="1E179280">
      <w:pPr>
        <w:pStyle w:val="4"/>
        <w:widowControl/>
        <w:numPr>
          <w:ilvl w:val="0"/>
          <w:numId w:val="1"/>
        </w:numPr>
        <w:shd w:val="clear" w:color="auto" w:fill="FFFFFF"/>
        <w:snapToGrid w:val="0"/>
        <w:spacing w:before="0" w:beforeAutospacing="0" w:after="0" w:afterAutospacing="0" w:line="520" w:lineRule="exact"/>
        <w:ind w:left="0" w:leftChars="0" w:firstLine="640" w:firstLineChars="200"/>
        <w:rPr>
          <w:rFonts w:ascii="楷体_GB2312" w:eastAsia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cs="楷体_GB2312"/>
          <w:color w:val="000000"/>
          <w:sz w:val="32"/>
          <w:szCs w:val="32"/>
          <w:shd w:val="clear" w:color="auto" w:fill="FFFFFF"/>
        </w:rPr>
        <w:t>绩效目标设定情况</w:t>
      </w:r>
    </w:p>
    <w:p w14:paraId="7886F1AB">
      <w:pPr>
        <w:pStyle w:val="4"/>
        <w:widowControl/>
        <w:numPr>
          <w:ilvl w:val="0"/>
          <w:numId w:val="0"/>
        </w:numPr>
        <w:shd w:val="clear" w:color="auto" w:fill="FFFFFF"/>
        <w:snapToGrid w:val="0"/>
        <w:spacing w:before="0" w:beforeAutospacing="0" w:after="0" w:afterAutospacing="0" w:line="520" w:lineRule="exact"/>
        <w:ind w:leftChars="200"/>
        <w:rPr>
          <w:rFonts w:hint="default" w:ascii="楷体_GB2312" w:eastAsia="楷体_GB2312" w:cs="楷体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楷体_GB2312" w:eastAsia="楷体_GB2312" w:cs="楷体_GB2312"/>
          <w:color w:val="000000"/>
          <w:sz w:val="32"/>
          <w:szCs w:val="32"/>
          <w:shd w:val="clear" w:color="auto" w:fill="FFFFFF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333333"/>
          <w:sz w:val="30"/>
          <w:szCs w:val="30"/>
          <w:lang w:eastAsia="zh-CN"/>
        </w:rPr>
        <w:t>协助税务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完成</w:t>
      </w:r>
      <w:r>
        <w:rPr>
          <w:rFonts w:hint="eastAsia" w:ascii="仿宋" w:hAnsi="仿宋" w:eastAsia="仿宋" w:cs="仿宋"/>
          <w:sz w:val="30"/>
          <w:szCs w:val="30"/>
        </w:rPr>
        <w:t>城乡居民医保</w:t>
      </w:r>
      <w:r>
        <w:rPr>
          <w:rFonts w:hint="eastAsia" w:ascii="仿宋" w:hAnsi="仿宋" w:eastAsia="仿宋" w:cs="仿宋"/>
          <w:color w:val="333333"/>
          <w:sz w:val="30"/>
          <w:szCs w:val="30"/>
          <w:lang w:eastAsia="zh-CN"/>
        </w:rPr>
        <w:t>基金个人缴费</w:t>
      </w:r>
      <w:r>
        <w:rPr>
          <w:rFonts w:hint="eastAsia" w:ascii="仿宋" w:hAnsi="仿宋" w:eastAsia="仿宋" w:cs="仿宋"/>
          <w:color w:val="333333"/>
          <w:sz w:val="30"/>
          <w:szCs w:val="30"/>
        </w:rPr>
        <w:t>筹资入库工作，保障参合率达95%以上；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lang w:val="en-US" w:eastAsia="zh-CN" w:bidi="ar-SA"/>
        </w:rPr>
        <w:t>全面落实基本医疗、大病保险、医疗救助待遇政策，</w:t>
      </w:r>
      <w:r>
        <w:rPr>
          <w:rFonts w:hint="eastAsia" w:ascii="仿宋" w:hAnsi="仿宋" w:eastAsia="仿宋" w:cs="仿宋"/>
          <w:sz w:val="30"/>
          <w:szCs w:val="30"/>
        </w:rPr>
        <w:t>为全县参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保城镇职工、城乡居民</w:t>
      </w:r>
      <w:r>
        <w:rPr>
          <w:rFonts w:hint="eastAsia" w:ascii="仿宋" w:hAnsi="仿宋" w:eastAsia="仿宋" w:cs="仿宋"/>
          <w:sz w:val="30"/>
          <w:szCs w:val="30"/>
        </w:rPr>
        <w:t>提供及时、方便、全面的服务，保障参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保人员</w:t>
      </w:r>
      <w:r>
        <w:rPr>
          <w:rFonts w:hint="eastAsia" w:ascii="仿宋" w:hAnsi="仿宋" w:eastAsia="仿宋" w:cs="仿宋"/>
          <w:sz w:val="30"/>
          <w:szCs w:val="30"/>
        </w:rPr>
        <w:t>的权益；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规范医疗保障服务协议的审核、审批及签订工作，</w:t>
      </w:r>
      <w:r>
        <w:rPr>
          <w:rFonts w:hint="eastAsia" w:ascii="仿宋" w:hAnsi="仿宋" w:eastAsia="仿宋" w:cs="仿宋"/>
          <w:sz w:val="30"/>
          <w:szCs w:val="30"/>
        </w:rPr>
        <w:t>加强对定点医疗机构各项指标的监管，</w:t>
      </w:r>
      <w:r>
        <w:rPr>
          <w:rFonts w:hint="eastAsia" w:ascii="仿宋" w:hAnsi="仿宋" w:eastAsia="仿宋" w:cs="仿宋"/>
          <w:kern w:val="0"/>
          <w:sz w:val="30"/>
          <w:szCs w:val="30"/>
          <w:lang w:eastAsia="zh-CN"/>
        </w:rPr>
        <w:t>依法查处医疗保障领域违法违规行为，</w:t>
      </w:r>
      <w:r>
        <w:rPr>
          <w:rFonts w:hint="eastAsia" w:ascii="仿宋" w:hAnsi="仿宋" w:eastAsia="仿宋" w:cs="仿宋"/>
          <w:sz w:val="30"/>
          <w:szCs w:val="30"/>
        </w:rPr>
        <w:t>确保医保基金安全运行。</w:t>
      </w:r>
    </w:p>
    <w:p w14:paraId="09E0D174">
      <w:pPr>
        <w:snapToGrid w:val="0"/>
        <w:spacing w:line="520" w:lineRule="exact"/>
        <w:ind w:firstLine="640" w:firstLineChars="200"/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shd w:val="clear" w:color="auto" w:fill="FFFFFF"/>
        </w:rPr>
        <w:t>二、部门整体支出管理及使用情况</w:t>
      </w:r>
    </w:p>
    <w:p w14:paraId="7869069B">
      <w:pPr>
        <w:pStyle w:val="4"/>
        <w:widowControl/>
        <w:shd w:val="clear" w:color="auto" w:fill="FFFFFF"/>
        <w:snapToGrid w:val="0"/>
        <w:spacing w:before="0" w:beforeAutospacing="0" w:after="0" w:afterAutospacing="0" w:line="520" w:lineRule="exact"/>
        <w:ind w:firstLine="548" w:firstLineChars="200"/>
        <w:rPr>
          <w:rFonts w:hint="eastAsia" w:ascii="楷体_GB2312" w:eastAsia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cs="楷体_GB2312"/>
          <w:color w:val="000000"/>
          <w:spacing w:val="-23"/>
          <w:sz w:val="32"/>
          <w:szCs w:val="32"/>
          <w:shd w:val="clear" w:color="auto" w:fill="FFFFFF"/>
        </w:rPr>
        <w:t>（一）</w:t>
      </w:r>
      <w:r>
        <w:rPr>
          <w:rFonts w:hint="eastAsia" w:ascii="楷体_GB2312" w:eastAsia="楷体_GB2312" w:cs="楷体_GB2312"/>
          <w:color w:val="000000"/>
          <w:sz w:val="32"/>
          <w:szCs w:val="32"/>
          <w:shd w:val="clear" w:color="auto" w:fill="FFFFFF"/>
        </w:rPr>
        <w:t>预算执行、使用、管理总体情况。</w:t>
      </w:r>
    </w:p>
    <w:p w14:paraId="41C080D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460" w:lineRule="exact"/>
        <w:ind w:firstLine="643" w:firstLineChars="200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总收支情况：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2023年本级总收入5670765.7元：其中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一般公共预算财政拨款收入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5670765.7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元。</w:t>
      </w:r>
      <w:r>
        <w:rPr>
          <w:rFonts w:hint="eastAsia" w:ascii="仿宋" w:hAnsi="仿宋" w:eastAsia="仿宋" w:cs="仿宋"/>
          <w:sz w:val="32"/>
          <w:szCs w:val="32"/>
        </w:rPr>
        <w:t>全年实际支出为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5670765.7</w:t>
      </w:r>
      <w:r>
        <w:rPr>
          <w:rFonts w:hint="eastAsia" w:ascii="仿宋" w:hAnsi="仿宋" w:eastAsia="仿宋" w:cs="仿宋"/>
          <w:sz w:val="32"/>
          <w:szCs w:val="32"/>
        </w:rPr>
        <w:t>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789C1F6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收入方面：</w:t>
      </w:r>
      <w:r>
        <w:rPr>
          <w:rFonts w:hint="eastAsia" w:ascii="仿宋" w:hAnsi="仿宋" w:eastAsia="仿宋" w:cs="仿宋"/>
          <w:sz w:val="32"/>
          <w:szCs w:val="32"/>
        </w:rPr>
        <w:t>在实际执行中，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2023年本级总收入5670765.7元：其中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2023年一般公共预算财政拨款收入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5670765.7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元，</w:t>
      </w:r>
      <w:r>
        <w:rPr>
          <w:rFonts w:hint="eastAsia" w:ascii="仿宋" w:hAnsi="仿宋" w:eastAsia="仿宋" w:cs="仿宋"/>
          <w:sz w:val="32"/>
          <w:szCs w:val="32"/>
        </w:rPr>
        <w:t>本级财政拨入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5670765.7</w:t>
      </w:r>
      <w:r>
        <w:rPr>
          <w:rFonts w:hint="eastAsia" w:ascii="仿宋" w:hAnsi="仿宋" w:eastAsia="仿宋" w:cs="仿宋"/>
          <w:sz w:val="32"/>
          <w:szCs w:val="32"/>
        </w:rPr>
        <w:t>元，比年初预算追加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1231665.7</w:t>
      </w:r>
      <w:r>
        <w:rPr>
          <w:rFonts w:hint="eastAsia" w:ascii="仿宋" w:hAnsi="仿宋" w:eastAsia="仿宋" w:cs="仿宋"/>
          <w:sz w:val="32"/>
          <w:szCs w:val="32"/>
        </w:rPr>
        <w:t>元，主要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是上年财政项目资金结转到本年使用，在职人员工资福利超标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4318C5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</w:rPr>
        <w:t>支出方面</w:t>
      </w:r>
      <w:r>
        <w:rPr>
          <w:rFonts w:hint="eastAsia" w:ascii="仿宋" w:hAnsi="仿宋" w:eastAsia="仿宋" w:cs="仿宋"/>
          <w:sz w:val="32"/>
          <w:szCs w:val="32"/>
        </w:rPr>
        <w:t>：全年实际支出为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5670765.7</w:t>
      </w:r>
      <w:r>
        <w:rPr>
          <w:rFonts w:hint="eastAsia" w:ascii="仿宋" w:hAnsi="仿宋" w:eastAsia="仿宋" w:cs="仿宋"/>
          <w:sz w:val="32"/>
          <w:szCs w:val="32"/>
        </w:rPr>
        <w:t>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，年终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结转和结余0元。</w:t>
      </w:r>
    </w:p>
    <w:p w14:paraId="2EF62D06">
      <w:pPr>
        <w:pStyle w:val="4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rPr>
          <w:rFonts w:hint="eastAsia" w:ascii="楷体_GB2312" w:eastAsia="楷体_GB2312" w:cs="楷体_GB2312"/>
          <w:color w:val="000000"/>
          <w:sz w:val="32"/>
          <w:szCs w:val="32"/>
          <w:shd w:val="clear" w:color="auto" w:fill="FFFFFF"/>
        </w:rPr>
      </w:pPr>
    </w:p>
    <w:p w14:paraId="389411C4">
      <w:pPr>
        <w:pStyle w:val="4"/>
        <w:widowControl/>
        <w:shd w:val="clear" w:color="auto" w:fill="FFFFFF"/>
        <w:snapToGrid w:val="0"/>
        <w:spacing w:before="0" w:beforeAutospacing="0" w:after="0" w:afterAutospacing="0" w:line="520" w:lineRule="exact"/>
        <w:ind w:firstLine="548" w:firstLineChars="200"/>
        <w:rPr>
          <w:rFonts w:ascii="楷体_GB2312" w:eastAsia="楷体_GB2312" w:cs="楷体_GB2312"/>
          <w:color w:val="000000"/>
          <w:sz w:val="32"/>
          <w:szCs w:val="32"/>
        </w:rPr>
      </w:pPr>
      <w:r>
        <w:rPr>
          <w:rFonts w:ascii="楷体_GB2312" w:eastAsia="楷体_GB2312" w:cs="楷体_GB2312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ascii="楷体_GB2312" w:eastAsia="楷体_GB2312" w:cs="楷体_GB2312"/>
          <w:color w:val="000000"/>
          <w:sz w:val="32"/>
          <w:szCs w:val="32"/>
          <w:shd w:val="clear" w:color="auto" w:fill="FFFFFF"/>
        </w:rPr>
        <w:t>部门预算执行情况</w:t>
      </w:r>
    </w:p>
    <w:p w14:paraId="5D72EB7E">
      <w:pPr>
        <w:pStyle w:val="4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rPr>
          <w:rFonts w:asci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cs="仿宋_GB2312"/>
          <w:color w:val="000000"/>
          <w:sz w:val="32"/>
          <w:szCs w:val="32"/>
          <w:shd w:val="clear" w:color="auto" w:fill="FFFFFF"/>
        </w:rPr>
        <w:t>1.基本支出情况</w:t>
      </w:r>
    </w:p>
    <w:p w14:paraId="0639D03C">
      <w:pPr>
        <w:snapToGrid w:val="0"/>
        <w:spacing w:beforeLines="0" w:afterLines="0" w:line="48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全年实际支出为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5670765.7</w:t>
      </w:r>
      <w:r>
        <w:rPr>
          <w:rFonts w:hint="eastAsia" w:ascii="仿宋" w:hAnsi="仿宋" w:eastAsia="仿宋" w:cs="仿宋"/>
          <w:sz w:val="30"/>
          <w:szCs w:val="30"/>
        </w:rPr>
        <w:t>元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，财政均按实际支出进度予以拨付。</w:t>
      </w:r>
    </w:p>
    <w:p w14:paraId="51D99164">
      <w:pPr>
        <w:snapToGrid w:val="0"/>
        <w:spacing w:beforeLines="0" w:afterLines="0" w:line="4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基本支出4885912.8元：</w:t>
      </w:r>
    </w:p>
    <w:p w14:paraId="3E6812CD">
      <w:pPr>
        <w:snapToGrid w:val="0"/>
        <w:spacing w:beforeLines="0" w:afterLines="0" w:line="4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= 1 \* GB2 \* MERGEFORMAT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</w:rPr>
        <w:t>⑴</w:t>
      </w:r>
      <w:r>
        <w:rPr>
          <w:rFonts w:hint="eastAsia" w:ascii="仿宋" w:hAnsi="仿宋" w:eastAsia="仿宋" w:cs="仿宋"/>
          <w:sz w:val="32"/>
          <w:szCs w:val="32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、人员经费3675560.07元。</w:t>
      </w:r>
    </w:p>
    <w:p w14:paraId="6EC8FDC0">
      <w:pPr>
        <w:snapToGrid w:val="0"/>
        <w:spacing w:beforeLines="0" w:afterLines="0" w:line="480" w:lineRule="exact"/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instrText xml:space="preserve"> = 2 \* GB2 \* MERGEFORMAT </w:instrTex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⑵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、公用经费1210352.73元。</w:t>
      </w:r>
    </w:p>
    <w:p w14:paraId="10423027">
      <w:pPr>
        <w:pStyle w:val="4"/>
        <w:widowControl/>
        <w:numPr>
          <w:ilvl w:val="0"/>
          <w:numId w:val="2"/>
        </w:numPr>
        <w:shd w:val="clear" w:color="auto" w:fill="FFFFFF"/>
        <w:snapToGrid w:val="0"/>
        <w:spacing w:before="0" w:beforeAutospacing="0" w:after="0" w:afterAutospacing="0" w:line="520" w:lineRule="exact"/>
        <w:ind w:left="640"/>
        <w:rPr>
          <w:rFonts w:ascii="仿宋_GB2312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仿宋_GB2312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项目支出情况</w:t>
      </w:r>
    </w:p>
    <w:p w14:paraId="6F6FD287">
      <w:pPr>
        <w:snapToGrid w:val="0"/>
        <w:spacing w:beforeLines="0" w:afterLines="0" w:line="480" w:lineRule="exact"/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项目支出784852.9元：</w:t>
      </w:r>
    </w:p>
    <w:p w14:paraId="6CC53509">
      <w:pPr>
        <w:pStyle w:val="4"/>
        <w:widowControl/>
        <w:numPr>
          <w:ilvl w:val="0"/>
          <w:numId w:val="0"/>
        </w:numPr>
        <w:shd w:val="clear" w:color="auto" w:fill="FFFFFF"/>
        <w:snapToGrid w:val="0"/>
        <w:spacing w:before="0" w:beforeAutospacing="0" w:after="0" w:afterAutospacing="0" w:line="520" w:lineRule="exact"/>
        <w:rPr>
          <w:rFonts w:hint="default" w:asci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 xml:space="preserve">    商品和服务支出78852.9元。主要项目为：保险公司医疗救助结算工作委托服务费298000元，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非税征管成本支出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100000元、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特殊病种人群管理专项经费</w:t>
      </w:r>
      <w:r>
        <w:rPr>
          <w:rFonts w:hint="eastAsia" w:ascii="仿宋" w:hAnsi="仿宋" w:eastAsia="仿宋" w:cs="仿宋"/>
          <w:sz w:val="30"/>
          <w:szCs w:val="30"/>
        </w:rPr>
        <w:t>项目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20000</w:t>
      </w:r>
      <w:r>
        <w:rPr>
          <w:rFonts w:hint="eastAsia" w:ascii="仿宋" w:hAnsi="仿宋" w:eastAsia="仿宋" w:cs="仿宋"/>
          <w:sz w:val="30"/>
          <w:szCs w:val="30"/>
        </w:rPr>
        <w:t>元、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医保基金专项整治经费项目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32000元，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税务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“两险”征缴工作经费75500元，县级医保基金专项检查经费180000元，基层党风廉政建设基金20000元，争资立项50000元，城乡居民“两险”工作经费75500元。</w:t>
      </w:r>
      <w:r>
        <w:rPr>
          <w:rFonts w:hint="eastAsia" w:asci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 xml:space="preserve">     </w:t>
      </w:r>
    </w:p>
    <w:p w14:paraId="2D56E384">
      <w:pPr>
        <w:pStyle w:val="4"/>
        <w:widowControl/>
        <w:shd w:val="clear" w:color="auto" w:fill="FFFFFF"/>
        <w:snapToGrid w:val="0"/>
        <w:spacing w:before="0" w:beforeAutospacing="0" w:after="0" w:afterAutospacing="0" w:line="520" w:lineRule="exact"/>
        <w:ind w:firstLine="548" w:firstLineChars="200"/>
        <w:rPr>
          <w:rFonts w:ascii="楷体_GB2312" w:eastAsia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cs="楷体_GB2312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ascii="楷体_GB2312" w:eastAsia="楷体_GB2312" w:cs="楷体_GB2312"/>
          <w:color w:val="000000"/>
          <w:sz w:val="32"/>
          <w:szCs w:val="32"/>
          <w:shd w:val="clear" w:color="auto" w:fill="FFFFFF"/>
        </w:rPr>
        <w:t>"三公"经费使用和管理情况</w:t>
      </w:r>
    </w:p>
    <w:p w14:paraId="27B175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300" w:firstLineChars="100"/>
        <w:textAlignment w:val="auto"/>
        <w:outlineLvl w:val="9"/>
        <w:rPr>
          <w:rFonts w:hint="default" w:ascii="楷体_GB2312" w:eastAsia="仿宋" w:cs="楷体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我单位</w:t>
      </w:r>
      <w:r>
        <w:rPr>
          <w:rFonts w:hint="eastAsia" w:ascii="仿宋" w:hAnsi="仿宋" w:eastAsia="仿宋" w:cs="仿宋"/>
          <w:sz w:val="30"/>
          <w:szCs w:val="30"/>
        </w:rPr>
        <w:t>没有因公出国（境）人员，“三公经费”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本年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总支出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35000元，占年初预算安排数的100%（其中</w:t>
      </w:r>
      <w:r>
        <w:rPr>
          <w:rFonts w:hint="eastAsia" w:ascii="仿宋" w:hAnsi="仿宋" w:eastAsia="仿宋" w:cs="仿宋"/>
          <w:sz w:val="30"/>
          <w:szCs w:val="30"/>
        </w:rPr>
        <w:t>公务接待费支出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11051</w:t>
      </w:r>
      <w:r>
        <w:rPr>
          <w:rFonts w:hint="eastAsia" w:ascii="仿宋" w:hAnsi="仿宋" w:eastAsia="仿宋" w:cs="仿宋"/>
          <w:sz w:val="30"/>
          <w:szCs w:val="30"/>
        </w:rPr>
        <w:t>元，占年初预算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安排</w:t>
      </w:r>
      <w:r>
        <w:rPr>
          <w:rFonts w:hint="eastAsia" w:ascii="仿宋" w:hAnsi="仿宋" w:eastAsia="仿宋" w:cs="仿宋"/>
          <w:sz w:val="30"/>
          <w:szCs w:val="30"/>
        </w:rPr>
        <w:t>数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33</w:t>
      </w:r>
      <w:r>
        <w:rPr>
          <w:rFonts w:hint="eastAsia" w:ascii="仿宋" w:hAnsi="仿宋" w:eastAsia="仿宋" w:cs="仿宋"/>
          <w:sz w:val="30"/>
          <w:szCs w:val="30"/>
        </w:rPr>
        <w:t>%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；</w:t>
      </w:r>
      <w:r>
        <w:rPr>
          <w:rFonts w:hint="eastAsia" w:ascii="仿宋" w:hAnsi="仿宋" w:eastAsia="仿宋" w:cs="仿宋"/>
          <w:sz w:val="30"/>
          <w:szCs w:val="30"/>
        </w:rPr>
        <w:t>公务用车运行维护费支出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23489</w:t>
      </w:r>
      <w:r>
        <w:rPr>
          <w:rFonts w:hint="eastAsia" w:ascii="仿宋" w:hAnsi="仿宋" w:eastAsia="仿宋" w:cs="仿宋"/>
          <w:sz w:val="30"/>
          <w:szCs w:val="30"/>
        </w:rPr>
        <w:t>元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sz w:val="30"/>
          <w:szCs w:val="30"/>
        </w:rPr>
        <w:t>占年初预算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安排</w:t>
      </w:r>
      <w:r>
        <w:rPr>
          <w:rFonts w:hint="eastAsia" w:ascii="仿宋" w:hAnsi="仿宋" w:eastAsia="仿宋" w:cs="仿宋"/>
          <w:sz w:val="30"/>
          <w:szCs w:val="30"/>
        </w:rPr>
        <w:t>数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67</w:t>
      </w:r>
      <w:r>
        <w:rPr>
          <w:rFonts w:hint="eastAsia" w:ascii="仿宋" w:hAnsi="仿宋" w:eastAsia="仿宋" w:cs="仿宋"/>
          <w:sz w:val="30"/>
          <w:szCs w:val="30"/>
        </w:rPr>
        <w:t>%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）。</w:t>
      </w:r>
      <w:r>
        <w:rPr>
          <w:rFonts w:hint="eastAsia" w:ascii="仿宋" w:hAnsi="仿宋" w:eastAsia="仿宋" w:cs="仿宋"/>
          <w:sz w:val="30"/>
          <w:szCs w:val="30"/>
        </w:rPr>
        <w:t>“三公经费”的支出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刚好符合当年预算，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主要原因是其一加强医保稽查工作，公务用车汽油费、修理费增加，其二是上级部门组织市级交叉检查、稽查工作比上年增多,接待费相应增加。</w:t>
      </w:r>
    </w:p>
    <w:p w14:paraId="0256B0AC">
      <w:pPr>
        <w:pStyle w:val="4"/>
        <w:widowControl/>
        <w:numPr>
          <w:ilvl w:val="0"/>
          <w:numId w:val="3"/>
        </w:numPr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政府性基金预算支出情况</w:t>
      </w:r>
    </w:p>
    <w:p w14:paraId="719177F3">
      <w:pPr>
        <w:pStyle w:val="4"/>
        <w:widowControl/>
        <w:numPr>
          <w:ilvl w:val="0"/>
          <w:numId w:val="0"/>
        </w:numPr>
        <w:shd w:val="clear" w:color="auto" w:fill="FFFFFF"/>
        <w:snapToGrid w:val="0"/>
        <w:spacing w:before="0" w:beforeAutospacing="0" w:after="0" w:afterAutospacing="0" w:line="520" w:lineRule="exact"/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  <w:lang w:val="en-US" w:eastAsia="zh-CN"/>
        </w:rPr>
        <w:t xml:space="preserve">    无</w:t>
      </w:r>
    </w:p>
    <w:p w14:paraId="5449D93F">
      <w:pPr>
        <w:pStyle w:val="4"/>
        <w:widowControl/>
        <w:numPr>
          <w:ilvl w:val="0"/>
          <w:numId w:val="3"/>
        </w:numPr>
        <w:shd w:val="clear" w:color="auto" w:fill="FFFFFF"/>
        <w:snapToGrid w:val="0"/>
        <w:spacing w:before="0" w:beforeAutospacing="0" w:after="0" w:afterAutospacing="0" w:line="520" w:lineRule="exact"/>
        <w:ind w:left="0" w:leftChars="0" w:firstLine="640" w:firstLineChars="200"/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国有资本经营预算支出情况</w:t>
      </w:r>
    </w:p>
    <w:p w14:paraId="58EC7DC5">
      <w:pPr>
        <w:pStyle w:val="4"/>
        <w:widowControl/>
        <w:numPr>
          <w:ilvl w:val="0"/>
          <w:numId w:val="0"/>
        </w:numPr>
        <w:shd w:val="clear" w:color="auto" w:fill="FFFFFF"/>
        <w:snapToGrid w:val="0"/>
        <w:spacing w:before="0" w:beforeAutospacing="0" w:after="0" w:afterAutospacing="0" w:line="520" w:lineRule="exact"/>
        <w:ind w:leftChars="200"/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  <w:lang w:val="en-US" w:eastAsia="zh-CN"/>
        </w:rPr>
        <w:t xml:space="preserve"> 无</w:t>
      </w:r>
    </w:p>
    <w:p w14:paraId="5184074D">
      <w:pPr>
        <w:pStyle w:val="4"/>
        <w:widowControl/>
        <w:numPr>
          <w:ilvl w:val="0"/>
          <w:numId w:val="3"/>
        </w:numPr>
        <w:shd w:val="clear" w:color="auto" w:fill="FFFFFF"/>
        <w:snapToGrid w:val="0"/>
        <w:spacing w:before="0" w:beforeAutospacing="0" w:after="0" w:afterAutospacing="0" w:line="520" w:lineRule="exact"/>
        <w:ind w:left="0" w:leftChars="0" w:firstLine="640" w:firstLineChars="200"/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社会保险基金预算支出情况</w:t>
      </w:r>
    </w:p>
    <w:p w14:paraId="5B8D8768">
      <w:pPr>
        <w:pStyle w:val="4"/>
        <w:widowControl/>
        <w:numPr>
          <w:ilvl w:val="0"/>
          <w:numId w:val="0"/>
        </w:numPr>
        <w:shd w:val="clear" w:color="auto" w:fill="FFFFFF"/>
        <w:snapToGrid w:val="0"/>
        <w:spacing w:before="0" w:beforeAutospacing="0" w:after="0" w:afterAutospacing="0" w:line="520" w:lineRule="exact"/>
        <w:ind w:firstLine="643" w:firstLineChars="200"/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FFFFF"/>
          <w:lang w:eastAsia="zh-CN"/>
        </w:rPr>
        <w:t>无</w:t>
      </w:r>
    </w:p>
    <w:p w14:paraId="68371FB6">
      <w:pPr>
        <w:pStyle w:val="4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六、部门整体支出绩效情况</w:t>
      </w:r>
    </w:p>
    <w:p w14:paraId="757A6F8C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pacing w:line="460" w:lineRule="exact"/>
        <w:ind w:firstLine="548" w:firstLineChars="200"/>
        <w:textAlignment w:val="auto"/>
        <w:rPr>
          <w:rFonts w:ascii="楷体_GB2312" w:eastAsia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cs="楷体_GB2312"/>
          <w:color w:val="000000"/>
          <w:spacing w:val="-23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cs="楷体_GB2312"/>
          <w:color w:val="000000"/>
          <w:sz w:val="32"/>
          <w:szCs w:val="32"/>
          <w:shd w:val="clear" w:color="auto" w:fill="FFFFFF"/>
        </w:rPr>
        <w:t>综合评价结论。</w:t>
      </w:r>
    </w:p>
    <w:p w14:paraId="4F377748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pacing w:line="460" w:lineRule="exact"/>
        <w:ind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color w:val="343233"/>
          <w:kern w:val="0"/>
          <w:sz w:val="32"/>
          <w:szCs w:val="32"/>
          <w:lang w:eastAsia="zh-CN"/>
        </w:rPr>
        <w:t>经自评，</w:t>
      </w:r>
      <w:r>
        <w:rPr>
          <w:rFonts w:hint="eastAsia" w:ascii="仿宋" w:hAnsi="仿宋" w:eastAsia="仿宋" w:cs="仿宋"/>
          <w:b w:val="0"/>
          <w:bCs w:val="0"/>
          <w:color w:val="343233"/>
          <w:kern w:val="0"/>
          <w:sz w:val="32"/>
          <w:szCs w:val="32"/>
          <w:lang w:val="en-US" w:eastAsia="zh-CN"/>
        </w:rPr>
        <w:t>2023年度我单位整体支出绩效评价结论为“优”，自查评分为 95 分。</w:t>
      </w:r>
      <w:bookmarkStart w:id="0" w:name="_GoBack"/>
      <w:bookmarkEnd w:id="0"/>
    </w:p>
    <w:p w14:paraId="5704F043">
      <w:pPr>
        <w:pStyle w:val="4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/>
        <w:textAlignment w:val="auto"/>
        <w:rPr>
          <w:rFonts w:ascii="楷体_GB2312" w:eastAsia="楷体_GB2312" w:cs="楷体_GB2312"/>
          <w:color w:val="000000"/>
          <w:sz w:val="32"/>
          <w:szCs w:val="32"/>
        </w:rPr>
      </w:pPr>
      <w:r>
        <w:rPr>
          <w:rFonts w:ascii="楷体_GB2312" w:eastAsia="楷体_GB2312" w:cs="楷体_GB2312"/>
          <w:color w:val="000000"/>
          <w:sz w:val="32"/>
          <w:szCs w:val="32"/>
          <w:shd w:val="clear" w:color="auto" w:fill="FFFFFF"/>
        </w:rPr>
        <w:t>评价指标分析（或综合评价情况）。</w:t>
      </w:r>
    </w:p>
    <w:p w14:paraId="7C60874B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/>
        <w:textAlignment w:val="auto"/>
        <w:rPr>
          <w:rFonts w:hint="eastAsia" w:ascii="仿宋_GB2312" w:eastAsia="仿宋_GB2312"/>
          <w:bCs/>
          <w:sz w:val="30"/>
          <w:szCs w:val="30"/>
          <w:lang w:eastAsia="zh-CN"/>
        </w:rPr>
      </w:pPr>
      <w:r>
        <w:rPr>
          <w:rFonts w:hint="eastAsia" w:ascii="楷体_GB2312" w:eastAsia="楷体_GB2312" w:cs="楷体_GB2312"/>
          <w:color w:val="000000"/>
          <w:sz w:val="32"/>
          <w:szCs w:val="32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eastAsia="仿宋_GB2312" w:cs="宋体"/>
          <w:color w:val="343233"/>
          <w:kern w:val="0"/>
          <w:sz w:val="30"/>
          <w:szCs w:val="30"/>
        </w:rPr>
        <w:t>由于年初预算安排及有目的进行了预算调整，有效的保障了</w:t>
      </w:r>
      <w:r>
        <w:rPr>
          <w:rFonts w:hint="eastAsia" w:ascii="仿宋_GB2312" w:eastAsia="仿宋_GB2312"/>
          <w:bCs/>
          <w:sz w:val="30"/>
          <w:szCs w:val="30"/>
        </w:rPr>
        <w:t>各项业务工作顺利开展，反映良好，</w:t>
      </w:r>
      <w:r>
        <w:rPr>
          <w:rFonts w:hint="eastAsia" w:ascii="仿宋_GB2312" w:eastAsia="仿宋_GB2312"/>
          <w:bCs/>
          <w:sz w:val="30"/>
          <w:szCs w:val="30"/>
          <w:lang w:eastAsia="zh-CN"/>
        </w:rPr>
        <w:t>主要表现在：</w:t>
      </w:r>
    </w:p>
    <w:p w14:paraId="7308E65E">
      <w:pPr>
        <w:pStyle w:val="4"/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1"/>
          <w:sz w:val="32"/>
          <w:szCs w:val="32"/>
          <w:lang w:val="en-US" w:eastAsia="zh-CN" w:bidi="ar-SA"/>
        </w:rPr>
        <w:t>基金运行平稳高效。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lang w:val="en-US" w:eastAsia="zh-CN" w:bidi="ar-SA"/>
        </w:rPr>
        <w:t>全面落实了基本医疗、大病保险、医疗救助待遇政策，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  <w:t>2023年全县城乡居民医保基金收入31994.56万元，支出30916.4万元，结余1078.16万元；职工医保基金收入8818万元，支出8168万元，结余650万元，收支平衡，略有结余，医保基金运行平稳高效。截止到1</w:t>
      </w:r>
      <w:r>
        <w:rPr>
          <w:rFonts w:hint="eastAsia" w:ascii="仿宋_GB2312" w:hAnsi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  <w:t>月底居民大病保险支付</w:t>
      </w:r>
      <w:r>
        <w:rPr>
          <w:rFonts w:hint="eastAsia" w:ascii="仿宋_GB2312" w:hAnsi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  <w:t>3527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  <w:t>人次，金额</w:t>
      </w:r>
      <w:r>
        <w:rPr>
          <w:rFonts w:hint="eastAsia" w:ascii="仿宋_GB2312" w:hAnsi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  <w:t>1443.34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  <w:t xml:space="preserve"> 万元; 医疗救助</w:t>
      </w:r>
      <w:r>
        <w:rPr>
          <w:rFonts w:hint="eastAsia" w:ascii="仿宋_GB2312" w:hAnsi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  <w:t>14821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  <w:t>人次，金额</w:t>
      </w:r>
      <w:r>
        <w:rPr>
          <w:rFonts w:hint="eastAsia" w:ascii="仿宋_GB2312" w:hAnsi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  <w:t>1014.17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  <w:t>万元(一、二类对象门诊救助</w:t>
      </w:r>
      <w:r>
        <w:rPr>
          <w:rFonts w:hint="eastAsia" w:ascii="仿宋_GB2312" w:hAnsi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  <w:t>8253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  <w:t xml:space="preserve">人次，救助金额 </w:t>
      </w:r>
      <w:r>
        <w:rPr>
          <w:rFonts w:hint="eastAsia" w:ascii="仿宋_GB2312" w:hAnsi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  <w:t>137.33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  <w:t xml:space="preserve"> 万元,住院救助</w:t>
      </w:r>
      <w:r>
        <w:rPr>
          <w:rFonts w:hint="eastAsia" w:ascii="仿宋_GB2312" w:hAnsi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  <w:t>5868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  <w:t>人次，救助金额</w:t>
      </w:r>
      <w:r>
        <w:rPr>
          <w:rFonts w:hint="eastAsia" w:ascii="仿宋_GB2312" w:hAnsi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  <w:t>643.07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  <w:t>万元;三类对象门诊救助</w:t>
      </w:r>
      <w:r>
        <w:rPr>
          <w:rFonts w:hint="eastAsia" w:ascii="仿宋_GB2312" w:hAnsi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  <w:t>47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  <w:t>人次，救助金额</w:t>
      </w:r>
      <w:r>
        <w:rPr>
          <w:rFonts w:hint="eastAsia" w:ascii="仿宋_GB2312" w:hAnsi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  <w:t>0.72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  <w:t xml:space="preserve">万元，住院救助 </w:t>
      </w:r>
      <w:r>
        <w:rPr>
          <w:rFonts w:hint="eastAsia" w:ascii="仿宋_GB2312" w:hAnsi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  <w:t>653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  <w:t xml:space="preserve"> 人次，救助金额</w:t>
      </w:r>
      <w:r>
        <w:rPr>
          <w:rFonts w:hint="eastAsia" w:ascii="仿宋_GB2312" w:hAnsi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  <w:t>193.34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  <w:t>万元; 再救助</w:t>
      </w:r>
      <w:r>
        <w:rPr>
          <w:rFonts w:hint="eastAsia" w:ascii="仿宋_GB2312" w:hAnsi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  <w:t>170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  <w:t xml:space="preserve">人次，救助金额 </w:t>
      </w:r>
      <w:r>
        <w:rPr>
          <w:rFonts w:hint="eastAsia" w:ascii="仿宋_GB2312" w:hAnsi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  <w:t>39.71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  <w:t>万元)。</w:t>
      </w:r>
    </w:p>
    <w:p w14:paraId="637841BD">
      <w:pPr>
        <w:pStyle w:val="4"/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1"/>
          <w:sz w:val="32"/>
          <w:szCs w:val="32"/>
          <w:highlight w:val="none"/>
          <w:lang w:val="en-US" w:eastAsia="zh-CN" w:bidi="ar-SA"/>
        </w:rPr>
        <w:t>落实全民参保成绩突出。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highlight w:val="none"/>
          <w:lang w:val="en-US" w:eastAsia="zh-CN" w:bidi="ar-SA"/>
        </w:rPr>
        <w:t>我县总参保人数为299274人，参保率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lang w:val="en-US" w:eastAsia="zh-CN" w:bidi="ar-SA"/>
        </w:rPr>
        <w:t>为103.01%，特殊人群参保率100%，各类符合政策要求的困难人员资助率100%。实现了参保全覆盖，超额完成省、市下达任务，排名全市第三，被省税务局、省医保局联合下文表彰。</w:t>
      </w:r>
    </w:p>
    <w:p w14:paraId="67654B48">
      <w:pPr>
        <w:pStyle w:val="4"/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3" w:firstLineChars="200"/>
        <w:textAlignment w:val="auto"/>
        <w:rPr>
          <w:rFonts w:hint="default" w:ascii="仿宋_GB2312" w:hAnsi="仿宋_GB2312" w:eastAsia="仿宋_GB2312" w:cs="仿宋_GB2312"/>
          <w:color w:val="auto"/>
          <w:kern w:val="21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1"/>
          <w:sz w:val="32"/>
          <w:szCs w:val="32"/>
          <w:lang w:val="en-US" w:eastAsia="zh-CN" w:bidi="ar-SA"/>
        </w:rPr>
        <w:t>职工医保门诊共济顺利推进。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lang w:val="en-US" w:eastAsia="zh-CN" w:bidi="ar-SA"/>
        </w:rPr>
        <w:t>今年先后组织召开在职和退休的职工门诊共济医保政策宣讲会，将政策进行了详细解说及正确引导。目前全县30家定点医疗机构、5家定点药店开通职工医保门诊报销。</w:t>
      </w:r>
    </w:p>
    <w:p w14:paraId="3BD8D089">
      <w:pPr>
        <w:pStyle w:val="4"/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3" w:firstLineChars="200"/>
        <w:textAlignment w:val="auto"/>
        <w:rPr>
          <w:rFonts w:hint="default" w:ascii="仿宋_GB2312" w:hAnsi="仿宋_GB2312" w:eastAsia="仿宋_GB2312" w:cs="仿宋_GB2312"/>
          <w:color w:val="auto"/>
          <w:kern w:val="21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1"/>
          <w:sz w:val="32"/>
          <w:szCs w:val="32"/>
          <w:highlight w:val="none"/>
          <w:lang w:val="en-US" w:eastAsia="zh-CN" w:bidi="ar-SA"/>
        </w:rPr>
        <w:t>是规范医疗保障服务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1"/>
          <w:sz w:val="32"/>
          <w:szCs w:val="32"/>
          <w:lang w:val="en-US" w:eastAsia="zh-CN" w:bidi="ar-SA"/>
        </w:rPr>
        <w:t>协议的审核、审批及签订工作。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lang w:val="en-US" w:eastAsia="zh-CN" w:bidi="ar-SA"/>
        </w:rPr>
        <w:t>2023年经审核把关，组织符合条件的37家定点医疗机构和79家定点零售药店签订了服务协议。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1"/>
          <w:sz w:val="32"/>
          <w:szCs w:val="32"/>
          <w:lang w:val="en-US" w:eastAsia="zh-CN" w:bidi="ar-SA"/>
        </w:rPr>
        <w:t>加强医药机构日常监管。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lang w:val="en-US" w:eastAsia="zh-CN" w:bidi="ar-SA"/>
        </w:rPr>
        <w:t>2023年组织开展3次定点医疗机构自查自纠，116家定点医药机构，共计退回违规资金13.63万元。通过开展全覆盖专项检查，结合市局交叉检查，共计检查定点医药机构116家，查处11家定点医药机构医疗服务违规问题线索，共追回医保基金45.30万元，作出行政处罚44.68万元，约谈4家医疗机构负责人，移送卫健部门4家，行政处罚4家，行政罚款29.03万元，涉及问题已全部整改到位，有效遏制欺诈骗保行为，确保医疗保障基金安全运行。</w:t>
      </w:r>
    </w:p>
    <w:p w14:paraId="2935106F">
      <w:pPr>
        <w:pStyle w:val="4"/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3" w:firstLineChars="200"/>
        <w:textAlignment w:val="auto"/>
        <w:rPr>
          <w:rFonts w:hint="default" w:ascii="仿宋_GB2312" w:hAnsi="仿宋_GB2312" w:eastAsia="仿宋_GB2312" w:cs="仿宋_GB2312"/>
          <w:color w:val="auto"/>
          <w:kern w:val="21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1"/>
          <w:sz w:val="32"/>
          <w:szCs w:val="32"/>
          <w:lang w:val="en-US" w:eastAsia="zh-CN" w:bidi="ar-SA"/>
        </w:rPr>
        <w:t>带量采购和医疗服务价格管理落实到位。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lang w:val="en-US" w:eastAsia="zh-CN" w:bidi="ar-SA"/>
        </w:rPr>
        <w:t>一是落实好国家组织药品耗材集中带量采购。2023年开展了14个批次的药品集中带量采购，目前有7个批次采购周期已经到期，另有7个批次还在进行当中。第5至9批、省组织的两个批次、省市际联盟四个批次药品集采的实施，完成了骨科、肾功能检测试剂等各批次耗材集采。我县辖区内31家医疗机构2023年共下达药品集中带量采购订单5440682个，涉及药品1880个品规，采购金额7967.79万元，现已完成收货6815.13万元。各类耗材采购订单253326个，采购入库数量357919件，入库金额681.69万元。今年11月8日启动了医保基金直接结算带量采购中选产品货款工作，已完成第一批医保基金直接结算带量采购货款支付77.79万元。</w:t>
      </w:r>
    </w:p>
    <w:p w14:paraId="09B9CF57">
      <w:pPr>
        <w:pStyle w:val="4"/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rightChars="0" w:firstLine="643" w:firstLineChars="200"/>
        <w:textAlignment w:val="auto"/>
        <w:rPr>
          <w:rFonts w:hint="default" w:ascii="仿宋_GB2312" w:hAnsi="仿宋_GB2312" w:eastAsia="仿宋_GB2312" w:cs="仿宋_GB2312"/>
          <w:color w:val="auto"/>
          <w:kern w:val="21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1"/>
          <w:sz w:val="32"/>
          <w:szCs w:val="32"/>
          <w:lang w:val="en-US" w:eastAsia="zh-CN" w:bidi="ar-SA"/>
        </w:rPr>
        <w:t>健全经办体系，打通惠民“最后一公里”。</w:t>
      </w:r>
      <w:r>
        <w:rPr>
          <w:rFonts w:hint="eastAsia" w:ascii="仿宋_GB2312" w:hAnsi="仿宋_GB2312" w:eastAsia="仿宋_GB2312" w:cs="仿宋_GB2312"/>
          <w:color w:val="auto"/>
          <w:kern w:val="21"/>
          <w:sz w:val="32"/>
          <w:szCs w:val="32"/>
          <w:lang w:val="en-US" w:eastAsia="zh-CN" w:bidi="ar-SA"/>
        </w:rPr>
        <w:t>进一步推进县、乡（镇）、村（社区）三级医保经办服务体系建设，重点围绕医保服务事项下沉和医疗系统两条线，全面落实9项医保经办工作下沉至乡镇（街道），4项医保经办工作下沉至村（社区），特门认定工作下放至医疗机构，开通264个村级卫生室门诊统筹业务，实现了群众看病购药不出村。18个乡镇、243村（社区）设立了医保服务站（点），明确了乡村两级医保专干；36家定点医疗机构设立了医保办及专干，三级帮代办各尽其责、上下联动，让医保经办服务无死角。</w:t>
      </w:r>
    </w:p>
    <w:p w14:paraId="3118252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七、存在的问题及原因分析</w:t>
      </w:r>
    </w:p>
    <w:p w14:paraId="5510BFB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left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主要</w:t>
      </w:r>
      <w:r>
        <w:rPr>
          <w:rFonts w:hint="eastAsia" w:ascii="仿宋_GB2312" w:eastAsia="仿宋_GB2312" w:cs="仿宋_GB2312"/>
          <w:i w:val="0"/>
          <w:iCs w:val="0"/>
          <w:caps w:val="0"/>
          <w:color w:val="000000" w:themeColor="text1"/>
          <w:spacing w:val="0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是上年财政项目资金结转到本年使用，及新增保险公司经办服务费项目。</w:t>
      </w:r>
    </w:p>
    <w:p w14:paraId="0A7AAD62">
      <w:pPr>
        <w:pStyle w:val="4"/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下一步改进措施</w:t>
      </w:r>
    </w:p>
    <w:p w14:paraId="01D1C2DB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FF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确保我县医保工作的健康平稳运行,对基金监管更加完善严格，做好委托业务费及医保专项基金的预算管理。</w:t>
      </w:r>
    </w:p>
    <w:p w14:paraId="026F96CD">
      <w:pPr>
        <w:pStyle w:val="4"/>
        <w:widowControl/>
        <w:shd w:val="clear" w:color="auto" w:fill="FFFFFF"/>
        <w:snapToGrid w:val="0"/>
        <w:spacing w:before="0" w:beforeAutospacing="0" w:after="0" w:afterAutospacing="0" w:line="520" w:lineRule="exact"/>
        <w:ind w:firstLine="640" w:firstLineChars="200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九、其他需要说明的情况</w:t>
      </w:r>
    </w:p>
    <w:p w14:paraId="6BDCD130">
      <w:pPr>
        <w:pStyle w:val="4"/>
        <w:widowControl/>
        <w:shd w:val="clear" w:color="auto" w:fill="FFFFFF"/>
        <w:snapToGrid w:val="0"/>
        <w:spacing w:before="0" w:beforeAutospacing="0" w:after="0" w:afterAutospacing="0" w:line="520" w:lineRule="exact"/>
        <w:rPr>
          <w:rFonts w:hint="eastAsia" w:ascii="仿宋" w:hAnsi="仿宋" w:eastAsia="仿宋" w:cs="仿宋"/>
          <w:b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  <w:lang w:val="en-US" w:eastAsia="zh-CN"/>
        </w:rPr>
        <w:t xml:space="preserve">    无</w:t>
      </w:r>
    </w:p>
    <w:p w14:paraId="5E0B9E8E">
      <w:pPr>
        <w:pStyle w:val="4"/>
        <w:widowControl/>
        <w:shd w:val="clear" w:color="auto" w:fill="FFFFFF"/>
        <w:spacing w:before="0" w:beforeAutospacing="0" w:after="0" w:afterAutospacing="0" w:line="480" w:lineRule="atLeast"/>
        <w:jc w:val="both"/>
        <w:rPr>
          <w:rFonts w:ascii="Calibri" w:hAnsi="Calibri" w:cs="Calibri"/>
          <w:color w:val="000000"/>
        </w:rPr>
      </w:pPr>
    </w:p>
    <w:p w14:paraId="36A4F943">
      <w:pPr>
        <w:pStyle w:val="4"/>
        <w:widowControl/>
        <w:shd w:val="clear" w:color="auto" w:fill="FFFFFF"/>
        <w:spacing w:before="0" w:beforeAutospacing="0" w:after="0" w:afterAutospacing="0" w:line="480" w:lineRule="atLeast"/>
        <w:jc w:val="both"/>
        <w:rPr>
          <w:rFonts w:ascii="Calibri" w:hAnsi="Calibri" w:cs="Calibri"/>
          <w:color w:val="000000"/>
        </w:rPr>
      </w:pPr>
    </w:p>
    <w:p w14:paraId="5DAF87E9">
      <w:pPr>
        <w:pStyle w:val="4"/>
        <w:widowControl/>
        <w:shd w:val="clear" w:color="auto" w:fill="FFFFFF"/>
        <w:spacing w:before="0" w:beforeAutospacing="0" w:after="0" w:afterAutospacing="0" w:line="480" w:lineRule="atLeast"/>
        <w:jc w:val="both"/>
        <w:rPr>
          <w:rFonts w:ascii="Calibri" w:hAnsi="Calibri" w:cs="Calibri"/>
          <w:color w:val="000000"/>
        </w:rPr>
      </w:pPr>
    </w:p>
    <w:p w14:paraId="1CC734ED">
      <w:pPr>
        <w:pStyle w:val="4"/>
        <w:widowControl/>
        <w:shd w:val="clear" w:color="auto" w:fill="FFFFFF"/>
        <w:spacing w:before="0" w:beforeAutospacing="0" w:after="0" w:afterAutospacing="0" w:line="480" w:lineRule="atLeast"/>
        <w:jc w:val="both"/>
        <w:rPr>
          <w:rFonts w:ascii="Calibri" w:hAnsi="Calibri" w:cs="Calibri"/>
          <w:color w:val="000000"/>
        </w:rPr>
      </w:pPr>
    </w:p>
    <w:p w14:paraId="787EDBD4">
      <w:pPr>
        <w:pStyle w:val="4"/>
        <w:widowControl/>
        <w:shd w:val="clear" w:color="auto" w:fill="FFFFFF"/>
        <w:spacing w:before="0" w:beforeAutospacing="0" w:after="0" w:afterAutospacing="0" w:line="480" w:lineRule="atLeast"/>
        <w:jc w:val="both"/>
        <w:rPr>
          <w:rFonts w:ascii="Calibri" w:hAnsi="Calibri" w:cs="Calibri"/>
          <w:color w:val="000000"/>
        </w:rPr>
      </w:pPr>
    </w:p>
    <w:p w14:paraId="58263761">
      <w:pPr>
        <w:pStyle w:val="4"/>
        <w:widowControl/>
        <w:shd w:val="clear" w:color="auto" w:fill="FFFFFF"/>
        <w:spacing w:before="0" w:beforeAutospacing="0" w:after="0" w:afterAutospacing="0" w:line="480" w:lineRule="atLeast"/>
        <w:jc w:val="both"/>
        <w:rPr>
          <w:rFonts w:ascii="Calibri" w:hAnsi="Calibri" w:cs="Calibri"/>
          <w:color w:val="000000"/>
        </w:rPr>
      </w:pPr>
    </w:p>
    <w:p w14:paraId="746DB0D5">
      <w:pPr>
        <w:pStyle w:val="4"/>
        <w:widowControl/>
        <w:shd w:val="clear" w:color="auto" w:fill="FFFFFF"/>
        <w:spacing w:before="0" w:beforeAutospacing="0" w:after="0" w:afterAutospacing="0" w:line="480" w:lineRule="atLeast"/>
        <w:jc w:val="both"/>
        <w:rPr>
          <w:rFonts w:ascii="Calibri" w:hAnsi="Calibri" w:cs="Calibri"/>
          <w:color w:val="000000"/>
        </w:rPr>
      </w:pPr>
    </w:p>
    <w:p w14:paraId="10BD82B0">
      <w:pPr>
        <w:pStyle w:val="4"/>
        <w:widowControl/>
        <w:shd w:val="clear" w:color="auto" w:fill="FFFFFF"/>
        <w:spacing w:before="0" w:beforeAutospacing="0" w:after="0" w:afterAutospacing="0" w:line="480" w:lineRule="atLeast"/>
        <w:jc w:val="both"/>
        <w:rPr>
          <w:rFonts w:ascii="Calibri" w:hAnsi="Calibri" w:cs="Calibri"/>
          <w:color w:val="000000"/>
        </w:rPr>
      </w:pPr>
    </w:p>
    <w:p w14:paraId="58D7901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CF435A"/>
    <w:multiLevelType w:val="singleLevel"/>
    <w:tmpl w:val="85CF435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D0050E9"/>
    <w:multiLevelType w:val="singleLevel"/>
    <w:tmpl w:val="ED0050E9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C90F219"/>
    <w:multiLevelType w:val="singleLevel"/>
    <w:tmpl w:val="1C90F21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2FC1850C"/>
    <w:multiLevelType w:val="singleLevel"/>
    <w:tmpl w:val="2FC1850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3E4F6121"/>
    <w:multiLevelType w:val="singleLevel"/>
    <w:tmpl w:val="3E4F612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797D2800"/>
    <w:multiLevelType w:val="singleLevel"/>
    <w:tmpl w:val="797D280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U4N2IyN2QxYTA3NTc1YWJjM2E1YzM3YzU5ODFiMzYifQ=="/>
  </w:docVars>
  <w:rsids>
    <w:rsidRoot w:val="00D03CC6"/>
    <w:rsid w:val="00BB6D8D"/>
    <w:rsid w:val="00D03CC6"/>
    <w:rsid w:val="0B52394A"/>
    <w:rsid w:val="5D284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qFormat="1" w:unhideWhenUsed="0" w:uiPriority="0" w:semiHidden="0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qFormat/>
    <w:uiPriority w:val="0"/>
    <w:pPr>
      <w:ind w:left="1680"/>
    </w:p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BodyText1I2"/>
    <w:basedOn w:val="8"/>
    <w:next w:val="1"/>
    <w:unhideWhenUsed/>
    <w:qFormat/>
    <w:uiPriority w:val="0"/>
    <w:pPr>
      <w:ind w:firstLine="200" w:firstLineChars="200"/>
    </w:pPr>
    <w:rPr>
      <w:rFonts w:hint="default" w:ascii="Calibri" w:hAnsi="Calibri" w:eastAsia="仿宋_GB2312"/>
      <w:sz w:val="36"/>
    </w:rPr>
  </w:style>
  <w:style w:type="paragraph" w:customStyle="1" w:styleId="8">
    <w:name w:val="BodyTextIndent"/>
    <w:basedOn w:val="1"/>
    <w:unhideWhenUsed/>
    <w:qFormat/>
    <w:uiPriority w:val="0"/>
    <w:pPr>
      <w:spacing w:after="120"/>
      <w:ind w:left="420" w:leftChars="200"/>
      <w:textAlignment w:val="baseline"/>
    </w:pPr>
    <w:rPr>
      <w:rFonts w:hint="eastAsia"/>
      <w:sz w:val="21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2729</Words>
  <Characters>3062</Characters>
  <Lines>3</Lines>
  <Paragraphs>1</Paragraphs>
  <TotalTime>1</TotalTime>
  <ScaleCrop>false</ScaleCrop>
  <LinksUpToDate>false</LinksUpToDate>
  <CharactersWithSpaces>3091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2024-07-24T08:51:00Z</dcterms:created>
  <dc:creator>Administrator</dc:creator>
  <cp:lastModifiedBy>Administrator</cp:lastModifiedBy>
  <dcterms:modified xsi:type="dcterms:W3CDTF">2024-09-12T16:06:40Z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C74F6E7DD3BA4E59B27DAC486D6C1D80_12</vt:lpwstr>
  </property>
</Properties>
</file>