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3F11CD">
      <w:pPr>
        <w:pStyle w:val="3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  <w:bookmarkStart w:id="0" w:name="_GoBack"/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 xml:space="preserve">附件1-1 </w:t>
      </w:r>
    </w:p>
    <w:p w14:paraId="2B65C414"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spacing w:line="480" w:lineRule="exact"/>
        <w:ind w:left="91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  <w:t>部门整体支出绩效评价基础数据表</w:t>
      </w:r>
    </w:p>
    <w:p w14:paraId="60C0C0C5"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ind w:left="91"/>
        <w:jc w:val="left"/>
        <w:rPr>
          <w:rFonts w:eastAsia="仿宋_GB2312"/>
          <w:kern w:val="0"/>
          <w:sz w:val="24"/>
        </w:rPr>
      </w:pPr>
      <w:r>
        <w:rPr>
          <w:rFonts w:hint="eastAsia" w:eastAsia="仿宋_GB2312"/>
          <w:kern w:val="0"/>
          <w:sz w:val="24"/>
        </w:rPr>
        <w:t xml:space="preserve">填报单位：                                        </w:t>
      </w:r>
    </w:p>
    <w:tbl>
      <w:tblPr>
        <w:tblStyle w:val="4"/>
        <w:tblW w:w="94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969"/>
        <w:gridCol w:w="863"/>
      </w:tblGrid>
      <w:tr w14:paraId="7EEA8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vAlign w:val="center"/>
          </w:tcPr>
          <w:p w14:paraId="23E25ECF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财政供养人员情况</w:t>
            </w:r>
          </w:p>
        </w:tc>
        <w:tc>
          <w:tcPr>
            <w:tcW w:w="2038" w:type="dxa"/>
            <w:gridSpan w:val="2"/>
            <w:vAlign w:val="center"/>
          </w:tcPr>
          <w:p w14:paraId="4C5C0E2F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vAlign w:val="center"/>
          </w:tcPr>
          <w:p w14:paraId="37C20C5B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2023年实际在职人数</w:t>
            </w:r>
          </w:p>
        </w:tc>
        <w:tc>
          <w:tcPr>
            <w:tcW w:w="1832" w:type="dxa"/>
            <w:gridSpan w:val="2"/>
            <w:vAlign w:val="center"/>
          </w:tcPr>
          <w:p w14:paraId="18F5DC2B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控制率</w:t>
            </w:r>
          </w:p>
        </w:tc>
      </w:tr>
      <w:tr w14:paraId="260C6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3354" w:type="dxa"/>
            <w:vMerge w:val="continue"/>
            <w:vAlign w:val="center"/>
          </w:tcPr>
          <w:p w14:paraId="582E0FD3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vAlign w:val="center"/>
          </w:tcPr>
          <w:p w14:paraId="34640B33">
            <w:pPr>
              <w:widowControl/>
              <w:jc w:val="center"/>
              <w:rPr>
                <w:rFonts w:hint="default" w:ascii="仿宋" w:hAnsi="仿宋" w:eastAsia="仿宋" w:cs="仿宋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2240" w:type="dxa"/>
            <w:gridSpan w:val="2"/>
            <w:vAlign w:val="center"/>
          </w:tcPr>
          <w:p w14:paraId="077AEF3F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/>
              </w:rPr>
              <w:t>31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vAlign w:val="center"/>
          </w:tcPr>
          <w:p w14:paraId="603EE3BD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/>
              </w:rPr>
              <w:t>62%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</w:tr>
      <w:tr w14:paraId="7010F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3CECB6E2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经费控制情况</w:t>
            </w:r>
          </w:p>
        </w:tc>
        <w:tc>
          <w:tcPr>
            <w:tcW w:w="2038" w:type="dxa"/>
            <w:gridSpan w:val="2"/>
            <w:vAlign w:val="center"/>
          </w:tcPr>
          <w:p w14:paraId="00C1141A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2022年决算数</w:t>
            </w:r>
          </w:p>
        </w:tc>
        <w:tc>
          <w:tcPr>
            <w:tcW w:w="2240" w:type="dxa"/>
            <w:gridSpan w:val="2"/>
            <w:vAlign w:val="center"/>
          </w:tcPr>
          <w:p w14:paraId="1B6EDFDB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2023年预算数</w:t>
            </w:r>
          </w:p>
        </w:tc>
        <w:tc>
          <w:tcPr>
            <w:tcW w:w="1832" w:type="dxa"/>
            <w:gridSpan w:val="2"/>
            <w:vAlign w:val="center"/>
          </w:tcPr>
          <w:p w14:paraId="13CD457E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2023年决算数</w:t>
            </w:r>
          </w:p>
        </w:tc>
      </w:tr>
      <w:tr w14:paraId="7C8AC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1C7019CA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vAlign w:val="center"/>
          </w:tcPr>
          <w:p w14:paraId="032FC68C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vAlign w:val="center"/>
          </w:tcPr>
          <w:p w14:paraId="4010EAC8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vAlign w:val="center"/>
          </w:tcPr>
          <w:p w14:paraId="313FDD36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</w:tr>
      <w:tr w14:paraId="53844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731B30D0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vAlign w:val="center"/>
          </w:tcPr>
          <w:p w14:paraId="33985E61">
            <w:pPr>
              <w:widowControl/>
              <w:jc w:val="center"/>
              <w:rPr>
                <w:rFonts w:hint="default" w:ascii="仿宋" w:hAnsi="仿宋" w:eastAsia="仿宋" w:cs="仿宋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/>
              </w:rPr>
              <w:t>14835.07</w:t>
            </w:r>
          </w:p>
        </w:tc>
        <w:tc>
          <w:tcPr>
            <w:tcW w:w="2240" w:type="dxa"/>
            <w:gridSpan w:val="2"/>
            <w:vAlign w:val="center"/>
          </w:tcPr>
          <w:p w14:paraId="08045446">
            <w:pPr>
              <w:widowControl/>
              <w:jc w:val="center"/>
              <w:rPr>
                <w:rFonts w:hint="default" w:ascii="仿宋" w:hAnsi="仿宋" w:eastAsia="仿宋" w:cs="仿宋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/>
              </w:rPr>
              <w:t>30000</w:t>
            </w:r>
          </w:p>
        </w:tc>
        <w:tc>
          <w:tcPr>
            <w:tcW w:w="1832" w:type="dxa"/>
            <w:gridSpan w:val="2"/>
            <w:vAlign w:val="center"/>
          </w:tcPr>
          <w:p w14:paraId="528CDBEF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/>
              </w:rPr>
              <w:t>23949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</w:tr>
      <w:tr w14:paraId="575A9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57CFB766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vAlign w:val="center"/>
          </w:tcPr>
          <w:p w14:paraId="0BD27550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vAlign w:val="center"/>
          </w:tcPr>
          <w:p w14:paraId="3B5DAF5F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vAlign w:val="center"/>
          </w:tcPr>
          <w:p w14:paraId="20300128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</w:tr>
      <w:tr w14:paraId="46FDF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3F2C7A7C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vAlign w:val="center"/>
          </w:tcPr>
          <w:p w14:paraId="1BBCAF13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/>
              </w:rPr>
              <w:t>14835.07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vAlign w:val="center"/>
          </w:tcPr>
          <w:p w14:paraId="5AA7CF55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/>
              </w:rPr>
              <w:t>30000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vAlign w:val="center"/>
          </w:tcPr>
          <w:p w14:paraId="25E1D5CC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/>
              </w:rPr>
              <w:t>23949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</w:tr>
      <w:tr w14:paraId="7FDBE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67D4E777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vAlign w:val="center"/>
          </w:tcPr>
          <w:p w14:paraId="5FEC1319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vAlign w:val="center"/>
          </w:tcPr>
          <w:p w14:paraId="2CC03734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vAlign w:val="center"/>
          </w:tcPr>
          <w:p w14:paraId="3FCEE09A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</w:tr>
      <w:tr w14:paraId="5E644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2DEF1459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vAlign w:val="center"/>
          </w:tcPr>
          <w:p w14:paraId="7742B949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/>
              </w:rPr>
              <w:t>3174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vAlign w:val="center"/>
          </w:tcPr>
          <w:p w14:paraId="77002849">
            <w:pPr>
              <w:widowControl/>
              <w:jc w:val="center"/>
              <w:rPr>
                <w:rFonts w:hint="default" w:ascii="仿宋" w:hAnsi="仿宋" w:eastAsia="仿宋" w:cs="仿宋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/>
              </w:rPr>
              <w:t>5000</w:t>
            </w:r>
          </w:p>
        </w:tc>
        <w:tc>
          <w:tcPr>
            <w:tcW w:w="1832" w:type="dxa"/>
            <w:gridSpan w:val="2"/>
            <w:vAlign w:val="center"/>
          </w:tcPr>
          <w:p w14:paraId="7FB69CB0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/>
              </w:rPr>
              <w:t>11051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</w:tr>
      <w:tr w14:paraId="0B657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5C04AEB2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vAlign w:val="center"/>
          </w:tcPr>
          <w:p w14:paraId="4506A9F7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vAlign w:val="center"/>
          </w:tcPr>
          <w:p w14:paraId="6655BF8C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vAlign w:val="center"/>
          </w:tcPr>
          <w:p w14:paraId="73C3DFF1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</w:tr>
      <w:tr w14:paraId="685CF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3415993E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vAlign w:val="center"/>
          </w:tcPr>
          <w:p w14:paraId="69472FA4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cya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  <w:t>100000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240" w:type="dxa"/>
            <w:gridSpan w:val="2"/>
            <w:vAlign w:val="center"/>
          </w:tcPr>
          <w:p w14:paraId="483B242A">
            <w:pPr>
              <w:widowControl/>
              <w:jc w:val="center"/>
              <w:rPr>
                <w:rFonts w:hint="default" w:ascii="仿宋" w:hAnsi="仿宋" w:eastAsia="仿宋" w:cs="仿宋"/>
                <w:kern w:val="0"/>
                <w:sz w:val="20"/>
                <w:szCs w:val="20"/>
                <w:highlight w:val="cyan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  <w:t>152000</w:t>
            </w:r>
          </w:p>
        </w:tc>
        <w:tc>
          <w:tcPr>
            <w:tcW w:w="1832" w:type="dxa"/>
            <w:gridSpan w:val="2"/>
            <w:vAlign w:val="center"/>
          </w:tcPr>
          <w:p w14:paraId="2F8F4FC0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/>
              </w:rPr>
              <w:t>310000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</w:tr>
      <w:tr w14:paraId="019E5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3E969C2E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vAlign w:val="center"/>
          </w:tcPr>
          <w:p w14:paraId="497D5DFC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240" w:type="dxa"/>
            <w:gridSpan w:val="2"/>
            <w:vAlign w:val="center"/>
          </w:tcPr>
          <w:p w14:paraId="002EE577">
            <w:pPr>
              <w:widowControl/>
              <w:jc w:val="center"/>
              <w:rPr>
                <w:rFonts w:hint="default" w:ascii="仿宋" w:hAnsi="仿宋" w:eastAsia="仿宋" w:cs="仿宋"/>
                <w:kern w:val="0"/>
                <w:sz w:val="20"/>
                <w:szCs w:val="20"/>
                <w:highlight w:val="cyan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  <w:t>40000</w:t>
            </w:r>
          </w:p>
        </w:tc>
        <w:tc>
          <w:tcPr>
            <w:tcW w:w="1832" w:type="dxa"/>
            <w:gridSpan w:val="2"/>
            <w:vAlign w:val="center"/>
          </w:tcPr>
          <w:p w14:paraId="152A3A73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/>
              </w:rPr>
              <w:t>474852.9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</w:tr>
      <w:tr w14:paraId="5717F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354" w:type="dxa"/>
            <w:vAlign w:val="center"/>
          </w:tcPr>
          <w:p w14:paraId="730A9630">
            <w:pPr>
              <w:widowControl/>
              <w:ind w:firstLine="400" w:firstLineChars="200"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3、市级专项资金</w:t>
            </w:r>
          </w:p>
          <w:p w14:paraId="26AB519D">
            <w:pPr>
              <w:widowControl/>
              <w:ind w:firstLine="600" w:firstLineChars="300"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（一个专项一行）</w:t>
            </w:r>
          </w:p>
        </w:tc>
        <w:tc>
          <w:tcPr>
            <w:tcW w:w="2038" w:type="dxa"/>
            <w:gridSpan w:val="2"/>
            <w:vAlign w:val="center"/>
          </w:tcPr>
          <w:p w14:paraId="26568A94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240" w:type="dxa"/>
            <w:gridSpan w:val="2"/>
            <w:vAlign w:val="center"/>
          </w:tcPr>
          <w:p w14:paraId="452A5507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3DB2CA36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</w:tr>
      <w:tr w14:paraId="68654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490F5C64">
            <w:pPr>
              <w:widowControl/>
              <w:ind w:firstLine="400" w:firstLineChars="200"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4、其他事业类发展资金</w:t>
            </w:r>
          </w:p>
        </w:tc>
        <w:tc>
          <w:tcPr>
            <w:tcW w:w="2038" w:type="dxa"/>
            <w:gridSpan w:val="2"/>
            <w:vAlign w:val="center"/>
          </w:tcPr>
          <w:p w14:paraId="61A7C663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240" w:type="dxa"/>
            <w:gridSpan w:val="2"/>
            <w:vAlign w:val="center"/>
          </w:tcPr>
          <w:p w14:paraId="570C9DC5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76640403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</w:tr>
      <w:tr w14:paraId="382AA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3354" w:type="dxa"/>
            <w:vAlign w:val="center"/>
          </w:tcPr>
          <w:p w14:paraId="0445FBF3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vAlign w:val="center"/>
          </w:tcPr>
          <w:p w14:paraId="5B08FF9D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240" w:type="dxa"/>
            <w:gridSpan w:val="2"/>
            <w:vAlign w:val="center"/>
          </w:tcPr>
          <w:p w14:paraId="0454660A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26240060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</w:tr>
      <w:tr w14:paraId="196F0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4C8ACF92">
            <w:pPr>
              <w:widowControl/>
              <w:jc w:val="left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vAlign w:val="center"/>
          </w:tcPr>
          <w:p w14:paraId="6B9ACBB2">
            <w:pPr>
              <w:widowControl/>
              <w:jc w:val="center"/>
              <w:rPr>
                <w:rFonts w:hint="default" w:ascii="仿宋" w:hAnsi="仿宋" w:eastAsia="仿宋" w:cs="仿宋"/>
                <w:kern w:val="0"/>
                <w:sz w:val="20"/>
                <w:szCs w:val="20"/>
                <w:highlight w:val="cyan"/>
                <w:lang w:val="en-US"/>
              </w:rPr>
            </w:pPr>
          </w:p>
        </w:tc>
        <w:tc>
          <w:tcPr>
            <w:tcW w:w="2240" w:type="dxa"/>
            <w:gridSpan w:val="2"/>
            <w:shd w:val="clear"/>
            <w:vAlign w:val="center"/>
          </w:tcPr>
          <w:p w14:paraId="7D225937">
            <w:pPr>
              <w:widowControl/>
              <w:jc w:val="center"/>
              <w:rPr>
                <w:rFonts w:hint="default" w:ascii="仿宋" w:hAnsi="仿宋" w:eastAsia="仿宋" w:cs="仿宋"/>
                <w:kern w:val="0"/>
                <w:sz w:val="20"/>
                <w:szCs w:val="20"/>
                <w:highlight w:val="cyan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 w:bidi="ar-SA"/>
              </w:rPr>
              <w:t>296000</w:t>
            </w:r>
          </w:p>
        </w:tc>
        <w:tc>
          <w:tcPr>
            <w:tcW w:w="1832" w:type="dxa"/>
            <w:gridSpan w:val="2"/>
            <w:shd w:val="clear" w:color="auto" w:fill="auto"/>
            <w:vAlign w:val="center"/>
          </w:tcPr>
          <w:p w14:paraId="72CE5F8B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  <w:t>1995205.63</w:t>
            </w:r>
          </w:p>
        </w:tc>
      </w:tr>
      <w:tr w14:paraId="4707D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27ADFA40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 xml:space="preserve">    其中：办公费</w:t>
            </w:r>
          </w:p>
        </w:tc>
        <w:tc>
          <w:tcPr>
            <w:tcW w:w="2038" w:type="dxa"/>
            <w:gridSpan w:val="2"/>
            <w:vAlign w:val="center"/>
          </w:tcPr>
          <w:p w14:paraId="48CDCB25"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240" w:type="dxa"/>
            <w:gridSpan w:val="2"/>
            <w:shd w:val="clear"/>
            <w:vAlign w:val="center"/>
          </w:tcPr>
          <w:p w14:paraId="12F06F72">
            <w:pPr>
              <w:widowControl/>
              <w:jc w:val="center"/>
              <w:rPr>
                <w:rFonts w:hint="default" w:ascii="仿宋" w:hAnsi="仿宋" w:eastAsia="仿宋" w:cs="仿宋"/>
                <w:color w:val="000000" w:themeColor="text1"/>
                <w:kern w:val="0"/>
                <w:sz w:val="20"/>
                <w:szCs w:val="20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0"/>
                <w:szCs w:val="20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50000</w:t>
            </w:r>
          </w:p>
        </w:tc>
        <w:tc>
          <w:tcPr>
            <w:tcW w:w="1832" w:type="dxa"/>
            <w:gridSpan w:val="2"/>
            <w:shd w:val="clear" w:color="auto" w:fill="auto"/>
            <w:vAlign w:val="center"/>
          </w:tcPr>
          <w:p w14:paraId="4900EAC7"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0"/>
                <w:szCs w:val="20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411328.37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 w14:paraId="72540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67C99AC6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vAlign w:val="center"/>
          </w:tcPr>
          <w:p w14:paraId="2C3B9F42">
            <w:pPr>
              <w:widowControl/>
              <w:jc w:val="center"/>
              <w:rPr>
                <w:rFonts w:hint="default" w:ascii="仿宋" w:hAnsi="仿宋" w:eastAsia="仿宋" w:cs="仿宋"/>
                <w:color w:val="FF0000"/>
                <w:kern w:val="0"/>
                <w:sz w:val="20"/>
                <w:szCs w:val="20"/>
                <w:highlight w:val="cyan"/>
                <w:lang w:val="en-US" w:eastAsia="zh-CN"/>
              </w:rPr>
            </w:pPr>
          </w:p>
        </w:tc>
        <w:tc>
          <w:tcPr>
            <w:tcW w:w="2240" w:type="dxa"/>
            <w:gridSpan w:val="2"/>
            <w:shd w:val="clear"/>
            <w:vAlign w:val="center"/>
          </w:tcPr>
          <w:p w14:paraId="4C2B2C18"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0"/>
                <w:szCs w:val="20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43000</w:t>
            </w:r>
          </w:p>
        </w:tc>
        <w:tc>
          <w:tcPr>
            <w:tcW w:w="1832" w:type="dxa"/>
            <w:gridSpan w:val="2"/>
            <w:shd w:val="clear" w:color="auto" w:fill="auto"/>
            <w:vAlign w:val="center"/>
          </w:tcPr>
          <w:p w14:paraId="78D6C15B">
            <w:pPr>
              <w:widowControl/>
              <w:jc w:val="center"/>
              <w:rPr>
                <w:rFonts w:hint="default" w:ascii="仿宋" w:hAnsi="仿宋" w:eastAsia="仿宋" w:cs="仿宋"/>
                <w:color w:val="000000" w:themeColor="text1"/>
                <w:kern w:val="0"/>
                <w:sz w:val="20"/>
                <w:szCs w:val="20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163703.04</w:t>
            </w:r>
          </w:p>
        </w:tc>
      </w:tr>
      <w:tr w14:paraId="3DD22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3354" w:type="dxa"/>
            <w:vAlign w:val="center"/>
          </w:tcPr>
          <w:p w14:paraId="6A8F8352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vAlign w:val="center"/>
          </w:tcPr>
          <w:p w14:paraId="67708AA8"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240" w:type="dxa"/>
            <w:gridSpan w:val="2"/>
            <w:vAlign w:val="center"/>
          </w:tcPr>
          <w:p w14:paraId="65FD0CC5"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23B04F63">
            <w:pPr>
              <w:widowControl/>
              <w:jc w:val="center"/>
              <w:rPr>
                <w:rFonts w:hint="eastAsia" w:ascii="仿宋" w:hAnsi="仿宋" w:eastAsia="仿宋" w:cs="仿宋"/>
                <w:color w:val="000000" w:themeColor="text1"/>
                <w:kern w:val="0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60383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 w14:paraId="160B5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01B3FC4A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vAlign w:val="center"/>
          </w:tcPr>
          <w:p w14:paraId="75C51D0B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240" w:type="dxa"/>
            <w:gridSpan w:val="2"/>
            <w:vAlign w:val="center"/>
          </w:tcPr>
          <w:p w14:paraId="15185D6B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756FD57D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</w:tr>
      <w:tr w14:paraId="3D636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3CE7C8BC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vAlign w:val="center"/>
          </w:tcPr>
          <w:p w14:paraId="44647FCF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240" w:type="dxa"/>
            <w:gridSpan w:val="2"/>
            <w:vAlign w:val="center"/>
          </w:tcPr>
          <w:p w14:paraId="37A4C778">
            <w:pPr>
              <w:widowControl/>
              <w:jc w:val="center"/>
              <w:rPr>
                <w:rFonts w:hint="default" w:ascii="仿宋" w:hAnsi="仿宋" w:eastAsia="仿宋" w:cs="仿宋"/>
                <w:kern w:val="0"/>
                <w:sz w:val="20"/>
                <w:szCs w:val="20"/>
                <w:highlight w:val="cyan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highlight w:val="none"/>
                <w:lang w:val="en-US" w:eastAsia="zh-CN"/>
              </w:rPr>
              <w:t>4247100</w:t>
            </w:r>
          </w:p>
        </w:tc>
        <w:tc>
          <w:tcPr>
            <w:tcW w:w="1832" w:type="dxa"/>
            <w:gridSpan w:val="2"/>
            <w:vAlign w:val="center"/>
          </w:tcPr>
          <w:p w14:paraId="7E5BA6D9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/>
              </w:rPr>
              <w:t>4885912.8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</w:tr>
      <w:tr w14:paraId="70305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3354" w:type="dxa"/>
            <w:vMerge w:val="restart"/>
            <w:vAlign w:val="center"/>
          </w:tcPr>
          <w:p w14:paraId="6E89760B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楼堂馆所控制情况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（2022年完工项目）</w:t>
            </w:r>
          </w:p>
        </w:tc>
        <w:tc>
          <w:tcPr>
            <w:tcW w:w="1189" w:type="dxa"/>
            <w:vAlign w:val="center"/>
          </w:tcPr>
          <w:p w14:paraId="205CC225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批复规模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（㎡）</w:t>
            </w:r>
          </w:p>
        </w:tc>
        <w:tc>
          <w:tcPr>
            <w:tcW w:w="849" w:type="dxa"/>
            <w:vAlign w:val="center"/>
          </w:tcPr>
          <w:p w14:paraId="192B379C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实际规模（㎡）</w:t>
            </w:r>
          </w:p>
        </w:tc>
        <w:tc>
          <w:tcPr>
            <w:tcW w:w="1129" w:type="dxa"/>
            <w:vAlign w:val="center"/>
          </w:tcPr>
          <w:p w14:paraId="7D5532FB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vAlign w:val="center"/>
          </w:tcPr>
          <w:p w14:paraId="41188205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预算投资（万元）</w:t>
            </w:r>
          </w:p>
        </w:tc>
        <w:tc>
          <w:tcPr>
            <w:tcW w:w="969" w:type="dxa"/>
            <w:vAlign w:val="center"/>
          </w:tcPr>
          <w:p w14:paraId="3C8E88BB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实际投资（万元）</w:t>
            </w:r>
          </w:p>
        </w:tc>
        <w:tc>
          <w:tcPr>
            <w:tcW w:w="863" w:type="dxa"/>
            <w:vAlign w:val="center"/>
          </w:tcPr>
          <w:p w14:paraId="4BA3D501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投资概算控制率</w:t>
            </w:r>
          </w:p>
        </w:tc>
      </w:tr>
      <w:tr w14:paraId="34FD4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3354" w:type="dxa"/>
            <w:vMerge w:val="continue"/>
            <w:vAlign w:val="center"/>
          </w:tcPr>
          <w:p w14:paraId="42616E8D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vAlign w:val="center"/>
          </w:tcPr>
          <w:p w14:paraId="7FF88D97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  <w:tc>
          <w:tcPr>
            <w:tcW w:w="849" w:type="dxa"/>
            <w:vAlign w:val="center"/>
          </w:tcPr>
          <w:p w14:paraId="7C6FF55C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29" w:type="dxa"/>
            <w:vAlign w:val="center"/>
          </w:tcPr>
          <w:p w14:paraId="449C851C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11" w:type="dxa"/>
            <w:vAlign w:val="center"/>
          </w:tcPr>
          <w:p w14:paraId="2D643D91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69" w:type="dxa"/>
            <w:vAlign w:val="center"/>
          </w:tcPr>
          <w:p w14:paraId="52717045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63" w:type="dxa"/>
            <w:vAlign w:val="center"/>
          </w:tcPr>
          <w:p w14:paraId="51813919"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 w14:paraId="6105E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3354" w:type="dxa"/>
            <w:vAlign w:val="center"/>
          </w:tcPr>
          <w:p w14:paraId="605D04A7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厉行节约保障措施</w:t>
            </w:r>
          </w:p>
        </w:tc>
        <w:tc>
          <w:tcPr>
            <w:tcW w:w="6110" w:type="dxa"/>
            <w:gridSpan w:val="6"/>
            <w:vAlign w:val="center"/>
          </w:tcPr>
          <w:p w14:paraId="180DDD34"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加强预算管理，牢固树立过紧日子思想，规范公务活动　</w:t>
            </w:r>
          </w:p>
        </w:tc>
      </w:tr>
    </w:tbl>
    <w:p w14:paraId="33632493">
      <w:pPr>
        <w:pStyle w:val="6"/>
        <w:spacing w:line="280" w:lineRule="exact"/>
        <w:ind w:firstLine="440"/>
        <w:rPr>
          <w:rFonts w:hint="eastAsia"/>
        </w:rPr>
      </w:pPr>
      <w:r>
        <w:rPr>
          <w:rFonts w:eastAsia="仿宋_GB2312"/>
          <w:kern w:val="0"/>
          <w:sz w:val="22"/>
        </w:rPr>
        <w:t>说明：“项目支出”需要填报基本支出以外的所有项目支出情况，“公用经费”填报基本支出中的一般商品和服务支出。</w:t>
      </w:r>
    </w:p>
    <w:p w14:paraId="7BA5387C">
      <w:pPr>
        <w:spacing w:line="600" w:lineRule="exact"/>
        <w:rPr>
          <w:rFonts w:ascii="方正小标宋_GBK" w:hAnsi="方正小标宋_GBK" w:eastAsia="方正小标宋_GBK" w:cs="方正小标宋_GBK"/>
          <w:color w:val="000000"/>
          <w:sz w:val="32"/>
          <w:szCs w:val="32"/>
          <w:shd w:val="clear" w:color="auto" w:fill="FFFFFF"/>
        </w:rPr>
      </w:pPr>
      <w:r>
        <w:rPr>
          <w:rFonts w:eastAsia="仿宋_GB2312"/>
          <w:color w:val="000000"/>
          <w:kern w:val="0"/>
          <w:sz w:val="24"/>
        </w:rPr>
        <w:t>填表人：</w:t>
      </w:r>
      <w:r>
        <w:rPr>
          <w:rFonts w:hint="eastAsia" w:eastAsia="仿宋_GB2312"/>
          <w:color w:val="000000"/>
          <w:kern w:val="0"/>
          <w:sz w:val="24"/>
        </w:rPr>
        <w:t xml:space="preserve"> </w:t>
      </w:r>
      <w:r>
        <w:rPr>
          <w:rFonts w:hint="eastAsia" w:eastAsia="仿宋_GB2312"/>
          <w:color w:val="000000"/>
          <w:kern w:val="0"/>
          <w:sz w:val="24"/>
          <w:lang w:eastAsia="zh-CN"/>
        </w:rPr>
        <w:t>杨珞</w:t>
      </w:r>
      <w:r>
        <w:rPr>
          <w:rFonts w:hint="eastAsia" w:eastAsia="仿宋_GB2312"/>
          <w:color w:val="000000"/>
          <w:kern w:val="0"/>
          <w:sz w:val="24"/>
        </w:rPr>
        <w:t xml:space="preserve">      </w:t>
      </w:r>
      <w:r>
        <w:rPr>
          <w:rFonts w:eastAsia="仿宋_GB2312"/>
          <w:color w:val="000000"/>
          <w:kern w:val="0"/>
          <w:sz w:val="24"/>
        </w:rPr>
        <w:t xml:space="preserve">  填报日期：</w:t>
      </w:r>
      <w:r>
        <w:rPr>
          <w:rFonts w:hint="eastAsia" w:eastAsia="仿宋_GB2312"/>
          <w:color w:val="000000"/>
          <w:kern w:val="0"/>
          <w:sz w:val="24"/>
        </w:rPr>
        <w:t xml:space="preserve"> </w:t>
      </w:r>
      <w:r>
        <w:rPr>
          <w:rFonts w:hint="eastAsia" w:eastAsia="仿宋_GB2312"/>
          <w:color w:val="000000"/>
          <w:kern w:val="0"/>
          <w:sz w:val="24"/>
          <w:lang w:val="en-US" w:eastAsia="zh-CN"/>
        </w:rPr>
        <w:t>2024.9.11</w:t>
      </w:r>
      <w:r>
        <w:rPr>
          <w:rFonts w:hint="eastAsia" w:eastAsia="仿宋_GB2312"/>
          <w:color w:val="000000"/>
          <w:kern w:val="0"/>
          <w:sz w:val="24"/>
        </w:rPr>
        <w:t xml:space="preserve">     </w:t>
      </w:r>
      <w:r>
        <w:rPr>
          <w:rFonts w:eastAsia="仿宋_GB2312"/>
          <w:color w:val="000000"/>
          <w:kern w:val="0"/>
          <w:sz w:val="24"/>
        </w:rPr>
        <w:t>联系电话：</w:t>
      </w:r>
      <w:r>
        <w:rPr>
          <w:rFonts w:hint="eastAsia" w:eastAsia="仿宋_GB2312"/>
          <w:color w:val="000000"/>
          <w:kern w:val="0"/>
          <w:sz w:val="24"/>
          <w:lang w:val="en-US" w:eastAsia="zh-CN"/>
        </w:rPr>
        <w:t>17673656230</w:t>
      </w:r>
      <w:r>
        <w:rPr>
          <w:rFonts w:hint="eastAsia" w:eastAsia="仿宋_GB2312"/>
          <w:color w:val="000000"/>
          <w:kern w:val="0"/>
          <w:sz w:val="24"/>
        </w:rPr>
        <w:t xml:space="preserve"> </w:t>
      </w:r>
    </w:p>
    <w:p w14:paraId="49EA3A9C"/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U4N2IyN2QxYTA3NTc1YWJjM2E1YzM3YzU5ODFiMzYifQ=="/>
  </w:docVars>
  <w:rsids>
    <w:rsidRoot w:val="006977D7"/>
    <w:rsid w:val="006977D7"/>
    <w:rsid w:val="00BB6D8D"/>
    <w:rsid w:val="0A0219B6"/>
    <w:rsid w:val="23BF7CE5"/>
    <w:rsid w:val="322E7A29"/>
    <w:rsid w:val="4B726411"/>
    <w:rsid w:val="50DC4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7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6">
    <w:name w:val="标题1"/>
    <w:basedOn w:val="2"/>
    <w:qFormat/>
    <w:uiPriority w:val="0"/>
    <w:pPr>
      <w:spacing w:before="0" w:after="0" w:line="560" w:lineRule="exact"/>
      <w:ind w:firstLine="880" w:firstLineChars="200"/>
    </w:pPr>
    <w:rPr>
      <w:rFonts w:ascii="Arial" w:hAnsi="Arial" w:eastAsia="黑体" w:cs="Times New Roman"/>
      <w:b w:val="0"/>
      <w:bCs w:val="0"/>
      <w:szCs w:val="24"/>
    </w:rPr>
  </w:style>
  <w:style w:type="character" w:customStyle="1" w:styleId="7">
    <w:name w:val="标题 2 Char"/>
    <w:basedOn w:val="5"/>
    <w:link w:val="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391</Words>
  <Characters>523</Characters>
  <Lines>4</Lines>
  <Paragraphs>1</Paragraphs>
  <TotalTime>52</TotalTime>
  <ScaleCrop>false</ScaleCrop>
  <LinksUpToDate>false</LinksUpToDate>
  <CharactersWithSpaces>688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2024-07-24T08:59:00Z</dcterms:created>
  <dc:creator>Administrator</dc:creator>
  <cp:lastModifiedBy>Administrator</cp:lastModifiedBy>
  <dcterms:modified xsi:type="dcterms:W3CDTF">2024-09-12T10:02:03Z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5B65B3DE82CC4558922E6CF682A94B70_12</vt:lpwstr>
  </property>
</Properties>
</file>