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AC7D9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附件1</w:t>
      </w:r>
    </w:p>
    <w:p w14:paraId="2E21F4B8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0"/>
        <w:jc w:val="center"/>
        <w:textAlignment w:val="auto"/>
        <w:rPr>
          <w:rFonts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</w:rPr>
        <w:t>部门整体支出绩效自评报告</w:t>
      </w:r>
    </w:p>
    <w:p w14:paraId="32BB0E28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0"/>
        <w:jc w:val="center"/>
        <w:textAlignment w:val="auto"/>
        <w:rPr>
          <w:rFonts w:asci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45347089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一、部门、单位基本情况</w:t>
      </w:r>
    </w:p>
    <w:p w14:paraId="2DC6E218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（一）</w:t>
      </w: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机构设置情况</w:t>
      </w:r>
    </w:p>
    <w:p w14:paraId="6F5E43D7">
      <w:pPr>
        <w:keepNext w:val="0"/>
        <w:keepLines w:val="0"/>
        <w:widowControl/>
        <w:suppressLineNumbers w:val="0"/>
        <w:jc w:val="left"/>
        <w:textAlignment w:val="center"/>
        <w:rPr>
          <w:rFonts w:hint="default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本部门有内设机构9个，分别为：党政办公室、党建办公室、经济发展办公室、平安法治和应急管理办公室、社会事务综合服务中心（新时代文明实践所）、生态事务中心、业综合服务中心、退役军人服务站、综合行政执法大队。</w:t>
      </w:r>
    </w:p>
    <w:p w14:paraId="41D45171"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人员编制情况</w:t>
      </w:r>
    </w:p>
    <w:p w14:paraId="0162C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Times New Roman" w:hAnsi="Times New Roman" w:eastAsia="仿宋_GB2312" w:cs="Times New Roman"/>
          <w:color w:val="auto"/>
          <w:spacing w:val="0"/>
          <w:sz w:val="32"/>
          <w:szCs w:val="32"/>
          <w:highlight w:val="none"/>
          <w:lang w:val="en-US" w:eastAsia="zh-CN"/>
        </w:rPr>
        <w:t>“三定方案”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核定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总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编制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27+41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个，在编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58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人，空编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个（行政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、事业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</w:p>
    <w:p w14:paraId="6585CD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1.核定行政编制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个，现在编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人，其中党政领导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人，一般干部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11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人；</w:t>
      </w:r>
    </w:p>
    <w:p w14:paraId="639EFB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2.核定全额拨款事业编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41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个（管理岗位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个，专技岗位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13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 xml:space="preserve">个）。现在编人员 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36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人，其中管理岗位人员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人，专技人员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人，工勤人员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人，空编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个；</w:t>
      </w:r>
    </w:p>
    <w:p w14:paraId="6530DC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.其他人员（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人）：三支一扶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3人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社工2人；无被借调人员；在编不在岗2人，其中黄卫，全额事业，2018年2月被提请逮捕，2023年6月到龄应退休，因案件未结无法办理退休手续；于海源，全额事业，因患有精神分裂症，2014年9月至今处于病休状态，手续齐全。</w:t>
      </w:r>
    </w:p>
    <w:p w14:paraId="5138F9DB"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主要职能职责</w:t>
      </w:r>
    </w:p>
    <w:p w14:paraId="1460C9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1、贯彻执行党的路线、方针、政策和国家法律法规，贯彻执行上级行政机关的决议、命令及镇党委的决定，执行镇人民代表大会的决议。</w:t>
      </w:r>
    </w:p>
    <w:p w14:paraId="6A8769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2、对镇人民代表大会及其主席团和县政府负责并报告工作。</w:t>
      </w:r>
    </w:p>
    <w:p w14:paraId="4613D8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3、编制和执行镇国民经济和社会发展计划，编制并执行财政预算。</w:t>
      </w:r>
    </w:p>
    <w:p w14:paraId="567F8C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4、管理镇经济和各项社会事业的行政工作。</w:t>
      </w:r>
    </w:p>
    <w:p w14:paraId="0E2226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5、负责镇行政执法工作，维护社会秩序，保护公民人身、民主、财产等合法权利，保护各种经济组织的合法权益。</w:t>
      </w:r>
    </w:p>
    <w:p w14:paraId="26506C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6、支持和帮助村民委员会工作。</w:t>
      </w:r>
    </w:p>
    <w:p w14:paraId="0C6504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7、法律规定的其他职责。</w:t>
      </w:r>
    </w:p>
    <w:p w14:paraId="7D7C926E">
      <w:pPr>
        <w:pStyle w:val="7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绩效目标设定情况</w:t>
      </w:r>
    </w:p>
    <w:p w14:paraId="20C2741F"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105" w:afterAutospacing="0" w:line="600" w:lineRule="exact"/>
        <w:ind w:right="0" w:rightChars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一是保障政府机构正常运转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;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二是促进全乡经济和社会各项事业持续、稳定、健康发展。</w:t>
      </w:r>
    </w:p>
    <w:p w14:paraId="6F2E053F"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二、部门整体支出管理及使用情况</w:t>
      </w:r>
    </w:p>
    <w:p w14:paraId="0111654E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600" w:lineRule="exact"/>
        <w:ind w:left="0" w:leftChars="0" w:right="0" w:rightChars="0" w:firstLine="548" w:firstLineChars="200"/>
        <w:jc w:val="left"/>
        <w:textAlignment w:val="auto"/>
        <w:outlineLvl w:val="9"/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（一）</w:t>
      </w:r>
      <w:r>
        <w:rPr>
          <w:rFonts w:hint="eastAsia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预算执行、使用、管理总体情况。</w:t>
      </w:r>
    </w:p>
    <w:p w14:paraId="2228D36A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600" w:lineRule="exact"/>
        <w:ind w:left="0" w:leftChars="0" w:right="0" w:rightChars="0" w:firstLine="640" w:firstLineChars="200"/>
        <w:jc w:val="left"/>
        <w:textAlignment w:val="auto"/>
        <w:outlineLvl w:val="9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202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年1至12月，严格执行财经制度和管理规定，按时完成预算执行进度，严格控制、合理利用各项经费，鼓励合法合规的经费开支，按要求进行预算管理，不断完善资产管理制度，确保资金得到合理使用。</w:t>
      </w:r>
    </w:p>
    <w:p w14:paraId="1C59B71B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（二）</w:t>
      </w: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部门预算执行情况</w:t>
      </w:r>
    </w:p>
    <w:p w14:paraId="1579DC1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1.基本支出情况</w:t>
      </w:r>
    </w:p>
    <w:p w14:paraId="6B9683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2023年年初预算数为837.9万元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，是指为保障单位机构正常运转、完成日常工作任务而发生的各项支出，包括用于基本工资、津贴补贴等人员经费以及办公费、印刷费、水电费、办公设备购置等日常公用经费。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基本支出主要用于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宣传贯彻落实党和国家各项方针政策和法律法规，执行上级的决议、决定。落实基层党建工作责任制，统筹推进基层党建工作，实现基层党建工作全覆盖，全面提升基层党建工作水平。统筹制定区域发展决策和建设规划，推动本镇经济社会健康、高质量发展。统筹负责辖区公共服务工作，推进乡镇基层公共服务平台标准化建设。统筹负责辖区综合治理工作，负责辖区公共安全及安全生产监管。完善党领导下的基层社会治理体系，提高基层自治水平。完成县委、县政府交办的其他任务。</w:t>
      </w:r>
    </w:p>
    <w:p w14:paraId="148B55F4">
      <w:pPr>
        <w:pStyle w:val="7"/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640" w:right="0" w:firstLine="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项目支出情况</w:t>
      </w:r>
    </w:p>
    <w:p w14:paraId="421E7750">
      <w:pPr>
        <w:pStyle w:val="7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righ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2023年年初预算数为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10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万元，是指单位为完成本级专项办公等经费而发生的支出。其中：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农林水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支出</w:t>
      </w: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10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万元，主要用于巩固脱贫攻坚成果衔接乡村振兴。</w:t>
      </w:r>
    </w:p>
    <w:p w14:paraId="78843D4B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（三）</w:t>
      </w: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"三公"经费使用和管理情况</w:t>
      </w:r>
    </w:p>
    <w:p w14:paraId="7B1D8970">
      <w:pPr>
        <w:pStyle w:val="2"/>
        <w:numPr>
          <w:ilvl w:val="0"/>
          <w:numId w:val="0"/>
        </w:numPr>
        <w:ind w:firstLine="640" w:firstLineChars="200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Times New Roman" w:eastAsia="仿宋_GB2312"/>
          <w:kern w:val="2"/>
          <w:sz w:val="32"/>
          <w:szCs w:val="32"/>
        </w:rPr>
        <w:t>202</w:t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年度“三公经费”预算</w:t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24.8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万元，其中公务接待费12.</w:t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万元，公务用车运行维护费</w:t>
      </w:r>
      <w:r>
        <w:rPr>
          <w:rFonts w:hint="eastAsia" w:ascii="仿宋_GB2312" w:hAnsi="Times New Roman" w:eastAsia="仿宋_GB2312"/>
          <w:kern w:val="2"/>
          <w:sz w:val="32"/>
          <w:szCs w:val="32"/>
          <w:lang w:val="en-US" w:eastAsia="zh-CN"/>
        </w:rPr>
        <w:t>12.2</w:t>
      </w:r>
      <w:r>
        <w:rPr>
          <w:rFonts w:hint="eastAsia" w:ascii="仿宋_GB2312" w:hAnsi="Times New Roman" w:eastAsia="仿宋_GB2312"/>
          <w:kern w:val="2"/>
          <w:sz w:val="32"/>
          <w:szCs w:val="32"/>
        </w:rPr>
        <w:t>万元。</w:t>
      </w:r>
    </w:p>
    <w:p w14:paraId="58150E3D">
      <w:pPr>
        <w:pStyle w:val="7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政府性基金预算支出情况</w:t>
      </w:r>
    </w:p>
    <w:p w14:paraId="1584D5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2023年本部门无国有资本经营预算。</w:t>
      </w:r>
    </w:p>
    <w:p w14:paraId="5D7DC6A3">
      <w:pPr>
        <w:pStyle w:val="7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国有资本经营预算支出情况</w:t>
      </w:r>
    </w:p>
    <w:p w14:paraId="0575C88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2023年本部门无国有资本经营预算。</w:t>
      </w:r>
    </w:p>
    <w:p w14:paraId="09B11F97">
      <w:pPr>
        <w:pStyle w:val="7"/>
        <w:keepNext w:val="0"/>
        <w:keepLines w:val="0"/>
        <w:pageBreakBefore w:val="0"/>
        <w:widowControl/>
        <w:numPr>
          <w:ilvl w:val="0"/>
          <w:numId w:val="3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leftChars="0"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社会保险基金预算支出情况</w:t>
      </w:r>
    </w:p>
    <w:p w14:paraId="7ED2E309">
      <w:pPr>
        <w:pStyle w:val="7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320" w:firstLineChars="1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2023年本部门无社会保险基金预算。</w:t>
      </w:r>
    </w:p>
    <w:p w14:paraId="086EA1E1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六、部门整体支出绩效情况</w:t>
      </w:r>
    </w:p>
    <w:p w14:paraId="2CF4F3F9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hAnsi="Times New Roman" w:eastAsia="楷体_GB2312" w:cs="楷体_GB2312"/>
          <w:i w:val="0"/>
          <w:iCs w:val="0"/>
          <w:caps w:val="0"/>
          <w:color w:val="000000"/>
          <w:spacing w:val="-23"/>
          <w:sz w:val="32"/>
          <w:szCs w:val="32"/>
          <w:shd w:val="clear" w:color="auto" w:fill="FFFFFF"/>
        </w:rPr>
        <w:t>（一）</w:t>
      </w: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综合评价结论。</w:t>
      </w:r>
    </w:p>
    <w:p w14:paraId="6B340D86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2023年本部门无社会保险基金预算。</w:t>
      </w:r>
    </w:p>
    <w:p w14:paraId="5C0D7AF3">
      <w:pPr>
        <w:pStyle w:val="7"/>
        <w:keepNext w:val="0"/>
        <w:keepLines w:val="0"/>
        <w:pageBreakBefore w:val="0"/>
        <w:widowControl/>
        <w:numPr>
          <w:ilvl w:val="0"/>
          <w:numId w:val="4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评价指标分析（或综合评价情况）。</w:t>
      </w:r>
    </w:p>
    <w:p w14:paraId="25A9A467">
      <w:pPr>
        <w:pStyle w:val="7"/>
        <w:keepNext w:val="0"/>
        <w:keepLines w:val="0"/>
        <w:pageBreakBefore w:val="0"/>
        <w:widowControl/>
        <w:numPr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Chars="200" w:right="0" w:rightChars="0" w:firstLine="640" w:firstLineChars="200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严格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执行本级人民代表大会决议以及上级国家行政机关的决定和命令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推动本辖区社会和经济发展、预算，管理好辖区内的经济、文化等行政工作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，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保护公民的合法权益，维护社会秩序等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</w:p>
    <w:p w14:paraId="7DCA2F4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楷体_GB2312" w:eastAsia="楷体_GB2312" w:cs="楷体_GB2312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通过对产出数量指标、产出质量指标、产出成本指标、产出时效指标、经济效益指标、社会效益指标、生态效益指标、可持续性影响指标以及满意度指标进行评价，经综合评价，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本部门整体支出绩效自评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得分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为96分。</w:t>
      </w:r>
    </w:p>
    <w:p w14:paraId="2DE386CE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七、存在的问题及原因分析</w:t>
      </w:r>
    </w:p>
    <w:p w14:paraId="31BEB0E4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项目管理制度有待完善，项目管理需进一步规范；预算执行和绩效管理工作有待提高；会计基础工作需进一步提高质量，项目资金使用监管力度有待加强。</w:t>
      </w:r>
    </w:p>
    <w:p w14:paraId="7391C2CF"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下一步改进措施</w:t>
      </w:r>
    </w:p>
    <w:p w14:paraId="5644D38D"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1、加强基层工作人员的业务培训，严格把控项目支出全过程。</w:t>
      </w:r>
    </w:p>
    <w:p w14:paraId="07FC0488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、建立绩效目标和绩效自评结果与预算安排、政策调整挂钩机制，对绩效不明显的，适当予以取消；对绩效不高的，督促及时改进；对绩效水平高的支出项目，在资金安排或政策支持上予以倾斜</w:t>
      </w:r>
      <w:r>
        <w:rPr>
          <w:rFonts w:eastAsia="仿宋_GB2312"/>
          <w:sz w:val="32"/>
          <w:szCs w:val="32"/>
        </w:rPr>
        <w:t>。</w:t>
      </w:r>
    </w:p>
    <w:p w14:paraId="70FBEAB0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九、其他需要说明的情况</w:t>
      </w:r>
    </w:p>
    <w:p w14:paraId="56C89527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0"/>
        <w:textAlignment w:val="auto"/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Times New Roman" w:hAnsi="Times New Roman" w:cs="Times New Roman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   无</w:t>
      </w:r>
    </w:p>
    <w:p w14:paraId="4242E036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left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报告应包括以下附件：</w:t>
      </w:r>
    </w:p>
    <w:p w14:paraId="4C170105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left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1.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部门整体支出绩效评价基础数据表</w:t>
      </w: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</w:t>
      </w:r>
    </w:p>
    <w:p w14:paraId="4AEBA869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left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2.</w:t>
      </w:r>
      <w:r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部门整体支出绩效自评表</w:t>
      </w:r>
    </w:p>
    <w:p w14:paraId="3E371820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443FF3A9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41D32026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2F20AC33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0E17C85C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05F25CCB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  <w:bookmarkStart w:id="1" w:name="_GoBack"/>
      <w:bookmarkEnd w:id="1"/>
    </w:p>
    <w:p w14:paraId="1B60E525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7D2CFBF1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right"/>
        <w:textAlignment w:val="auto"/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若水镇人民政府</w:t>
      </w:r>
    </w:p>
    <w:p w14:paraId="04385393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right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2024年9月9日</w:t>
      </w:r>
    </w:p>
    <w:p w14:paraId="7D389A0D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right"/>
        <w:textAlignment w:val="auto"/>
        <w:rPr>
          <w:rFonts w:hint="default" w:asci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</w:p>
    <w:p w14:paraId="254B02DE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132C34C8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Calibri" w:hAnsi="Calibri" w:eastAsia="宋体" w:cs="Calibri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</w:p>
    <w:p w14:paraId="41472D62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Calibri" w:hAnsi="Calibri" w:eastAsia="宋体" w:cs="Calibri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</w:p>
    <w:p w14:paraId="44609063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Calibri" w:hAnsi="Calibri" w:eastAsia="宋体" w:cs="Calibri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</w:p>
    <w:p w14:paraId="7AD052B7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Calibri" w:hAnsi="Calibri" w:eastAsia="宋体" w:cs="Calibri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</w:p>
    <w:p w14:paraId="6B34AD8C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Calibri" w:hAnsi="Calibri" w:eastAsia="宋体" w:cs="Calibri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</w:p>
    <w:p w14:paraId="2892C65C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Calibri" w:hAnsi="Calibri" w:eastAsia="宋体" w:cs="Calibri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</w:p>
    <w:p w14:paraId="7201D3C6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eastAsia" w:ascii="Calibri" w:hAnsi="Calibri" w:eastAsia="宋体" w:cs="Calibri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</w:p>
    <w:p w14:paraId="536143EC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3B3F32EF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6214AF4B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both"/>
        <w:rPr>
          <w:rFonts w:hint="default" w:ascii="Calibri" w:hAnsi="Calibri" w:cs="Calibri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2ED5F9FE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附件1-1 </w:t>
      </w:r>
    </w:p>
    <w:p w14:paraId="7826E367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91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  <w:t>部门整体支出绩效评价基础数据表</w:t>
      </w:r>
    </w:p>
    <w:p w14:paraId="6AB1C1E1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ind w:left="91"/>
        <w:jc w:val="left"/>
        <w:rPr>
          <w:rFonts w:hint="default" w:eastAsia="仿宋_GB2312"/>
          <w:kern w:val="0"/>
          <w:sz w:val="24"/>
          <w:lang w:val="en-US" w:eastAsia="zh-CN"/>
        </w:rPr>
      </w:pPr>
      <w:r>
        <w:rPr>
          <w:rFonts w:hint="eastAsia" w:eastAsia="仿宋_GB2312"/>
          <w:kern w:val="0"/>
          <w:sz w:val="24"/>
          <w:lang w:val="en-US" w:eastAsia="zh-CN"/>
        </w:rPr>
        <w:t xml:space="preserve">填报单位：                                        </w:t>
      </w:r>
    </w:p>
    <w:tbl>
      <w:tblPr>
        <w:tblStyle w:val="8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969"/>
        <w:gridCol w:w="863"/>
      </w:tblGrid>
      <w:tr w14:paraId="33F6F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vAlign w:val="center"/>
          </w:tcPr>
          <w:p w14:paraId="57C2022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财政供养人员情况</w:t>
            </w:r>
          </w:p>
        </w:tc>
        <w:tc>
          <w:tcPr>
            <w:tcW w:w="2038" w:type="dxa"/>
            <w:gridSpan w:val="2"/>
            <w:vAlign w:val="center"/>
          </w:tcPr>
          <w:p w14:paraId="044EA26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vAlign w:val="center"/>
          </w:tcPr>
          <w:p w14:paraId="3172FF1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年实际在职人数</w:t>
            </w:r>
          </w:p>
        </w:tc>
        <w:tc>
          <w:tcPr>
            <w:tcW w:w="1832" w:type="dxa"/>
            <w:gridSpan w:val="2"/>
            <w:vAlign w:val="center"/>
          </w:tcPr>
          <w:p w14:paraId="565B01A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控制率</w:t>
            </w:r>
          </w:p>
        </w:tc>
      </w:tr>
      <w:tr w14:paraId="3DB0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3354" w:type="dxa"/>
            <w:vMerge w:val="continue"/>
            <w:vAlign w:val="center"/>
          </w:tcPr>
          <w:p w14:paraId="2E6DBAD8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vAlign w:val="center"/>
          </w:tcPr>
          <w:p w14:paraId="25F7B56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vAlign w:val="center"/>
          </w:tcPr>
          <w:p w14:paraId="7A758D9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vAlign w:val="center"/>
          </w:tcPr>
          <w:p w14:paraId="54089B4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5B49E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3C51766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经费控制情况</w:t>
            </w:r>
          </w:p>
        </w:tc>
        <w:tc>
          <w:tcPr>
            <w:tcW w:w="2038" w:type="dxa"/>
            <w:gridSpan w:val="2"/>
            <w:vAlign w:val="center"/>
          </w:tcPr>
          <w:p w14:paraId="7883CD4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vAlign w:val="center"/>
          </w:tcPr>
          <w:p w14:paraId="5A3CD64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年预算数</w:t>
            </w:r>
          </w:p>
        </w:tc>
        <w:tc>
          <w:tcPr>
            <w:tcW w:w="1832" w:type="dxa"/>
            <w:gridSpan w:val="2"/>
            <w:vAlign w:val="center"/>
          </w:tcPr>
          <w:p w14:paraId="22B48D7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年决算数</w:t>
            </w:r>
          </w:p>
        </w:tc>
      </w:tr>
      <w:tr w14:paraId="3AC01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714E5781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vAlign w:val="center"/>
          </w:tcPr>
          <w:p w14:paraId="1C6CB14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vAlign w:val="center"/>
          </w:tcPr>
          <w:p w14:paraId="25073F3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46C47CA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 w14:paraId="6F5B0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066CFB77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vAlign w:val="center"/>
          </w:tcPr>
          <w:p w14:paraId="0A5A6C9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　</w:t>
            </w:r>
          </w:p>
        </w:tc>
        <w:tc>
          <w:tcPr>
            <w:tcW w:w="2240" w:type="dxa"/>
            <w:gridSpan w:val="2"/>
            <w:vAlign w:val="center"/>
          </w:tcPr>
          <w:p w14:paraId="0020C70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vAlign w:val="center"/>
          </w:tcPr>
          <w:p w14:paraId="272D3B7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23737E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165A9EF6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vAlign w:val="center"/>
          </w:tcPr>
          <w:p w14:paraId="388A0AC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　</w:t>
            </w:r>
          </w:p>
        </w:tc>
        <w:tc>
          <w:tcPr>
            <w:tcW w:w="2240" w:type="dxa"/>
            <w:gridSpan w:val="2"/>
            <w:vAlign w:val="center"/>
          </w:tcPr>
          <w:p w14:paraId="25DADDD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vAlign w:val="center"/>
          </w:tcPr>
          <w:p w14:paraId="66DD534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11.68万元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0BCC09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25BFCA47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vAlign w:val="center"/>
          </w:tcPr>
          <w:p w14:paraId="52E4E53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11.52万元　</w:t>
            </w:r>
          </w:p>
        </w:tc>
        <w:tc>
          <w:tcPr>
            <w:tcW w:w="2240" w:type="dxa"/>
            <w:gridSpan w:val="2"/>
            <w:vAlign w:val="center"/>
          </w:tcPr>
          <w:p w14:paraId="7D20B9D0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12.2万元</w:t>
            </w:r>
          </w:p>
        </w:tc>
        <w:tc>
          <w:tcPr>
            <w:tcW w:w="1832" w:type="dxa"/>
            <w:gridSpan w:val="2"/>
            <w:vAlign w:val="center"/>
          </w:tcPr>
          <w:p w14:paraId="6625B9D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11.83万元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598C2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6BD88C44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vAlign w:val="center"/>
          </w:tcPr>
          <w:p w14:paraId="3810C36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　</w:t>
            </w:r>
          </w:p>
        </w:tc>
        <w:tc>
          <w:tcPr>
            <w:tcW w:w="2240" w:type="dxa"/>
            <w:gridSpan w:val="2"/>
            <w:vAlign w:val="center"/>
          </w:tcPr>
          <w:p w14:paraId="6AE0163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vAlign w:val="center"/>
          </w:tcPr>
          <w:p w14:paraId="0374A0A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51E65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74041322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vAlign w:val="center"/>
          </w:tcPr>
          <w:p w14:paraId="1EFF6AD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6.74万元　</w:t>
            </w:r>
          </w:p>
        </w:tc>
        <w:tc>
          <w:tcPr>
            <w:tcW w:w="2240" w:type="dxa"/>
            <w:gridSpan w:val="2"/>
            <w:vAlign w:val="center"/>
          </w:tcPr>
          <w:p w14:paraId="7441B80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12.6万元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vAlign w:val="center"/>
          </w:tcPr>
          <w:p w14:paraId="0B75093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11.53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万元</w:t>
            </w:r>
          </w:p>
        </w:tc>
      </w:tr>
      <w:tr w14:paraId="3D18A8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32BC9982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vAlign w:val="center"/>
          </w:tcPr>
          <w:p w14:paraId="3080394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vAlign w:val="center"/>
          </w:tcPr>
          <w:p w14:paraId="1934AC9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vAlign w:val="center"/>
          </w:tcPr>
          <w:p w14:paraId="727C62A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15BA8F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5B973379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vAlign w:val="center"/>
          </w:tcPr>
          <w:p w14:paraId="23EF9FD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vAlign w:val="center"/>
          </w:tcPr>
          <w:p w14:paraId="289EE19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vAlign w:val="center"/>
          </w:tcPr>
          <w:p w14:paraId="71B7772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34F595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20A19132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vAlign w:val="center"/>
          </w:tcPr>
          <w:p w14:paraId="711F276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vAlign w:val="center"/>
          </w:tcPr>
          <w:p w14:paraId="77AE630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vAlign w:val="center"/>
          </w:tcPr>
          <w:p w14:paraId="103F845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251648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354" w:type="dxa"/>
            <w:vAlign w:val="center"/>
          </w:tcPr>
          <w:p w14:paraId="75FFD2C4">
            <w:pPr>
              <w:widowControl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3、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市级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专项资金</w:t>
            </w:r>
          </w:p>
        </w:tc>
        <w:tc>
          <w:tcPr>
            <w:tcW w:w="2038" w:type="dxa"/>
            <w:gridSpan w:val="2"/>
            <w:vAlign w:val="center"/>
          </w:tcPr>
          <w:p w14:paraId="539C23C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vAlign w:val="center"/>
          </w:tcPr>
          <w:p w14:paraId="45A3F76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4D22854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 w14:paraId="48C6D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6A6C7A1E">
            <w:pPr>
              <w:widowControl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4、其他事业类发展资金</w:t>
            </w:r>
          </w:p>
        </w:tc>
        <w:tc>
          <w:tcPr>
            <w:tcW w:w="2038" w:type="dxa"/>
            <w:gridSpan w:val="2"/>
            <w:vAlign w:val="center"/>
          </w:tcPr>
          <w:p w14:paraId="1640956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vAlign w:val="center"/>
          </w:tcPr>
          <w:p w14:paraId="0693E77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vAlign w:val="center"/>
          </w:tcPr>
          <w:p w14:paraId="56BCC6F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0BAE1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3354" w:type="dxa"/>
            <w:vAlign w:val="center"/>
          </w:tcPr>
          <w:p w14:paraId="5AD87F5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vAlign w:val="center"/>
          </w:tcPr>
          <w:p w14:paraId="337AD82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vAlign w:val="center"/>
          </w:tcPr>
          <w:p w14:paraId="6571E0A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vAlign w:val="center"/>
          </w:tcPr>
          <w:p w14:paraId="7E5FFC2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 w14:paraId="0FC22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4E74D9AD">
            <w:pPr>
              <w:widowControl/>
              <w:jc w:val="left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公用经费</w:t>
            </w:r>
          </w:p>
        </w:tc>
        <w:tc>
          <w:tcPr>
            <w:tcW w:w="2038" w:type="dxa"/>
            <w:gridSpan w:val="2"/>
            <w:vAlign w:val="center"/>
          </w:tcPr>
          <w:p w14:paraId="5B5DE4F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vAlign w:val="center"/>
          </w:tcPr>
          <w:p w14:paraId="2B55DEF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vAlign w:val="center"/>
          </w:tcPr>
          <w:p w14:paraId="3E486C1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15D9A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3B049751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其中：办公费</w:t>
            </w:r>
          </w:p>
        </w:tc>
        <w:tc>
          <w:tcPr>
            <w:tcW w:w="2038" w:type="dxa"/>
            <w:gridSpan w:val="2"/>
            <w:vAlign w:val="center"/>
          </w:tcPr>
          <w:p w14:paraId="7FE88F7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vAlign w:val="center"/>
          </w:tcPr>
          <w:p w14:paraId="63D63C6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288.56万元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vAlign w:val="center"/>
          </w:tcPr>
          <w:p w14:paraId="699B1282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453.21万元</w:t>
            </w:r>
          </w:p>
        </w:tc>
      </w:tr>
      <w:tr w14:paraId="6821B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2AFD97F8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vAlign w:val="center"/>
          </w:tcPr>
          <w:p w14:paraId="4359DFC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vAlign w:val="center"/>
          </w:tcPr>
          <w:p w14:paraId="7290E71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36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万元</w:t>
            </w:r>
          </w:p>
        </w:tc>
        <w:tc>
          <w:tcPr>
            <w:tcW w:w="1832" w:type="dxa"/>
            <w:gridSpan w:val="2"/>
            <w:vAlign w:val="center"/>
          </w:tcPr>
          <w:p w14:paraId="618FF56C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62.15万元</w:t>
            </w:r>
          </w:p>
        </w:tc>
      </w:tr>
      <w:tr w14:paraId="45F9E1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3354" w:type="dxa"/>
            <w:vAlign w:val="center"/>
          </w:tcPr>
          <w:p w14:paraId="5C4080E0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vAlign w:val="center"/>
          </w:tcPr>
          <w:p w14:paraId="5D65181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vAlign w:val="center"/>
          </w:tcPr>
          <w:p w14:paraId="1AB28F64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17万元</w:t>
            </w:r>
          </w:p>
        </w:tc>
        <w:tc>
          <w:tcPr>
            <w:tcW w:w="1832" w:type="dxa"/>
            <w:gridSpan w:val="2"/>
            <w:vAlign w:val="center"/>
          </w:tcPr>
          <w:p w14:paraId="4B67715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8.97万元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</w:tr>
      <w:tr w14:paraId="539068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75BE51C3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vAlign w:val="center"/>
          </w:tcPr>
          <w:p w14:paraId="1FA4252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vAlign w:val="center"/>
          </w:tcPr>
          <w:p w14:paraId="600A389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vAlign w:val="center"/>
          </w:tcPr>
          <w:p w14:paraId="104A5FD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0BE7D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Align w:val="center"/>
          </w:tcPr>
          <w:p w14:paraId="573EB3DE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vAlign w:val="center"/>
          </w:tcPr>
          <w:p w14:paraId="11DFFDC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vAlign w:val="center"/>
          </w:tcPr>
          <w:p w14:paraId="472186D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vAlign w:val="center"/>
          </w:tcPr>
          <w:p w14:paraId="6FB854F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3C2E3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3354" w:type="dxa"/>
            <w:vMerge w:val="restart"/>
            <w:vAlign w:val="center"/>
          </w:tcPr>
          <w:p w14:paraId="186617E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楼堂馆所控制情况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（20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vAlign w:val="center"/>
          </w:tcPr>
          <w:p w14:paraId="3FF7BF62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批复规模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（㎡）</w:t>
            </w:r>
          </w:p>
        </w:tc>
        <w:tc>
          <w:tcPr>
            <w:tcW w:w="849" w:type="dxa"/>
            <w:vAlign w:val="center"/>
          </w:tcPr>
          <w:p w14:paraId="7653280E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实际规模（㎡）</w:t>
            </w:r>
          </w:p>
        </w:tc>
        <w:tc>
          <w:tcPr>
            <w:tcW w:w="1129" w:type="dxa"/>
            <w:vAlign w:val="center"/>
          </w:tcPr>
          <w:p w14:paraId="1300799F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vAlign w:val="center"/>
          </w:tcPr>
          <w:p w14:paraId="5B753D7B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预算投资（万元）</w:t>
            </w:r>
          </w:p>
        </w:tc>
        <w:tc>
          <w:tcPr>
            <w:tcW w:w="969" w:type="dxa"/>
            <w:vAlign w:val="center"/>
          </w:tcPr>
          <w:p w14:paraId="666BC1AC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实际投资（万元）</w:t>
            </w:r>
          </w:p>
        </w:tc>
        <w:tc>
          <w:tcPr>
            <w:tcW w:w="863" w:type="dxa"/>
            <w:vAlign w:val="center"/>
          </w:tcPr>
          <w:p w14:paraId="284C5B22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投资概算控制率</w:t>
            </w:r>
          </w:p>
        </w:tc>
      </w:tr>
      <w:tr w14:paraId="0C4C9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3354" w:type="dxa"/>
            <w:vMerge w:val="continue"/>
            <w:vAlign w:val="center"/>
          </w:tcPr>
          <w:p w14:paraId="7D744741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vAlign w:val="center"/>
          </w:tcPr>
          <w:p w14:paraId="331F323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849" w:type="dxa"/>
            <w:vAlign w:val="center"/>
          </w:tcPr>
          <w:p w14:paraId="0D09B607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129" w:type="dxa"/>
            <w:vAlign w:val="center"/>
          </w:tcPr>
          <w:p w14:paraId="1D8EE07E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111" w:type="dxa"/>
            <w:vAlign w:val="center"/>
          </w:tcPr>
          <w:p w14:paraId="0491E9A9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969" w:type="dxa"/>
            <w:vAlign w:val="center"/>
          </w:tcPr>
          <w:p w14:paraId="28EBBD15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863" w:type="dxa"/>
            <w:vAlign w:val="center"/>
          </w:tcPr>
          <w:p w14:paraId="7354EA80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39A25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3354" w:type="dxa"/>
            <w:vAlign w:val="center"/>
          </w:tcPr>
          <w:p w14:paraId="2ABD4CD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厉行节约保障措施</w:t>
            </w:r>
          </w:p>
        </w:tc>
        <w:tc>
          <w:tcPr>
            <w:tcW w:w="6110" w:type="dxa"/>
            <w:gridSpan w:val="6"/>
            <w:vAlign w:val="center"/>
          </w:tcPr>
          <w:p w14:paraId="1DE093E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</w:tbl>
    <w:p w14:paraId="103F6F81">
      <w:pPr>
        <w:pStyle w:val="10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eastAsia"/>
          <w:lang w:val="en-US" w:eastAsia="zh-CN"/>
        </w:rPr>
      </w:pPr>
      <w:r>
        <w:rPr>
          <w:rFonts w:eastAsia="仿宋_GB2312"/>
          <w:kern w:val="0"/>
          <w:sz w:val="22"/>
        </w:rPr>
        <w:t>说明：“项目支出”需要填报基本支出以外的所有项目支出情况，“公用经费”填报基本支出中的一般商品和服务支出。</w:t>
      </w:r>
    </w:p>
    <w:p w14:paraId="3F20837E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胡淞  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2024.9.9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联系电话：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18374512500</w:t>
      </w:r>
    </w:p>
    <w:p w14:paraId="794BEDA7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3A6DCD79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</w:p>
    <w:p w14:paraId="584EF83B">
      <w:pPr>
        <w:pStyle w:val="7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>附件1-2</w:t>
      </w:r>
    </w:p>
    <w:p w14:paraId="7CDF5C28">
      <w:pPr>
        <w:pStyle w:val="7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480" w:lineRule="atLeast"/>
        <w:ind w:left="0" w:right="0" w:firstLine="0"/>
        <w:jc w:val="center"/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caps w:val="0"/>
          <w:color w:val="000000"/>
          <w:spacing w:val="0"/>
          <w:sz w:val="40"/>
          <w:szCs w:val="40"/>
          <w:shd w:val="clear" w:color="auto" w:fill="FFFFFF"/>
          <w:lang w:val="en-US" w:eastAsia="zh-CN"/>
        </w:rPr>
        <w:t>整体支出绩效自评表</w:t>
      </w:r>
    </w:p>
    <w:tbl>
      <w:tblPr>
        <w:tblStyle w:val="8"/>
        <w:tblW w:w="92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9"/>
        <w:gridCol w:w="1176"/>
        <w:gridCol w:w="1128"/>
        <w:gridCol w:w="998"/>
        <w:gridCol w:w="95"/>
        <w:gridCol w:w="1200"/>
        <w:gridCol w:w="1134"/>
        <w:gridCol w:w="709"/>
        <w:gridCol w:w="460"/>
        <w:gridCol w:w="1193"/>
      </w:tblGrid>
      <w:tr w14:paraId="4F1E4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169" w:type="dxa"/>
            <w:vAlign w:val="center"/>
          </w:tcPr>
          <w:p w14:paraId="565A89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预算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单位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名称</w:t>
            </w:r>
          </w:p>
        </w:tc>
        <w:tc>
          <w:tcPr>
            <w:tcW w:w="8093" w:type="dxa"/>
            <w:gridSpan w:val="9"/>
            <w:vAlign w:val="center"/>
          </w:tcPr>
          <w:p w14:paraId="7DADC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若水镇人民政府</w:t>
            </w:r>
          </w:p>
        </w:tc>
      </w:tr>
      <w:tr w14:paraId="764E1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169" w:type="dxa"/>
            <w:vMerge w:val="restart"/>
            <w:vAlign w:val="center"/>
          </w:tcPr>
          <w:p w14:paraId="60959C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年度预</w:t>
            </w:r>
          </w:p>
          <w:p w14:paraId="719B49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算申请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304" w:type="dxa"/>
            <w:gridSpan w:val="2"/>
            <w:vAlign w:val="center"/>
          </w:tcPr>
          <w:p w14:paraId="389050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</w:p>
        </w:tc>
        <w:tc>
          <w:tcPr>
            <w:tcW w:w="998" w:type="dxa"/>
            <w:vAlign w:val="center"/>
          </w:tcPr>
          <w:p w14:paraId="2340E12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年初</w:t>
            </w:r>
          </w:p>
          <w:p w14:paraId="3C83E3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预算数</w:t>
            </w:r>
          </w:p>
        </w:tc>
        <w:tc>
          <w:tcPr>
            <w:tcW w:w="1295" w:type="dxa"/>
            <w:gridSpan w:val="2"/>
            <w:vAlign w:val="center"/>
          </w:tcPr>
          <w:p w14:paraId="6C6F01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全年预算数</w:t>
            </w:r>
          </w:p>
        </w:tc>
        <w:tc>
          <w:tcPr>
            <w:tcW w:w="1134" w:type="dxa"/>
            <w:vAlign w:val="center"/>
          </w:tcPr>
          <w:p w14:paraId="4BEDED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全年</w:t>
            </w:r>
          </w:p>
          <w:p w14:paraId="39BFDC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执行数</w:t>
            </w:r>
          </w:p>
        </w:tc>
        <w:tc>
          <w:tcPr>
            <w:tcW w:w="709" w:type="dxa"/>
            <w:vAlign w:val="center"/>
          </w:tcPr>
          <w:p w14:paraId="4E9C17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分值</w:t>
            </w:r>
          </w:p>
        </w:tc>
        <w:tc>
          <w:tcPr>
            <w:tcW w:w="460" w:type="dxa"/>
            <w:vAlign w:val="center"/>
          </w:tcPr>
          <w:p w14:paraId="4D873F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执行率</w:t>
            </w:r>
          </w:p>
        </w:tc>
        <w:tc>
          <w:tcPr>
            <w:tcW w:w="1193" w:type="dxa"/>
            <w:vAlign w:val="center"/>
          </w:tcPr>
          <w:p w14:paraId="5B61DA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得分</w:t>
            </w:r>
          </w:p>
        </w:tc>
      </w:tr>
      <w:tr w14:paraId="461A1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9" w:type="dxa"/>
            <w:vMerge w:val="continue"/>
            <w:vAlign w:val="center"/>
          </w:tcPr>
          <w:p w14:paraId="06073A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304" w:type="dxa"/>
            <w:gridSpan w:val="2"/>
            <w:vAlign w:val="center"/>
          </w:tcPr>
          <w:p w14:paraId="6F4588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年度资金总额</w:t>
            </w:r>
          </w:p>
        </w:tc>
        <w:tc>
          <w:tcPr>
            <w:tcW w:w="998" w:type="dxa"/>
            <w:vAlign w:val="center"/>
          </w:tcPr>
          <w:p w14:paraId="39F100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2232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57</w:t>
            </w:r>
          </w:p>
        </w:tc>
        <w:tc>
          <w:tcPr>
            <w:tcW w:w="1295" w:type="dxa"/>
            <w:gridSpan w:val="2"/>
            <w:vAlign w:val="center"/>
          </w:tcPr>
          <w:p w14:paraId="71F23A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bookmarkStart w:id="0" w:name="OLE_LINK1"/>
            <w:r>
              <w:rPr>
                <w:rFonts w:hint="eastAsia" w:ascii="仿宋" w:hAnsi="仿宋" w:eastAsia="仿宋" w:cs="仿宋"/>
                <w:sz w:val="20"/>
                <w:szCs w:val="20"/>
              </w:rPr>
              <w:t>2232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57</w:t>
            </w:r>
            <w:bookmarkEnd w:id="0"/>
          </w:p>
        </w:tc>
        <w:tc>
          <w:tcPr>
            <w:tcW w:w="1134" w:type="dxa"/>
            <w:vAlign w:val="center"/>
          </w:tcPr>
          <w:p w14:paraId="566086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2232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57</w:t>
            </w:r>
          </w:p>
        </w:tc>
        <w:tc>
          <w:tcPr>
            <w:tcW w:w="709" w:type="dxa"/>
            <w:vAlign w:val="center"/>
          </w:tcPr>
          <w:p w14:paraId="4F4E23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</w:rPr>
              <w:t>10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460" w:type="dxa"/>
            <w:vAlign w:val="center"/>
          </w:tcPr>
          <w:p w14:paraId="658571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93" w:type="dxa"/>
            <w:vAlign w:val="center"/>
          </w:tcPr>
          <w:p w14:paraId="2E0EDC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96</w:t>
            </w:r>
          </w:p>
        </w:tc>
      </w:tr>
      <w:tr w14:paraId="55B8B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9" w:type="dxa"/>
            <w:vMerge w:val="continue"/>
            <w:vAlign w:val="center"/>
          </w:tcPr>
          <w:p w14:paraId="38AE7A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97" w:type="dxa"/>
            <w:gridSpan w:val="5"/>
            <w:vAlign w:val="center"/>
          </w:tcPr>
          <w:p w14:paraId="583A182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按收入性质分：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财政拨款收入</w:t>
            </w:r>
          </w:p>
        </w:tc>
        <w:tc>
          <w:tcPr>
            <w:tcW w:w="3496" w:type="dxa"/>
            <w:gridSpan w:val="4"/>
            <w:vAlign w:val="center"/>
          </w:tcPr>
          <w:p w14:paraId="2BD004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按支出性质分：</w:t>
            </w:r>
          </w:p>
        </w:tc>
      </w:tr>
      <w:tr w14:paraId="6FD3BB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9" w:type="dxa"/>
            <w:vMerge w:val="continue"/>
            <w:vAlign w:val="center"/>
          </w:tcPr>
          <w:p w14:paraId="4F7B615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97" w:type="dxa"/>
            <w:gridSpan w:val="5"/>
            <w:vAlign w:val="center"/>
          </w:tcPr>
          <w:p w14:paraId="4144EC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 xml:space="preserve">  其中：  一般公共预算：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2232</w:t>
            </w:r>
            <w:r>
              <w:rPr>
                <w:rFonts w:hint="eastAsia" w:ascii="仿宋" w:hAnsi="仿宋" w:eastAsia="仿宋" w:cs="仿宋"/>
                <w:sz w:val="20"/>
                <w:szCs w:val="20"/>
                <w:lang w:val="en-US" w:eastAsia="zh-CN"/>
              </w:rPr>
              <w:t>.</w:t>
            </w:r>
            <w:r>
              <w:rPr>
                <w:rFonts w:hint="eastAsia" w:ascii="仿宋" w:hAnsi="仿宋" w:eastAsia="仿宋" w:cs="仿宋"/>
                <w:sz w:val="20"/>
                <w:szCs w:val="20"/>
              </w:rPr>
              <w:t>57</w:t>
            </w:r>
          </w:p>
        </w:tc>
        <w:tc>
          <w:tcPr>
            <w:tcW w:w="3496" w:type="dxa"/>
            <w:gridSpan w:val="4"/>
            <w:vAlign w:val="center"/>
          </w:tcPr>
          <w:p w14:paraId="6798C8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其中：基本支出：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790.29</w:t>
            </w:r>
          </w:p>
        </w:tc>
      </w:tr>
      <w:tr w14:paraId="5F5C79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9" w:type="dxa"/>
            <w:vMerge w:val="continue"/>
            <w:vAlign w:val="center"/>
          </w:tcPr>
          <w:p w14:paraId="5810FC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97" w:type="dxa"/>
            <w:gridSpan w:val="5"/>
            <w:vAlign w:val="center"/>
          </w:tcPr>
          <w:p w14:paraId="083DA1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800" w:firstLineChars="4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政府性基金拨款：</w:t>
            </w:r>
          </w:p>
        </w:tc>
        <w:tc>
          <w:tcPr>
            <w:tcW w:w="3496" w:type="dxa"/>
            <w:gridSpan w:val="4"/>
            <w:vAlign w:val="center"/>
          </w:tcPr>
          <w:p w14:paraId="3A2660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600" w:firstLineChars="300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项目支出：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476.1</w:t>
            </w:r>
          </w:p>
        </w:tc>
      </w:tr>
      <w:tr w14:paraId="61EBA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9" w:type="dxa"/>
            <w:vMerge w:val="continue"/>
            <w:vAlign w:val="center"/>
          </w:tcPr>
          <w:p w14:paraId="1B11CE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97" w:type="dxa"/>
            <w:gridSpan w:val="5"/>
            <w:vAlign w:val="center"/>
          </w:tcPr>
          <w:p w14:paraId="45DF1E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纳入专户管理的非税收入拨款：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4.5</w:t>
            </w:r>
          </w:p>
        </w:tc>
        <w:tc>
          <w:tcPr>
            <w:tcW w:w="3496" w:type="dxa"/>
            <w:gridSpan w:val="4"/>
            <w:vAlign w:val="center"/>
          </w:tcPr>
          <w:p w14:paraId="1301A4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122A5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169" w:type="dxa"/>
            <w:vMerge w:val="continue"/>
            <w:vAlign w:val="center"/>
          </w:tcPr>
          <w:p w14:paraId="44BC25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97" w:type="dxa"/>
            <w:gridSpan w:val="5"/>
            <w:vAlign w:val="center"/>
          </w:tcPr>
          <w:p w14:paraId="174EAEC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1400" w:firstLineChars="700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其他资金：</w:t>
            </w:r>
          </w:p>
        </w:tc>
        <w:tc>
          <w:tcPr>
            <w:tcW w:w="3496" w:type="dxa"/>
            <w:gridSpan w:val="4"/>
            <w:vAlign w:val="center"/>
          </w:tcPr>
          <w:p w14:paraId="18BDF0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  <w:tr w14:paraId="726380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9" w:type="dxa"/>
            <w:vMerge w:val="restart"/>
            <w:vAlign w:val="center"/>
          </w:tcPr>
          <w:p w14:paraId="0AABB0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4597" w:type="dxa"/>
            <w:gridSpan w:val="5"/>
            <w:vAlign w:val="center"/>
          </w:tcPr>
          <w:p w14:paraId="1F0E6B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496" w:type="dxa"/>
            <w:gridSpan w:val="4"/>
            <w:vAlign w:val="center"/>
          </w:tcPr>
          <w:p w14:paraId="3729D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实际完成情况　</w:t>
            </w:r>
          </w:p>
        </w:tc>
      </w:tr>
      <w:tr w14:paraId="30FCE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" w:hRule="atLeast"/>
          <w:jc w:val="center"/>
        </w:trPr>
        <w:tc>
          <w:tcPr>
            <w:tcW w:w="1169" w:type="dxa"/>
            <w:vMerge w:val="continue"/>
            <w:vAlign w:val="center"/>
          </w:tcPr>
          <w:p w14:paraId="54EA9C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597" w:type="dxa"/>
            <w:gridSpan w:val="5"/>
            <w:vAlign w:val="center"/>
          </w:tcPr>
          <w:p w14:paraId="1307E1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　</w:t>
            </w:r>
          </w:p>
        </w:tc>
        <w:tc>
          <w:tcPr>
            <w:tcW w:w="3496" w:type="dxa"/>
            <w:gridSpan w:val="4"/>
            <w:vAlign w:val="center"/>
          </w:tcPr>
          <w:p w14:paraId="30A942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2DBA1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  <w:jc w:val="center"/>
        </w:trPr>
        <w:tc>
          <w:tcPr>
            <w:tcW w:w="1169" w:type="dxa"/>
            <w:vMerge w:val="restart"/>
            <w:vAlign w:val="center"/>
          </w:tcPr>
          <w:p w14:paraId="119227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绩</w:t>
            </w:r>
          </w:p>
          <w:p w14:paraId="08595F2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</w:t>
            </w:r>
          </w:p>
          <w:p w14:paraId="5D2C2DF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</w:t>
            </w:r>
          </w:p>
          <w:p w14:paraId="4ED61D2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标</w:t>
            </w:r>
          </w:p>
        </w:tc>
        <w:tc>
          <w:tcPr>
            <w:tcW w:w="1176" w:type="dxa"/>
            <w:vAlign w:val="center"/>
          </w:tcPr>
          <w:p w14:paraId="2B0F03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128" w:type="dxa"/>
            <w:vAlign w:val="center"/>
          </w:tcPr>
          <w:p w14:paraId="79ACBE6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093" w:type="dxa"/>
            <w:gridSpan w:val="2"/>
            <w:vAlign w:val="center"/>
          </w:tcPr>
          <w:p w14:paraId="0E5373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200" w:type="dxa"/>
            <w:vAlign w:val="center"/>
          </w:tcPr>
          <w:p w14:paraId="1AA712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年度</w:t>
            </w:r>
          </w:p>
          <w:p w14:paraId="533C87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vAlign w:val="center"/>
          </w:tcPr>
          <w:p w14:paraId="0C656C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实际</w:t>
            </w:r>
          </w:p>
          <w:p w14:paraId="20A617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完成值</w:t>
            </w:r>
          </w:p>
        </w:tc>
        <w:tc>
          <w:tcPr>
            <w:tcW w:w="709" w:type="dxa"/>
            <w:vAlign w:val="center"/>
          </w:tcPr>
          <w:p w14:paraId="3A35B2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460" w:type="dxa"/>
            <w:vAlign w:val="center"/>
          </w:tcPr>
          <w:p w14:paraId="4C04C4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193" w:type="dxa"/>
            <w:vAlign w:val="top"/>
          </w:tcPr>
          <w:p w14:paraId="2E30B8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偏差原因</w:t>
            </w:r>
          </w:p>
          <w:p w14:paraId="536DC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分析及</w:t>
            </w:r>
          </w:p>
          <w:p w14:paraId="6A011F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改进措施</w:t>
            </w:r>
          </w:p>
        </w:tc>
      </w:tr>
      <w:tr w14:paraId="16F90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9" w:type="dxa"/>
            <w:vMerge w:val="continue"/>
            <w:vAlign w:val="center"/>
          </w:tcPr>
          <w:p w14:paraId="268631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 w:val="restart"/>
            <w:vAlign w:val="center"/>
          </w:tcPr>
          <w:p w14:paraId="4027C7E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产出指标</w:t>
            </w:r>
          </w:p>
          <w:p w14:paraId="071A02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50分)</w:t>
            </w:r>
          </w:p>
        </w:tc>
        <w:tc>
          <w:tcPr>
            <w:tcW w:w="1128" w:type="dxa"/>
            <w:vAlign w:val="center"/>
          </w:tcPr>
          <w:p w14:paraId="4C6FF6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数量</w:t>
            </w:r>
          </w:p>
          <w:p w14:paraId="06A8D3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93" w:type="dxa"/>
            <w:gridSpan w:val="2"/>
            <w:vAlign w:val="center"/>
          </w:tcPr>
          <w:p w14:paraId="5A5BA5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 w:bidi="ar-SA"/>
              </w:rPr>
              <w:t>干部职工数量</w:t>
            </w:r>
          </w:p>
        </w:tc>
        <w:tc>
          <w:tcPr>
            <w:tcW w:w="1200" w:type="dxa"/>
            <w:vAlign w:val="center"/>
          </w:tcPr>
          <w:p w14:paraId="6F2A74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58</w:t>
            </w:r>
          </w:p>
        </w:tc>
        <w:tc>
          <w:tcPr>
            <w:tcW w:w="1134" w:type="dxa"/>
            <w:vAlign w:val="center"/>
          </w:tcPr>
          <w:p w14:paraId="5C189D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58</w:t>
            </w:r>
          </w:p>
        </w:tc>
        <w:tc>
          <w:tcPr>
            <w:tcW w:w="709" w:type="dxa"/>
            <w:vAlign w:val="center"/>
          </w:tcPr>
          <w:p w14:paraId="07D257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460" w:type="dxa"/>
            <w:vAlign w:val="center"/>
          </w:tcPr>
          <w:p w14:paraId="1BCD26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193" w:type="dxa"/>
            <w:vAlign w:val="center"/>
          </w:tcPr>
          <w:p w14:paraId="68D3C1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BE42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9" w:type="dxa"/>
            <w:vMerge w:val="continue"/>
            <w:vAlign w:val="center"/>
          </w:tcPr>
          <w:p w14:paraId="5B424C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 w:val="continue"/>
            <w:vAlign w:val="center"/>
          </w:tcPr>
          <w:p w14:paraId="02ADA4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vAlign w:val="center"/>
          </w:tcPr>
          <w:p w14:paraId="43461E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质量</w:t>
            </w:r>
          </w:p>
          <w:p w14:paraId="3E96E8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93" w:type="dxa"/>
            <w:gridSpan w:val="2"/>
            <w:vAlign w:val="center"/>
          </w:tcPr>
          <w:p w14:paraId="20C246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确保财政资金规范使用</w:t>
            </w:r>
          </w:p>
        </w:tc>
        <w:tc>
          <w:tcPr>
            <w:tcW w:w="1200" w:type="dxa"/>
            <w:vAlign w:val="center"/>
          </w:tcPr>
          <w:p w14:paraId="25029E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vAlign w:val="center"/>
          </w:tcPr>
          <w:p w14:paraId="04372C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09" w:type="dxa"/>
            <w:vAlign w:val="center"/>
          </w:tcPr>
          <w:p w14:paraId="2EBB56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460" w:type="dxa"/>
            <w:vAlign w:val="center"/>
          </w:tcPr>
          <w:p w14:paraId="532369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193" w:type="dxa"/>
            <w:vAlign w:val="center"/>
          </w:tcPr>
          <w:p w14:paraId="6E034F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C07F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9" w:type="dxa"/>
            <w:vMerge w:val="continue"/>
            <w:vAlign w:val="center"/>
          </w:tcPr>
          <w:p w14:paraId="371265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 w:val="continue"/>
            <w:vAlign w:val="center"/>
          </w:tcPr>
          <w:p w14:paraId="5C2F84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vAlign w:val="center"/>
          </w:tcPr>
          <w:p w14:paraId="34BC1E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时效</w:t>
            </w:r>
          </w:p>
          <w:p w14:paraId="6F5FA2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93" w:type="dxa"/>
            <w:gridSpan w:val="2"/>
            <w:vAlign w:val="center"/>
          </w:tcPr>
          <w:p w14:paraId="05D0E8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资金拨付及时率</w:t>
            </w:r>
          </w:p>
        </w:tc>
        <w:tc>
          <w:tcPr>
            <w:tcW w:w="1200" w:type="dxa"/>
            <w:vAlign w:val="center"/>
          </w:tcPr>
          <w:p w14:paraId="38A943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134" w:type="dxa"/>
            <w:vAlign w:val="center"/>
          </w:tcPr>
          <w:p w14:paraId="2C7F41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709" w:type="dxa"/>
            <w:vAlign w:val="center"/>
          </w:tcPr>
          <w:p w14:paraId="53EFE2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460" w:type="dxa"/>
            <w:vAlign w:val="center"/>
          </w:tcPr>
          <w:p w14:paraId="0E0F12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15</w:t>
            </w:r>
          </w:p>
        </w:tc>
        <w:tc>
          <w:tcPr>
            <w:tcW w:w="1193" w:type="dxa"/>
            <w:vAlign w:val="center"/>
          </w:tcPr>
          <w:p w14:paraId="278EF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7B75C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9" w:type="dxa"/>
            <w:vMerge w:val="continue"/>
            <w:vAlign w:val="center"/>
          </w:tcPr>
          <w:p w14:paraId="6247A8B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 w:val="continue"/>
            <w:vAlign w:val="center"/>
          </w:tcPr>
          <w:p w14:paraId="5D3124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vAlign w:val="center"/>
          </w:tcPr>
          <w:p w14:paraId="72EE06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成本</w:t>
            </w:r>
          </w:p>
          <w:p w14:paraId="5DD557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1093" w:type="dxa"/>
            <w:gridSpan w:val="2"/>
            <w:vAlign w:val="center"/>
          </w:tcPr>
          <w:p w14:paraId="658DEC1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资金总额</w:t>
            </w:r>
          </w:p>
        </w:tc>
        <w:tc>
          <w:tcPr>
            <w:tcW w:w="1200" w:type="dxa"/>
            <w:vAlign w:val="center"/>
          </w:tcPr>
          <w:p w14:paraId="2C044C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2232.57</w:t>
            </w:r>
          </w:p>
        </w:tc>
        <w:tc>
          <w:tcPr>
            <w:tcW w:w="1134" w:type="dxa"/>
            <w:vAlign w:val="center"/>
          </w:tcPr>
          <w:p w14:paraId="05D9B8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2232.57</w:t>
            </w:r>
          </w:p>
        </w:tc>
        <w:tc>
          <w:tcPr>
            <w:tcW w:w="709" w:type="dxa"/>
            <w:vAlign w:val="center"/>
          </w:tcPr>
          <w:p w14:paraId="276F9F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460" w:type="dxa"/>
            <w:vAlign w:val="center"/>
          </w:tcPr>
          <w:p w14:paraId="692FD8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193" w:type="dxa"/>
            <w:vAlign w:val="center"/>
          </w:tcPr>
          <w:p w14:paraId="60B634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435D1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9" w:type="dxa"/>
            <w:vMerge w:val="continue"/>
            <w:vAlign w:val="center"/>
          </w:tcPr>
          <w:p w14:paraId="3867EB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 w:val="restart"/>
            <w:vAlign w:val="center"/>
          </w:tcPr>
          <w:p w14:paraId="31ECD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效益指标</w:t>
            </w:r>
          </w:p>
          <w:p w14:paraId="2AE4AB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（3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分）</w:t>
            </w:r>
          </w:p>
        </w:tc>
        <w:tc>
          <w:tcPr>
            <w:tcW w:w="1128" w:type="dxa"/>
            <w:vAlign w:val="center"/>
          </w:tcPr>
          <w:p w14:paraId="267831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经济效</w:t>
            </w:r>
          </w:p>
          <w:p w14:paraId="4BC55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093" w:type="dxa"/>
            <w:gridSpan w:val="2"/>
            <w:vAlign w:val="center"/>
          </w:tcPr>
          <w:p w14:paraId="1DC13F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保障政府正常运转</w:t>
            </w:r>
          </w:p>
        </w:tc>
        <w:tc>
          <w:tcPr>
            <w:tcW w:w="1200" w:type="dxa"/>
            <w:vAlign w:val="center"/>
          </w:tcPr>
          <w:p w14:paraId="7033A0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效果明显</w:t>
            </w:r>
          </w:p>
        </w:tc>
        <w:tc>
          <w:tcPr>
            <w:tcW w:w="1134" w:type="dxa"/>
            <w:vAlign w:val="center"/>
          </w:tcPr>
          <w:p w14:paraId="4D3DFE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效果明显</w:t>
            </w:r>
          </w:p>
        </w:tc>
        <w:tc>
          <w:tcPr>
            <w:tcW w:w="709" w:type="dxa"/>
            <w:vAlign w:val="center"/>
          </w:tcPr>
          <w:p w14:paraId="467AC2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460" w:type="dxa"/>
            <w:vAlign w:val="center"/>
          </w:tcPr>
          <w:p w14:paraId="63C69C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193" w:type="dxa"/>
            <w:vAlign w:val="center"/>
          </w:tcPr>
          <w:p w14:paraId="7C8626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335E8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9" w:type="dxa"/>
            <w:vMerge w:val="continue"/>
            <w:vAlign w:val="center"/>
          </w:tcPr>
          <w:p w14:paraId="53739F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 w:val="continue"/>
            <w:vAlign w:val="center"/>
          </w:tcPr>
          <w:p w14:paraId="75E255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vAlign w:val="center"/>
          </w:tcPr>
          <w:p w14:paraId="69E27E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社会效</w:t>
            </w:r>
          </w:p>
          <w:p w14:paraId="7BBBCE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093" w:type="dxa"/>
            <w:gridSpan w:val="2"/>
            <w:vAlign w:val="center"/>
          </w:tcPr>
          <w:p w14:paraId="344B6A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提高政府发展水平</w:t>
            </w:r>
          </w:p>
        </w:tc>
        <w:tc>
          <w:tcPr>
            <w:tcW w:w="1200" w:type="dxa"/>
            <w:vAlign w:val="center"/>
          </w:tcPr>
          <w:p w14:paraId="736D2D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效果明显</w:t>
            </w:r>
          </w:p>
        </w:tc>
        <w:tc>
          <w:tcPr>
            <w:tcW w:w="1134" w:type="dxa"/>
            <w:vAlign w:val="center"/>
          </w:tcPr>
          <w:p w14:paraId="1E1B3E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效果明显</w:t>
            </w:r>
          </w:p>
        </w:tc>
        <w:tc>
          <w:tcPr>
            <w:tcW w:w="709" w:type="dxa"/>
            <w:vAlign w:val="center"/>
          </w:tcPr>
          <w:p w14:paraId="42A0DD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460" w:type="dxa"/>
            <w:vAlign w:val="center"/>
          </w:tcPr>
          <w:p w14:paraId="2BF5A5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193" w:type="dxa"/>
            <w:vAlign w:val="center"/>
          </w:tcPr>
          <w:p w14:paraId="3E119D3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B738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9" w:type="dxa"/>
            <w:vMerge w:val="continue"/>
            <w:vAlign w:val="center"/>
          </w:tcPr>
          <w:p w14:paraId="048D52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 w:val="continue"/>
            <w:vAlign w:val="center"/>
          </w:tcPr>
          <w:p w14:paraId="4BD5A9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vAlign w:val="center"/>
          </w:tcPr>
          <w:p w14:paraId="5A869F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生态效</w:t>
            </w:r>
          </w:p>
          <w:p w14:paraId="50B71C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益指标</w:t>
            </w:r>
          </w:p>
        </w:tc>
        <w:tc>
          <w:tcPr>
            <w:tcW w:w="1093" w:type="dxa"/>
            <w:gridSpan w:val="2"/>
            <w:vAlign w:val="center"/>
          </w:tcPr>
          <w:p w14:paraId="571D57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保障工作正常运转</w:t>
            </w:r>
          </w:p>
        </w:tc>
        <w:tc>
          <w:tcPr>
            <w:tcW w:w="1200" w:type="dxa"/>
            <w:vAlign w:val="center"/>
          </w:tcPr>
          <w:p w14:paraId="07D650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效果明显</w:t>
            </w:r>
          </w:p>
        </w:tc>
        <w:tc>
          <w:tcPr>
            <w:tcW w:w="1134" w:type="dxa"/>
            <w:vAlign w:val="center"/>
          </w:tcPr>
          <w:p w14:paraId="33D898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效果明显</w:t>
            </w:r>
          </w:p>
        </w:tc>
        <w:tc>
          <w:tcPr>
            <w:tcW w:w="709" w:type="dxa"/>
            <w:vAlign w:val="center"/>
          </w:tcPr>
          <w:p w14:paraId="2FCE48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460" w:type="dxa"/>
            <w:vAlign w:val="center"/>
          </w:tcPr>
          <w:p w14:paraId="53D46F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193" w:type="dxa"/>
            <w:vAlign w:val="center"/>
          </w:tcPr>
          <w:p w14:paraId="10AE14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21A86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9" w:type="dxa"/>
            <w:vMerge w:val="continue"/>
            <w:vAlign w:val="center"/>
          </w:tcPr>
          <w:p w14:paraId="5050F1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Merge w:val="continue"/>
            <w:vAlign w:val="center"/>
          </w:tcPr>
          <w:p w14:paraId="0EAAC6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28" w:type="dxa"/>
            <w:vAlign w:val="center"/>
          </w:tcPr>
          <w:p w14:paraId="3CD117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可持续影响指标</w:t>
            </w:r>
          </w:p>
        </w:tc>
        <w:tc>
          <w:tcPr>
            <w:tcW w:w="1093" w:type="dxa"/>
            <w:gridSpan w:val="2"/>
            <w:vAlign w:val="center"/>
          </w:tcPr>
          <w:p w14:paraId="09F910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保障可持续发展</w:t>
            </w:r>
          </w:p>
        </w:tc>
        <w:tc>
          <w:tcPr>
            <w:tcW w:w="1200" w:type="dxa"/>
            <w:vAlign w:val="center"/>
          </w:tcPr>
          <w:p w14:paraId="0B7CC9C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效果明显</w:t>
            </w:r>
          </w:p>
        </w:tc>
        <w:tc>
          <w:tcPr>
            <w:tcW w:w="1134" w:type="dxa"/>
            <w:vAlign w:val="center"/>
          </w:tcPr>
          <w:p w14:paraId="0426AE5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效果明显</w:t>
            </w:r>
          </w:p>
        </w:tc>
        <w:tc>
          <w:tcPr>
            <w:tcW w:w="709" w:type="dxa"/>
            <w:vAlign w:val="center"/>
          </w:tcPr>
          <w:p w14:paraId="368E24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460" w:type="dxa"/>
            <w:vAlign w:val="center"/>
          </w:tcPr>
          <w:p w14:paraId="13881B0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4</w:t>
            </w:r>
          </w:p>
        </w:tc>
        <w:tc>
          <w:tcPr>
            <w:tcW w:w="1193" w:type="dxa"/>
            <w:vAlign w:val="center"/>
          </w:tcPr>
          <w:p w14:paraId="66670A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16761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69" w:type="dxa"/>
            <w:vMerge w:val="continue"/>
            <w:vAlign w:val="center"/>
          </w:tcPr>
          <w:p w14:paraId="50375A7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176" w:type="dxa"/>
            <w:vAlign w:val="center"/>
          </w:tcPr>
          <w:p w14:paraId="3B72C7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满意度</w:t>
            </w:r>
          </w:p>
          <w:p w14:paraId="577027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指标</w:t>
            </w:r>
          </w:p>
          <w:p w14:paraId="020AEEC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1128" w:type="dxa"/>
            <w:vAlign w:val="center"/>
          </w:tcPr>
          <w:p w14:paraId="18E472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服务对象满意度指标</w:t>
            </w:r>
          </w:p>
        </w:tc>
        <w:tc>
          <w:tcPr>
            <w:tcW w:w="1093" w:type="dxa"/>
            <w:gridSpan w:val="2"/>
            <w:vAlign w:val="center"/>
          </w:tcPr>
          <w:p w14:paraId="1833B2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群众对政府满意度</w:t>
            </w:r>
          </w:p>
        </w:tc>
        <w:tc>
          <w:tcPr>
            <w:tcW w:w="1200" w:type="dxa"/>
            <w:vAlign w:val="center"/>
          </w:tcPr>
          <w:p w14:paraId="79EEA1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≧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1134" w:type="dxa"/>
            <w:vAlign w:val="center"/>
          </w:tcPr>
          <w:p w14:paraId="28DDC9E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Times New Roman" w:hAnsi="Times New Roman" w:eastAsia="仿宋_GB2312" w:cs="Times New Roman"/>
                <w:sz w:val="20"/>
                <w:szCs w:val="20"/>
              </w:rPr>
              <w:t>≧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95%</w:t>
            </w:r>
          </w:p>
        </w:tc>
        <w:tc>
          <w:tcPr>
            <w:tcW w:w="709" w:type="dxa"/>
            <w:vAlign w:val="center"/>
          </w:tcPr>
          <w:p w14:paraId="645188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460" w:type="dxa"/>
            <w:vAlign w:val="center"/>
          </w:tcPr>
          <w:p w14:paraId="2B3EF9A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</w:t>
            </w:r>
          </w:p>
        </w:tc>
        <w:tc>
          <w:tcPr>
            <w:tcW w:w="1193" w:type="dxa"/>
            <w:vAlign w:val="center"/>
          </w:tcPr>
          <w:p w14:paraId="12323D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　</w:t>
            </w:r>
          </w:p>
        </w:tc>
      </w:tr>
      <w:tr w14:paraId="6FFAB2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00" w:type="dxa"/>
            <w:gridSpan w:val="7"/>
            <w:vAlign w:val="center"/>
          </w:tcPr>
          <w:p w14:paraId="036B59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709" w:type="dxa"/>
            <w:vAlign w:val="center"/>
          </w:tcPr>
          <w:p w14:paraId="6AD567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  <w:t>100</w:t>
            </w:r>
          </w:p>
        </w:tc>
        <w:tc>
          <w:tcPr>
            <w:tcW w:w="460" w:type="dxa"/>
            <w:vAlign w:val="center"/>
          </w:tcPr>
          <w:p w14:paraId="0CE410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  <w:lang w:val="en-US" w:eastAsia="zh-CN"/>
              </w:rPr>
              <w:t>96</w:t>
            </w:r>
          </w:p>
        </w:tc>
        <w:tc>
          <w:tcPr>
            <w:tcW w:w="1193" w:type="dxa"/>
            <w:vAlign w:val="center"/>
          </w:tcPr>
          <w:p w14:paraId="6B3347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kern w:val="0"/>
                <w:sz w:val="20"/>
                <w:szCs w:val="20"/>
              </w:rPr>
            </w:pPr>
          </w:p>
        </w:tc>
      </w:tr>
    </w:tbl>
    <w:p w14:paraId="7242306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B3511B"/>
    <w:multiLevelType w:val="singleLevel"/>
    <w:tmpl w:val="90B3511B"/>
    <w:lvl w:ilvl="0" w:tentative="0">
      <w:start w:val="8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C3EE68E"/>
    <w:multiLevelType w:val="singleLevel"/>
    <w:tmpl w:val="DC3EE68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CBACC6D"/>
    <w:multiLevelType w:val="singleLevel"/>
    <w:tmpl w:val="ECBACC6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66DE6CBD"/>
    <w:multiLevelType w:val="singleLevel"/>
    <w:tmpl w:val="66DE6CBD"/>
    <w:lvl w:ilvl="0" w:tentative="0">
      <w:start w:val="2"/>
      <w:numFmt w:val="chineseCounting"/>
      <w:suff w:val="nothing"/>
      <w:lvlText w:val="（%1）"/>
      <w:lvlJc w:val="left"/>
    </w:lvl>
  </w:abstractNum>
  <w:abstractNum w:abstractNumId="4">
    <w:nsid w:val="66DE6E04"/>
    <w:multiLevelType w:val="singleLevel"/>
    <w:tmpl w:val="66DE6E04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yMjhmM2Y5NTk2MmY0Njk4Njg0NzcwNmM2YmFjMjYifQ=="/>
  </w:docVars>
  <w:rsids>
    <w:rsidRoot w:val="00000000"/>
    <w:rsid w:val="02F62792"/>
    <w:rsid w:val="0E455054"/>
    <w:rsid w:val="1A0B74B6"/>
    <w:rsid w:val="1D644DCB"/>
    <w:rsid w:val="2B5C73A2"/>
    <w:rsid w:val="3A06593A"/>
    <w:rsid w:val="4064464C"/>
    <w:rsid w:val="44B531E4"/>
    <w:rsid w:val="4AFB026D"/>
    <w:rsid w:val="4FC96B8B"/>
    <w:rsid w:val="54C70C51"/>
    <w:rsid w:val="65DF7832"/>
    <w:rsid w:val="6A837C0B"/>
    <w:rsid w:val="6D806684"/>
    <w:rsid w:val="6EA941D3"/>
    <w:rsid w:val="70495453"/>
    <w:rsid w:val="78177844"/>
    <w:rsid w:val="7A6D61E2"/>
    <w:rsid w:val="7AE35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0" w:firstLineChars="200"/>
      <w:outlineLvl w:val="1"/>
    </w:pPr>
    <w:rPr>
      <w:rFonts w:ascii="Arial" w:hAnsi="Arial" w:eastAsia="黑体"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iPriority w:val="0"/>
    <w:pPr>
      <w:ind w:firstLine="420" w:firstLineChars="200"/>
    </w:pPr>
  </w:style>
  <w:style w:type="paragraph" w:styleId="3">
    <w:name w:val="Body Text Indent"/>
    <w:basedOn w:val="1"/>
    <w:uiPriority w:val="0"/>
    <w:pPr>
      <w:spacing w:after="120"/>
      <w:ind w:left="420" w:leftChars="200"/>
    </w:pPr>
  </w:style>
  <w:style w:type="paragraph" w:styleId="5">
    <w:name w:val="Body Text"/>
    <w:basedOn w:val="1"/>
    <w:next w:val="6"/>
    <w:qFormat/>
    <w:uiPriority w:val="0"/>
    <w:rPr>
      <w:rFonts w:ascii="Calibri" w:hAnsi="Calibri" w:eastAsia="宋体" w:cs="Times New Roman"/>
    </w:rPr>
  </w:style>
  <w:style w:type="paragraph" w:styleId="6">
    <w:name w:val="toc 5"/>
    <w:basedOn w:val="1"/>
    <w:next w:val="1"/>
    <w:qFormat/>
    <w:uiPriority w:val="0"/>
    <w:pPr>
      <w:ind w:left="800" w:leftChars="800"/>
    </w:pPr>
    <w:rPr>
      <w:rFonts w:ascii="Times New Roman" w:hAnsi="Times New Roman" w:eastAsia="宋体" w:cs="Times New Roman"/>
    </w:rPr>
  </w:style>
  <w:style w:type="paragraph" w:styleId="7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10">
    <w:name w:val="标题1"/>
    <w:basedOn w:val="4"/>
    <w:qFormat/>
    <w:uiPriority w:val="0"/>
    <w:rPr>
      <w:rFonts w:eastAsia="黑体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1096</Words>
  <Characters>1150</Characters>
  <Lines>0</Lines>
  <Paragraphs>0</Paragraphs>
  <TotalTime>52</TotalTime>
  <ScaleCrop>false</ScaleCrop>
  <LinksUpToDate>false</LinksUpToDate>
  <CharactersWithSpaces>1453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now</cp:lastModifiedBy>
  <dcterms:modified xsi:type="dcterms:W3CDTF">2024-09-10T03:14:57Z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58B482B9A25F4D3DAD379D88FAAF9C5A_13</vt:lpwstr>
  </property>
</Properties>
</file>