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F5272F">
      <w:pPr>
        <w:pStyle w:val="3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>附件2</w:t>
      </w:r>
    </w:p>
    <w:p w14:paraId="5840EAC2">
      <w:pPr>
        <w:pStyle w:val="3"/>
        <w:widowControl/>
        <w:shd w:val="clear" w:color="auto" w:fill="FFFFFF"/>
        <w:spacing w:before="0" w:beforeAutospacing="0" w:after="0" w:afterAutospacing="0" w:line="480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shd w:val="clear" w:color="auto" w:fill="FFFFFF"/>
          <w:lang w:eastAsia="zh-CN"/>
        </w:rPr>
        <w:t>乡村振兴工作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shd w:val="clear" w:color="auto" w:fill="FFFFFF"/>
        </w:rPr>
        <w:t>项目支出绩效自评报告</w:t>
      </w:r>
    </w:p>
    <w:p w14:paraId="45FEC091">
      <w:pPr>
        <w:pStyle w:val="3"/>
        <w:widowControl/>
        <w:shd w:val="clear" w:color="auto" w:fill="FFFFFF"/>
        <w:snapToGrid w:val="0"/>
        <w:spacing w:before="0" w:beforeAutospacing="0" w:after="0" w:afterAutospacing="0" w:line="520" w:lineRule="exact"/>
        <w:ind w:firstLine="480" w:firstLineChars="200"/>
        <w:jc w:val="both"/>
        <w:rPr>
          <w:rFonts w:hint="eastAsia" w:ascii="黑体" w:hAnsi="黑体" w:eastAsia="黑体" w:cs="黑体"/>
          <w:color w:val="000000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color w:val="000000"/>
          <w:shd w:val="clear" w:color="auto" w:fill="FFFFFF"/>
          <w:lang w:val="en-US" w:eastAsia="zh-CN"/>
        </w:rPr>
        <w:t xml:space="preserve"> </w:t>
      </w:r>
      <w:r>
        <w:rPr>
          <w:rFonts w:hint="eastAsia" w:ascii="方正小标宋_GBK" w:hAnsi="方正小标宋_GBK" w:eastAsia="方正小标宋_GBK" w:cs="方正小标宋_GBK"/>
          <w:color w:val="000000"/>
          <w:sz w:val="32"/>
          <w:szCs w:val="32"/>
          <w:shd w:val="clear" w:color="auto" w:fill="FFFFFF"/>
        </w:rPr>
        <w:t> </w:t>
      </w:r>
      <w:r>
        <w:rPr>
          <w:rFonts w:hint="eastAsia" w:ascii="黑体" w:hAnsi="黑体" w:eastAsia="黑体" w:cs="黑体"/>
          <w:color w:val="000000"/>
          <w:sz w:val="32"/>
          <w:szCs w:val="32"/>
          <w:shd w:val="clear" w:color="auto" w:fill="FFFFFF"/>
        </w:rPr>
        <w:t>一、项目基本情况</w:t>
      </w:r>
    </w:p>
    <w:p w14:paraId="40299561">
      <w:pPr>
        <w:pStyle w:val="3"/>
        <w:widowControl/>
        <w:shd w:val="clear" w:color="auto" w:fill="FFFFFF"/>
        <w:snapToGrid w:val="0"/>
        <w:spacing w:before="0" w:beforeAutospacing="0" w:after="0" w:afterAutospacing="0" w:line="520" w:lineRule="exact"/>
        <w:ind w:firstLine="548" w:firstLineChars="200"/>
        <w:jc w:val="both"/>
        <w:rPr>
          <w:rFonts w:hint="eastAsia" w:ascii="楷体_GB2312" w:hAnsi="楷体_GB2312" w:eastAsia="楷体_GB2312" w:cs="楷体_GB2312"/>
          <w:color w:val="00000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color w:val="000000"/>
          <w:spacing w:val="-23"/>
          <w:sz w:val="32"/>
          <w:szCs w:val="32"/>
          <w:shd w:val="clear" w:color="auto" w:fill="FFFFFF"/>
          <w:lang w:bidi="ar"/>
        </w:rPr>
        <w:t>（一）</w:t>
      </w:r>
      <w:r>
        <w:rPr>
          <w:rFonts w:hint="eastAsia" w:ascii="楷体_GB2312" w:hAnsi="楷体_GB2312" w:eastAsia="楷体_GB2312" w:cs="楷体_GB2312"/>
          <w:color w:val="000000"/>
          <w:sz w:val="32"/>
          <w:szCs w:val="32"/>
          <w:shd w:val="clear" w:color="auto" w:fill="FFFFFF"/>
        </w:rPr>
        <w:t>项目概况</w:t>
      </w:r>
    </w:p>
    <w:p w14:paraId="2AC8D893">
      <w:pPr>
        <w:pStyle w:val="3"/>
        <w:widowControl/>
        <w:shd w:val="clear" w:color="auto" w:fill="FFFFFF"/>
        <w:snapToGrid w:val="0"/>
        <w:spacing w:before="0" w:beforeAutospacing="0" w:after="0" w:afterAutospacing="0" w:line="520" w:lineRule="exact"/>
        <w:ind w:firstLine="1120" w:firstLineChars="400"/>
        <w:jc w:val="both"/>
        <w:rPr>
          <w:rFonts w:hint="eastAsia" w:ascii="仿宋_GB2312" w:hAnsi="Calibri" w:eastAsia="仿宋_GB2312" w:cs="仿宋_GB2312"/>
          <w:color w:val="000000"/>
          <w:sz w:val="28"/>
          <w:szCs w:val="28"/>
          <w:shd w:val="clear" w:color="auto" w:fill="FFFFFF"/>
          <w:lang w:eastAsia="zh-CN" w:bidi="ar"/>
        </w:rPr>
      </w:pPr>
      <w:r>
        <w:rPr>
          <w:rFonts w:hint="eastAsia" w:ascii="仿宋_GB2312" w:hAnsi="Calibri" w:eastAsia="仿宋_GB2312" w:cs="仿宋_GB2312"/>
          <w:color w:val="000000"/>
          <w:sz w:val="28"/>
          <w:szCs w:val="28"/>
          <w:shd w:val="clear" w:color="auto" w:fill="FFFFFF"/>
          <w:lang w:eastAsia="zh-CN" w:bidi="ar"/>
        </w:rPr>
        <w:t>为了确保本乡镇乡村振兴各项工作</w:t>
      </w:r>
      <w:bookmarkStart w:id="28" w:name="_GoBack"/>
      <w:bookmarkEnd w:id="28"/>
      <w:r>
        <w:rPr>
          <w:rFonts w:hint="eastAsia" w:ascii="仿宋_GB2312" w:hAnsi="Calibri" w:eastAsia="仿宋_GB2312" w:cs="仿宋_GB2312"/>
          <w:color w:val="000000"/>
          <w:sz w:val="28"/>
          <w:szCs w:val="28"/>
          <w:shd w:val="clear" w:color="auto" w:fill="FFFFFF"/>
          <w:lang w:eastAsia="zh-CN" w:bidi="ar"/>
        </w:rPr>
        <w:t>顺利进行，提高工作质量，</w:t>
      </w:r>
      <w:r>
        <w:rPr>
          <w:rFonts w:hint="eastAsia" w:ascii="仿宋_GB2312" w:hAnsi="Calibri" w:eastAsia="仿宋_GB2312" w:cs="仿宋_GB2312"/>
          <w:color w:val="000000"/>
          <w:sz w:val="28"/>
          <w:szCs w:val="28"/>
          <w:shd w:val="clear" w:color="auto" w:fill="FFFFFF"/>
          <w:lang w:val="en-US" w:eastAsia="zh-CN" w:bidi="ar"/>
        </w:rPr>
        <w:t>推乡村振兴战略设施。</w:t>
      </w:r>
    </w:p>
    <w:p w14:paraId="54630DA0">
      <w:pPr>
        <w:pStyle w:val="3"/>
        <w:widowControl/>
        <w:shd w:val="clear" w:color="auto" w:fill="FFFFFF"/>
        <w:snapToGrid w:val="0"/>
        <w:spacing w:before="0" w:beforeAutospacing="0" w:after="0" w:afterAutospacing="0" w:line="520" w:lineRule="exact"/>
        <w:ind w:firstLine="548" w:firstLineChars="200"/>
        <w:jc w:val="both"/>
        <w:rPr>
          <w:rFonts w:hint="eastAsia" w:ascii="楷体_GB2312" w:hAnsi="楷体_GB2312" w:eastAsia="楷体_GB2312" w:cs="楷体_GB2312"/>
          <w:color w:val="00000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color w:val="000000"/>
          <w:spacing w:val="-23"/>
          <w:sz w:val="32"/>
          <w:szCs w:val="32"/>
          <w:shd w:val="clear" w:color="auto" w:fill="FFFFFF"/>
        </w:rPr>
        <w:t>（二）</w:t>
      </w:r>
      <w:r>
        <w:rPr>
          <w:rFonts w:hint="eastAsia" w:ascii="楷体_GB2312" w:hAnsi="楷体_GB2312" w:eastAsia="楷体_GB2312" w:cs="楷体_GB2312"/>
          <w:color w:val="000000"/>
          <w:sz w:val="32"/>
          <w:szCs w:val="32"/>
          <w:shd w:val="clear" w:color="auto" w:fill="FFFFFF"/>
        </w:rPr>
        <w:t>预算资金使用管理情况</w:t>
      </w:r>
    </w:p>
    <w:p w14:paraId="25419729">
      <w:pPr>
        <w:snapToGrid w:val="0"/>
        <w:spacing w:line="520" w:lineRule="exact"/>
        <w:ind w:firstLine="560" w:firstLineChars="200"/>
        <w:outlineLvl w:val="1"/>
        <w:rPr>
          <w:rFonts w:hint="eastAsia" w:ascii="仿宋_GB2312" w:hAnsi="Calibri" w:eastAsia="仿宋_GB2312" w:cs="仿宋_GB2312"/>
          <w:color w:val="000000"/>
          <w:kern w:val="0"/>
          <w:sz w:val="28"/>
          <w:szCs w:val="28"/>
          <w:shd w:val="clear" w:color="auto" w:fill="FFFFFF"/>
          <w:lang w:bidi="ar"/>
        </w:rPr>
      </w:pPr>
      <w:bookmarkStart w:id="0" w:name="_Toc10810"/>
      <w:r>
        <w:rPr>
          <w:rFonts w:hint="eastAsia" w:ascii="仿宋_GB2312" w:hAnsi="Calibri" w:eastAsia="仿宋_GB2312" w:cs="仿宋_GB2312"/>
          <w:color w:val="000000"/>
          <w:kern w:val="0"/>
          <w:sz w:val="28"/>
          <w:szCs w:val="28"/>
          <w:shd w:val="clear" w:color="auto" w:fill="FFFFFF"/>
          <w:lang w:bidi="ar"/>
        </w:rPr>
        <w:t>1.预算资金安排及管理情况</w:t>
      </w:r>
      <w:bookmarkEnd w:id="0"/>
    </w:p>
    <w:p w14:paraId="7E16016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468" w:firstLineChars="200"/>
        <w:jc w:val="left"/>
        <w:textAlignment w:val="auto"/>
        <w:outlineLvl w:val="9"/>
        <w:rPr>
          <w:rFonts w:hint="eastAsia" w:ascii="仿宋_GB2312" w:hAnsi="Calibri" w:eastAsia="仿宋_GB2312" w:cs="仿宋_GB2312"/>
          <w:color w:val="00000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color w:val="000000"/>
          <w:spacing w:val="-23"/>
          <w:sz w:val="28"/>
          <w:szCs w:val="28"/>
          <w:shd w:val="clear" w:color="auto" w:fill="FFFFFF"/>
          <w:lang w:val="en-US" w:eastAsia="zh-CN" w:bidi="ar"/>
        </w:rPr>
        <w:t xml:space="preserve"> 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2023年县财政预算安排35万元用于</w:t>
      </w:r>
      <w:r>
        <w:rPr>
          <w:rFonts w:hint="eastAsia" w:ascii="仿宋_GB2312" w:hAnsi="Times New Roman" w:eastAsia="仿宋_GB2312" w:cs="Times New Roman"/>
          <w:sz w:val="28"/>
          <w:szCs w:val="28"/>
          <w:lang w:val="en-US" w:eastAsia="zh-CN"/>
        </w:rPr>
        <w:t>沙溪乡政府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专项开展开支，资金拨付到沙溪乡政府，资金到位率100%，沙溪乡政府按各项工作完成的进度支付，</w:t>
      </w:r>
      <w:r>
        <w:rPr>
          <w:rFonts w:hint="eastAsia" w:ascii="仿宋_GB2312" w:hAnsi="Calibri" w:eastAsia="仿宋_GB2312" w:cs="仿宋_GB2312"/>
          <w:color w:val="000000"/>
          <w:sz w:val="28"/>
          <w:szCs w:val="28"/>
          <w:shd w:val="clear" w:color="auto" w:fill="FFFFFF"/>
          <w:lang w:val="en-US" w:eastAsia="zh-CN" w:bidi="ar"/>
        </w:rPr>
        <w:t>在年中时调减了30.43万元。</w:t>
      </w:r>
    </w:p>
    <w:p w14:paraId="5DCBF406">
      <w:pPr>
        <w:pStyle w:val="3"/>
        <w:widowControl/>
        <w:shd w:val="clear" w:color="auto" w:fill="FFFFFF"/>
        <w:snapToGrid w:val="0"/>
        <w:spacing w:before="0" w:beforeAutospacing="0" w:after="0" w:afterAutospacing="0" w:line="520" w:lineRule="exact"/>
        <w:ind w:firstLine="560" w:firstLineChars="200"/>
        <w:jc w:val="both"/>
        <w:rPr>
          <w:rFonts w:ascii="仿宋_GB2312" w:hAnsi="Calibri" w:eastAsia="仿宋_GB2312" w:cs="仿宋_GB2312"/>
          <w:color w:val="000000"/>
          <w:sz w:val="28"/>
          <w:szCs w:val="28"/>
          <w:shd w:val="clear" w:color="auto" w:fill="FFFFFF"/>
          <w:lang w:bidi="ar"/>
        </w:rPr>
      </w:pPr>
      <w:r>
        <w:rPr>
          <w:rFonts w:hint="eastAsia" w:ascii="仿宋_GB2312" w:hAnsi="Calibri" w:eastAsia="仿宋_GB2312" w:cs="仿宋_GB2312"/>
          <w:color w:val="000000"/>
          <w:sz w:val="28"/>
          <w:szCs w:val="28"/>
          <w:shd w:val="clear" w:color="auto" w:fill="FFFFFF"/>
          <w:lang w:val="en-US" w:eastAsia="zh-CN" w:bidi="ar"/>
        </w:rPr>
        <w:t>2.</w:t>
      </w:r>
      <w:r>
        <w:rPr>
          <w:rFonts w:ascii="仿宋_GB2312" w:hAnsi="Calibri" w:eastAsia="仿宋_GB2312" w:cs="仿宋_GB2312"/>
          <w:color w:val="000000"/>
          <w:sz w:val="28"/>
          <w:szCs w:val="28"/>
          <w:shd w:val="clear" w:color="auto" w:fill="FFFFFF"/>
          <w:lang w:bidi="ar"/>
        </w:rPr>
        <w:t>项目组织实施管理情况</w:t>
      </w:r>
    </w:p>
    <w:p w14:paraId="29369AE6">
      <w:pPr>
        <w:pStyle w:val="3"/>
        <w:widowControl/>
        <w:numPr>
          <w:ilvl w:val="0"/>
          <w:numId w:val="0"/>
        </w:numPr>
        <w:shd w:val="clear" w:color="auto" w:fill="FFFFFF"/>
        <w:snapToGrid w:val="0"/>
        <w:spacing w:before="0" w:beforeAutospacing="0" w:after="0" w:afterAutospacing="0" w:line="520" w:lineRule="exact"/>
        <w:ind w:right="0" w:rightChars="0" w:firstLine="560" w:firstLineChars="200"/>
        <w:jc w:val="both"/>
        <w:rPr>
          <w:rFonts w:hint="default" w:ascii="仿宋_GB2312" w:hAnsi="Calibri" w:eastAsia="仿宋_GB2312" w:cs="仿宋_GB2312"/>
          <w:color w:val="00000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color w:val="000000"/>
          <w:sz w:val="28"/>
          <w:szCs w:val="28"/>
          <w:shd w:val="clear" w:color="auto" w:fill="FFFFFF"/>
          <w:lang w:val="en-US" w:eastAsia="zh-CN" w:bidi="ar"/>
        </w:rPr>
        <w:t>2023年我们在县委县政府及上级主管部门的正确领导和指导下，助力乡村振兴工作，圆满完成了各项工作任务，受到了各级各部门的肯定。</w:t>
      </w:r>
    </w:p>
    <w:p w14:paraId="065CB2EE">
      <w:pPr>
        <w:pStyle w:val="3"/>
        <w:widowControl/>
        <w:shd w:val="clear" w:color="auto" w:fill="FFFFFF"/>
        <w:snapToGrid w:val="0"/>
        <w:spacing w:before="0" w:beforeAutospacing="0" w:after="0" w:afterAutospacing="0" w:line="520" w:lineRule="exact"/>
        <w:ind w:firstLine="551" w:firstLineChars="200"/>
        <w:jc w:val="both"/>
        <w:rPr>
          <w:rFonts w:hint="eastAsia" w:ascii="楷体_GB2312" w:hAnsi="楷体_GB2312" w:eastAsia="楷体_GB2312" w:cs="楷体_GB2312"/>
          <w:b/>
          <w:bCs/>
          <w:color w:val="00000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spacing w:val="-23"/>
          <w:sz w:val="32"/>
          <w:szCs w:val="32"/>
          <w:shd w:val="clear" w:color="auto" w:fill="FFFFFF"/>
        </w:rPr>
        <w:t>（三）</w:t>
      </w:r>
      <w:r>
        <w:rPr>
          <w:rFonts w:hint="eastAsia" w:ascii="楷体_GB2312" w:hAnsi="楷体_GB2312" w:eastAsia="楷体_GB2312" w:cs="楷体_GB2312"/>
          <w:b/>
          <w:bCs/>
          <w:color w:val="000000"/>
          <w:sz w:val="32"/>
          <w:szCs w:val="32"/>
          <w:shd w:val="clear" w:color="auto" w:fill="FFFFFF"/>
        </w:rPr>
        <w:t>预算绩效目标情况</w:t>
      </w:r>
    </w:p>
    <w:p w14:paraId="72C8D71B">
      <w:pPr>
        <w:numPr>
          <w:ilvl w:val="0"/>
          <w:numId w:val="0"/>
        </w:numPr>
        <w:ind w:left="640" w:leftChars="0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Calibri" w:eastAsia="仿宋_GB2312" w:cs="仿宋_GB2312"/>
          <w:color w:val="000000"/>
          <w:sz w:val="32"/>
          <w:szCs w:val="32"/>
          <w:shd w:val="clear" w:color="auto" w:fill="FFFFFF"/>
          <w:lang w:bidi="ar"/>
        </w:rPr>
        <w:t>1.绩效目标</w:t>
      </w:r>
    </w:p>
    <w:p w14:paraId="51AACBDC">
      <w:pPr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202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3</w:t>
      </w:r>
      <w:r>
        <w:rPr>
          <w:rFonts w:hint="eastAsia" w:ascii="仿宋_GB2312" w:eastAsia="仿宋_GB2312"/>
          <w:sz w:val="28"/>
          <w:szCs w:val="28"/>
        </w:rPr>
        <w:t>年度，严格执行财经制度和管理规定，按时完成预算执行进度，严格控制、合理利用各项经费，鼓励合法合规的经费开支，按要求进行预算管理，不断完善资产管理制度，确保项目资金得到合理使用。</w:t>
      </w:r>
    </w:p>
    <w:p w14:paraId="782CE7EE">
      <w:pPr>
        <w:ind w:firstLine="640" w:firstLineChars="200"/>
        <w:rPr>
          <w:rFonts w:hint="eastAsia" w:ascii="仿宋_GB2312" w:hAnsi="Calibri" w:eastAsia="仿宋_GB2312" w:cs="仿宋_GB2312"/>
          <w:color w:val="000000"/>
          <w:sz w:val="32"/>
          <w:szCs w:val="32"/>
          <w:shd w:val="clear" w:color="auto" w:fill="FFFFFF"/>
          <w:lang w:bidi="ar"/>
        </w:rPr>
      </w:pPr>
      <w:r>
        <w:rPr>
          <w:rFonts w:hint="eastAsia" w:ascii="仿宋_GB2312" w:hAnsi="Calibri" w:eastAsia="仿宋_GB2312" w:cs="仿宋_GB2312"/>
          <w:color w:val="000000"/>
          <w:sz w:val="32"/>
          <w:szCs w:val="32"/>
          <w:shd w:val="clear" w:color="auto" w:fill="FFFFFF"/>
          <w:lang w:val="en-US" w:eastAsia="zh-CN" w:bidi="ar"/>
        </w:rPr>
        <w:t>2.</w:t>
      </w:r>
      <w:r>
        <w:rPr>
          <w:rFonts w:hint="eastAsia" w:ascii="仿宋_GB2312" w:hAnsi="Calibri" w:eastAsia="仿宋_GB2312" w:cs="仿宋_GB2312"/>
          <w:color w:val="000000"/>
          <w:sz w:val="32"/>
          <w:szCs w:val="32"/>
          <w:shd w:val="clear" w:color="auto" w:fill="FFFFFF"/>
          <w:lang w:bidi="ar"/>
        </w:rPr>
        <w:t>绩效指标</w:t>
      </w:r>
    </w:p>
    <w:p w14:paraId="1D7D2E7A">
      <w:pPr>
        <w:pStyle w:val="3"/>
        <w:widowControl/>
        <w:numPr>
          <w:ilvl w:val="0"/>
          <w:numId w:val="0"/>
        </w:numPr>
        <w:shd w:val="clear" w:color="auto" w:fill="FFFFFF"/>
        <w:snapToGrid w:val="0"/>
        <w:spacing w:before="0" w:beforeAutospacing="0" w:after="0" w:afterAutospacing="0" w:line="520" w:lineRule="exact"/>
        <w:ind w:leftChars="200" w:right="0" w:rightChars="0"/>
        <w:jc w:val="both"/>
        <w:rPr>
          <w:rFonts w:hint="default" w:ascii="仿宋_GB2312" w:hAnsi="Calibri" w:eastAsia="仿宋_GB2312" w:cs="仿宋_GB2312"/>
          <w:color w:val="00000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color w:val="000000"/>
          <w:sz w:val="32"/>
          <w:szCs w:val="32"/>
          <w:shd w:val="clear" w:color="auto" w:fill="FFFFFF"/>
          <w:lang w:val="en-US" w:eastAsia="zh-CN" w:bidi="ar"/>
        </w:rPr>
        <w:t xml:space="preserve"> </w:t>
      </w:r>
      <w:r>
        <w:rPr>
          <w:rFonts w:hint="eastAsia" w:ascii="仿宋_GB2312" w:hAnsi="Calibri" w:eastAsia="仿宋_GB2312" w:cs="仿宋_GB2312"/>
          <w:color w:val="000000"/>
          <w:sz w:val="28"/>
          <w:szCs w:val="28"/>
          <w:shd w:val="clear" w:color="auto" w:fill="FFFFFF"/>
          <w:lang w:val="en-US" w:eastAsia="zh-CN" w:bidi="ar"/>
        </w:rPr>
        <w:t>推动乡村振兴各项工作效果明显。</w:t>
      </w:r>
    </w:p>
    <w:p w14:paraId="2BAEC81E">
      <w:pPr>
        <w:pStyle w:val="4"/>
        <w:snapToGrid w:val="0"/>
        <w:spacing w:line="520" w:lineRule="exact"/>
        <w:ind w:firstLine="640"/>
        <w:rPr>
          <w:rFonts w:hint="eastAsia" w:ascii="黑体" w:hAnsi="黑体" w:eastAsia="黑体" w:cs="黑体"/>
          <w:color w:val="000000"/>
          <w:kern w:val="0"/>
          <w:szCs w:val="32"/>
          <w:shd w:val="clear" w:color="auto" w:fill="FFFFFF"/>
          <w:lang w:bidi="ar"/>
        </w:rPr>
      </w:pPr>
      <w:r>
        <w:rPr>
          <w:rFonts w:hint="eastAsia" w:ascii="黑体" w:hAnsi="黑体" w:eastAsia="黑体" w:cs="黑体"/>
          <w:color w:val="000000"/>
          <w:kern w:val="0"/>
          <w:szCs w:val="32"/>
          <w:shd w:val="clear" w:color="auto" w:fill="FFFFFF"/>
          <w:lang w:bidi="ar"/>
        </w:rPr>
        <w:t>二、绩效评价工作情况</w:t>
      </w:r>
    </w:p>
    <w:p w14:paraId="56D3C6C1">
      <w:pPr>
        <w:snapToGrid w:val="0"/>
        <w:spacing w:line="520" w:lineRule="exact"/>
        <w:ind w:firstLine="468" w:firstLineChars="200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shd w:val="clear" w:color="auto" w:fill="FFFFFF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spacing w:val="-23"/>
          <w:kern w:val="0"/>
          <w:sz w:val="28"/>
          <w:szCs w:val="28"/>
          <w:shd w:val="clear" w:color="auto" w:fill="FFFFFF"/>
          <w:lang w:bidi="ar"/>
        </w:rPr>
        <w:t>（一）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shd w:val="clear" w:color="auto" w:fill="FFFFFF"/>
          <w:lang w:bidi="ar"/>
        </w:rPr>
        <w:t>绩效评价目的</w:t>
      </w:r>
    </w:p>
    <w:p w14:paraId="1DC9F7FD">
      <w:pPr>
        <w:snapToGrid w:val="0"/>
        <w:spacing w:line="520" w:lineRule="exact"/>
        <w:ind w:firstLine="560" w:firstLineChars="200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shd w:val="clear" w:color="auto" w:fill="FFFFFF"/>
          <w:lang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shd w:val="clear" w:color="auto" w:fill="FFFFFF"/>
          <w:lang w:eastAsia="zh-CN" w:bidi="ar"/>
        </w:rPr>
        <w:t>确保沙溪乡人民政府乡村振兴工作的有序开展。</w:t>
      </w:r>
    </w:p>
    <w:p w14:paraId="0AD12EFC">
      <w:pPr>
        <w:numPr>
          <w:ilvl w:val="0"/>
          <w:numId w:val="1"/>
        </w:numPr>
        <w:snapToGrid w:val="0"/>
        <w:spacing w:line="520" w:lineRule="exact"/>
        <w:ind w:firstLine="560" w:firstLineChars="200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shd w:val="clear" w:color="auto" w:fill="FFFFFF"/>
          <w:lang w:bidi="ar"/>
        </w:rPr>
      </w:pPr>
      <w:bookmarkStart w:id="1" w:name="_Toc11844"/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shd w:val="clear" w:color="auto" w:fill="FFFFFF"/>
          <w:lang w:bidi="ar"/>
        </w:rPr>
        <w:t>被评价单位、绩效评价范围与时段</w:t>
      </w:r>
      <w:bookmarkEnd w:id="1"/>
    </w:p>
    <w:p w14:paraId="367C747E">
      <w:pPr>
        <w:numPr>
          <w:ilvl w:val="0"/>
          <w:numId w:val="0"/>
        </w:numPr>
        <w:snapToGrid w:val="0"/>
        <w:spacing w:line="520" w:lineRule="exac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  <w:t xml:space="preserve">      2023年整年度。</w:t>
      </w:r>
    </w:p>
    <w:p w14:paraId="43F80413">
      <w:pPr>
        <w:numPr>
          <w:ilvl w:val="0"/>
          <w:numId w:val="1"/>
        </w:numPr>
        <w:snapToGrid w:val="0"/>
        <w:spacing w:line="520" w:lineRule="exact"/>
        <w:ind w:left="0" w:leftChars="0" w:firstLine="560" w:firstLineChars="200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shd w:val="clear" w:color="auto" w:fill="FFFFFF"/>
          <w:lang w:bidi="ar"/>
        </w:rPr>
      </w:pPr>
      <w:bookmarkStart w:id="2" w:name="_Toc31835"/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shd w:val="clear" w:color="auto" w:fill="FFFFFF"/>
          <w:lang w:bidi="ar"/>
        </w:rPr>
        <w:t>绩效评价原则、评价指标体系、评价方法</w:t>
      </w:r>
      <w:bookmarkEnd w:id="2"/>
    </w:p>
    <w:p w14:paraId="406F4602">
      <w:pPr>
        <w:numPr>
          <w:ilvl w:val="0"/>
          <w:numId w:val="0"/>
        </w:numPr>
        <w:snapToGrid w:val="0"/>
        <w:spacing w:line="520" w:lineRule="exact"/>
        <w:ind w:leftChars="200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  <w:t xml:space="preserve">    相关的绩效考核方法。</w:t>
      </w:r>
    </w:p>
    <w:p w14:paraId="26A18CBD">
      <w:pPr>
        <w:snapToGrid w:val="0"/>
        <w:spacing w:line="520" w:lineRule="exact"/>
        <w:ind w:firstLine="640" w:firstLineChars="200"/>
        <w:outlineLvl w:val="0"/>
        <w:rPr>
          <w:rFonts w:hint="eastAsia" w:ascii="黑体" w:hAnsi="黑体" w:eastAsia="黑体" w:cs="黑体"/>
          <w:color w:val="000000"/>
          <w:kern w:val="0"/>
          <w:sz w:val="32"/>
          <w:szCs w:val="32"/>
          <w:shd w:val="clear" w:color="auto" w:fill="FFFFFF"/>
          <w:lang w:bidi="ar"/>
        </w:rPr>
      </w:pPr>
      <w:bookmarkStart w:id="3" w:name="_Toc32076"/>
      <w:bookmarkStart w:id="4" w:name="_Toc7615"/>
      <w:r>
        <w:rPr>
          <w:rFonts w:hint="eastAsia" w:ascii="黑体" w:hAnsi="黑体" w:eastAsia="黑体" w:cs="黑体"/>
          <w:color w:val="000000"/>
          <w:kern w:val="0"/>
          <w:sz w:val="32"/>
          <w:szCs w:val="32"/>
          <w:shd w:val="clear" w:color="auto" w:fill="FFFFFF"/>
          <w:lang w:bidi="ar"/>
        </w:rPr>
        <w:t>三、主要绩效及评价结论</w:t>
      </w:r>
      <w:bookmarkEnd w:id="3"/>
      <w:bookmarkEnd w:id="4"/>
    </w:p>
    <w:p w14:paraId="4D1B0085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05" w:afterAutospacing="0" w:line="6" w:lineRule="atLeast"/>
        <w:ind w:right="0" w:rightChars="0" w:firstLine="468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pacing w:val="-23"/>
          <w:kern w:val="0"/>
          <w:sz w:val="28"/>
          <w:szCs w:val="28"/>
          <w:shd w:val="clear" w:color="auto" w:fill="FFFFFF"/>
          <w:lang w:bidi="ar"/>
        </w:rPr>
        <w:t>（一）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shd w:val="clear" w:color="auto" w:fill="FFFFFF"/>
          <w:lang w:bidi="ar"/>
        </w:rPr>
        <w:t>社会效益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shd w:val="clear" w:color="auto" w:fill="FFFFFF"/>
          <w:lang w:eastAsia="zh-CN" w:bidi="ar"/>
        </w:rPr>
        <w:t>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完善乡村振兴工作各方面设施，提升群众生活质量。</w:t>
      </w:r>
    </w:p>
    <w:p w14:paraId="285A3F8A">
      <w:pPr>
        <w:snapToGrid w:val="0"/>
        <w:spacing w:line="520" w:lineRule="exact"/>
        <w:ind w:firstLine="468" w:firstLineChars="200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shd w:val="clear" w:color="auto" w:fill="FFFFFF"/>
          <w:lang w:eastAsia="zh-CN" w:bidi="ar"/>
        </w:rPr>
      </w:pPr>
      <w:r>
        <w:rPr>
          <w:rFonts w:hint="eastAsia" w:ascii="仿宋_GB2312" w:hAnsi="仿宋_GB2312" w:eastAsia="仿宋_GB2312" w:cs="仿宋_GB2312"/>
          <w:color w:val="000000"/>
          <w:spacing w:val="-23"/>
          <w:kern w:val="0"/>
          <w:sz w:val="28"/>
          <w:szCs w:val="28"/>
          <w:shd w:val="clear" w:color="auto" w:fill="FFFFFF"/>
          <w:lang w:bidi="ar"/>
        </w:rPr>
        <w:t>（二）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shd w:val="clear" w:color="auto" w:fill="FFFFFF"/>
          <w:lang w:bidi="ar"/>
        </w:rPr>
        <w:t>生态效益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shd w:val="clear" w:color="auto" w:fill="FFFFFF"/>
          <w:lang w:eastAsia="zh-CN" w:bidi="ar"/>
        </w:rPr>
        <w:t>：完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 w:bidi="ar"/>
        </w:rPr>
        <w:t>成生态环境成本节约率。</w:t>
      </w:r>
    </w:p>
    <w:p w14:paraId="0E6B58EC">
      <w:pPr>
        <w:snapToGrid w:val="0"/>
        <w:spacing w:line="520" w:lineRule="exact"/>
        <w:ind w:firstLine="468" w:firstLineChars="200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shd w:val="clear" w:color="auto" w:fill="FFFFFF"/>
          <w:lang w:eastAsia="zh-CN" w:bidi="ar"/>
        </w:rPr>
      </w:pPr>
      <w:r>
        <w:rPr>
          <w:rFonts w:hint="eastAsia" w:ascii="仿宋_GB2312" w:hAnsi="仿宋_GB2312" w:eastAsia="仿宋_GB2312" w:cs="仿宋_GB2312"/>
          <w:color w:val="000000"/>
          <w:spacing w:val="-23"/>
          <w:kern w:val="0"/>
          <w:sz w:val="28"/>
          <w:szCs w:val="28"/>
          <w:shd w:val="clear" w:color="auto" w:fill="FFFFFF"/>
          <w:lang w:bidi="ar"/>
        </w:rPr>
        <w:t>（三）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shd w:val="clear" w:color="auto" w:fill="FFFFFF"/>
          <w:lang w:bidi="ar"/>
        </w:rPr>
        <w:t>可持续影响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shd w:val="clear" w:color="auto" w:fill="FFFFFF"/>
          <w:lang w:eastAsia="zh-CN" w:bidi="ar"/>
        </w:rPr>
        <w:t>：持续推动乡村振兴各项工作有序开展。</w:t>
      </w:r>
    </w:p>
    <w:p w14:paraId="47CCD4BE">
      <w:pPr>
        <w:snapToGrid w:val="0"/>
        <w:spacing w:line="520" w:lineRule="exact"/>
        <w:ind w:firstLine="468" w:firstLineChars="200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shd w:val="clear" w:color="auto" w:fill="FFFFFF"/>
          <w:lang w:eastAsia="zh-CN" w:bidi="ar"/>
        </w:rPr>
      </w:pPr>
      <w:r>
        <w:rPr>
          <w:rFonts w:hint="eastAsia" w:ascii="仿宋_GB2312" w:hAnsi="仿宋_GB2312" w:eastAsia="仿宋_GB2312" w:cs="仿宋_GB2312"/>
          <w:color w:val="000000"/>
          <w:spacing w:val="-23"/>
          <w:kern w:val="0"/>
          <w:sz w:val="28"/>
          <w:szCs w:val="28"/>
          <w:shd w:val="clear" w:color="auto" w:fill="FFFFFF"/>
          <w:lang w:bidi="ar"/>
        </w:rPr>
        <w:t>（四）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shd w:val="clear" w:color="auto" w:fill="FFFFFF"/>
          <w:lang w:bidi="ar"/>
        </w:rPr>
        <w:t>满意度情况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shd w:val="clear" w:color="auto" w:fill="FFFFFF"/>
          <w:lang w:eastAsia="zh-CN" w:bidi="ar"/>
        </w:rPr>
        <w:t>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服务对象满意度达到95%以上。</w:t>
      </w:r>
    </w:p>
    <w:p w14:paraId="45133766">
      <w:pPr>
        <w:snapToGrid w:val="0"/>
        <w:spacing w:line="520" w:lineRule="exact"/>
        <w:ind w:firstLine="468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pacing w:val="-23"/>
          <w:kern w:val="0"/>
          <w:sz w:val="28"/>
          <w:szCs w:val="28"/>
          <w:shd w:val="clear" w:color="auto" w:fill="FFFFFF"/>
          <w:lang w:bidi="ar"/>
        </w:rPr>
        <w:t>（五）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shd w:val="clear" w:color="auto" w:fill="FFFFFF"/>
          <w:lang w:bidi="ar"/>
        </w:rPr>
        <w:t>评价结论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shd w:val="clear" w:color="auto" w:fill="FFFFFF"/>
          <w:lang w:eastAsia="zh-CN" w:bidi="ar"/>
        </w:rPr>
        <w:t>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项目支出绩效自评分为93。</w:t>
      </w:r>
    </w:p>
    <w:p w14:paraId="30AD5894">
      <w:pPr>
        <w:snapToGrid w:val="0"/>
        <w:spacing w:line="520" w:lineRule="exact"/>
        <w:ind w:firstLine="640" w:firstLineChars="200"/>
        <w:outlineLvl w:val="0"/>
        <w:rPr>
          <w:rFonts w:hint="eastAsia" w:ascii="黑体" w:hAnsi="黑体" w:eastAsia="黑体" w:cs="黑体"/>
          <w:color w:val="000000"/>
          <w:kern w:val="0"/>
          <w:sz w:val="32"/>
          <w:szCs w:val="32"/>
          <w:shd w:val="clear" w:color="auto" w:fill="FFFFFF"/>
          <w:lang w:bidi="ar"/>
        </w:rPr>
      </w:pPr>
      <w:bookmarkStart w:id="5" w:name="_Toc16332"/>
      <w:bookmarkStart w:id="6" w:name="_Toc27541"/>
      <w:r>
        <w:rPr>
          <w:rFonts w:hint="eastAsia" w:ascii="黑体" w:hAnsi="黑体" w:eastAsia="黑体" w:cs="黑体"/>
          <w:color w:val="000000"/>
          <w:kern w:val="0"/>
          <w:sz w:val="32"/>
          <w:szCs w:val="32"/>
          <w:shd w:val="clear" w:color="auto" w:fill="FFFFFF"/>
          <w:lang w:bidi="ar"/>
        </w:rPr>
        <w:t>四、绩效评价指标分析</w:t>
      </w:r>
      <w:bookmarkEnd w:id="5"/>
      <w:bookmarkEnd w:id="6"/>
    </w:p>
    <w:p w14:paraId="11DE6C88">
      <w:pPr>
        <w:snapToGrid w:val="0"/>
        <w:spacing w:line="520" w:lineRule="exact"/>
        <w:ind w:firstLine="548" w:firstLineChars="200"/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  <w:shd w:val="clear" w:color="auto" w:fill="FFFFFF"/>
          <w:lang w:bidi="ar"/>
        </w:rPr>
      </w:pPr>
      <w:bookmarkStart w:id="7" w:name="_Toc17679"/>
      <w:r>
        <w:rPr>
          <w:rFonts w:hint="eastAsia" w:ascii="楷体_GB2312" w:hAnsi="楷体_GB2312" w:eastAsia="楷体_GB2312" w:cs="楷体_GB2312"/>
          <w:color w:val="000000"/>
          <w:spacing w:val="-23"/>
          <w:kern w:val="0"/>
          <w:sz w:val="32"/>
          <w:szCs w:val="32"/>
          <w:shd w:val="clear" w:color="auto" w:fill="FFFFFF"/>
          <w:lang w:bidi="ar"/>
        </w:rPr>
        <w:t>（一）</w:t>
      </w: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  <w:shd w:val="clear" w:color="auto" w:fill="FFFFFF"/>
          <w:lang w:bidi="ar"/>
        </w:rPr>
        <w:t>项目决策情况</w:t>
      </w:r>
      <w:bookmarkEnd w:id="7"/>
    </w:p>
    <w:p w14:paraId="38575FBD">
      <w:pPr>
        <w:snapToGrid w:val="0"/>
        <w:spacing w:line="520" w:lineRule="exact"/>
        <w:ind w:firstLine="560" w:firstLineChars="200"/>
        <w:rPr>
          <w:rFonts w:hint="eastAsia" w:ascii="楷体_GB2312" w:hAnsi="楷体_GB2312" w:eastAsia="楷体_GB2312" w:cs="楷体_GB2312"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  <w:t xml:space="preserve"> </w:t>
      </w:r>
      <w:r>
        <w:rPr>
          <w:rFonts w:hint="eastAsia" w:ascii="仿宋_GB2312" w:hAnsi="Calibri" w:eastAsia="仿宋_GB2312" w:cs="仿宋_GB2312"/>
          <w:color w:val="000000"/>
          <w:sz w:val="28"/>
          <w:szCs w:val="28"/>
          <w:shd w:val="clear" w:color="auto" w:fill="FFFFFF"/>
          <w:lang w:eastAsia="zh-CN" w:bidi="ar"/>
        </w:rPr>
        <w:t>确保本乡镇乡村振兴各项工作顺利进行，提高工作质量，</w:t>
      </w:r>
      <w:r>
        <w:rPr>
          <w:rFonts w:hint="eastAsia" w:ascii="仿宋_GB2312" w:hAnsi="Calibri" w:eastAsia="仿宋_GB2312" w:cs="仿宋_GB2312"/>
          <w:color w:val="000000"/>
          <w:sz w:val="28"/>
          <w:szCs w:val="28"/>
          <w:shd w:val="clear" w:color="auto" w:fill="FFFFFF"/>
          <w:lang w:val="en-US" w:eastAsia="zh-CN" w:bidi="ar"/>
        </w:rPr>
        <w:t>推乡村振兴战略设施。</w:t>
      </w:r>
    </w:p>
    <w:p w14:paraId="6A0F92D7">
      <w:pPr>
        <w:snapToGrid w:val="0"/>
        <w:spacing w:line="520" w:lineRule="exact"/>
        <w:ind w:firstLine="548" w:firstLineChars="200"/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  <w:shd w:val="clear" w:color="auto" w:fill="FFFFFF"/>
          <w:lang w:bidi="ar"/>
        </w:rPr>
      </w:pPr>
      <w:bookmarkStart w:id="8" w:name="_Toc28411"/>
      <w:r>
        <w:rPr>
          <w:rFonts w:hint="eastAsia" w:ascii="楷体_GB2312" w:hAnsi="楷体_GB2312" w:eastAsia="楷体_GB2312" w:cs="楷体_GB2312"/>
          <w:color w:val="000000"/>
          <w:spacing w:val="-23"/>
          <w:kern w:val="0"/>
          <w:sz w:val="32"/>
          <w:szCs w:val="32"/>
          <w:shd w:val="clear" w:color="auto" w:fill="FFFFFF"/>
          <w:lang w:bidi="ar"/>
        </w:rPr>
        <w:t>（二）</w:t>
      </w: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  <w:shd w:val="clear" w:color="auto" w:fill="FFFFFF"/>
          <w:lang w:bidi="ar"/>
        </w:rPr>
        <w:t>项目过程情况</w:t>
      </w:r>
      <w:bookmarkEnd w:id="8"/>
    </w:p>
    <w:p w14:paraId="44383268">
      <w:pPr>
        <w:snapToGrid w:val="0"/>
        <w:spacing w:line="520" w:lineRule="exact"/>
        <w:ind w:firstLine="640" w:firstLineChars="200"/>
        <w:outlineLvl w:val="2"/>
        <w:rPr>
          <w:rFonts w:hint="eastAsia" w:ascii="仿宋_GB2312" w:hAnsi="Calibri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</w:pPr>
      <w:bookmarkStart w:id="9" w:name="_Toc10140"/>
      <w:r>
        <w:rPr>
          <w:rFonts w:hint="eastAsia" w:ascii="仿宋_GB2312" w:hAnsi="Calibri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1.资金管理</w:t>
      </w:r>
      <w:bookmarkEnd w:id="9"/>
    </w:p>
    <w:p w14:paraId="3D08A2C4">
      <w:pPr>
        <w:numPr>
          <w:ilvl w:val="0"/>
          <w:numId w:val="0"/>
        </w:numPr>
        <w:ind w:firstLine="560" w:firstLineChars="200"/>
        <w:rPr>
          <w:rFonts w:hint="eastAsia" w:ascii="仿宋_GB2312" w:hAnsi="Times New Roman" w:eastAsia="仿宋_GB2312" w:cs="Times New Roman"/>
          <w:sz w:val="28"/>
          <w:szCs w:val="28"/>
          <w:highlight w:val="none"/>
        </w:rPr>
      </w:pPr>
      <w:r>
        <w:rPr>
          <w:rFonts w:hint="eastAsia" w:ascii="仿宋_GB2312" w:eastAsia="仿宋_GB2312"/>
          <w:sz w:val="28"/>
          <w:szCs w:val="28"/>
        </w:rPr>
        <w:t>在资金管理上，坚持依法管理，坚持以新《预算法</w:t>
      </w:r>
      <w:r>
        <w:rPr>
          <w:rFonts w:hint="eastAsia" w:ascii="仿宋_GB2312" w:eastAsia="仿宋_GB2312"/>
          <w:sz w:val="28"/>
          <w:szCs w:val="28"/>
          <w:lang w:eastAsia="zh-CN"/>
        </w:rPr>
        <w:t>》《会计法》</w:t>
      </w:r>
      <w:r>
        <w:rPr>
          <w:rFonts w:hint="eastAsia" w:ascii="仿宋_GB2312" w:eastAsia="仿宋_GB2312"/>
          <w:sz w:val="28"/>
          <w:szCs w:val="28"/>
        </w:rPr>
        <w:t>为指导，依法完善资金管理的制度体系，用法规制度做好资金管理工作。注重资金时效，结合工作实际，加快资金拨付，盘活资金存量，在时效内迅速落实</w:t>
      </w:r>
      <w:r>
        <w:rPr>
          <w:rFonts w:hint="eastAsia" w:ascii="仿宋_GB2312" w:eastAsia="仿宋_GB2312"/>
          <w:sz w:val="28"/>
          <w:szCs w:val="28"/>
          <w:lang w:eastAsia="zh-CN"/>
        </w:rPr>
        <w:t>到位。</w:t>
      </w:r>
      <w:r>
        <w:rPr>
          <w:rFonts w:hint="eastAsia" w:ascii="仿宋_GB2312" w:hAnsi="Times New Roman" w:eastAsia="仿宋_GB2312" w:cs="Times New Roman"/>
          <w:sz w:val="28"/>
          <w:szCs w:val="28"/>
          <w:highlight w:val="none"/>
        </w:rPr>
        <w:t>根据会同县财务管理相关规定，对</w:t>
      </w:r>
      <w:r>
        <w:rPr>
          <w:rFonts w:hint="eastAsia" w:ascii="仿宋_GB2312" w:hAnsi="Times New Roman" w:eastAsia="仿宋_GB2312" w:cs="Times New Roman"/>
          <w:sz w:val="28"/>
          <w:szCs w:val="28"/>
          <w:highlight w:val="none"/>
          <w:lang w:eastAsia="zh-CN"/>
        </w:rPr>
        <w:t>专项</w:t>
      </w:r>
      <w:r>
        <w:rPr>
          <w:rFonts w:hint="eastAsia" w:ascii="仿宋_GB2312" w:hAnsi="Times New Roman" w:eastAsia="仿宋_GB2312" w:cs="Times New Roman"/>
          <w:sz w:val="28"/>
          <w:szCs w:val="28"/>
          <w:highlight w:val="none"/>
        </w:rPr>
        <w:t>经费做到专款专用，无挤占、挪用等情况。资金及时拨付，做好资金后续监管跟踪，根据会同县财务管理相关规定严格报账程序，做到报账票据齐全，程序到位，对资金使用做好公示公开。</w:t>
      </w:r>
      <w:bookmarkStart w:id="10" w:name="_Toc1210"/>
    </w:p>
    <w:p w14:paraId="5A982274">
      <w:pPr>
        <w:numPr>
          <w:ilvl w:val="0"/>
          <w:numId w:val="0"/>
        </w:numPr>
        <w:ind w:firstLine="640" w:firstLineChars="200"/>
        <w:rPr>
          <w:rFonts w:hint="eastAsia" w:ascii="仿宋_GB2312" w:hAnsi="Calibri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仿宋_GB2312" w:hAnsi="Calibri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 w:bidi="ar"/>
        </w:rPr>
        <w:t>2.</w:t>
      </w:r>
      <w:r>
        <w:rPr>
          <w:rFonts w:hint="eastAsia" w:ascii="仿宋_GB2312" w:hAnsi="Calibri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项目实施</w:t>
      </w:r>
      <w:bookmarkEnd w:id="10"/>
    </w:p>
    <w:p w14:paraId="5634CF45">
      <w:pPr>
        <w:numPr>
          <w:ilvl w:val="0"/>
          <w:numId w:val="0"/>
        </w:numPr>
        <w:ind w:firstLine="560" w:firstLineChars="200"/>
        <w:rPr>
          <w:rFonts w:hint="eastAsia" w:ascii="仿宋_GB2312" w:hAnsi="Calibri" w:eastAsia="仿宋_GB2312" w:cs="仿宋_GB2312"/>
          <w:color w:val="000000"/>
          <w:kern w:val="0"/>
          <w:sz w:val="28"/>
          <w:szCs w:val="28"/>
          <w:shd w:val="clear" w:color="auto" w:fill="FFFFFF"/>
          <w:lang w:bidi="ar"/>
        </w:rPr>
      </w:pPr>
      <w:r>
        <w:rPr>
          <w:rFonts w:hint="eastAsia" w:ascii="仿宋_GB2312" w:eastAsia="仿宋_GB2312"/>
          <w:sz w:val="28"/>
          <w:szCs w:val="28"/>
        </w:rPr>
        <w:t>建立健全了各项规章制度，资金严格的按照新《预算法》《会计法》的要求拨付，不定期接受纪检监察</w:t>
      </w:r>
      <w:r>
        <w:rPr>
          <w:rFonts w:hint="eastAsia" w:ascii="仿宋_GB2312" w:eastAsia="仿宋_GB2312"/>
          <w:sz w:val="28"/>
          <w:szCs w:val="28"/>
          <w:lang w:eastAsia="zh-CN"/>
        </w:rPr>
        <w:t>部</w:t>
      </w:r>
      <w:r>
        <w:rPr>
          <w:rFonts w:hint="eastAsia" w:ascii="仿宋_GB2312" w:eastAsia="仿宋_GB2312"/>
          <w:sz w:val="28"/>
          <w:szCs w:val="28"/>
        </w:rPr>
        <w:t>门的监督与检查，保障资金的使用安全。</w:t>
      </w:r>
    </w:p>
    <w:p w14:paraId="798CF3F5">
      <w:pPr>
        <w:pStyle w:val="4"/>
        <w:snapToGrid w:val="0"/>
        <w:spacing w:line="520" w:lineRule="exact"/>
        <w:ind w:firstLine="548"/>
        <w:outlineLvl w:val="1"/>
        <w:rPr>
          <w:rFonts w:hint="eastAsia" w:ascii="楷体_GB2312" w:hAnsi="楷体_GB2312" w:eastAsia="楷体_GB2312" w:cs="楷体_GB2312"/>
          <w:color w:val="000000"/>
          <w:kern w:val="0"/>
          <w:szCs w:val="32"/>
          <w:shd w:val="clear" w:color="auto" w:fill="FFFFFF"/>
          <w:lang w:bidi="ar"/>
        </w:rPr>
      </w:pPr>
      <w:bookmarkStart w:id="11" w:name="_Toc6604"/>
      <w:r>
        <w:rPr>
          <w:rFonts w:hint="eastAsia" w:ascii="楷体_GB2312" w:hAnsi="楷体_GB2312" w:eastAsia="楷体_GB2312" w:cs="楷体_GB2312"/>
          <w:color w:val="000000"/>
          <w:spacing w:val="-23"/>
          <w:kern w:val="0"/>
          <w:szCs w:val="32"/>
          <w:shd w:val="clear" w:color="auto" w:fill="FFFFFF"/>
          <w:lang w:bidi="ar"/>
        </w:rPr>
        <w:t>（三）</w:t>
      </w:r>
      <w:r>
        <w:rPr>
          <w:rFonts w:hint="eastAsia" w:ascii="楷体_GB2312" w:hAnsi="楷体_GB2312" w:eastAsia="楷体_GB2312" w:cs="楷体_GB2312"/>
          <w:color w:val="000000"/>
          <w:kern w:val="0"/>
          <w:szCs w:val="32"/>
          <w:shd w:val="clear" w:color="auto" w:fill="FFFFFF"/>
          <w:lang w:bidi="ar"/>
        </w:rPr>
        <w:t>项目产出情况</w:t>
      </w:r>
      <w:bookmarkEnd w:id="11"/>
    </w:p>
    <w:p w14:paraId="54C9D8EA">
      <w:pPr>
        <w:pStyle w:val="4"/>
        <w:snapToGrid w:val="0"/>
        <w:spacing w:line="520" w:lineRule="exact"/>
        <w:ind w:firstLine="640"/>
        <w:outlineLvl w:val="2"/>
        <w:rPr>
          <w:rFonts w:hint="default" w:ascii="仿宋_GB2312" w:hAnsi="Calibri" w:eastAsia="仿宋_GB2312" w:cs="仿宋_GB2312"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</w:pPr>
      <w:bookmarkStart w:id="12" w:name="_Toc20742"/>
      <w:r>
        <w:rPr>
          <w:rFonts w:hint="eastAsia" w:ascii="仿宋_GB2312" w:hAnsi="Calibri" w:eastAsia="仿宋_GB2312" w:cs="仿宋_GB2312"/>
          <w:color w:val="000000"/>
          <w:kern w:val="0"/>
          <w:sz w:val="28"/>
          <w:szCs w:val="28"/>
          <w:shd w:val="clear" w:color="auto" w:fill="FFFFFF"/>
          <w:lang w:bidi="ar"/>
        </w:rPr>
        <w:t>1.产出数量</w:t>
      </w:r>
      <w:bookmarkEnd w:id="12"/>
      <w:r>
        <w:rPr>
          <w:rFonts w:hint="eastAsia" w:ascii="仿宋_GB2312" w:hAnsi="Calibri" w:eastAsia="仿宋_GB2312" w:cs="仿宋_GB2312"/>
          <w:color w:val="000000"/>
          <w:kern w:val="0"/>
          <w:sz w:val="28"/>
          <w:szCs w:val="28"/>
          <w:shd w:val="clear" w:color="auto" w:fill="FFFFFF"/>
          <w:lang w:eastAsia="zh-CN" w:bidi="ar"/>
        </w:rPr>
        <w:t>：</w:t>
      </w:r>
      <w:r>
        <w:rPr>
          <w:rFonts w:hint="eastAsia" w:ascii="仿宋_GB2312" w:hAnsi="Calibri" w:eastAsia="仿宋_GB2312" w:cs="仿宋_GB2312"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  <w:t>2023年完成排污渠道1000余米。</w:t>
      </w:r>
    </w:p>
    <w:p w14:paraId="20F891FF">
      <w:pPr>
        <w:pStyle w:val="4"/>
        <w:snapToGrid w:val="0"/>
        <w:spacing w:line="520" w:lineRule="exact"/>
        <w:ind w:firstLine="640"/>
        <w:outlineLvl w:val="2"/>
        <w:rPr>
          <w:rFonts w:hint="eastAsia" w:ascii="仿宋_GB2312" w:hAnsi="Calibri" w:eastAsia="仿宋_GB2312" w:cs="仿宋_GB2312"/>
          <w:color w:val="000000"/>
          <w:kern w:val="0"/>
          <w:sz w:val="28"/>
          <w:szCs w:val="28"/>
          <w:shd w:val="clear" w:color="auto" w:fill="FFFFFF"/>
          <w:lang w:eastAsia="zh-CN" w:bidi="ar"/>
        </w:rPr>
      </w:pPr>
      <w:bookmarkStart w:id="13" w:name="_Toc5372"/>
      <w:r>
        <w:rPr>
          <w:rFonts w:hint="eastAsia" w:ascii="仿宋_GB2312" w:hAnsi="Calibri" w:eastAsia="仿宋_GB2312" w:cs="仿宋_GB2312"/>
          <w:color w:val="000000"/>
          <w:kern w:val="0"/>
          <w:sz w:val="28"/>
          <w:szCs w:val="28"/>
          <w:shd w:val="clear" w:color="auto" w:fill="FFFFFF"/>
          <w:lang w:bidi="ar"/>
        </w:rPr>
        <w:t>2.产出质量</w:t>
      </w:r>
      <w:bookmarkEnd w:id="13"/>
      <w:r>
        <w:rPr>
          <w:rFonts w:hint="eastAsia" w:ascii="仿宋_GB2312" w:hAnsi="Calibri" w:eastAsia="仿宋_GB2312" w:cs="仿宋_GB2312"/>
          <w:color w:val="000000"/>
          <w:kern w:val="0"/>
          <w:sz w:val="28"/>
          <w:szCs w:val="28"/>
          <w:shd w:val="clear" w:color="auto" w:fill="FFFFFF"/>
          <w:lang w:eastAsia="zh-CN" w:bidi="ar"/>
        </w:rPr>
        <w:t>：</w:t>
      </w:r>
      <w:bookmarkStart w:id="14" w:name="_Toc25948"/>
      <w:r>
        <w:rPr>
          <w:rFonts w:hint="eastAsia" w:ascii="仿宋_GB2312" w:hAnsi="Calibri" w:eastAsia="仿宋_GB2312" w:cs="仿宋_GB2312"/>
          <w:color w:val="000000"/>
          <w:sz w:val="28"/>
          <w:szCs w:val="28"/>
          <w:shd w:val="clear" w:color="auto" w:fill="FFFFFF"/>
          <w:lang w:val="en-US" w:eastAsia="zh-CN" w:bidi="ar"/>
        </w:rPr>
        <w:t>圆满完成了各项工作任务。</w:t>
      </w:r>
    </w:p>
    <w:p w14:paraId="3BBF8ABA"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105" w:afterAutospacing="0" w:line="30" w:lineRule="atLeast"/>
        <w:ind w:right="0" w:rightChars="0" w:firstLine="560" w:firstLineChars="200"/>
        <w:rPr>
          <w:rFonts w:hint="eastAsia" w:ascii="仿宋_GB2312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eastAsia" w:ascii="仿宋_GB2312" w:hAnsi="Calibri" w:eastAsia="仿宋_GB2312" w:cs="仿宋_GB2312"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  <w:t>3.产出成本</w:t>
      </w:r>
      <w:bookmarkEnd w:id="14"/>
      <w:r>
        <w:rPr>
          <w:rFonts w:hint="eastAsia" w:ascii="仿宋_GB2312" w:hAnsi="Calibri" w:eastAsia="仿宋_GB2312" w:cs="仿宋_GB2312"/>
          <w:color w:val="000000"/>
          <w:kern w:val="0"/>
          <w:sz w:val="28"/>
          <w:szCs w:val="28"/>
          <w:shd w:val="clear" w:color="auto" w:fill="FFFFFF"/>
          <w:lang w:eastAsia="zh-CN" w:bidi="ar"/>
        </w:rPr>
        <w:t>：</w:t>
      </w:r>
      <w:r>
        <w:rPr>
          <w:rFonts w:hint="eastAsia" w:ascii="仿宋_GB2312" w:hAnsi="Times New Roman" w:eastAsia="仿宋_GB2312" w:cs="Times New Roman"/>
          <w:sz w:val="28"/>
          <w:szCs w:val="28"/>
          <w:lang w:val="en-US" w:eastAsia="zh-CN"/>
        </w:rPr>
        <w:t>项目经费合计4.</w:t>
      </w:r>
      <w:r>
        <w:rPr>
          <w:rFonts w:hint="eastAsia" w:ascii="仿宋_GB2312" w:eastAsia="仿宋_GB2312" w:cs="Times New Roman"/>
          <w:sz w:val="28"/>
          <w:szCs w:val="28"/>
          <w:lang w:val="en-US" w:eastAsia="zh-CN"/>
        </w:rPr>
        <w:t>57</w:t>
      </w:r>
      <w:r>
        <w:rPr>
          <w:rFonts w:hint="eastAsia" w:ascii="仿宋_GB2312" w:hAnsi="Times New Roman" w:eastAsia="仿宋_GB2312" w:cs="Times New Roman"/>
          <w:sz w:val="28"/>
          <w:szCs w:val="28"/>
          <w:lang w:val="en-US" w:eastAsia="zh-CN"/>
        </w:rPr>
        <w:t>万元，没有超出预算范围。</w:t>
      </w:r>
      <w:bookmarkStart w:id="15" w:name="_Toc21477"/>
    </w:p>
    <w:p w14:paraId="47B199D8"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105" w:afterAutospacing="0" w:line="30" w:lineRule="atLeast"/>
        <w:ind w:right="0" w:rightChars="0" w:firstLine="560" w:firstLineChars="200"/>
        <w:rPr>
          <w:rFonts w:hint="eastAsia" w:ascii="仿宋_GB2312" w:hAnsi="Times New Roman" w:eastAsia="仿宋_GB2312" w:cs="Times New Roman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Calibri" w:eastAsia="仿宋_GB2312" w:cs="仿宋_GB2312"/>
          <w:color w:val="000000"/>
          <w:kern w:val="0"/>
          <w:sz w:val="28"/>
          <w:szCs w:val="28"/>
          <w:shd w:val="clear" w:color="auto" w:fill="FFFFFF"/>
          <w:lang w:bidi="ar"/>
        </w:rPr>
        <w:t>4.产出时效</w:t>
      </w:r>
      <w:bookmarkEnd w:id="15"/>
      <w:r>
        <w:rPr>
          <w:rFonts w:hint="eastAsia" w:ascii="仿宋_GB2312" w:hAnsi="Calibri" w:eastAsia="仿宋_GB2312" w:cs="仿宋_GB2312"/>
          <w:color w:val="000000"/>
          <w:kern w:val="0"/>
          <w:sz w:val="28"/>
          <w:szCs w:val="28"/>
          <w:shd w:val="clear" w:color="auto" w:fill="FFFFFF"/>
          <w:lang w:eastAsia="zh-CN" w:bidi="ar"/>
        </w:rPr>
        <w:t>：</w:t>
      </w:r>
      <w:r>
        <w:rPr>
          <w:rFonts w:hint="eastAsia" w:ascii="仿宋_GB2312" w:hAnsi="Times New Roman" w:eastAsia="仿宋_GB2312" w:cs="Times New Roman"/>
          <w:kern w:val="0"/>
          <w:sz w:val="28"/>
          <w:szCs w:val="28"/>
          <w:lang w:val="en-US" w:eastAsia="zh-CN" w:bidi="ar"/>
        </w:rPr>
        <w:t>2023年12月已完成各项工作任务，任务及时率100%。</w:t>
      </w:r>
    </w:p>
    <w:p w14:paraId="32742F07">
      <w:pPr>
        <w:pStyle w:val="4"/>
        <w:snapToGrid w:val="0"/>
        <w:spacing w:line="520" w:lineRule="exact"/>
        <w:ind w:firstLine="548"/>
        <w:outlineLvl w:val="1"/>
        <w:rPr>
          <w:rFonts w:hint="eastAsia" w:ascii="楷体_GB2312" w:hAnsi="楷体_GB2312" w:eastAsia="楷体_GB2312" w:cs="楷体_GB2312"/>
          <w:color w:val="000000"/>
          <w:kern w:val="0"/>
          <w:szCs w:val="32"/>
          <w:shd w:val="clear" w:color="auto" w:fill="FFFFFF"/>
          <w:lang w:bidi="ar"/>
        </w:rPr>
      </w:pPr>
      <w:bookmarkStart w:id="16" w:name="_Toc3072"/>
      <w:bookmarkStart w:id="17" w:name="_Toc12690"/>
      <w:r>
        <w:rPr>
          <w:rFonts w:hint="eastAsia" w:ascii="楷体_GB2312" w:hAnsi="楷体_GB2312" w:eastAsia="楷体_GB2312" w:cs="楷体_GB2312"/>
          <w:color w:val="000000"/>
          <w:spacing w:val="-23"/>
          <w:kern w:val="0"/>
          <w:szCs w:val="32"/>
          <w:shd w:val="clear" w:color="auto" w:fill="FFFFFF"/>
          <w:lang w:bidi="ar"/>
        </w:rPr>
        <w:t>(四)</w:t>
      </w:r>
      <w:r>
        <w:rPr>
          <w:rFonts w:hint="eastAsia" w:ascii="楷体_GB2312" w:hAnsi="楷体_GB2312" w:eastAsia="楷体_GB2312" w:cs="楷体_GB2312"/>
          <w:color w:val="000000"/>
          <w:kern w:val="0"/>
          <w:szCs w:val="32"/>
          <w:shd w:val="clear" w:color="auto" w:fill="FFFFFF"/>
          <w:lang w:bidi="ar"/>
        </w:rPr>
        <w:t>项目效益情况</w:t>
      </w:r>
      <w:bookmarkEnd w:id="16"/>
      <w:bookmarkEnd w:id="17"/>
    </w:p>
    <w:p w14:paraId="70225FD2">
      <w:pPr>
        <w:pStyle w:val="4"/>
        <w:snapToGrid w:val="0"/>
        <w:spacing w:line="520" w:lineRule="exact"/>
        <w:ind w:firstLine="640"/>
        <w:outlineLvl w:val="2"/>
        <w:rPr>
          <w:rFonts w:hint="eastAsia" w:ascii="仿宋_GB2312" w:hAnsi="Times New Roman" w:eastAsia="仿宋_GB2312" w:cs="Times New Roman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Times New Roman" w:eastAsia="仿宋_GB2312" w:cs="Times New Roman"/>
          <w:kern w:val="0"/>
          <w:sz w:val="28"/>
          <w:szCs w:val="28"/>
          <w:lang w:val="en-US" w:eastAsia="zh-CN" w:bidi="ar"/>
        </w:rPr>
        <w:t>沙溪乡人民政府</w:t>
      </w:r>
      <w:r>
        <w:rPr>
          <w:rFonts w:hint="eastAsia" w:ascii="仿宋_GB2312" w:eastAsia="仿宋_GB2312" w:cs="Times New Roman"/>
          <w:kern w:val="0"/>
          <w:sz w:val="28"/>
          <w:szCs w:val="28"/>
          <w:lang w:val="en-US" w:eastAsia="zh-CN" w:bidi="ar"/>
        </w:rPr>
        <w:t>乡村振兴</w:t>
      </w:r>
      <w:r>
        <w:rPr>
          <w:rFonts w:hint="eastAsia" w:ascii="仿宋_GB2312" w:hAnsi="Times New Roman" w:eastAsia="仿宋_GB2312" w:cs="Times New Roman"/>
          <w:kern w:val="0"/>
          <w:sz w:val="28"/>
          <w:szCs w:val="28"/>
          <w:lang w:val="en-US" w:eastAsia="zh-CN" w:bidi="ar"/>
        </w:rPr>
        <w:t>工作取得良好成绩。</w:t>
      </w:r>
    </w:p>
    <w:p w14:paraId="51D8EDC6">
      <w:pPr>
        <w:snapToGrid w:val="0"/>
        <w:spacing w:line="520" w:lineRule="exact"/>
        <w:ind w:firstLine="640" w:firstLineChars="200"/>
        <w:outlineLvl w:val="0"/>
        <w:rPr>
          <w:rFonts w:hint="eastAsia" w:ascii="黑体" w:hAnsi="黑体" w:eastAsia="黑体" w:cs="黑体"/>
          <w:color w:val="000000"/>
          <w:kern w:val="0"/>
          <w:sz w:val="32"/>
          <w:szCs w:val="32"/>
          <w:shd w:val="clear" w:color="auto" w:fill="FFFFFF"/>
          <w:lang w:bidi="ar"/>
        </w:rPr>
      </w:pPr>
      <w:bookmarkStart w:id="18" w:name="_Toc390096931"/>
      <w:bookmarkStart w:id="19" w:name="_Toc390267055"/>
      <w:bookmarkStart w:id="20" w:name="_Toc12414"/>
      <w:bookmarkStart w:id="21" w:name="_Toc24241"/>
      <w:r>
        <w:rPr>
          <w:rFonts w:hint="eastAsia" w:ascii="黑体" w:hAnsi="黑体" w:eastAsia="黑体" w:cs="黑体"/>
          <w:color w:val="000000"/>
          <w:kern w:val="0"/>
          <w:sz w:val="32"/>
          <w:szCs w:val="32"/>
          <w:shd w:val="clear" w:color="auto" w:fill="FFFFFF"/>
          <w:lang w:bidi="ar"/>
        </w:rPr>
        <w:t>五、项目主要经验、存在的问题</w:t>
      </w:r>
      <w:bookmarkEnd w:id="18"/>
      <w:bookmarkEnd w:id="19"/>
      <w:r>
        <w:rPr>
          <w:rFonts w:hint="eastAsia" w:ascii="黑体" w:hAnsi="黑体" w:eastAsia="黑体" w:cs="黑体"/>
          <w:color w:val="000000"/>
          <w:kern w:val="0"/>
          <w:sz w:val="32"/>
          <w:szCs w:val="32"/>
          <w:shd w:val="clear" w:color="auto" w:fill="FFFFFF"/>
          <w:lang w:bidi="ar"/>
        </w:rPr>
        <w:t>及建议</w:t>
      </w:r>
      <w:bookmarkEnd w:id="20"/>
      <w:bookmarkEnd w:id="21"/>
    </w:p>
    <w:p w14:paraId="1DD4C2AA">
      <w:pPr>
        <w:snapToGrid w:val="0"/>
        <w:spacing w:line="520" w:lineRule="exact"/>
        <w:ind w:firstLine="548" w:firstLineChars="200"/>
        <w:outlineLvl w:val="1"/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  <w:shd w:val="clear" w:color="auto" w:fill="FFFFFF"/>
          <w:lang w:bidi="ar"/>
        </w:rPr>
      </w:pPr>
      <w:bookmarkStart w:id="22" w:name="_Toc23434"/>
      <w:bookmarkStart w:id="23" w:name="_Toc5316"/>
      <w:r>
        <w:rPr>
          <w:rFonts w:hint="eastAsia" w:ascii="楷体_GB2312" w:hAnsi="楷体_GB2312" w:eastAsia="楷体_GB2312" w:cs="楷体_GB2312"/>
          <w:color w:val="000000"/>
          <w:spacing w:val="-23"/>
          <w:kern w:val="0"/>
          <w:sz w:val="32"/>
          <w:szCs w:val="32"/>
          <w:shd w:val="clear" w:color="auto" w:fill="FFFFFF"/>
          <w:lang w:bidi="ar"/>
        </w:rPr>
        <w:t>（一）</w:t>
      </w: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  <w:shd w:val="clear" w:color="auto" w:fill="FFFFFF"/>
          <w:lang w:bidi="ar"/>
        </w:rPr>
        <w:t>项目主要经验</w:t>
      </w:r>
      <w:bookmarkEnd w:id="22"/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  <w:shd w:val="clear" w:color="auto" w:fill="FFFFFF"/>
          <w:lang w:bidi="ar"/>
        </w:rPr>
        <w:t>及做法</w:t>
      </w:r>
      <w:bookmarkEnd w:id="23"/>
    </w:p>
    <w:p w14:paraId="6E81DB04">
      <w:pPr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明确管理责任、明确支出用途,为</w:t>
      </w:r>
      <w:r>
        <w:rPr>
          <w:rFonts w:hint="eastAsia" w:ascii="仿宋_GB2312" w:eastAsia="仿宋_GB2312"/>
          <w:sz w:val="28"/>
          <w:szCs w:val="28"/>
          <w:lang w:eastAsia="zh-CN"/>
        </w:rPr>
        <w:t>基层各项</w:t>
      </w:r>
      <w:r>
        <w:rPr>
          <w:rFonts w:hint="eastAsia" w:ascii="仿宋_GB2312" w:eastAsia="仿宋_GB2312"/>
          <w:sz w:val="28"/>
          <w:szCs w:val="28"/>
        </w:rPr>
        <w:t>工作提供强大动力。</w:t>
      </w:r>
      <w:bookmarkStart w:id="24" w:name="_Toc2597"/>
      <w:bookmarkStart w:id="25" w:name="_Toc6772"/>
    </w:p>
    <w:p w14:paraId="3037937E">
      <w:pPr>
        <w:snapToGrid w:val="0"/>
        <w:spacing w:line="520" w:lineRule="exact"/>
        <w:ind w:firstLine="548" w:firstLineChars="200"/>
        <w:outlineLvl w:val="1"/>
        <w:rPr>
          <w:rFonts w:hint="eastAsia" w:ascii="楷体_GB2312" w:hAnsi="楷体_GB2312" w:eastAsia="楷体_GB2312" w:cs="楷体_GB2312"/>
          <w:color w:val="000000"/>
          <w:spacing w:val="-23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楷体_GB2312" w:hAnsi="楷体_GB2312" w:eastAsia="楷体_GB2312" w:cs="楷体_GB2312"/>
          <w:color w:val="000000"/>
          <w:spacing w:val="-23"/>
          <w:kern w:val="0"/>
          <w:sz w:val="32"/>
          <w:szCs w:val="32"/>
          <w:shd w:val="clear" w:color="auto" w:fill="FFFFFF"/>
          <w:lang w:eastAsia="zh-CN" w:bidi="ar"/>
        </w:rPr>
        <w:t>（二）</w:t>
      </w:r>
      <w:r>
        <w:rPr>
          <w:rFonts w:hint="eastAsia" w:ascii="楷体_GB2312" w:hAnsi="楷体_GB2312" w:eastAsia="楷体_GB2312" w:cs="楷体_GB2312"/>
          <w:color w:val="000000"/>
          <w:spacing w:val="-23"/>
          <w:kern w:val="0"/>
          <w:sz w:val="32"/>
          <w:szCs w:val="32"/>
          <w:shd w:val="clear" w:color="auto" w:fill="FFFFFF"/>
          <w:lang w:bidi="ar"/>
        </w:rPr>
        <w:t>存在的问题</w:t>
      </w:r>
      <w:bookmarkEnd w:id="24"/>
      <w:bookmarkEnd w:id="25"/>
    </w:p>
    <w:p w14:paraId="269ADA53">
      <w:pPr>
        <w:numPr>
          <w:ilvl w:val="0"/>
          <w:numId w:val="0"/>
        </w:numPr>
        <w:snapToGrid w:val="0"/>
        <w:spacing w:line="520" w:lineRule="exact"/>
        <w:outlineLvl w:val="1"/>
        <w:rPr>
          <w:rFonts w:hint="default" w:ascii="楷体_GB2312" w:hAnsi="楷体_GB2312" w:eastAsia="楷体_GB2312" w:cs="楷体_GB2312"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  <w:shd w:val="clear" w:color="auto" w:fill="FFFFFF"/>
          <w:lang w:val="en-US" w:eastAsia="zh-CN" w:bidi="ar"/>
        </w:rPr>
        <w:t xml:space="preserve">    </w:t>
      </w:r>
      <w:r>
        <w:rPr>
          <w:rFonts w:hint="eastAsia" w:ascii="仿宋_GB2312" w:eastAsia="仿宋_GB2312"/>
          <w:sz w:val="28"/>
          <w:szCs w:val="28"/>
        </w:rPr>
        <w:t>基层</w:t>
      </w:r>
      <w:r>
        <w:rPr>
          <w:rFonts w:hint="eastAsia" w:ascii="仿宋_GB2312" w:eastAsia="仿宋_GB2312"/>
          <w:sz w:val="28"/>
          <w:szCs w:val="28"/>
          <w:lang w:eastAsia="zh-CN"/>
        </w:rPr>
        <w:t>工作人员缺乏系统性的知识体系</w:t>
      </w:r>
      <w:r>
        <w:rPr>
          <w:rFonts w:hint="eastAsia" w:ascii="仿宋_GB2312" w:eastAsia="仿宋_GB2312"/>
          <w:sz w:val="28"/>
          <w:szCs w:val="28"/>
        </w:rPr>
        <w:t>。</w:t>
      </w:r>
    </w:p>
    <w:p w14:paraId="4CC7C889">
      <w:pPr>
        <w:snapToGrid w:val="0"/>
        <w:spacing w:line="520" w:lineRule="exact"/>
        <w:ind w:firstLine="548" w:firstLineChars="200"/>
        <w:outlineLvl w:val="1"/>
        <w:rPr>
          <w:rFonts w:hint="eastAsia" w:ascii="楷体_GB2312" w:hAnsi="楷体_GB2312" w:eastAsia="楷体_GB2312" w:cs="楷体_GB2312"/>
          <w:color w:val="000000"/>
          <w:sz w:val="32"/>
          <w:szCs w:val="32"/>
        </w:rPr>
      </w:pPr>
      <w:bookmarkStart w:id="26" w:name="_Toc29278"/>
      <w:bookmarkStart w:id="27" w:name="_Toc16271"/>
      <w:r>
        <w:rPr>
          <w:rFonts w:hint="eastAsia" w:ascii="楷体_GB2312" w:hAnsi="楷体_GB2312" w:eastAsia="楷体_GB2312" w:cs="楷体_GB2312"/>
          <w:color w:val="000000"/>
          <w:spacing w:val="-23"/>
          <w:kern w:val="0"/>
          <w:sz w:val="32"/>
          <w:szCs w:val="32"/>
          <w:shd w:val="clear" w:color="auto" w:fill="FFFFFF"/>
          <w:lang w:bidi="ar"/>
        </w:rPr>
        <w:t>（三）</w:t>
      </w: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  <w:shd w:val="clear" w:color="auto" w:fill="FFFFFF"/>
          <w:lang w:bidi="ar"/>
        </w:rPr>
        <w:t>有关建议</w:t>
      </w:r>
      <w:bookmarkEnd w:id="26"/>
      <w:bookmarkEnd w:id="27"/>
    </w:p>
    <w:p w14:paraId="69EC9AD8">
      <w:pPr>
        <w:pStyle w:val="3"/>
        <w:widowControl/>
        <w:shd w:val="clear" w:color="auto" w:fill="FFFFFF"/>
        <w:spacing w:before="0" w:beforeAutospacing="0" w:after="0" w:afterAutospacing="0" w:line="480" w:lineRule="atLeast"/>
        <w:ind w:firstLine="560" w:firstLineChars="200"/>
        <w:rPr>
          <w:rFonts w:hint="eastAsia" w:ascii="仿宋_GB2312" w:eastAsia="仿宋_GB2312" w:cs="仿宋_GB2312"/>
          <w:color w:val="000000"/>
          <w:sz w:val="28"/>
          <w:szCs w:val="28"/>
          <w:shd w:val="clear" w:color="auto" w:fill="FFFFFF"/>
        </w:rPr>
      </w:pPr>
      <w:r>
        <w:rPr>
          <w:rFonts w:hint="eastAsia" w:ascii="仿宋_GB2312" w:eastAsia="仿宋_GB2312"/>
          <w:sz w:val="28"/>
          <w:szCs w:val="28"/>
        </w:rPr>
        <w:t>加强对基层</w:t>
      </w:r>
      <w:r>
        <w:rPr>
          <w:rFonts w:hint="eastAsia" w:ascii="仿宋_GB2312" w:eastAsia="仿宋_GB2312"/>
          <w:sz w:val="28"/>
          <w:szCs w:val="28"/>
          <w:lang w:eastAsia="zh-CN"/>
        </w:rPr>
        <w:t>工作人员</w:t>
      </w:r>
      <w:r>
        <w:rPr>
          <w:rFonts w:hint="eastAsia" w:ascii="仿宋_GB2312" w:eastAsia="仿宋_GB2312"/>
          <w:sz w:val="28"/>
          <w:szCs w:val="28"/>
        </w:rPr>
        <w:t>知识的培训，提高业务水平。</w:t>
      </w:r>
    </w:p>
    <w:p w14:paraId="13C6F1BA">
      <w:pPr>
        <w:pStyle w:val="3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 w:eastAsia="仿宋_GB2312" w:cs="仿宋_GB2312"/>
          <w:color w:val="000000"/>
          <w:sz w:val="28"/>
          <w:szCs w:val="28"/>
          <w:shd w:val="clear" w:color="auto" w:fill="FFFFFF"/>
          <w:lang w:eastAsia="zh-CN"/>
        </w:rPr>
      </w:pPr>
    </w:p>
    <w:p w14:paraId="04FC74C7">
      <w:pPr>
        <w:pStyle w:val="3"/>
        <w:widowControl/>
        <w:shd w:val="clear" w:color="auto" w:fill="FFFFFF"/>
        <w:spacing w:before="0" w:beforeAutospacing="0" w:after="0" w:afterAutospacing="0" w:line="480" w:lineRule="exact"/>
        <w:jc w:val="right"/>
        <w:rPr>
          <w:rFonts w:hint="eastAsia" w:ascii="仿宋_GB2312" w:hAnsi="仿宋_GB2312" w:eastAsia="仿宋_GB2312" w:cs="仿宋_GB2312"/>
          <w:color w:val="000000"/>
          <w:sz w:val="28"/>
          <w:szCs w:val="28"/>
          <w:shd w:val="clear" w:color="auto" w:fill="FFFFFF"/>
          <w:lang w:eastAsia="zh-CN"/>
        </w:rPr>
      </w:pPr>
    </w:p>
    <w:p w14:paraId="464626BB">
      <w:pPr>
        <w:pStyle w:val="3"/>
        <w:widowControl/>
        <w:shd w:val="clear" w:color="auto" w:fill="FFFFFF"/>
        <w:spacing w:before="0" w:beforeAutospacing="0" w:after="0" w:afterAutospacing="0" w:line="480" w:lineRule="exact"/>
        <w:jc w:val="right"/>
        <w:rPr>
          <w:rFonts w:hint="eastAsia" w:ascii="仿宋_GB2312" w:hAnsi="仿宋_GB2312" w:eastAsia="仿宋_GB2312" w:cs="仿宋_GB2312"/>
          <w:color w:val="000000"/>
          <w:sz w:val="28"/>
          <w:szCs w:val="28"/>
          <w:shd w:val="clear" w:color="auto" w:fill="FFFFFF"/>
          <w:lang w:eastAsia="zh-CN"/>
        </w:rPr>
      </w:pPr>
    </w:p>
    <w:p w14:paraId="3E4B19A7">
      <w:pPr>
        <w:pStyle w:val="3"/>
        <w:widowControl/>
        <w:shd w:val="clear" w:color="auto" w:fill="FFFFFF"/>
        <w:spacing w:before="0" w:beforeAutospacing="0" w:after="0" w:afterAutospacing="0" w:line="480" w:lineRule="exact"/>
        <w:jc w:val="right"/>
        <w:rPr>
          <w:rFonts w:hint="eastAsia" w:ascii="仿宋_GB2312" w:hAnsi="仿宋_GB2312" w:eastAsia="仿宋_GB2312" w:cs="仿宋_GB2312"/>
          <w:color w:val="000000"/>
          <w:sz w:val="28"/>
          <w:szCs w:val="28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shd w:val="clear" w:color="auto" w:fill="FFFFFF"/>
          <w:lang w:eastAsia="zh-CN"/>
        </w:rPr>
        <w:t>会同县沙溪乡人民政府</w:t>
      </w:r>
    </w:p>
    <w:p w14:paraId="00AC82A0">
      <w:pPr>
        <w:pStyle w:val="3"/>
        <w:widowControl/>
        <w:shd w:val="clear" w:color="auto" w:fill="FFFFFF"/>
        <w:spacing w:before="0" w:beforeAutospacing="0" w:after="0" w:afterAutospacing="0" w:line="480" w:lineRule="exact"/>
        <w:jc w:val="right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shd w:val="clear" w:color="auto" w:fill="FFFFFF"/>
          <w:lang w:val="en-US" w:eastAsia="zh-CN"/>
        </w:rPr>
        <w:t>2024年8月29日</w:t>
      </w:r>
    </w:p>
    <w:p w14:paraId="0C0EF1B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809C2E"/>
    <w:multiLevelType w:val="singleLevel"/>
    <w:tmpl w:val="A9809C2E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kwNmMxYzZlMjJlZGE1M2NmNjQwZTJmYmFjNzY2NGQifQ=="/>
  </w:docVars>
  <w:rsids>
    <w:rsidRoot w:val="73F17F8E"/>
    <w:rsid w:val="1D69056E"/>
    <w:rsid w:val="73F17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nhideWhenUsed/>
    <w:qFormat/>
    <w:uiPriority w:val="0"/>
    <w:pPr>
      <w:spacing w:beforeLines="0" w:afterLines="0"/>
      <w:ind w:firstLine="640" w:firstLineChars="200"/>
    </w:pPr>
    <w:rPr>
      <w:rFonts w:hint="default"/>
      <w:sz w:val="32"/>
    </w:r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">
    <w:name w:val="Body Text First Indent 2"/>
    <w:basedOn w:val="2"/>
    <w:unhideWhenUsed/>
    <w:qFormat/>
    <w:uiPriority w:val="99"/>
    <w:pPr>
      <w:spacing w:beforeLines="0" w:afterLines="0"/>
      <w:ind w:firstLine="420"/>
    </w:pPr>
    <w:rPr>
      <w:rFonts w:hint="default"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1167</Words>
  <Characters>1220</Characters>
  <Lines>0</Lines>
  <Paragraphs>0</Paragraphs>
  <TotalTime>12</TotalTime>
  <ScaleCrop>false</ScaleCrop>
  <LinksUpToDate>false</LinksUpToDate>
  <CharactersWithSpaces>1239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2024-08-29T00:30:00Z</dcterms:created>
  <dc:creator>Administrator</dc:creator>
  <cp:lastModifiedBy>Administrator</cp:lastModifiedBy>
  <cp:lastPrinted>2024-08-29T01:26:04Z</cp:lastPrinted>
  <dcterms:modified xsi:type="dcterms:W3CDTF">2024-08-29T01:26:06Z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294C3C15DB9B42BBA1BC71C3FD52F358_12</vt:lpwstr>
  </property>
</Properties>
</file>