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ED0B65">
      <w:pPr>
        <w:pStyle w:val="10"/>
        <w:widowControl/>
        <w:shd w:val="clear" w:color="auto" w:fill="FFFFFF"/>
        <w:snapToGrid w:val="0"/>
        <w:spacing w:before="0" w:beforeAutospacing="0" w:after="0" w:afterAutospacing="0" w:line="520" w:lineRule="exact"/>
        <w:jc w:val="center"/>
        <w:rPr>
          <w:rFonts w:hint="eastAsia" w:ascii="方正小标宋_GBK" w:hAnsi="方正小标宋_GBK" w:eastAsia="方正小标宋_GBK" w:cs="方正小标宋_GBK"/>
          <w:color w:val="000000"/>
          <w:sz w:val="44"/>
          <w:szCs w:val="44"/>
          <w:shd w:val="clear" w:color="auto" w:fill="FFFFFF"/>
        </w:rPr>
      </w:pPr>
      <w:r>
        <w:rPr>
          <w:rFonts w:hint="eastAsia" w:ascii="方正小标宋_GBK" w:hAnsi="方正小标宋_GBK" w:eastAsia="方正小标宋_GBK" w:cs="方正小标宋_GBK"/>
          <w:color w:val="000000"/>
          <w:sz w:val="44"/>
          <w:szCs w:val="44"/>
          <w:shd w:val="clear" w:color="auto" w:fill="FFFFFF"/>
        </w:rPr>
        <w:t>2023年度金竹镇部门整体支出</w:t>
      </w:r>
    </w:p>
    <w:p w14:paraId="3B1E2A0B">
      <w:pPr>
        <w:pStyle w:val="10"/>
        <w:widowControl/>
        <w:shd w:val="clear" w:color="auto" w:fill="FFFFFF"/>
        <w:snapToGrid w:val="0"/>
        <w:spacing w:before="0" w:beforeAutospacing="0" w:after="0" w:afterAutospacing="0" w:line="520" w:lineRule="exact"/>
        <w:jc w:val="center"/>
        <w:rPr>
          <w:rFonts w:hint="eastAsia" w:ascii="方正小标宋_GBK" w:hAnsi="方正小标宋_GBK" w:eastAsia="方正小标宋_GBK" w:cs="方正小标宋_GBK"/>
          <w:color w:val="000000"/>
          <w:sz w:val="44"/>
          <w:szCs w:val="44"/>
          <w:shd w:val="clear" w:color="auto" w:fill="FFFFFF"/>
        </w:rPr>
      </w:pPr>
      <w:r>
        <w:rPr>
          <w:rFonts w:hint="eastAsia" w:ascii="方正小标宋_GBK" w:hAnsi="方正小标宋_GBK" w:eastAsia="方正小标宋_GBK" w:cs="方正小标宋_GBK"/>
          <w:color w:val="000000"/>
          <w:sz w:val="44"/>
          <w:szCs w:val="44"/>
          <w:shd w:val="clear" w:color="auto" w:fill="FFFFFF"/>
        </w:rPr>
        <w:t>绩效自评报告</w:t>
      </w:r>
    </w:p>
    <w:p w14:paraId="0F3FC4D6">
      <w:pPr>
        <w:pStyle w:val="10"/>
        <w:widowControl/>
        <w:shd w:val="clear" w:color="auto" w:fill="FFFFFF"/>
        <w:snapToGrid w:val="0"/>
        <w:spacing w:before="0" w:beforeAutospacing="0" w:after="0" w:afterAutospacing="0" w:line="520" w:lineRule="exact"/>
        <w:jc w:val="center"/>
        <w:rPr>
          <w:rFonts w:ascii="仿宋_GB2312" w:eastAsia="仿宋_GB2312" w:cs="仿宋_GB2312"/>
          <w:color w:val="000000"/>
        </w:rPr>
      </w:pPr>
    </w:p>
    <w:p w14:paraId="1C6EFB3E">
      <w:pPr>
        <w:pStyle w:val="10"/>
        <w:widowControl/>
        <w:shd w:val="clear" w:color="auto" w:fill="FFFFFF"/>
        <w:snapToGrid w:val="0"/>
        <w:spacing w:before="0" w:beforeAutospacing="0" w:after="0" w:afterAutospacing="0" w:line="52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shd w:val="clear" w:color="auto" w:fill="FFFFFF"/>
        </w:rPr>
        <w:t>一、部门、单位基本情况</w:t>
      </w:r>
    </w:p>
    <w:p w14:paraId="68A94786">
      <w:pPr>
        <w:pStyle w:val="10"/>
        <w:widowControl/>
        <w:shd w:val="clear" w:color="auto" w:fill="FFFFFF"/>
        <w:snapToGrid w:val="0"/>
        <w:spacing w:before="0" w:beforeAutospacing="0" w:after="0" w:afterAutospacing="0" w:line="520" w:lineRule="exact"/>
        <w:ind w:firstLine="548" w:firstLineChars="200"/>
        <w:rPr>
          <w:rFonts w:ascii="楷体_GB2312" w:eastAsia="楷体_GB2312" w:cs="楷体_GB2312"/>
          <w:color w:val="000000"/>
          <w:sz w:val="32"/>
          <w:szCs w:val="32"/>
          <w:shd w:val="clear" w:color="auto" w:fill="FFFFFF"/>
        </w:rPr>
      </w:pPr>
      <w:r>
        <w:rPr>
          <w:rFonts w:ascii="楷体_GB2312" w:eastAsia="楷体_GB2312" w:cs="楷体_GB2312"/>
          <w:color w:val="000000"/>
          <w:spacing w:val="-23"/>
          <w:sz w:val="32"/>
          <w:szCs w:val="32"/>
          <w:shd w:val="clear" w:color="auto" w:fill="FFFFFF"/>
        </w:rPr>
        <w:t>（一）</w:t>
      </w:r>
      <w:r>
        <w:rPr>
          <w:rFonts w:ascii="楷体_GB2312" w:eastAsia="楷体_GB2312" w:cs="楷体_GB2312"/>
          <w:color w:val="000000"/>
          <w:sz w:val="32"/>
          <w:szCs w:val="32"/>
          <w:shd w:val="clear" w:color="auto" w:fill="FFFFFF"/>
        </w:rPr>
        <w:t>机构设置情况</w:t>
      </w:r>
    </w:p>
    <w:p w14:paraId="4129BCE4">
      <w:pPr>
        <w:widowControl/>
        <w:spacing w:line="600" w:lineRule="exact"/>
        <w:ind w:firstLine="640" w:firstLineChars="200"/>
      </w:pPr>
      <w:r>
        <w:rPr>
          <w:rFonts w:ascii="仿宋_GB2312" w:eastAsia="仿宋_GB2312" w:cs="仿宋_GB2312"/>
          <w:color w:val="000000"/>
          <w:kern w:val="0"/>
          <w:sz w:val="32"/>
          <w:szCs w:val="32"/>
          <w:shd w:val="clear" w:color="auto" w:fill="FFFFFF"/>
          <w:lang w:bidi="ar"/>
        </w:rPr>
        <w:t>金竹镇人民政府内设机构包括：党政办、党建办、经济发展办、社会事务办、自然资源和村镇建设办、社会治安和应急管理办、农业综合服务中心、政务和社会事务综合服务中心、生态环境事务中心，退役军人服务站、综合行政执法大队11个职能科室</w:t>
      </w:r>
      <w:r>
        <w:rPr>
          <w:rFonts w:hint="eastAsia" w:ascii="仿宋_GB2312" w:eastAsia="仿宋_GB2312" w:cs="仿宋_GB2312"/>
          <w:color w:val="000000"/>
          <w:kern w:val="0"/>
          <w:sz w:val="32"/>
          <w:szCs w:val="32"/>
          <w:shd w:val="clear" w:color="auto" w:fill="FFFFFF"/>
          <w:lang w:bidi="ar"/>
        </w:rPr>
        <w:t>。</w:t>
      </w:r>
    </w:p>
    <w:p w14:paraId="79404F2A">
      <w:pPr>
        <w:pStyle w:val="10"/>
        <w:widowControl/>
        <w:numPr>
          <w:ilvl w:val="0"/>
          <w:numId w:val="1"/>
        </w:numPr>
        <w:shd w:val="clear" w:color="auto" w:fill="FFFFFF"/>
        <w:snapToGrid w:val="0"/>
        <w:spacing w:before="0" w:beforeAutospacing="0" w:after="0" w:afterAutospacing="0" w:line="520" w:lineRule="exact"/>
        <w:ind w:firstLine="640" w:firstLineChars="200"/>
        <w:rPr>
          <w:rFonts w:ascii="楷体_GB2312" w:eastAsia="楷体_GB2312" w:cs="楷体_GB2312"/>
          <w:color w:val="000000"/>
          <w:sz w:val="32"/>
          <w:szCs w:val="32"/>
          <w:shd w:val="clear" w:color="auto" w:fill="FFFFFF"/>
        </w:rPr>
      </w:pPr>
      <w:r>
        <w:rPr>
          <w:rFonts w:ascii="楷体_GB2312" w:eastAsia="楷体_GB2312" w:cs="楷体_GB2312"/>
          <w:color w:val="000000"/>
          <w:sz w:val="32"/>
          <w:szCs w:val="32"/>
          <w:shd w:val="clear" w:color="auto" w:fill="FFFFFF"/>
        </w:rPr>
        <w:t>人员编制情况</w:t>
      </w:r>
    </w:p>
    <w:p w14:paraId="332A0461">
      <w:pPr>
        <w:widowControl/>
        <w:spacing w:line="600" w:lineRule="exact"/>
        <w:ind w:firstLine="640" w:firstLineChars="200"/>
        <w:rPr>
          <w:rFonts w:ascii="仿宋_GB2312" w:eastAsia="仿宋_GB2312" w:cs="仿宋_GB2312"/>
          <w:color w:val="000000"/>
          <w:kern w:val="0"/>
          <w:sz w:val="32"/>
          <w:szCs w:val="32"/>
          <w:shd w:val="clear" w:color="auto" w:fill="FFFFFF"/>
          <w:lang w:bidi="ar"/>
        </w:rPr>
      </w:pPr>
      <w:r>
        <w:rPr>
          <w:rFonts w:hint="eastAsia" w:ascii="仿宋_GB2312" w:eastAsia="仿宋_GB2312" w:cs="仿宋_GB2312"/>
          <w:color w:val="000000"/>
          <w:kern w:val="0"/>
          <w:sz w:val="32"/>
          <w:szCs w:val="32"/>
          <w:shd w:val="clear" w:color="auto" w:fill="FFFFFF"/>
          <w:lang w:bidi="ar"/>
        </w:rPr>
        <w:t>金竹镇人民政府2023年底人员构成情况为：行政人员28人，参照公务员法管理事业人员2人，事业单位人员33人，其他人员28人,其中“三支一扶”人员2人。</w:t>
      </w:r>
    </w:p>
    <w:p w14:paraId="6DF6DC78">
      <w:pPr>
        <w:pStyle w:val="10"/>
        <w:widowControl/>
        <w:numPr>
          <w:ilvl w:val="0"/>
          <w:numId w:val="1"/>
        </w:numPr>
        <w:shd w:val="clear" w:color="auto" w:fill="FFFFFF"/>
        <w:snapToGrid w:val="0"/>
        <w:spacing w:before="0" w:beforeAutospacing="0" w:after="0" w:afterAutospacing="0" w:line="520" w:lineRule="exact"/>
        <w:ind w:firstLine="640" w:firstLineChars="200"/>
        <w:rPr>
          <w:rFonts w:ascii="楷体_GB2312" w:eastAsia="楷体_GB2312" w:cs="楷体_GB2312"/>
          <w:color w:val="000000"/>
          <w:sz w:val="32"/>
          <w:szCs w:val="32"/>
          <w:shd w:val="clear" w:color="auto" w:fill="FFFFFF"/>
        </w:rPr>
      </w:pPr>
      <w:r>
        <w:rPr>
          <w:rFonts w:ascii="楷体_GB2312" w:eastAsia="楷体_GB2312" w:cs="楷体_GB2312"/>
          <w:color w:val="000000"/>
          <w:sz w:val="32"/>
          <w:szCs w:val="32"/>
          <w:shd w:val="clear" w:color="auto" w:fill="FFFFFF"/>
        </w:rPr>
        <w:t>主要职能职责</w:t>
      </w:r>
    </w:p>
    <w:p w14:paraId="3274E2A1">
      <w:pPr>
        <w:widowControl/>
        <w:spacing w:line="600" w:lineRule="exact"/>
        <w:ind w:left="420" w:leftChars="200" w:firstLine="640" w:firstLineChars="200"/>
        <w:rPr>
          <w:rFonts w:ascii="仿宋_GB2312" w:eastAsia="仿宋_GB2312" w:cs="仿宋_GB2312"/>
          <w:color w:val="000000"/>
          <w:kern w:val="0"/>
          <w:sz w:val="32"/>
          <w:szCs w:val="32"/>
          <w:shd w:val="clear" w:color="auto" w:fill="FFFFFF"/>
          <w:lang w:bidi="ar"/>
        </w:rPr>
      </w:pPr>
      <w:r>
        <w:rPr>
          <w:rFonts w:hint="eastAsia" w:ascii="仿宋_GB2312" w:eastAsia="仿宋_GB2312" w:cs="仿宋_GB2312"/>
          <w:color w:val="000000"/>
          <w:kern w:val="0"/>
          <w:sz w:val="32"/>
          <w:szCs w:val="32"/>
          <w:shd w:val="clear" w:color="auto" w:fill="FFFFFF"/>
          <w:lang w:bidi="ar"/>
        </w:rPr>
        <w:t>1.</w:t>
      </w:r>
      <w:r>
        <w:rPr>
          <w:rFonts w:ascii="仿宋_GB2312" w:eastAsia="仿宋_GB2312" w:cs="仿宋_GB2312"/>
          <w:color w:val="000000"/>
          <w:kern w:val="0"/>
          <w:sz w:val="32"/>
          <w:szCs w:val="32"/>
          <w:shd w:val="clear" w:color="auto" w:fill="FFFFFF"/>
          <w:lang w:bidi="ar"/>
        </w:rPr>
        <w:t>执行上级国家行政机关的决定、命令和国家制定的法令、法规，接受上级党委的领导，执行本级人民代表大会的各项决议，并报告执行决议、决定和命令的情况。</w:t>
      </w:r>
    </w:p>
    <w:p w14:paraId="4926F7DB">
      <w:pPr>
        <w:widowControl/>
        <w:spacing w:line="600" w:lineRule="exact"/>
        <w:ind w:left="420" w:leftChars="200" w:firstLine="640" w:firstLineChars="200"/>
        <w:rPr>
          <w:rFonts w:ascii="仿宋_GB2312" w:eastAsia="仿宋_GB2312" w:cs="仿宋_GB2312"/>
          <w:color w:val="000000"/>
          <w:kern w:val="0"/>
          <w:sz w:val="32"/>
          <w:szCs w:val="32"/>
          <w:shd w:val="clear" w:color="auto" w:fill="FFFFFF"/>
          <w:lang w:bidi="ar"/>
        </w:rPr>
      </w:pPr>
      <w:r>
        <w:rPr>
          <w:rFonts w:hint="eastAsia" w:ascii="仿宋_GB2312" w:eastAsia="仿宋_GB2312" w:cs="仿宋_GB2312"/>
          <w:color w:val="000000"/>
          <w:kern w:val="0"/>
          <w:sz w:val="32"/>
          <w:szCs w:val="32"/>
          <w:shd w:val="clear" w:color="auto" w:fill="FFFFFF"/>
          <w:lang w:bidi="ar"/>
        </w:rPr>
        <w:t>2.</w:t>
      </w:r>
      <w:r>
        <w:rPr>
          <w:rFonts w:ascii="仿宋_GB2312" w:eastAsia="仿宋_GB2312" w:cs="仿宋_GB2312"/>
          <w:color w:val="000000"/>
          <w:kern w:val="0"/>
          <w:sz w:val="32"/>
          <w:szCs w:val="32"/>
          <w:shd w:val="clear" w:color="auto" w:fill="FFFFFF"/>
          <w:lang w:bidi="ar"/>
        </w:rPr>
        <w:t>制定并落实本行政区域的经济计划和措施，促进产业结构调整及其他经济保持平衡协调发展，全面提高人民群众的生活水平和生活质量。</w:t>
      </w:r>
    </w:p>
    <w:p w14:paraId="76FF5D54">
      <w:pPr>
        <w:widowControl/>
        <w:spacing w:line="600" w:lineRule="exact"/>
        <w:ind w:left="420" w:leftChars="200" w:firstLine="640" w:firstLineChars="200"/>
        <w:rPr>
          <w:rFonts w:ascii="仿宋_GB2312" w:eastAsia="仿宋_GB2312" w:cs="仿宋_GB2312"/>
          <w:color w:val="000000"/>
          <w:kern w:val="0"/>
          <w:sz w:val="32"/>
          <w:szCs w:val="32"/>
          <w:shd w:val="clear" w:color="auto" w:fill="FFFFFF"/>
          <w:lang w:bidi="ar"/>
        </w:rPr>
      </w:pPr>
      <w:r>
        <w:rPr>
          <w:rFonts w:hint="eastAsia" w:ascii="仿宋_GB2312" w:eastAsia="仿宋_GB2312" w:cs="仿宋_GB2312"/>
          <w:color w:val="000000"/>
          <w:kern w:val="0"/>
          <w:sz w:val="32"/>
          <w:szCs w:val="32"/>
          <w:shd w:val="clear" w:color="auto" w:fill="FFFFFF"/>
          <w:lang w:bidi="ar"/>
        </w:rPr>
        <w:t>3.</w:t>
      </w:r>
      <w:r>
        <w:rPr>
          <w:rFonts w:ascii="仿宋_GB2312" w:eastAsia="仿宋_GB2312" w:cs="仿宋_GB2312"/>
          <w:color w:val="000000"/>
          <w:kern w:val="0"/>
          <w:sz w:val="32"/>
          <w:szCs w:val="32"/>
          <w:shd w:val="clear" w:color="auto" w:fill="FFFFFF"/>
          <w:lang w:bidi="ar"/>
        </w:rPr>
        <w:t>承担国有资产、集体资产管理、监督及增值保值责任;保护公民私人所有合法财产，保障集体经济组织应有的自主权;监督企业和各种经济联合体、个体户认真执行国家的法律、法令和政策，履行经济合同。</w:t>
      </w:r>
    </w:p>
    <w:p w14:paraId="3DAC5860">
      <w:pPr>
        <w:widowControl/>
        <w:spacing w:line="600" w:lineRule="exact"/>
        <w:ind w:left="420" w:leftChars="200" w:firstLine="640" w:firstLineChars="200"/>
        <w:rPr>
          <w:rFonts w:ascii="仿宋_GB2312" w:eastAsia="仿宋_GB2312" w:cs="仿宋_GB2312"/>
          <w:color w:val="000000"/>
          <w:kern w:val="0"/>
          <w:sz w:val="32"/>
          <w:szCs w:val="32"/>
          <w:shd w:val="clear" w:color="auto" w:fill="FFFFFF"/>
          <w:lang w:bidi="ar"/>
        </w:rPr>
      </w:pPr>
      <w:r>
        <w:rPr>
          <w:rFonts w:hint="eastAsia" w:ascii="仿宋_GB2312" w:eastAsia="仿宋_GB2312" w:cs="仿宋_GB2312"/>
          <w:color w:val="000000"/>
          <w:kern w:val="0"/>
          <w:sz w:val="32"/>
          <w:szCs w:val="32"/>
          <w:shd w:val="clear" w:color="auto" w:fill="FFFFFF"/>
          <w:lang w:bidi="ar"/>
        </w:rPr>
        <w:t>4.</w:t>
      </w:r>
      <w:r>
        <w:rPr>
          <w:rFonts w:ascii="仿宋_GB2312" w:eastAsia="仿宋_GB2312" w:cs="仿宋_GB2312"/>
          <w:color w:val="000000"/>
          <w:kern w:val="0"/>
          <w:sz w:val="32"/>
          <w:szCs w:val="32"/>
          <w:shd w:val="clear" w:color="auto" w:fill="FFFFFF"/>
          <w:lang w:bidi="ar"/>
        </w:rPr>
        <w:t>开展社会主义民主和法制的宣传教育，保障公民的权利;制定社会治安综合治理工作规划并组织实施;加强村(居)管理工作，依法管理外来流动人口，处理人民来信来访，调解民间纠纷，打击违法犯罪，维护社会稳定。</w:t>
      </w:r>
    </w:p>
    <w:p w14:paraId="17C73444">
      <w:pPr>
        <w:widowControl/>
        <w:spacing w:line="600" w:lineRule="exact"/>
        <w:ind w:left="420" w:leftChars="200" w:firstLine="640" w:firstLineChars="200"/>
        <w:rPr>
          <w:rFonts w:ascii="仿宋_GB2312" w:eastAsia="仿宋_GB2312" w:cs="仿宋_GB2312"/>
          <w:color w:val="000000"/>
          <w:kern w:val="0"/>
          <w:sz w:val="32"/>
          <w:szCs w:val="32"/>
          <w:shd w:val="clear" w:color="auto" w:fill="FFFFFF"/>
          <w:lang w:bidi="ar"/>
        </w:rPr>
      </w:pPr>
      <w:r>
        <w:rPr>
          <w:rFonts w:hint="eastAsia" w:ascii="仿宋_GB2312" w:eastAsia="仿宋_GB2312" w:cs="仿宋_GB2312"/>
          <w:color w:val="000000"/>
          <w:kern w:val="0"/>
          <w:sz w:val="32"/>
          <w:szCs w:val="32"/>
          <w:shd w:val="clear" w:color="auto" w:fill="FFFFFF"/>
          <w:lang w:bidi="ar"/>
        </w:rPr>
        <w:t>5.</w:t>
      </w:r>
      <w:r>
        <w:rPr>
          <w:rFonts w:ascii="仿宋_GB2312" w:eastAsia="仿宋_GB2312" w:cs="仿宋_GB2312"/>
          <w:color w:val="000000"/>
          <w:kern w:val="0"/>
          <w:sz w:val="32"/>
          <w:szCs w:val="32"/>
          <w:shd w:val="clear" w:color="auto" w:fill="FFFFFF"/>
          <w:lang w:bidi="ar"/>
        </w:rPr>
        <w:t>制定社会各项事业发展计划，发展教育、卫生、科技、民政、广播电视、文化、体育事业;组织实施义务教育和其他各类教育;加强计划生育工作;推进社会保障、社会福利事业和养老保险工作;做好劳动管理、科普、老龄及宗教、侨务等工作。</w:t>
      </w:r>
    </w:p>
    <w:p w14:paraId="502CE2ED">
      <w:pPr>
        <w:widowControl/>
        <w:spacing w:line="600" w:lineRule="exact"/>
        <w:ind w:left="420" w:leftChars="200" w:firstLine="640" w:firstLineChars="200"/>
        <w:rPr>
          <w:rFonts w:ascii="仿宋_GB2312" w:eastAsia="仿宋_GB2312" w:cs="仿宋_GB2312"/>
          <w:color w:val="000000"/>
          <w:kern w:val="0"/>
          <w:sz w:val="32"/>
          <w:szCs w:val="32"/>
          <w:shd w:val="clear" w:color="auto" w:fill="FFFFFF"/>
          <w:lang w:bidi="ar"/>
        </w:rPr>
      </w:pPr>
      <w:r>
        <w:rPr>
          <w:rFonts w:hint="eastAsia" w:ascii="仿宋_GB2312" w:eastAsia="仿宋_GB2312" w:cs="仿宋_GB2312"/>
          <w:color w:val="000000"/>
          <w:kern w:val="0"/>
          <w:sz w:val="32"/>
          <w:szCs w:val="32"/>
          <w:shd w:val="clear" w:color="auto" w:fill="FFFFFF"/>
          <w:lang w:bidi="ar"/>
        </w:rPr>
        <w:t>6.</w:t>
      </w:r>
      <w:r>
        <w:rPr>
          <w:rFonts w:ascii="仿宋_GB2312" w:eastAsia="仿宋_GB2312" w:cs="仿宋_GB2312"/>
          <w:color w:val="000000"/>
          <w:kern w:val="0"/>
          <w:sz w:val="32"/>
          <w:szCs w:val="32"/>
          <w:shd w:val="clear" w:color="auto" w:fill="FFFFFF"/>
          <w:lang w:bidi="ar"/>
        </w:rPr>
        <w:t>加强乡级财政的监督和管理，按计划组织、管理镇财政收入和支出，执行国家有关财经纪律和政策，保证国家财政收入的完成，做好统计工作。</w:t>
      </w:r>
    </w:p>
    <w:p w14:paraId="614B59F5">
      <w:pPr>
        <w:widowControl/>
        <w:spacing w:line="600" w:lineRule="exact"/>
        <w:ind w:left="420" w:leftChars="200" w:firstLine="640" w:firstLineChars="200"/>
        <w:rPr>
          <w:rFonts w:ascii="仿宋_GB2312" w:eastAsia="仿宋_GB2312" w:cs="仿宋_GB2312"/>
          <w:color w:val="000000"/>
          <w:kern w:val="0"/>
          <w:sz w:val="32"/>
          <w:szCs w:val="32"/>
          <w:shd w:val="clear" w:color="auto" w:fill="FFFFFF"/>
          <w:lang w:bidi="ar"/>
        </w:rPr>
      </w:pPr>
      <w:r>
        <w:rPr>
          <w:rFonts w:hint="eastAsia" w:ascii="仿宋_GB2312" w:eastAsia="仿宋_GB2312" w:cs="仿宋_GB2312"/>
          <w:color w:val="000000"/>
          <w:kern w:val="0"/>
          <w:sz w:val="32"/>
          <w:szCs w:val="32"/>
          <w:shd w:val="clear" w:color="auto" w:fill="FFFFFF"/>
          <w:lang w:bidi="ar"/>
        </w:rPr>
        <w:t>7.</w:t>
      </w:r>
      <w:r>
        <w:rPr>
          <w:rFonts w:ascii="仿宋_GB2312" w:eastAsia="仿宋_GB2312" w:cs="仿宋_GB2312"/>
          <w:color w:val="000000"/>
          <w:kern w:val="0"/>
          <w:sz w:val="32"/>
          <w:szCs w:val="32"/>
          <w:shd w:val="clear" w:color="auto" w:fill="FFFFFF"/>
          <w:lang w:bidi="ar"/>
        </w:rPr>
        <w:t>制定和组织实施镇村建设规划，加强公用、市政设施、水利建设和管理以及房屋土地管理和环境综合整治工作，保护和改善生活环境和生态环境。</w:t>
      </w:r>
    </w:p>
    <w:p w14:paraId="22C6ECE3">
      <w:pPr>
        <w:widowControl/>
        <w:spacing w:line="600" w:lineRule="exact"/>
        <w:ind w:left="420" w:leftChars="200" w:firstLine="640" w:firstLineChars="200"/>
        <w:rPr>
          <w:rFonts w:ascii="仿宋_GB2312" w:eastAsia="仿宋_GB2312" w:cs="仿宋_GB2312"/>
          <w:color w:val="000000"/>
          <w:kern w:val="0"/>
          <w:sz w:val="32"/>
          <w:szCs w:val="32"/>
          <w:shd w:val="clear" w:color="auto" w:fill="FFFFFF"/>
          <w:lang w:bidi="ar"/>
        </w:rPr>
      </w:pPr>
      <w:r>
        <w:rPr>
          <w:rFonts w:hint="eastAsia" w:ascii="仿宋_GB2312" w:eastAsia="仿宋_GB2312" w:cs="仿宋_GB2312"/>
          <w:color w:val="000000"/>
          <w:kern w:val="0"/>
          <w:sz w:val="32"/>
          <w:szCs w:val="32"/>
          <w:shd w:val="clear" w:color="auto" w:fill="FFFFFF"/>
          <w:lang w:bidi="ar"/>
        </w:rPr>
        <w:t>9.</w:t>
      </w:r>
      <w:r>
        <w:rPr>
          <w:rFonts w:ascii="仿宋_GB2312" w:eastAsia="仿宋_GB2312" w:cs="仿宋_GB2312"/>
          <w:color w:val="000000"/>
          <w:kern w:val="0"/>
          <w:sz w:val="32"/>
          <w:szCs w:val="32"/>
          <w:shd w:val="clear" w:color="auto" w:fill="FFFFFF"/>
          <w:lang w:bidi="ar"/>
        </w:rPr>
        <w:t>协助和支持设置在本行政区域内不隶属于镇的国家机关和企事业单位工作，监督其遵守和执行国家的法律、法规和政策。</w:t>
      </w:r>
    </w:p>
    <w:p w14:paraId="447A94FC">
      <w:pPr>
        <w:widowControl/>
        <w:spacing w:line="600" w:lineRule="exact"/>
        <w:ind w:left="420" w:leftChars="200" w:firstLine="640" w:firstLineChars="200"/>
        <w:rPr>
          <w:rFonts w:ascii="仿宋_GB2312" w:eastAsia="仿宋_GB2312" w:cs="仿宋_GB2312"/>
          <w:color w:val="000000"/>
          <w:kern w:val="0"/>
          <w:sz w:val="32"/>
          <w:szCs w:val="32"/>
          <w:shd w:val="clear" w:color="auto" w:fill="FFFFFF"/>
          <w:lang w:bidi="ar"/>
        </w:rPr>
      </w:pPr>
      <w:r>
        <w:rPr>
          <w:rFonts w:hint="eastAsia" w:ascii="仿宋_GB2312" w:eastAsia="仿宋_GB2312" w:cs="仿宋_GB2312"/>
          <w:color w:val="000000"/>
          <w:kern w:val="0"/>
          <w:sz w:val="32"/>
          <w:szCs w:val="32"/>
          <w:shd w:val="clear" w:color="auto" w:fill="FFFFFF"/>
          <w:lang w:bidi="ar"/>
        </w:rPr>
        <w:t>10.</w:t>
      </w:r>
      <w:r>
        <w:rPr>
          <w:rFonts w:ascii="仿宋_GB2312" w:eastAsia="仿宋_GB2312" w:cs="仿宋_GB2312"/>
          <w:color w:val="000000"/>
          <w:kern w:val="0"/>
          <w:sz w:val="32"/>
          <w:szCs w:val="32"/>
          <w:shd w:val="clear" w:color="auto" w:fill="FFFFFF"/>
          <w:lang w:bidi="ar"/>
        </w:rPr>
        <w:t>承办县人民政府交办的其他事项</w:t>
      </w:r>
      <w:r>
        <w:rPr>
          <w:rFonts w:ascii="楷体_GB2312" w:eastAsia="楷体_GB2312" w:cs="楷体_GB2312"/>
          <w:color w:val="000000"/>
          <w:sz w:val="32"/>
          <w:szCs w:val="32"/>
          <w:shd w:val="clear" w:color="auto" w:fill="FFFFFF"/>
        </w:rPr>
        <w:t>。</w:t>
      </w:r>
    </w:p>
    <w:p w14:paraId="2DB25D31">
      <w:pPr>
        <w:pStyle w:val="10"/>
        <w:widowControl/>
        <w:shd w:val="clear" w:color="auto" w:fill="FFFFFF"/>
        <w:snapToGrid w:val="0"/>
        <w:spacing w:before="0" w:beforeAutospacing="0" w:after="0" w:afterAutospacing="0" w:line="520" w:lineRule="exact"/>
        <w:ind w:firstLine="548" w:firstLineChars="200"/>
        <w:rPr>
          <w:rFonts w:ascii="楷体_GB2312" w:eastAsia="楷体_GB2312" w:cs="楷体_GB2312"/>
          <w:color w:val="000000"/>
          <w:sz w:val="32"/>
          <w:szCs w:val="32"/>
          <w:shd w:val="clear" w:color="auto" w:fill="FFFFFF"/>
        </w:rPr>
      </w:pPr>
      <w:r>
        <w:rPr>
          <w:rFonts w:ascii="楷体_GB2312" w:eastAsia="楷体_GB2312" w:cs="楷体_GB2312"/>
          <w:color w:val="000000"/>
          <w:spacing w:val="-23"/>
          <w:sz w:val="32"/>
          <w:szCs w:val="32"/>
          <w:shd w:val="clear" w:color="auto" w:fill="FFFFFF"/>
        </w:rPr>
        <w:t>（四）</w:t>
      </w:r>
      <w:r>
        <w:rPr>
          <w:rFonts w:ascii="楷体_GB2312" w:eastAsia="楷体_GB2312" w:cs="楷体_GB2312"/>
          <w:color w:val="000000"/>
          <w:sz w:val="32"/>
          <w:szCs w:val="32"/>
          <w:shd w:val="clear" w:color="auto" w:fill="FFFFFF"/>
        </w:rPr>
        <w:t>绩效目标设定情况</w:t>
      </w:r>
    </w:p>
    <w:p w14:paraId="1C56ADCE">
      <w:pPr>
        <w:snapToGrid w:val="0"/>
        <w:spacing w:line="5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我镇在编制2023年年初预算时，对单位整体资金及项目资金设定了相关绩效目标：</w:t>
      </w:r>
    </w:p>
    <w:p w14:paraId="2905DAF9">
      <w:pPr>
        <w:pStyle w:val="3"/>
        <w:rPr>
          <w:rFonts w:ascii="仿宋_GB2312" w:eastAsia="仿宋_GB2312"/>
          <w:color w:val="000000"/>
          <w:szCs w:val="32"/>
        </w:rPr>
      </w:pPr>
      <w:r>
        <w:rPr>
          <w:rFonts w:hint="eastAsia" w:ascii="仿宋_GB2312" w:eastAsia="仿宋_GB2312"/>
          <w:color w:val="000000"/>
          <w:szCs w:val="32"/>
        </w:rPr>
        <w:t>对年初预算整体资金944.55万元，设定了整体绩效目标：（1）制定和组织实施经济、科技和社会发展计划，制定资源开发技术改造和产业结构调整方案，组织指导好各业生产，组织经济运行，促进经济发展。（2）制定并组织实施村镇建设规划，部署重点工程建设，地方道路建设及公共设施，水利设施的管理，负责土地、林木、水等自然资源和生态环境的保护，做好护林防火工作。（3）负责本行政区域内的民政、计划生育、文化教育、卫生、体育等社会公益事业的综合性工作，维护一切经济单位和个人的正当经济权益，取缔非法经济活动，调解和处理民事纠纷，打击刑事犯罪维护社会稳定。（4）按计划组织本级财政收入，完成国家财政计划，不断培植税源，管好财政资金，增强财政实力。（5）抓好精神文明建设，丰富群众文化生活，提倡移风易俗，反对封建迷信，破除陈规陋习，树立社会主义新风尚。</w:t>
      </w:r>
    </w:p>
    <w:p w14:paraId="464C91AA">
      <w:pPr>
        <w:pStyle w:val="3"/>
        <w:rPr>
          <w:rFonts w:ascii="仿宋_GB2312" w:eastAsia="仿宋_GB2312"/>
          <w:color w:val="000000"/>
          <w:szCs w:val="32"/>
        </w:rPr>
      </w:pPr>
      <w:r>
        <w:rPr>
          <w:rFonts w:hint="eastAsia" w:ascii="仿宋_GB2312" w:eastAsia="仿宋_GB2312"/>
          <w:color w:val="000000"/>
          <w:szCs w:val="32"/>
        </w:rPr>
        <w:t>对公共安全支出、农林水支出、社会保障和就业支出、卫生健康支出合计84.27万元，均设定了项目绩效目标：（1）公共安全支出：做好年度综治维稳、优化营商环境工作、防范和打击非法集资等工作。（2）农林水支出：做好年度森林防火、防汛抗旱、耕地抛荒治理等工作。（3）社会保障和就业支出：做好年度两保征缴、就业培训等工作。（4）卫生健康支出：做好年度卫生健康保障工作。</w:t>
      </w:r>
    </w:p>
    <w:p w14:paraId="613EF0BA">
      <w:pPr>
        <w:snapToGrid w:val="0"/>
        <w:spacing w:line="520" w:lineRule="exact"/>
        <w:ind w:firstLine="640" w:firstLineChars="200"/>
        <w:rPr>
          <w:rFonts w:hint="eastAsia" w:ascii="黑体" w:hAnsi="黑体" w:eastAsia="黑体" w:cs="黑体"/>
          <w:color w:val="000000"/>
          <w:kern w:val="0"/>
          <w:sz w:val="32"/>
          <w:szCs w:val="32"/>
          <w:shd w:val="clear" w:color="auto" w:fill="FFFFFF"/>
          <w:lang w:bidi="ar"/>
        </w:rPr>
      </w:pPr>
      <w:r>
        <w:rPr>
          <w:rFonts w:hint="eastAsia" w:ascii="黑体" w:hAnsi="黑体" w:eastAsia="黑体" w:cs="黑体"/>
          <w:color w:val="000000"/>
          <w:kern w:val="0"/>
          <w:sz w:val="32"/>
          <w:szCs w:val="32"/>
          <w:shd w:val="clear" w:color="auto" w:fill="FFFFFF"/>
          <w:lang w:bidi="ar"/>
        </w:rPr>
        <w:t>二、部门整体支出管理及使用情况</w:t>
      </w:r>
    </w:p>
    <w:p w14:paraId="46A5EF2E">
      <w:pPr>
        <w:pStyle w:val="10"/>
        <w:widowControl/>
        <w:shd w:val="clear" w:color="auto" w:fill="FFFFFF"/>
        <w:snapToGrid w:val="0"/>
        <w:spacing w:before="0" w:beforeAutospacing="0" w:after="0" w:afterAutospacing="0" w:line="520" w:lineRule="exact"/>
        <w:ind w:firstLine="548" w:firstLineChars="200"/>
        <w:rPr>
          <w:rFonts w:ascii="楷体_GB2312" w:eastAsia="楷体_GB2312" w:cs="楷体_GB2312"/>
          <w:color w:val="000000"/>
          <w:sz w:val="32"/>
          <w:szCs w:val="32"/>
          <w:shd w:val="clear" w:color="auto" w:fill="FFFFFF"/>
        </w:rPr>
      </w:pPr>
      <w:r>
        <w:rPr>
          <w:rFonts w:ascii="楷体_GB2312" w:eastAsia="楷体_GB2312" w:cs="楷体_GB2312"/>
          <w:color w:val="000000"/>
          <w:spacing w:val="-23"/>
          <w:sz w:val="32"/>
          <w:szCs w:val="32"/>
          <w:shd w:val="clear" w:color="auto" w:fill="FFFFFF"/>
        </w:rPr>
        <w:t>（一）</w:t>
      </w:r>
      <w:r>
        <w:rPr>
          <w:rFonts w:hint="eastAsia" w:ascii="楷体_GB2312" w:eastAsia="楷体_GB2312" w:cs="楷体_GB2312"/>
          <w:color w:val="000000"/>
          <w:sz w:val="32"/>
          <w:szCs w:val="32"/>
          <w:shd w:val="clear" w:color="auto" w:fill="FFFFFF"/>
        </w:rPr>
        <w:t>预算执行、使用、管理总体情况。</w:t>
      </w:r>
    </w:p>
    <w:p w14:paraId="531B4564">
      <w:pPr>
        <w:pStyle w:val="10"/>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sz w:val="32"/>
          <w:szCs w:val="32"/>
          <w:shd w:val="clear" w:color="auto" w:fill="FFFFFF"/>
        </w:rPr>
      </w:pPr>
      <w:r>
        <w:rPr>
          <w:rFonts w:hint="eastAsia" w:ascii="仿宋_GB2312" w:eastAsia="仿宋_GB2312" w:cs="仿宋_GB2312"/>
          <w:color w:val="000000"/>
          <w:sz w:val="32"/>
          <w:szCs w:val="32"/>
          <w:shd w:val="clear" w:color="auto" w:fill="FFFFFF"/>
        </w:rPr>
        <w:t>金竹镇2023年年初预算944.55万元，全年预算1366.62万元,预算执行1366.62万元,预算执行率为100%。</w:t>
      </w:r>
    </w:p>
    <w:p w14:paraId="7AC5E15F">
      <w:pPr>
        <w:pStyle w:val="10"/>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sz w:val="32"/>
          <w:szCs w:val="32"/>
          <w:shd w:val="clear" w:color="auto" w:fill="FFFFFF"/>
        </w:rPr>
      </w:pPr>
      <w:r>
        <w:rPr>
          <w:rFonts w:hint="eastAsia" w:ascii="仿宋_GB2312" w:eastAsia="仿宋_GB2312" w:cs="仿宋_GB2312"/>
          <w:color w:val="000000"/>
          <w:sz w:val="32"/>
          <w:szCs w:val="32"/>
          <w:shd w:val="clear" w:color="auto" w:fill="FFFFFF"/>
        </w:rPr>
        <w:t>2023年年初预算收入944.55万元,全为一般公共预算拨款收入。全年调整预算数1366.62万元,其中：一般公共预算财政经费拨款收入1324.36万元,其他收入42.26万元.</w:t>
      </w:r>
    </w:p>
    <w:p w14:paraId="3FE1EF50">
      <w:pPr>
        <w:pStyle w:val="10"/>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sz w:val="32"/>
          <w:szCs w:val="32"/>
          <w:shd w:val="clear" w:color="auto" w:fill="FFFFFF"/>
        </w:rPr>
      </w:pPr>
      <w:r>
        <w:rPr>
          <w:rFonts w:hint="eastAsia" w:ascii="仿宋_GB2312" w:eastAsia="仿宋_GB2312" w:cs="仿宋_GB2312"/>
          <w:color w:val="000000"/>
          <w:sz w:val="32"/>
          <w:szCs w:val="32"/>
          <w:shd w:val="clear" w:color="auto" w:fill="FFFFFF"/>
        </w:rPr>
        <w:t>2023年支出年初总预算944.55万元，其中基本支出860.28万元，项目支出84.27。调整预算支出1366.62万元，其中：基本支出1109.91万元，项目支出256.71万元。</w:t>
      </w:r>
    </w:p>
    <w:p w14:paraId="48393720">
      <w:pPr>
        <w:pStyle w:val="10"/>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sz w:val="32"/>
          <w:szCs w:val="32"/>
          <w:shd w:val="clear" w:color="auto" w:fill="FFFFFF"/>
        </w:rPr>
      </w:pPr>
      <w:r>
        <w:rPr>
          <w:rFonts w:hint="eastAsia" w:ascii="仿宋_GB2312" w:eastAsia="仿宋_GB2312" w:cs="仿宋_GB2312"/>
          <w:color w:val="000000"/>
          <w:sz w:val="32"/>
          <w:szCs w:val="32"/>
          <w:shd w:val="clear" w:color="auto" w:fill="FFFFFF"/>
        </w:rPr>
        <w:t>在编制预算时，坚持厉行节约、量入为出，在全力保障政府日常运转的前提下，突出重点，进一步编细、编实预算内容，确保预算的增长与金竹镇政府的业务工作相匹配。在预算执行上，严格按项目用途开支，做到专款专用，杜绝公用经费、人员经费挤占专项资金的现象，合理安排各项经费支出，根据形势与任务要求，合理调整公安经费使用计划，提高资金配置的整体效能。此外，我单位还根据《政府会计准则》、《预算法》等相关法律法规，特别就“三公经费”等规范了经费支出流程，制定了公务接待、公务用车、差旅费等相关实施细则，厉行节约、严控“三公经费”和日常公用经费；接待制度对人员、标准、接待程序都予以规范，用车制度对车辆管理、维修、其他费用支出都进行了明确，有效控制了实际支出没有超出预算规模、范围和标准。</w:t>
      </w:r>
    </w:p>
    <w:p w14:paraId="28F02EE6">
      <w:pPr>
        <w:pStyle w:val="10"/>
        <w:widowControl/>
        <w:shd w:val="clear" w:color="auto" w:fill="FFFFFF"/>
        <w:snapToGrid w:val="0"/>
        <w:spacing w:before="0" w:beforeAutospacing="0" w:after="0" w:afterAutospacing="0" w:line="520" w:lineRule="exact"/>
        <w:ind w:firstLine="548" w:firstLineChars="200"/>
        <w:rPr>
          <w:rFonts w:ascii="楷体_GB2312" w:eastAsia="楷体_GB2312" w:cs="楷体_GB2312"/>
          <w:color w:val="000000"/>
          <w:sz w:val="32"/>
          <w:szCs w:val="32"/>
        </w:rPr>
      </w:pPr>
      <w:r>
        <w:rPr>
          <w:rFonts w:ascii="楷体_GB2312" w:eastAsia="楷体_GB2312" w:cs="楷体_GB2312"/>
          <w:color w:val="000000"/>
          <w:spacing w:val="-23"/>
          <w:sz w:val="32"/>
          <w:szCs w:val="32"/>
          <w:shd w:val="clear" w:color="auto" w:fill="FFFFFF"/>
        </w:rPr>
        <w:t>（二）</w:t>
      </w:r>
      <w:r>
        <w:rPr>
          <w:rFonts w:ascii="楷体_GB2312" w:eastAsia="楷体_GB2312" w:cs="楷体_GB2312"/>
          <w:color w:val="000000"/>
          <w:sz w:val="32"/>
          <w:szCs w:val="32"/>
          <w:shd w:val="clear" w:color="auto" w:fill="FFFFFF"/>
        </w:rPr>
        <w:t>部门预算执行情况</w:t>
      </w:r>
    </w:p>
    <w:p w14:paraId="2143F244">
      <w:pPr>
        <w:pStyle w:val="10"/>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sz w:val="32"/>
          <w:szCs w:val="32"/>
          <w:shd w:val="clear" w:color="auto" w:fill="FFFFFF"/>
        </w:rPr>
      </w:pPr>
      <w:r>
        <w:rPr>
          <w:rFonts w:ascii="仿宋_GB2312" w:eastAsia="仿宋_GB2312" w:cs="仿宋_GB2312"/>
          <w:color w:val="000000"/>
          <w:sz w:val="32"/>
          <w:szCs w:val="32"/>
          <w:shd w:val="clear" w:color="auto" w:fill="FFFFFF"/>
        </w:rPr>
        <w:t>1.基本支出情况</w:t>
      </w:r>
    </w:p>
    <w:p w14:paraId="7AB177D1">
      <w:pPr>
        <w:pStyle w:val="10"/>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sz w:val="32"/>
          <w:szCs w:val="32"/>
          <w:shd w:val="clear" w:color="auto" w:fill="FFFFFF"/>
        </w:rPr>
      </w:pPr>
      <w:r>
        <w:rPr>
          <w:rFonts w:hint="eastAsia" w:ascii="仿宋_GB2312" w:eastAsia="仿宋_GB2312" w:cs="仿宋_GB2312"/>
          <w:color w:val="000000"/>
          <w:sz w:val="32"/>
          <w:szCs w:val="32"/>
          <w:shd w:val="clear" w:color="auto" w:fill="FFFFFF"/>
        </w:rPr>
        <w:t>2023年基本支出为1109.91万元，占全年收入的81.22%。</w:t>
      </w:r>
    </w:p>
    <w:p w14:paraId="054E80FE">
      <w:pPr>
        <w:pStyle w:val="15"/>
        <w:numPr>
          <w:ilvl w:val="0"/>
          <w:numId w:val="2"/>
        </w:numPr>
        <w:snapToGrid w:val="0"/>
        <w:spacing w:line="520" w:lineRule="exact"/>
        <w:ind w:firstLineChars="0"/>
        <w:rPr>
          <w:rFonts w:ascii="仿宋_GB2312" w:eastAsia="仿宋_GB2312" w:cs="仿宋_GB2312"/>
          <w:color w:val="000000"/>
          <w:kern w:val="0"/>
          <w:sz w:val="32"/>
          <w:szCs w:val="32"/>
          <w:shd w:val="clear" w:color="auto" w:fill="FFFFFF"/>
        </w:rPr>
      </w:pPr>
      <w:r>
        <w:rPr>
          <w:rFonts w:hint="eastAsia" w:ascii="仿宋_GB2312" w:eastAsia="仿宋_GB2312" w:cs="仿宋_GB2312"/>
          <w:color w:val="000000"/>
          <w:kern w:val="0"/>
          <w:sz w:val="32"/>
          <w:szCs w:val="32"/>
          <w:shd w:val="clear" w:color="auto" w:fill="FFFFFF"/>
        </w:rPr>
        <w:t>工资福利支出911.06万元,占预算收入66.67%，其中基本工资516.36万元，津补贴0.51万元，奖金80.07万元，伙食补助费19.10万元，绩效工资22.93万元，基本养老保险77.45万元，基本医疗保险33.51万元，其他社会保障5.91万元，住房公积金18.54万元，其他工资福利支出136.67万元。</w:t>
      </w:r>
    </w:p>
    <w:p w14:paraId="7E4F365E">
      <w:pPr>
        <w:numPr>
          <w:ilvl w:val="0"/>
          <w:numId w:val="2"/>
        </w:numPr>
        <w:snapToGrid w:val="0"/>
        <w:spacing w:line="520" w:lineRule="exact"/>
        <w:rPr>
          <w:rFonts w:ascii="仿宋_GB2312" w:eastAsia="仿宋_GB2312" w:cs="仿宋_GB2312"/>
          <w:color w:val="000000"/>
          <w:kern w:val="0"/>
          <w:sz w:val="32"/>
          <w:szCs w:val="32"/>
          <w:shd w:val="clear" w:color="auto" w:fill="FFFFFF"/>
        </w:rPr>
      </w:pPr>
      <w:r>
        <w:rPr>
          <w:rFonts w:hint="eastAsia" w:ascii="仿宋_GB2312" w:eastAsia="仿宋_GB2312" w:cs="仿宋_GB2312"/>
          <w:color w:val="000000"/>
          <w:kern w:val="0"/>
          <w:sz w:val="32"/>
          <w:szCs w:val="32"/>
          <w:shd w:val="clear" w:color="auto" w:fill="FFFFFF"/>
        </w:rPr>
        <w:t>商品和服务支出为166.07万元，占预算收入12.15%，其中：办公费35.01万元，印刷费24.67万元，电费9.69万元，邮电费0.2万元，取暖费0.41万元，差旅费23.46万元，维修（护）费2.85万元，租赁费2.2万元，会议费0.52万元，培训费0.23万元，公务接待费9.32万元，劳务费6.72万元，工会经费21.56万元，公车运行维护费7.70万元，其他交通费4.71万元，其他支出16.81万元。</w:t>
      </w:r>
    </w:p>
    <w:p w14:paraId="40D558E6">
      <w:pPr>
        <w:numPr>
          <w:ilvl w:val="0"/>
          <w:numId w:val="2"/>
        </w:numPr>
        <w:snapToGrid w:val="0"/>
        <w:spacing w:line="520" w:lineRule="exact"/>
        <w:rPr>
          <w:rFonts w:ascii="仿宋_GB2312" w:eastAsia="仿宋_GB2312" w:cs="仿宋_GB2312"/>
          <w:color w:val="000000"/>
          <w:kern w:val="0"/>
          <w:sz w:val="32"/>
          <w:szCs w:val="32"/>
          <w:shd w:val="clear" w:color="auto" w:fill="FFFFFF"/>
        </w:rPr>
      </w:pPr>
      <w:r>
        <w:rPr>
          <w:rFonts w:hint="eastAsia" w:ascii="仿宋_GB2312" w:eastAsia="仿宋_GB2312" w:cs="仿宋_GB2312"/>
          <w:color w:val="000000"/>
          <w:kern w:val="0"/>
          <w:sz w:val="32"/>
          <w:szCs w:val="32"/>
          <w:shd w:val="clear" w:color="auto" w:fill="FFFFFF"/>
        </w:rPr>
        <w:t>对个人和家庭补助24.41万元，占预算收入1.79%，其中退役费0.6万元，抚恤金7.32万元，生活补助费13.56万元，奖励金1.69万元，其他对个人家庭的补助1.24万元。</w:t>
      </w:r>
    </w:p>
    <w:p w14:paraId="05266E4B">
      <w:pPr>
        <w:numPr>
          <w:ilvl w:val="0"/>
          <w:numId w:val="2"/>
        </w:numPr>
        <w:snapToGrid w:val="0"/>
        <w:spacing w:line="520" w:lineRule="exact"/>
        <w:rPr>
          <w:rFonts w:ascii="仿宋_GB2312" w:eastAsia="仿宋_GB2312" w:cs="仿宋_GB2312"/>
          <w:color w:val="000000"/>
          <w:kern w:val="0"/>
          <w:sz w:val="32"/>
          <w:szCs w:val="32"/>
          <w:shd w:val="clear" w:color="auto" w:fill="FFFFFF"/>
        </w:rPr>
      </w:pPr>
      <w:r>
        <w:rPr>
          <w:rFonts w:hint="eastAsia" w:ascii="仿宋_GB2312" w:eastAsia="仿宋_GB2312" w:cs="仿宋_GB2312"/>
          <w:color w:val="000000"/>
          <w:kern w:val="0"/>
          <w:sz w:val="32"/>
          <w:szCs w:val="32"/>
          <w:shd w:val="clear" w:color="auto" w:fill="FFFFFF"/>
        </w:rPr>
        <w:t>资本性支出8.34万元，占预算收入0.48%，均为办公设备购置支出。</w:t>
      </w:r>
    </w:p>
    <w:p w14:paraId="496FD520">
      <w:pPr>
        <w:pStyle w:val="2"/>
        <w:ind w:firstLine="640"/>
        <w:rPr>
          <w:rFonts w:ascii="仿宋_GB2312" w:eastAsia="仿宋_GB2312" w:cs="仿宋_GB2312"/>
          <w:color w:val="000000"/>
          <w:szCs w:val="32"/>
          <w:shd w:val="clear" w:color="auto" w:fill="FFFFFF"/>
        </w:rPr>
      </w:pPr>
      <w:r>
        <w:rPr>
          <w:rFonts w:hint="eastAsia" w:ascii="仿宋_GB2312" w:eastAsia="仿宋_GB2312" w:cs="仿宋_GB2312"/>
          <w:color w:val="000000"/>
          <w:szCs w:val="32"/>
          <w:shd w:val="clear" w:color="auto" w:fill="FFFFFF"/>
        </w:rPr>
        <w:t>基本支出系保障我镇正常运转、完成日常工作任务而发生的各项支出，包括用于在职和离退休人员基本工资、津贴补贴等人员经费以及办公费、印刷费、水电费、维修费、办公设备购置等日常公用经费。</w:t>
      </w:r>
    </w:p>
    <w:p w14:paraId="6AA89027">
      <w:pPr>
        <w:pStyle w:val="2"/>
        <w:numPr>
          <w:ilvl w:val="0"/>
          <w:numId w:val="3"/>
        </w:numPr>
        <w:ind w:firstLineChars="0"/>
        <w:rPr>
          <w:rFonts w:ascii="仿宋_GB2312" w:eastAsia="仿宋_GB2312" w:cs="仿宋_GB2312"/>
          <w:color w:val="000000"/>
          <w:szCs w:val="32"/>
          <w:shd w:val="clear" w:color="auto" w:fill="FFFFFF"/>
        </w:rPr>
      </w:pPr>
      <w:r>
        <w:rPr>
          <w:rFonts w:ascii="仿宋_GB2312" w:eastAsia="仿宋_GB2312" w:cs="仿宋_GB2312"/>
          <w:color w:val="000000"/>
          <w:szCs w:val="32"/>
          <w:shd w:val="clear" w:color="auto" w:fill="FFFFFF"/>
        </w:rPr>
        <w:t>项目支出情况</w:t>
      </w:r>
    </w:p>
    <w:p w14:paraId="6B6F4ADC">
      <w:pPr>
        <w:pStyle w:val="10"/>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sz w:val="32"/>
          <w:szCs w:val="32"/>
          <w:shd w:val="clear" w:color="auto" w:fill="FFFFFF"/>
        </w:rPr>
      </w:pPr>
      <w:r>
        <w:rPr>
          <w:rFonts w:hint="eastAsia" w:ascii="仿宋_GB2312" w:eastAsia="仿宋_GB2312" w:cs="仿宋_GB2312"/>
          <w:color w:val="000000"/>
          <w:sz w:val="32"/>
          <w:szCs w:val="32"/>
          <w:shd w:val="clear" w:color="auto" w:fill="FFFFFF"/>
        </w:rPr>
        <w:t>2023年项目支出为256.71万元，占全年收入的18.78%。</w:t>
      </w:r>
    </w:p>
    <w:p w14:paraId="4529B65B">
      <w:pPr>
        <w:pStyle w:val="10"/>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sz w:val="32"/>
          <w:szCs w:val="32"/>
          <w:shd w:val="clear" w:color="auto" w:fill="FFFFFF"/>
        </w:rPr>
      </w:pPr>
      <w:r>
        <w:rPr>
          <w:rFonts w:hint="eastAsia" w:ascii="仿宋_GB2312" w:eastAsia="仿宋_GB2312" w:cs="仿宋_GB2312"/>
          <w:color w:val="000000"/>
          <w:sz w:val="32"/>
          <w:szCs w:val="32"/>
          <w:shd w:val="clear" w:color="auto" w:fill="FFFFFF"/>
        </w:rPr>
        <w:t>（1）一般公共服务专项经费178.36万元。包含金竹镇耕地恢复工程施工费26.20万元，堡横公路工程款23.78万元，肖家村集镇应急消防建设2万元，金竹镇特色楠竹小镇项目第一期规划设计费18万元，水尾村人居环境整治工程2万元，金竹镇政府集镇人居环境整治工程7.96万元，岩脚村应急消防池建设项目9万元，黄土坝村消防池改造7万元，黄土坝村自来水新增水源项目6万元，东岳村水毁稻田项目5万元，森林生态效益补偿经费2.44万元，坡脚安置房修建厨房2.5万元，肖家肉牛养殖基地饲养支持2万元，问题厕所、公厕户厕改建合计64.48万元。</w:t>
      </w:r>
    </w:p>
    <w:p w14:paraId="2572CDB5">
      <w:pPr>
        <w:pStyle w:val="10"/>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sz w:val="32"/>
          <w:szCs w:val="32"/>
          <w:shd w:val="clear" w:color="auto" w:fill="FFFFFF"/>
        </w:rPr>
      </w:pPr>
      <w:r>
        <w:rPr>
          <w:rFonts w:hint="eastAsia" w:ascii="仿宋_GB2312" w:eastAsia="仿宋_GB2312" w:cs="仿宋_GB2312"/>
          <w:color w:val="000000"/>
          <w:sz w:val="32"/>
          <w:szCs w:val="32"/>
          <w:shd w:val="clear" w:color="auto" w:fill="FFFFFF"/>
        </w:rPr>
        <w:t>（2）村级转移支付支出78.35万元。包含金坪村、黄土坝村、桐木村乡村振兴工作经费5万元，肖家村集体经济真抓实干奖励经费10万元，村级运转经费、村集体经济经费63.35万元。</w:t>
      </w:r>
    </w:p>
    <w:p w14:paraId="317E4702">
      <w:pPr>
        <w:pStyle w:val="10"/>
        <w:widowControl/>
        <w:shd w:val="clear" w:color="auto" w:fill="FFFFFF"/>
        <w:snapToGrid w:val="0"/>
        <w:spacing w:before="0" w:beforeAutospacing="0" w:after="0" w:afterAutospacing="0" w:line="520" w:lineRule="exact"/>
        <w:ind w:firstLine="548" w:firstLineChars="200"/>
        <w:rPr>
          <w:rFonts w:ascii="楷体_GB2312" w:eastAsia="楷体_GB2312" w:cs="楷体_GB2312"/>
          <w:color w:val="000000"/>
          <w:sz w:val="32"/>
          <w:szCs w:val="32"/>
          <w:shd w:val="clear" w:color="auto" w:fill="FFFFFF"/>
        </w:rPr>
      </w:pPr>
      <w:r>
        <w:rPr>
          <w:rFonts w:ascii="楷体_GB2312" w:eastAsia="楷体_GB2312" w:cs="楷体_GB2312"/>
          <w:color w:val="000000"/>
          <w:spacing w:val="-23"/>
          <w:sz w:val="32"/>
          <w:szCs w:val="32"/>
          <w:shd w:val="clear" w:color="auto" w:fill="FFFFFF"/>
        </w:rPr>
        <w:t>（三）</w:t>
      </w:r>
      <w:r>
        <w:rPr>
          <w:rFonts w:ascii="楷体_GB2312" w:eastAsia="楷体_GB2312" w:cs="楷体_GB2312"/>
          <w:color w:val="000000"/>
          <w:sz w:val="32"/>
          <w:szCs w:val="32"/>
          <w:shd w:val="clear" w:color="auto" w:fill="FFFFFF"/>
        </w:rPr>
        <w:t>"三公"经费使用和管理情况</w:t>
      </w:r>
    </w:p>
    <w:p w14:paraId="7031C262">
      <w:pPr>
        <w:snapToGrid w:val="0"/>
        <w:spacing w:line="520" w:lineRule="exact"/>
        <w:ind w:firstLine="640" w:firstLineChars="200"/>
        <w:rPr>
          <w:rFonts w:ascii="仿宋_GB2312" w:eastAsia="仿宋_GB2312" w:cs="仿宋_GB2312"/>
          <w:color w:val="000000"/>
          <w:sz w:val="32"/>
          <w:szCs w:val="32"/>
          <w:shd w:val="clear" w:color="auto" w:fill="FFFFFF"/>
        </w:rPr>
      </w:pPr>
      <w:r>
        <w:rPr>
          <w:rFonts w:hint="eastAsia" w:ascii="仿宋_GB2312" w:eastAsia="仿宋_GB2312" w:cs="仿宋_GB2312"/>
          <w:color w:val="000000"/>
          <w:kern w:val="0"/>
          <w:sz w:val="32"/>
          <w:szCs w:val="32"/>
          <w:shd w:val="clear" w:color="auto" w:fill="FFFFFF"/>
        </w:rPr>
        <w:t>2023年度没有因公出国（境）人员，“三公”经费支出为16.39万元（其中公务接待费为9.32万元，公务用车购置及运行维护费为7.07万元），与2022年公务接待费支出28.96万元（其中公务接待费为14.75万元，公务用车购置及运行维护费为14.21万元）相比减少50.26%。</w:t>
      </w:r>
      <w:r>
        <w:rPr>
          <w:rFonts w:hint="eastAsia" w:ascii="仿宋_GB2312" w:eastAsia="仿宋_GB2312" w:cs="仿宋_GB2312"/>
          <w:color w:val="000000"/>
          <w:sz w:val="32"/>
          <w:szCs w:val="32"/>
          <w:shd w:val="clear" w:color="auto" w:fill="FFFFFF"/>
        </w:rPr>
        <w:t>主要原因为：一是全镇上下厉行节约，严控“三公”经费，贯彻落实过紧日子的要求，从财务管理制度上严控“三公”经费指标，严格报账审核程序；二是严格了接待标准，控制陪餐人数，采用了公函和接待清单制度，开支更加公开透明；三是认真贯彻落实中央八项规定精神，规范公车管理，严禁公车私用，严格实行派车单制度，且我镇报废三台公务用车，未购置新车，公车燃油费、年检费、保险费等</w:t>
      </w:r>
      <w:r>
        <w:rPr>
          <w:rFonts w:hint="eastAsia" w:ascii="仿宋_GB2312" w:eastAsia="仿宋_GB2312" w:cs="仿宋_GB2312"/>
          <w:color w:val="000000"/>
          <w:kern w:val="0"/>
          <w:sz w:val="32"/>
          <w:szCs w:val="32"/>
          <w:shd w:val="clear" w:color="auto" w:fill="FFFFFF"/>
        </w:rPr>
        <w:t>公务用车购置及运行维护费</w:t>
      </w:r>
      <w:r>
        <w:rPr>
          <w:rFonts w:hint="eastAsia" w:ascii="仿宋_GB2312" w:eastAsia="仿宋_GB2312" w:cs="仿宋_GB2312"/>
          <w:color w:val="000000"/>
          <w:sz w:val="32"/>
          <w:szCs w:val="32"/>
          <w:shd w:val="clear" w:color="auto" w:fill="FFFFFF"/>
        </w:rPr>
        <w:t>相应减少。</w:t>
      </w:r>
    </w:p>
    <w:p w14:paraId="5476EF64">
      <w:pPr>
        <w:snapToGrid w:val="0"/>
        <w:spacing w:line="520" w:lineRule="exact"/>
        <w:ind w:firstLine="640" w:firstLineChars="200"/>
        <w:rPr>
          <w:rFonts w:ascii="仿宋_GB2312" w:eastAsia="仿宋_GB2312" w:cs="仿宋_GB2312"/>
          <w:color w:val="000000"/>
          <w:kern w:val="0"/>
          <w:sz w:val="32"/>
          <w:szCs w:val="32"/>
          <w:shd w:val="clear" w:color="auto" w:fill="FFFFFF"/>
        </w:rPr>
      </w:pPr>
      <w:r>
        <w:rPr>
          <w:rFonts w:hint="eastAsia" w:ascii="黑体" w:hAnsi="黑体" w:eastAsia="黑体" w:cs="黑体"/>
          <w:color w:val="000000"/>
          <w:sz w:val="32"/>
          <w:szCs w:val="32"/>
          <w:shd w:val="clear" w:color="auto" w:fill="FFFFFF"/>
        </w:rPr>
        <w:t>三、政府性基金预算支出情况</w:t>
      </w:r>
    </w:p>
    <w:p w14:paraId="64EF277D">
      <w:pPr>
        <w:pStyle w:val="10"/>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kern w:val="2"/>
          <w:sz w:val="32"/>
          <w:szCs w:val="32"/>
          <w:shd w:val="clear" w:color="auto" w:fill="FFFFFF"/>
        </w:rPr>
      </w:pPr>
      <w:r>
        <w:rPr>
          <w:rFonts w:hint="eastAsia" w:ascii="仿宋_GB2312" w:eastAsia="仿宋_GB2312" w:cs="仿宋_GB2312"/>
          <w:color w:val="000000"/>
          <w:kern w:val="2"/>
          <w:sz w:val="32"/>
          <w:szCs w:val="32"/>
          <w:shd w:val="clear" w:color="auto" w:fill="FFFFFF"/>
        </w:rPr>
        <w:t>2023年我单位无政府性基金预算支出。</w:t>
      </w:r>
    </w:p>
    <w:p w14:paraId="71CABD18">
      <w:pPr>
        <w:pStyle w:val="10"/>
        <w:widowControl/>
        <w:shd w:val="clear" w:color="auto" w:fill="FFFFFF"/>
        <w:snapToGrid w:val="0"/>
        <w:spacing w:before="0" w:beforeAutospacing="0" w:after="0" w:afterAutospacing="0" w:line="520" w:lineRule="exact"/>
        <w:ind w:firstLine="640" w:firstLineChars="200"/>
        <w:rPr>
          <w:rFonts w:hint="eastAsia" w:ascii="黑体" w:hAnsi="黑体" w:eastAsia="黑体" w:cs="黑体"/>
          <w:color w:val="000000"/>
          <w:sz w:val="32"/>
          <w:szCs w:val="32"/>
          <w:shd w:val="clear" w:color="auto" w:fill="FFFFFF"/>
        </w:rPr>
      </w:pPr>
      <w:r>
        <w:rPr>
          <w:rFonts w:hint="eastAsia" w:ascii="黑体" w:hAnsi="黑体" w:eastAsia="黑体" w:cs="黑体"/>
          <w:color w:val="000000"/>
          <w:sz w:val="32"/>
          <w:szCs w:val="32"/>
          <w:shd w:val="clear" w:color="auto" w:fill="FFFFFF"/>
        </w:rPr>
        <w:t>四、国有资本经营预算支出情况</w:t>
      </w:r>
    </w:p>
    <w:p w14:paraId="6F5FE3BA">
      <w:pPr>
        <w:pStyle w:val="10"/>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kern w:val="2"/>
          <w:sz w:val="32"/>
          <w:szCs w:val="32"/>
          <w:shd w:val="clear" w:color="auto" w:fill="FFFFFF"/>
        </w:rPr>
      </w:pPr>
      <w:r>
        <w:rPr>
          <w:rFonts w:hint="eastAsia" w:ascii="仿宋_GB2312" w:eastAsia="仿宋_GB2312" w:cs="仿宋_GB2312"/>
          <w:color w:val="000000"/>
          <w:kern w:val="2"/>
          <w:sz w:val="32"/>
          <w:szCs w:val="32"/>
          <w:shd w:val="clear" w:color="auto" w:fill="FFFFFF"/>
        </w:rPr>
        <w:t>2023年我单位无国有资本经营预算支出。</w:t>
      </w:r>
    </w:p>
    <w:p w14:paraId="09C545E5">
      <w:pPr>
        <w:pStyle w:val="10"/>
        <w:widowControl/>
        <w:shd w:val="clear" w:color="auto" w:fill="FFFFFF"/>
        <w:snapToGrid w:val="0"/>
        <w:spacing w:before="0" w:beforeAutospacing="0" w:after="0" w:afterAutospacing="0" w:line="520" w:lineRule="exact"/>
        <w:ind w:firstLine="640" w:firstLineChars="200"/>
        <w:rPr>
          <w:rFonts w:hint="eastAsia" w:ascii="黑体" w:hAnsi="黑体" w:eastAsia="黑体" w:cs="黑体"/>
          <w:color w:val="000000"/>
          <w:sz w:val="32"/>
          <w:szCs w:val="32"/>
          <w:shd w:val="clear" w:color="auto" w:fill="FFFFFF"/>
        </w:rPr>
      </w:pPr>
      <w:r>
        <w:rPr>
          <w:rFonts w:hint="eastAsia" w:ascii="黑体" w:hAnsi="黑体" w:eastAsia="黑体" w:cs="黑体"/>
          <w:color w:val="000000"/>
          <w:sz w:val="32"/>
          <w:szCs w:val="32"/>
          <w:shd w:val="clear" w:color="auto" w:fill="FFFFFF"/>
        </w:rPr>
        <w:t>五、社会保险基金预算支出情况</w:t>
      </w:r>
    </w:p>
    <w:p w14:paraId="4CB05426">
      <w:pPr>
        <w:pStyle w:val="10"/>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kern w:val="2"/>
          <w:sz w:val="32"/>
          <w:szCs w:val="32"/>
          <w:shd w:val="clear" w:color="auto" w:fill="FFFFFF"/>
        </w:rPr>
      </w:pPr>
      <w:r>
        <w:rPr>
          <w:rFonts w:hint="eastAsia" w:ascii="仿宋_GB2312" w:eastAsia="仿宋_GB2312" w:cs="仿宋_GB2312"/>
          <w:color w:val="000000"/>
          <w:kern w:val="2"/>
          <w:sz w:val="32"/>
          <w:szCs w:val="32"/>
          <w:shd w:val="clear" w:color="auto" w:fill="FFFFFF"/>
        </w:rPr>
        <w:t>2023年我单位无社会保险基金预算支出。</w:t>
      </w:r>
    </w:p>
    <w:p w14:paraId="7017258D">
      <w:pPr>
        <w:pStyle w:val="10"/>
        <w:widowControl/>
        <w:shd w:val="clear" w:color="auto" w:fill="FFFFFF"/>
        <w:snapToGrid w:val="0"/>
        <w:spacing w:before="0" w:beforeAutospacing="0" w:after="0" w:afterAutospacing="0" w:line="52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shd w:val="clear" w:color="auto" w:fill="FFFFFF"/>
        </w:rPr>
        <w:t>六、部门整体支出绩效情况</w:t>
      </w:r>
    </w:p>
    <w:p w14:paraId="60EC63B7">
      <w:pPr>
        <w:pStyle w:val="10"/>
        <w:widowControl/>
        <w:shd w:val="clear" w:color="auto" w:fill="FFFFFF"/>
        <w:snapToGrid w:val="0"/>
        <w:spacing w:before="0" w:beforeAutospacing="0" w:after="0" w:afterAutospacing="0" w:line="520" w:lineRule="exact"/>
        <w:ind w:firstLine="548" w:firstLineChars="200"/>
        <w:rPr>
          <w:rFonts w:ascii="楷体_GB2312" w:eastAsia="楷体_GB2312" w:cs="楷体_GB2312"/>
          <w:color w:val="000000"/>
          <w:sz w:val="32"/>
          <w:szCs w:val="32"/>
          <w:shd w:val="clear" w:color="auto" w:fill="FFFFFF"/>
        </w:rPr>
      </w:pPr>
      <w:r>
        <w:rPr>
          <w:rFonts w:ascii="楷体_GB2312" w:eastAsia="楷体_GB2312" w:cs="楷体_GB2312"/>
          <w:color w:val="000000"/>
          <w:spacing w:val="-23"/>
          <w:sz w:val="32"/>
          <w:szCs w:val="32"/>
          <w:shd w:val="clear" w:color="auto" w:fill="FFFFFF"/>
        </w:rPr>
        <w:t>（一）</w:t>
      </w:r>
      <w:r>
        <w:rPr>
          <w:rFonts w:ascii="楷体_GB2312" w:eastAsia="楷体_GB2312" w:cs="楷体_GB2312"/>
          <w:color w:val="000000"/>
          <w:sz w:val="32"/>
          <w:szCs w:val="32"/>
          <w:shd w:val="clear" w:color="auto" w:fill="FFFFFF"/>
        </w:rPr>
        <w:t>综合评价结论。</w:t>
      </w:r>
    </w:p>
    <w:p w14:paraId="43087760">
      <w:pPr>
        <w:pStyle w:val="10"/>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sz w:val="32"/>
          <w:szCs w:val="32"/>
          <w:shd w:val="clear" w:color="auto" w:fill="FFFFFF"/>
        </w:rPr>
      </w:pPr>
      <w:r>
        <w:rPr>
          <w:rFonts w:hint="eastAsia" w:ascii="仿宋_GB2312" w:eastAsia="仿宋_GB2312" w:cs="仿宋_GB2312"/>
          <w:color w:val="000000"/>
          <w:sz w:val="32"/>
          <w:szCs w:val="32"/>
          <w:shd w:val="clear" w:color="auto" w:fill="FFFFFF"/>
        </w:rPr>
        <w:t>根据年初预算设定的部门整体绩效目标，我单位已完成相关绩效指标内容，整体部门绩效自评得分为9</w:t>
      </w:r>
      <w:r>
        <w:rPr>
          <w:rFonts w:hint="eastAsia" w:ascii="仿宋_GB2312" w:eastAsia="仿宋_GB2312" w:cs="仿宋_GB2312"/>
          <w:color w:val="000000"/>
          <w:sz w:val="32"/>
          <w:szCs w:val="32"/>
          <w:shd w:val="clear" w:color="auto" w:fill="FFFFFF"/>
          <w:lang w:val="en-US" w:eastAsia="zh-CN"/>
        </w:rPr>
        <w:t>9</w:t>
      </w:r>
      <w:r>
        <w:rPr>
          <w:rFonts w:hint="eastAsia" w:ascii="仿宋_GB2312" w:eastAsia="仿宋_GB2312" w:cs="仿宋_GB2312"/>
          <w:color w:val="000000"/>
          <w:sz w:val="32"/>
          <w:szCs w:val="32"/>
          <w:shd w:val="clear" w:color="auto" w:fill="FFFFFF"/>
        </w:rPr>
        <w:t>分。</w:t>
      </w:r>
    </w:p>
    <w:p w14:paraId="36D8801B">
      <w:pPr>
        <w:pStyle w:val="10"/>
        <w:widowControl/>
        <w:shd w:val="clear" w:color="auto" w:fill="FFFFFF"/>
        <w:snapToGrid w:val="0"/>
        <w:spacing w:before="0" w:beforeAutospacing="0" w:after="0" w:afterAutospacing="0" w:line="520" w:lineRule="exact"/>
        <w:ind w:firstLine="548" w:firstLineChars="200"/>
        <w:rPr>
          <w:rFonts w:ascii="楷体_GB2312" w:eastAsia="楷体_GB2312" w:cs="楷体_GB2312"/>
          <w:color w:val="000000"/>
          <w:sz w:val="32"/>
          <w:szCs w:val="32"/>
          <w:shd w:val="clear" w:color="auto" w:fill="FFFFFF"/>
        </w:rPr>
      </w:pPr>
      <w:r>
        <w:rPr>
          <w:rFonts w:ascii="楷体_GB2312" w:eastAsia="楷体_GB2312" w:cs="楷体_GB2312"/>
          <w:color w:val="000000"/>
          <w:spacing w:val="-23"/>
          <w:sz w:val="32"/>
          <w:szCs w:val="32"/>
          <w:shd w:val="clear" w:color="auto" w:fill="FFFFFF"/>
        </w:rPr>
        <w:t>（二）</w:t>
      </w:r>
      <w:r>
        <w:rPr>
          <w:rFonts w:ascii="楷体_GB2312" w:eastAsia="楷体_GB2312" w:cs="楷体_GB2312"/>
          <w:color w:val="000000"/>
          <w:sz w:val="32"/>
          <w:szCs w:val="32"/>
          <w:shd w:val="clear" w:color="auto" w:fill="FFFFFF"/>
        </w:rPr>
        <w:t>综合评价情况</w:t>
      </w:r>
      <w:r>
        <w:rPr>
          <w:rFonts w:hint="eastAsia" w:ascii="楷体_GB2312" w:eastAsia="楷体_GB2312" w:cs="楷体_GB2312"/>
          <w:color w:val="000000"/>
          <w:sz w:val="32"/>
          <w:szCs w:val="32"/>
          <w:shd w:val="clear" w:color="auto" w:fill="FFFFFF"/>
        </w:rPr>
        <w:t>。</w:t>
      </w:r>
    </w:p>
    <w:p w14:paraId="34938D18">
      <w:pPr>
        <w:pStyle w:val="10"/>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sz w:val="32"/>
          <w:szCs w:val="32"/>
          <w:shd w:val="clear" w:color="auto" w:fill="FFFFFF"/>
        </w:rPr>
      </w:pPr>
      <w:r>
        <w:rPr>
          <w:rFonts w:hint="eastAsia" w:ascii="仿宋_GB2312" w:eastAsia="仿宋_GB2312" w:cs="仿宋_GB2312"/>
          <w:color w:val="000000"/>
          <w:sz w:val="32"/>
          <w:szCs w:val="32"/>
          <w:shd w:val="clear" w:color="auto" w:fill="FFFFFF"/>
        </w:rPr>
        <w:t>1、部门履职情况</w:t>
      </w:r>
    </w:p>
    <w:p w14:paraId="5BEA27F2">
      <w:pPr>
        <w:pStyle w:val="10"/>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sz w:val="32"/>
          <w:szCs w:val="32"/>
          <w:shd w:val="clear" w:color="auto" w:fill="FFFFFF"/>
        </w:rPr>
      </w:pPr>
      <w:r>
        <w:rPr>
          <w:rFonts w:hint="eastAsia" w:ascii="仿宋_GB2312" w:eastAsia="仿宋_GB2312" w:cs="仿宋_GB2312"/>
          <w:color w:val="000000"/>
          <w:sz w:val="32"/>
          <w:szCs w:val="32"/>
          <w:shd w:val="clear" w:color="auto" w:fill="FFFFFF"/>
        </w:rPr>
        <w:t>2023年，在县委、县政府的坚强领导下，我镇坚持以习近平新时代中国特色社会主义思想为指导，深入学习宣传贯彻党的二十大精神，认真开展学习贯彻习近平新时代中国特色社会主义思想主题教育，本年度取得主要事业成效为：坚持全面推进乡村振兴，进一步巩固脱贫攻坚成果；坚持打造特色楠竹小镇，进一步推动农业产业发展；坚持践行绿水青山就是金山银山，进一步改善生态坏境质量；坚持预防为主、防治结合，进一步防范化解风险隐患；坚持落实各项惠民政策，进一步增进民生福祉；此外，民族、宗教、教育、农技、档案、史志、政务服务、工会、共青团等各项工作也取得了新进步新成效。</w:t>
      </w:r>
    </w:p>
    <w:p w14:paraId="0175811D">
      <w:pPr>
        <w:pStyle w:val="10"/>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sz w:val="32"/>
          <w:szCs w:val="32"/>
          <w:shd w:val="clear" w:color="auto" w:fill="FFFFFF"/>
        </w:rPr>
      </w:pPr>
      <w:r>
        <w:rPr>
          <w:rFonts w:hint="eastAsia" w:ascii="仿宋_GB2312" w:eastAsia="仿宋_GB2312" w:cs="仿宋_GB2312"/>
          <w:color w:val="000000"/>
          <w:sz w:val="32"/>
          <w:szCs w:val="32"/>
          <w:shd w:val="clear" w:color="auto" w:fill="FFFFFF"/>
        </w:rPr>
        <w:t>2、部门整体支出成本（预算）控制、节约情况</w:t>
      </w:r>
    </w:p>
    <w:p w14:paraId="21913EEB">
      <w:pPr>
        <w:pStyle w:val="10"/>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sz w:val="32"/>
          <w:szCs w:val="32"/>
          <w:shd w:val="clear" w:color="auto" w:fill="FFFFFF"/>
        </w:rPr>
      </w:pPr>
      <w:r>
        <w:rPr>
          <w:rFonts w:hint="eastAsia" w:ascii="仿宋_GB2312" w:eastAsia="仿宋_GB2312" w:cs="仿宋_GB2312"/>
          <w:color w:val="000000"/>
          <w:sz w:val="32"/>
          <w:szCs w:val="32"/>
          <w:shd w:val="clear" w:color="auto" w:fill="FFFFFF"/>
        </w:rPr>
        <w:t>在实际执行中，金竹镇人民政府全年预算收入为1366.62万元，其中上级补助收入为0元（年初因属上级专项补助，不能确定数据，未列入年初预算），其中本级财政拨入1324.36万元，比年初预算追加379.81万元，主要原因为：一是财政供养人员的工资奖金津补贴未全部纳入年初预算;二是项目支出增加。其他收入为42.26万元。2022年度</w:t>
      </w:r>
      <w:r>
        <w:rPr>
          <w:rFonts w:ascii="仿宋_GB2312" w:eastAsia="仿宋_GB2312" w:cs="仿宋_GB2312"/>
          <w:color w:val="000000"/>
          <w:sz w:val="32"/>
          <w:szCs w:val="32"/>
          <w:shd w:val="clear" w:color="auto" w:fill="FFFFFF"/>
        </w:rPr>
        <w:t>本级财政拨入1640.44万元，比年初预算追加1036.55万元，其他收入为6.57万元，年初结转结余为86.41万元。</w:t>
      </w:r>
      <w:r>
        <w:rPr>
          <w:rFonts w:hint="eastAsia" w:ascii="仿宋_GB2312" w:eastAsia="仿宋_GB2312" w:cs="仿宋_GB2312"/>
          <w:color w:val="000000"/>
          <w:sz w:val="32"/>
          <w:szCs w:val="32"/>
          <w:shd w:val="clear" w:color="auto" w:fill="FFFFFF"/>
        </w:rPr>
        <w:t>就实际收入相比，2023年预算追加金额降低63.36%，基本支出严格按预算执行，支出总额控制在预算总额以内。</w:t>
      </w:r>
    </w:p>
    <w:p w14:paraId="4E344AD2">
      <w:pPr>
        <w:pStyle w:val="10"/>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sz w:val="32"/>
          <w:szCs w:val="32"/>
          <w:shd w:val="clear" w:color="auto" w:fill="FFFFFF"/>
        </w:rPr>
      </w:pPr>
      <w:r>
        <w:rPr>
          <w:rFonts w:hint="eastAsia" w:ascii="仿宋_GB2312" w:eastAsia="仿宋_GB2312" w:cs="仿宋_GB2312"/>
          <w:color w:val="000000"/>
          <w:sz w:val="32"/>
          <w:szCs w:val="32"/>
          <w:shd w:val="clear" w:color="auto" w:fill="FFFFFF"/>
        </w:rPr>
        <w:t>3、专项资金管理</w:t>
      </w:r>
    </w:p>
    <w:p w14:paraId="16BAE0EE">
      <w:pPr>
        <w:pStyle w:val="10"/>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sz w:val="32"/>
          <w:szCs w:val="32"/>
          <w:shd w:val="clear" w:color="auto" w:fill="FFFFFF"/>
        </w:rPr>
      </w:pPr>
      <w:r>
        <w:rPr>
          <w:rFonts w:hint="eastAsia" w:ascii="仿宋_GB2312" w:eastAsia="仿宋_GB2312" w:cs="仿宋_GB2312"/>
          <w:color w:val="000000"/>
          <w:sz w:val="32"/>
          <w:szCs w:val="32"/>
          <w:shd w:val="clear" w:color="auto" w:fill="FFFFFF"/>
        </w:rPr>
        <w:t>根据专项资金管理的要求，我镇严格按照管理办法执行。一是严格按预算开支，没有超标准、超规模、超范围开支；二是严格开支管理，做到了专款专用，不存在截流、挤占、挪用的情况；三是加强内部检查和监管，进行定期或不定期的检查、监管，确保专项资金落实到位。</w:t>
      </w:r>
    </w:p>
    <w:p w14:paraId="3CA6A545">
      <w:pPr>
        <w:pStyle w:val="10"/>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sz w:val="32"/>
          <w:szCs w:val="32"/>
          <w:shd w:val="clear" w:color="auto" w:fill="FFFFFF"/>
        </w:rPr>
      </w:pPr>
      <w:r>
        <w:rPr>
          <w:rFonts w:hint="eastAsia" w:ascii="仿宋_GB2312" w:eastAsia="仿宋_GB2312" w:cs="仿宋_GB2312"/>
          <w:color w:val="000000"/>
          <w:sz w:val="32"/>
          <w:szCs w:val="32"/>
          <w:shd w:val="clear" w:color="auto" w:fill="FFFFFF"/>
        </w:rPr>
        <w:t>4、资产管理情况</w:t>
      </w:r>
    </w:p>
    <w:p w14:paraId="52D1AD07">
      <w:pPr>
        <w:pStyle w:val="10"/>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sz w:val="32"/>
          <w:szCs w:val="32"/>
          <w:shd w:val="clear" w:color="auto" w:fill="FFFFFF"/>
        </w:rPr>
      </w:pPr>
      <w:r>
        <w:rPr>
          <w:rFonts w:hint="eastAsia" w:ascii="仿宋_GB2312" w:eastAsia="仿宋_GB2312" w:cs="仿宋_GB2312"/>
          <w:color w:val="000000"/>
          <w:sz w:val="32"/>
          <w:szCs w:val="32"/>
          <w:shd w:val="clear" w:color="auto" w:fill="FFFFFF"/>
        </w:rPr>
        <w:t>根据资产管理的有关规定，我镇建立健全资产管理的各项规章制度，有购置、使用、报废处置等内部控制制度，保障资产管理落实到位。在执行中按规定落实国有资产清查、登记、上报制度，设置固定资产卡片、总账及明细账簿，并定期进行了清查盘点，及时更新国有资产管理系统，进一步加强国有资产管理。 </w:t>
      </w:r>
    </w:p>
    <w:p w14:paraId="2AB76AAB">
      <w:pPr>
        <w:pStyle w:val="10"/>
        <w:widowControl/>
        <w:shd w:val="clear" w:color="auto" w:fill="FFFFFF"/>
        <w:snapToGrid w:val="0"/>
        <w:spacing w:before="0" w:beforeAutospacing="0" w:after="0" w:afterAutospacing="0" w:line="52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shd w:val="clear" w:color="auto" w:fill="FFFFFF"/>
        </w:rPr>
        <w:t>七、存在的问题及原因分析</w:t>
      </w:r>
    </w:p>
    <w:p w14:paraId="4BFC937B">
      <w:pPr>
        <w:pStyle w:val="10"/>
        <w:widowControl/>
        <w:shd w:val="clear" w:color="auto" w:fill="FFFFFF"/>
        <w:snapToGrid w:val="0"/>
        <w:spacing w:before="0" w:beforeAutospacing="0" w:after="0" w:afterAutospacing="0" w:line="520" w:lineRule="exact"/>
        <w:ind w:firstLine="640" w:firstLineChars="200"/>
        <w:rPr>
          <w:rFonts w:ascii="仿宋_GB2312" w:eastAsia="仿宋_GB2312"/>
          <w:kern w:val="2"/>
          <w:sz w:val="32"/>
          <w:szCs w:val="32"/>
        </w:rPr>
      </w:pPr>
      <w:r>
        <w:rPr>
          <w:rFonts w:hint="eastAsia" w:ascii="仿宋_GB2312" w:eastAsia="仿宋_GB2312" w:cs="仿宋_GB2312"/>
          <w:color w:val="000000"/>
          <w:sz w:val="32"/>
          <w:szCs w:val="32"/>
          <w:shd w:val="clear" w:color="auto" w:fill="FFFFFF"/>
        </w:rPr>
        <w:t>在进行预算编制时在绩效目标细化、资产管理等方面仍有待完善。预算编制不够细化、具体，</w:t>
      </w:r>
      <w:r>
        <w:rPr>
          <w:rFonts w:hint="eastAsia" w:ascii="仿宋_GB2312" w:eastAsia="仿宋_GB2312"/>
          <w:kern w:val="2"/>
          <w:sz w:val="32"/>
          <w:szCs w:val="32"/>
        </w:rPr>
        <w:t>项目管理制度有待完善，项目管理需进一步规范。</w:t>
      </w:r>
    </w:p>
    <w:p w14:paraId="3726A0E3">
      <w:pPr>
        <w:pStyle w:val="10"/>
        <w:widowControl/>
        <w:shd w:val="clear" w:color="auto" w:fill="FFFFFF"/>
        <w:snapToGrid w:val="0"/>
        <w:spacing w:before="0" w:beforeAutospacing="0" w:after="0" w:afterAutospacing="0" w:line="520" w:lineRule="exact"/>
        <w:ind w:firstLine="640" w:firstLineChars="200"/>
        <w:rPr>
          <w:rFonts w:hint="eastAsia" w:ascii="黑体" w:hAnsi="黑体" w:eastAsia="黑体" w:cs="黑体"/>
          <w:color w:val="000000"/>
          <w:sz w:val="32"/>
          <w:szCs w:val="32"/>
          <w:shd w:val="clear" w:color="auto" w:fill="FFFFFF"/>
        </w:rPr>
      </w:pPr>
      <w:r>
        <w:rPr>
          <w:rFonts w:hint="eastAsia" w:ascii="黑体" w:hAnsi="黑体" w:eastAsia="黑体" w:cs="黑体"/>
          <w:color w:val="000000"/>
          <w:sz w:val="32"/>
          <w:szCs w:val="32"/>
          <w:shd w:val="clear" w:color="auto" w:fill="FFFFFF"/>
        </w:rPr>
        <w:t>八、下一步改进措施</w:t>
      </w:r>
    </w:p>
    <w:p w14:paraId="35A5DAC3">
      <w:pPr>
        <w:pStyle w:val="10"/>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sz w:val="32"/>
          <w:szCs w:val="32"/>
          <w:shd w:val="clear" w:color="auto" w:fill="FFFFFF"/>
        </w:rPr>
      </w:pPr>
      <w:r>
        <w:rPr>
          <w:rFonts w:hint="eastAsia" w:ascii="仿宋_GB2312" w:eastAsia="仿宋_GB2312" w:cs="仿宋_GB2312"/>
          <w:color w:val="000000"/>
          <w:sz w:val="32"/>
          <w:szCs w:val="32"/>
          <w:shd w:val="clear" w:color="auto" w:fill="FFFFFF"/>
        </w:rPr>
        <w:t>根据年初工作规划和重点工作，加强预算收支管理，建立健全内部管理制度，更科学合理编制预算，进一步提高预算管理意识，严格按照预算编制的相关制度和要求开展预算编制，提高预算编制的精细化、合理化程度。加强专项资金管理，保证项目资金使用管理的规范性、安全性和有效性。科学设立绩效目标。仔细研究项目情况，结合单位实际，制定更加合理、更加易于考核量化的目标，更好的开展项目绩效工作，使项目编制更加符合绩效评价相关要求。我镇将进一步制定部门绩效管理办法及项目工作实施方案，建立长效机制。</w:t>
      </w:r>
    </w:p>
    <w:p w14:paraId="1DCC72F2">
      <w:pPr>
        <w:pStyle w:val="10"/>
        <w:widowControl/>
        <w:shd w:val="clear" w:color="auto" w:fill="FFFFFF"/>
        <w:snapToGrid w:val="0"/>
        <w:spacing w:before="0" w:beforeAutospacing="0" w:after="0" w:afterAutospacing="0" w:line="520" w:lineRule="exact"/>
        <w:ind w:firstLine="640" w:firstLineChars="200"/>
        <w:rPr>
          <w:rFonts w:hint="eastAsia" w:ascii="黑体" w:hAnsi="黑体" w:eastAsia="黑体" w:cs="黑体"/>
          <w:color w:val="000000"/>
          <w:sz w:val="32"/>
          <w:szCs w:val="32"/>
          <w:shd w:val="clear" w:color="auto" w:fill="FFFFFF"/>
        </w:rPr>
      </w:pPr>
      <w:r>
        <w:rPr>
          <w:rFonts w:hint="eastAsia" w:ascii="黑体" w:hAnsi="黑体" w:eastAsia="黑体" w:cs="黑体"/>
          <w:color w:val="000000"/>
          <w:sz w:val="32"/>
          <w:szCs w:val="32"/>
          <w:shd w:val="clear" w:color="auto" w:fill="FFFFFF"/>
        </w:rPr>
        <w:t>九、其他需要说明的情况</w:t>
      </w:r>
    </w:p>
    <w:p w14:paraId="2B27F403">
      <w:pPr>
        <w:pStyle w:val="10"/>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sz w:val="32"/>
          <w:szCs w:val="32"/>
          <w:shd w:val="clear" w:color="auto" w:fill="FFFFFF"/>
        </w:rPr>
      </w:pPr>
      <w:r>
        <w:rPr>
          <w:rFonts w:hint="eastAsia" w:ascii="仿宋_GB2312" w:eastAsia="仿宋_GB2312" w:cs="仿宋_GB2312"/>
          <w:color w:val="000000"/>
          <w:sz w:val="32"/>
          <w:szCs w:val="32"/>
          <w:shd w:val="clear" w:color="auto" w:fill="FFFFFF"/>
        </w:rPr>
        <w:t>无</w:t>
      </w:r>
    </w:p>
    <w:p w14:paraId="47627A6A">
      <w:pPr>
        <w:pStyle w:val="10"/>
        <w:widowControl/>
        <w:shd w:val="clear" w:color="auto" w:fill="FFFFFF"/>
        <w:snapToGrid w:val="0"/>
        <w:spacing w:before="0" w:beforeAutospacing="0" w:after="0" w:afterAutospacing="0" w:line="520" w:lineRule="exact"/>
        <w:ind w:firstLine="560" w:firstLineChars="200"/>
        <w:rPr>
          <w:rFonts w:ascii="仿宋_GB2312" w:eastAsia="仿宋_GB2312" w:cs="仿宋_GB2312"/>
          <w:color w:val="000000"/>
          <w:sz w:val="28"/>
          <w:szCs w:val="28"/>
          <w:shd w:val="clear" w:color="auto" w:fill="FFFFFF"/>
        </w:rPr>
      </w:pPr>
      <w:r>
        <w:rPr>
          <w:rFonts w:ascii="仿宋_GB2312" w:eastAsia="仿宋_GB2312" w:cs="仿宋_GB2312"/>
          <w:color w:val="000000"/>
          <w:sz w:val="28"/>
          <w:szCs w:val="28"/>
          <w:shd w:val="clear" w:color="auto" w:fill="FFFFFF"/>
        </w:rPr>
        <w:t>附件：</w:t>
      </w:r>
    </w:p>
    <w:p w14:paraId="27FF1FCF">
      <w:pPr>
        <w:pStyle w:val="10"/>
        <w:widowControl/>
        <w:shd w:val="clear" w:color="auto" w:fill="FFFFFF"/>
        <w:snapToGrid w:val="0"/>
        <w:spacing w:before="0" w:beforeAutospacing="0" w:after="0" w:afterAutospacing="0" w:line="520" w:lineRule="exact"/>
        <w:ind w:firstLine="560" w:firstLineChars="200"/>
        <w:rPr>
          <w:rFonts w:ascii="仿宋_GB2312" w:eastAsia="仿宋_GB2312" w:cs="仿宋_GB2312"/>
          <w:color w:val="000000"/>
          <w:sz w:val="28"/>
          <w:szCs w:val="28"/>
          <w:shd w:val="clear" w:color="auto" w:fill="FFFFFF"/>
        </w:rPr>
      </w:pPr>
      <w:r>
        <w:rPr>
          <w:rFonts w:hint="eastAsia" w:ascii="仿宋_GB2312" w:eastAsia="仿宋_GB2312" w:cs="仿宋_GB2312"/>
          <w:color w:val="000000"/>
          <w:sz w:val="28"/>
          <w:szCs w:val="28"/>
          <w:shd w:val="clear" w:color="auto" w:fill="FFFFFF"/>
        </w:rPr>
        <w:t>1.</w:t>
      </w:r>
      <w:r>
        <w:rPr>
          <w:rFonts w:ascii="仿宋_GB2312" w:eastAsia="仿宋_GB2312" w:cs="仿宋_GB2312"/>
          <w:color w:val="000000"/>
          <w:sz w:val="28"/>
          <w:szCs w:val="28"/>
          <w:shd w:val="clear" w:color="auto" w:fill="FFFFFF"/>
        </w:rPr>
        <w:t>部门整体支出绩效评价基础数据表</w:t>
      </w:r>
      <w:r>
        <w:rPr>
          <w:rFonts w:hint="eastAsia" w:ascii="仿宋_GB2312" w:eastAsia="仿宋_GB2312" w:cs="仿宋_GB2312"/>
          <w:color w:val="000000"/>
          <w:sz w:val="28"/>
          <w:szCs w:val="28"/>
          <w:shd w:val="clear" w:color="auto" w:fill="FFFFFF"/>
        </w:rPr>
        <w:t xml:space="preserve">  </w:t>
      </w:r>
    </w:p>
    <w:p w14:paraId="5A2BE647">
      <w:pPr>
        <w:pStyle w:val="10"/>
        <w:widowControl/>
        <w:shd w:val="clear" w:color="auto" w:fill="FFFFFF"/>
        <w:snapToGrid w:val="0"/>
        <w:spacing w:before="0" w:beforeAutospacing="0" w:after="0" w:afterAutospacing="0" w:line="520" w:lineRule="exact"/>
        <w:ind w:firstLine="560" w:firstLineChars="200"/>
        <w:rPr>
          <w:rFonts w:ascii="仿宋_GB2312" w:eastAsia="仿宋_GB2312" w:cs="仿宋_GB2312"/>
          <w:color w:val="000000"/>
          <w:sz w:val="28"/>
          <w:szCs w:val="28"/>
          <w:shd w:val="clear" w:color="auto" w:fill="FFFFFF"/>
        </w:rPr>
      </w:pPr>
      <w:r>
        <w:rPr>
          <w:rFonts w:hint="eastAsia" w:ascii="仿宋_GB2312" w:eastAsia="仿宋_GB2312" w:cs="仿宋_GB2312"/>
          <w:color w:val="000000"/>
          <w:sz w:val="28"/>
          <w:szCs w:val="28"/>
          <w:shd w:val="clear" w:color="auto" w:fill="FFFFFF"/>
        </w:rPr>
        <w:t>2.</w:t>
      </w:r>
      <w:r>
        <w:rPr>
          <w:rFonts w:ascii="仿宋_GB2312" w:eastAsia="仿宋_GB2312" w:cs="仿宋_GB2312"/>
          <w:color w:val="000000"/>
          <w:sz w:val="28"/>
          <w:szCs w:val="28"/>
          <w:shd w:val="clear" w:color="auto" w:fill="FFFFFF"/>
        </w:rPr>
        <w:t>部门整体支出绩效自评表</w:t>
      </w:r>
    </w:p>
    <w:p w14:paraId="59F569DF">
      <w:pPr>
        <w:pStyle w:val="10"/>
        <w:widowControl/>
        <w:shd w:val="clear" w:color="auto" w:fill="FFFFFF"/>
        <w:wordWrap w:val="0"/>
        <w:spacing w:before="0" w:beforeAutospacing="0" w:after="0" w:afterAutospacing="0" w:line="480" w:lineRule="atLeast"/>
        <w:jc w:val="right"/>
        <w:rPr>
          <w:rFonts w:ascii="仿宋_GB2312" w:eastAsia="仿宋_GB2312" w:cs="仿宋_GB2312"/>
          <w:color w:val="000000"/>
          <w:spacing w:val="20"/>
          <w:sz w:val="32"/>
          <w:szCs w:val="32"/>
          <w:shd w:val="clear" w:color="auto" w:fill="FFFFFF"/>
        </w:rPr>
      </w:pPr>
      <w:r>
        <w:rPr>
          <w:rFonts w:hint="eastAsia" w:ascii="仿宋_GB2312" w:eastAsia="仿宋_GB2312" w:cs="仿宋_GB2312"/>
          <w:color w:val="000000"/>
          <w:spacing w:val="20"/>
          <w:sz w:val="32"/>
          <w:szCs w:val="32"/>
          <w:shd w:val="clear" w:color="auto" w:fill="FFFFFF"/>
        </w:rPr>
        <w:t xml:space="preserve">金竹镇人民政府 </w:t>
      </w:r>
    </w:p>
    <w:p w14:paraId="6970E9FA">
      <w:pPr>
        <w:pStyle w:val="10"/>
        <w:widowControl/>
        <w:shd w:val="clear" w:color="auto" w:fill="FFFFFF"/>
        <w:wordWrap w:val="0"/>
        <w:spacing w:before="0" w:beforeAutospacing="0" w:after="0" w:afterAutospacing="0" w:line="480" w:lineRule="atLeast"/>
        <w:jc w:val="right"/>
        <w:rPr>
          <w:rFonts w:ascii="仿宋_GB2312" w:eastAsia="仿宋_GB2312" w:cs="仿宋_GB2312"/>
          <w:color w:val="000000"/>
          <w:spacing w:val="20"/>
          <w:sz w:val="32"/>
          <w:szCs w:val="32"/>
          <w:shd w:val="clear" w:color="auto" w:fill="FFFFFF"/>
        </w:rPr>
      </w:pPr>
      <w:r>
        <w:rPr>
          <w:rFonts w:hint="eastAsia" w:ascii="仿宋_GB2312" w:eastAsia="仿宋_GB2312" w:cs="仿宋_GB2312"/>
          <w:color w:val="000000"/>
          <w:spacing w:val="20"/>
          <w:sz w:val="32"/>
          <w:szCs w:val="32"/>
          <w:shd w:val="clear" w:color="auto" w:fill="FFFFFF"/>
        </w:rPr>
        <w:t xml:space="preserve">单位负责人：   </w:t>
      </w:r>
    </w:p>
    <w:p w14:paraId="1ADB05F4">
      <w:pPr>
        <w:pStyle w:val="10"/>
        <w:widowControl/>
        <w:shd w:val="clear" w:color="auto" w:fill="FFFFFF"/>
        <w:wordWrap w:val="0"/>
        <w:spacing w:before="0" w:beforeAutospacing="0" w:after="0" w:afterAutospacing="0" w:line="480" w:lineRule="atLeast"/>
        <w:jc w:val="right"/>
        <w:rPr>
          <w:rFonts w:ascii="仿宋_GB2312" w:eastAsia="仿宋_GB2312" w:cs="仿宋_GB2312"/>
          <w:color w:val="000000"/>
          <w:spacing w:val="20"/>
          <w:sz w:val="32"/>
          <w:szCs w:val="32"/>
          <w:shd w:val="clear" w:color="auto" w:fill="FFFFFF"/>
        </w:rPr>
      </w:pPr>
      <w:r>
        <w:rPr>
          <w:rFonts w:hint="eastAsia" w:ascii="仿宋_GB2312" w:eastAsia="仿宋_GB2312" w:cs="仿宋_GB2312"/>
          <w:color w:val="000000"/>
          <w:spacing w:val="20"/>
          <w:sz w:val="32"/>
          <w:szCs w:val="32"/>
          <w:shd w:val="clear" w:color="auto" w:fill="FFFFFF"/>
        </w:rPr>
        <w:t xml:space="preserve">  2024年 月 日 </w:t>
      </w:r>
    </w:p>
    <w:p w14:paraId="5F80278C">
      <w:pPr>
        <w:pStyle w:val="10"/>
        <w:widowControl/>
        <w:shd w:val="clear" w:color="auto" w:fill="FFFFFF"/>
        <w:spacing w:before="0" w:beforeAutospacing="0" w:after="0" w:afterAutospacing="0" w:line="480" w:lineRule="exact"/>
        <w:jc w:val="both"/>
        <w:rPr>
          <w:rFonts w:hint="eastAsia" w:ascii="仿宋_GB2312" w:hAnsi="仿宋_GB2312" w:eastAsia="仿宋_GB2312" w:cs="仿宋_GB2312"/>
          <w:color w:val="000000"/>
          <w:sz w:val="32"/>
          <w:szCs w:val="32"/>
          <w:shd w:val="clear" w:color="auto" w:fill="FFFFFF"/>
        </w:rPr>
      </w:pPr>
    </w:p>
    <w:p w14:paraId="527A11C1">
      <w:pPr>
        <w:widowControl/>
        <w:tabs>
          <w:tab w:val="left" w:pos="3611"/>
          <w:tab w:val="left" w:pos="4791"/>
          <w:tab w:val="left" w:pos="5951"/>
          <w:tab w:val="left" w:pos="7071"/>
          <w:tab w:val="left" w:pos="8191"/>
          <w:tab w:val="left" w:pos="9311"/>
        </w:tabs>
        <w:spacing w:line="480" w:lineRule="exact"/>
        <w:ind w:left="91"/>
        <w:jc w:val="center"/>
        <w:rPr>
          <w:rFonts w:hint="eastAsia" w:ascii="方正小标宋简体" w:hAnsi="方正小标宋简体" w:eastAsia="方正小标宋简体" w:cs="方正小标宋简体"/>
          <w:color w:val="000000"/>
          <w:kern w:val="0"/>
          <w:sz w:val="36"/>
          <w:szCs w:val="36"/>
        </w:rPr>
      </w:pPr>
      <w:r>
        <w:rPr>
          <w:rFonts w:hint="eastAsia" w:ascii="方正小标宋简体" w:hAnsi="方正小标宋简体" w:eastAsia="方正小标宋简体" w:cs="方正小标宋简体"/>
          <w:color w:val="000000"/>
          <w:kern w:val="0"/>
          <w:sz w:val="36"/>
          <w:szCs w:val="36"/>
        </w:rPr>
        <w:t>部门整体支出绩效评价基础数据表</w:t>
      </w:r>
    </w:p>
    <w:p w14:paraId="30080888">
      <w:pPr>
        <w:widowControl/>
        <w:tabs>
          <w:tab w:val="left" w:pos="3611"/>
          <w:tab w:val="left" w:pos="4791"/>
          <w:tab w:val="left" w:pos="5951"/>
          <w:tab w:val="left" w:pos="7071"/>
          <w:tab w:val="left" w:pos="8191"/>
          <w:tab w:val="left" w:pos="9311"/>
        </w:tabs>
        <w:ind w:left="91"/>
        <w:jc w:val="left"/>
        <w:rPr>
          <w:rFonts w:eastAsia="仿宋_GB2312"/>
          <w:kern w:val="0"/>
          <w:sz w:val="24"/>
        </w:rPr>
      </w:pPr>
      <w:r>
        <w:rPr>
          <w:rFonts w:hint="eastAsia" w:eastAsia="仿宋_GB2312"/>
          <w:kern w:val="0"/>
          <w:sz w:val="24"/>
        </w:rPr>
        <w:t xml:space="preserve">填报单位：金竹镇人民政府                                        </w:t>
      </w:r>
    </w:p>
    <w:tbl>
      <w:tblPr>
        <w:tblStyle w:val="11"/>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14:paraId="34066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vAlign w:val="center"/>
          </w:tcPr>
          <w:p w14:paraId="3F3C2711">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财政供养人员情况</w:t>
            </w:r>
          </w:p>
        </w:tc>
        <w:tc>
          <w:tcPr>
            <w:tcW w:w="2038" w:type="dxa"/>
            <w:gridSpan w:val="2"/>
            <w:vAlign w:val="center"/>
          </w:tcPr>
          <w:p w14:paraId="01B392F8">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编制数</w:t>
            </w:r>
          </w:p>
        </w:tc>
        <w:tc>
          <w:tcPr>
            <w:tcW w:w="2240" w:type="dxa"/>
            <w:gridSpan w:val="2"/>
            <w:vAlign w:val="center"/>
          </w:tcPr>
          <w:p w14:paraId="6119D4C3">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2023年实际在职人数</w:t>
            </w:r>
          </w:p>
        </w:tc>
        <w:tc>
          <w:tcPr>
            <w:tcW w:w="1832" w:type="dxa"/>
            <w:gridSpan w:val="2"/>
            <w:vAlign w:val="center"/>
          </w:tcPr>
          <w:p w14:paraId="37041E2D">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控制率</w:t>
            </w:r>
          </w:p>
        </w:tc>
      </w:tr>
      <w:tr w14:paraId="23133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3354" w:type="dxa"/>
            <w:vMerge w:val="continue"/>
            <w:vAlign w:val="center"/>
          </w:tcPr>
          <w:p w14:paraId="758EA6DA">
            <w:pPr>
              <w:widowControl/>
              <w:jc w:val="left"/>
              <w:rPr>
                <w:rFonts w:hint="eastAsia" w:ascii="仿宋" w:hAnsi="仿宋" w:eastAsia="仿宋" w:cs="仿宋"/>
                <w:kern w:val="0"/>
                <w:sz w:val="20"/>
                <w:szCs w:val="20"/>
              </w:rPr>
            </w:pPr>
          </w:p>
        </w:tc>
        <w:tc>
          <w:tcPr>
            <w:tcW w:w="2038" w:type="dxa"/>
            <w:gridSpan w:val="2"/>
            <w:vAlign w:val="center"/>
          </w:tcPr>
          <w:p w14:paraId="7CA3EDB5">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73</w:t>
            </w:r>
          </w:p>
        </w:tc>
        <w:tc>
          <w:tcPr>
            <w:tcW w:w="2240" w:type="dxa"/>
            <w:gridSpan w:val="2"/>
            <w:vAlign w:val="center"/>
          </w:tcPr>
          <w:p w14:paraId="37E323FA">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　65</w:t>
            </w:r>
          </w:p>
        </w:tc>
        <w:tc>
          <w:tcPr>
            <w:tcW w:w="1832" w:type="dxa"/>
            <w:gridSpan w:val="2"/>
            <w:vAlign w:val="center"/>
          </w:tcPr>
          <w:p w14:paraId="1FE804F7">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89.04%　</w:t>
            </w:r>
          </w:p>
        </w:tc>
      </w:tr>
      <w:tr w14:paraId="27971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14:paraId="32DA7181">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经费控制情况</w:t>
            </w:r>
          </w:p>
        </w:tc>
        <w:tc>
          <w:tcPr>
            <w:tcW w:w="2038" w:type="dxa"/>
            <w:gridSpan w:val="2"/>
            <w:vAlign w:val="center"/>
          </w:tcPr>
          <w:p w14:paraId="0141229B">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2022年决算数</w:t>
            </w:r>
          </w:p>
        </w:tc>
        <w:tc>
          <w:tcPr>
            <w:tcW w:w="2240" w:type="dxa"/>
            <w:gridSpan w:val="2"/>
            <w:vAlign w:val="center"/>
          </w:tcPr>
          <w:p w14:paraId="3AD94563">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2023年预算数</w:t>
            </w:r>
          </w:p>
        </w:tc>
        <w:tc>
          <w:tcPr>
            <w:tcW w:w="1832" w:type="dxa"/>
            <w:gridSpan w:val="2"/>
            <w:vAlign w:val="center"/>
          </w:tcPr>
          <w:p w14:paraId="3C47BFD5">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2023年决算数</w:t>
            </w:r>
          </w:p>
        </w:tc>
      </w:tr>
      <w:tr w14:paraId="33927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14:paraId="6B597040">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三公经费</w:t>
            </w:r>
          </w:p>
        </w:tc>
        <w:tc>
          <w:tcPr>
            <w:tcW w:w="2038" w:type="dxa"/>
            <w:gridSpan w:val="2"/>
            <w:vAlign w:val="center"/>
          </w:tcPr>
          <w:p w14:paraId="61342642">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28.96</w:t>
            </w:r>
          </w:p>
        </w:tc>
        <w:tc>
          <w:tcPr>
            <w:tcW w:w="2240" w:type="dxa"/>
            <w:gridSpan w:val="2"/>
            <w:vAlign w:val="center"/>
          </w:tcPr>
          <w:p w14:paraId="28AC981B">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26.6</w:t>
            </w:r>
          </w:p>
        </w:tc>
        <w:tc>
          <w:tcPr>
            <w:tcW w:w="1832" w:type="dxa"/>
            <w:gridSpan w:val="2"/>
            <w:vAlign w:val="center"/>
          </w:tcPr>
          <w:p w14:paraId="00540D64">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16.39</w:t>
            </w:r>
          </w:p>
        </w:tc>
      </w:tr>
      <w:tr w14:paraId="6009D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14:paraId="14ED9FF1">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 xml:space="preserve">   1、公务用车购置和维护经费</w:t>
            </w:r>
          </w:p>
        </w:tc>
        <w:tc>
          <w:tcPr>
            <w:tcW w:w="2038" w:type="dxa"/>
            <w:gridSpan w:val="2"/>
            <w:vAlign w:val="center"/>
          </w:tcPr>
          <w:p w14:paraId="7B1D923A">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14.21</w:t>
            </w:r>
          </w:p>
        </w:tc>
        <w:tc>
          <w:tcPr>
            <w:tcW w:w="2240" w:type="dxa"/>
            <w:gridSpan w:val="2"/>
            <w:vAlign w:val="center"/>
          </w:tcPr>
          <w:p w14:paraId="387FA552">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14.2</w:t>
            </w:r>
          </w:p>
        </w:tc>
        <w:tc>
          <w:tcPr>
            <w:tcW w:w="1832" w:type="dxa"/>
            <w:gridSpan w:val="2"/>
            <w:vAlign w:val="center"/>
          </w:tcPr>
          <w:p w14:paraId="13F60426">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7.07</w:t>
            </w:r>
          </w:p>
        </w:tc>
      </w:tr>
      <w:tr w14:paraId="4D6DB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14:paraId="73E19C56">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 xml:space="preserve">       其中：公车购置</w:t>
            </w:r>
          </w:p>
        </w:tc>
        <w:tc>
          <w:tcPr>
            <w:tcW w:w="2038" w:type="dxa"/>
            <w:gridSpan w:val="2"/>
            <w:vAlign w:val="center"/>
          </w:tcPr>
          <w:p w14:paraId="31377E23">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3.02</w:t>
            </w:r>
          </w:p>
        </w:tc>
        <w:tc>
          <w:tcPr>
            <w:tcW w:w="2240" w:type="dxa"/>
            <w:gridSpan w:val="2"/>
            <w:vAlign w:val="center"/>
          </w:tcPr>
          <w:p w14:paraId="38EED7F6">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0</w:t>
            </w:r>
          </w:p>
        </w:tc>
        <w:tc>
          <w:tcPr>
            <w:tcW w:w="1832" w:type="dxa"/>
            <w:gridSpan w:val="2"/>
            <w:vAlign w:val="center"/>
          </w:tcPr>
          <w:p w14:paraId="3DDFCAA4">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0</w:t>
            </w:r>
          </w:p>
        </w:tc>
      </w:tr>
      <w:tr w14:paraId="73D2C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14:paraId="0584F289">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 xml:space="preserve">             公车运行维护</w:t>
            </w:r>
          </w:p>
        </w:tc>
        <w:tc>
          <w:tcPr>
            <w:tcW w:w="2038" w:type="dxa"/>
            <w:gridSpan w:val="2"/>
            <w:vAlign w:val="center"/>
          </w:tcPr>
          <w:p w14:paraId="58591A28">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11.19</w:t>
            </w:r>
          </w:p>
        </w:tc>
        <w:tc>
          <w:tcPr>
            <w:tcW w:w="2240" w:type="dxa"/>
            <w:gridSpan w:val="2"/>
            <w:vAlign w:val="center"/>
          </w:tcPr>
          <w:p w14:paraId="6D4D46B2">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14，2</w:t>
            </w:r>
          </w:p>
        </w:tc>
        <w:tc>
          <w:tcPr>
            <w:tcW w:w="1832" w:type="dxa"/>
            <w:gridSpan w:val="2"/>
            <w:vAlign w:val="center"/>
          </w:tcPr>
          <w:p w14:paraId="489E1685">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7.07</w:t>
            </w:r>
          </w:p>
        </w:tc>
      </w:tr>
      <w:tr w14:paraId="6A674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14:paraId="797E6D63">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 xml:space="preserve">   2、出国经费</w:t>
            </w:r>
          </w:p>
        </w:tc>
        <w:tc>
          <w:tcPr>
            <w:tcW w:w="2038" w:type="dxa"/>
            <w:gridSpan w:val="2"/>
            <w:vAlign w:val="center"/>
          </w:tcPr>
          <w:p w14:paraId="02377012">
            <w:pPr>
              <w:widowControl/>
              <w:jc w:val="center"/>
              <w:rPr>
                <w:rFonts w:hint="eastAsia" w:ascii="仿宋" w:hAnsi="仿宋" w:eastAsia="仿宋" w:cs="仿宋"/>
                <w:kern w:val="0"/>
                <w:sz w:val="20"/>
                <w:szCs w:val="20"/>
              </w:rPr>
            </w:pPr>
          </w:p>
        </w:tc>
        <w:tc>
          <w:tcPr>
            <w:tcW w:w="2240" w:type="dxa"/>
            <w:gridSpan w:val="2"/>
            <w:vAlign w:val="center"/>
          </w:tcPr>
          <w:p w14:paraId="23D314D1">
            <w:pPr>
              <w:widowControl/>
              <w:jc w:val="center"/>
              <w:rPr>
                <w:rFonts w:hint="eastAsia" w:ascii="仿宋" w:hAnsi="仿宋" w:eastAsia="仿宋" w:cs="仿宋"/>
                <w:kern w:val="0"/>
                <w:sz w:val="20"/>
                <w:szCs w:val="20"/>
              </w:rPr>
            </w:pPr>
          </w:p>
        </w:tc>
        <w:tc>
          <w:tcPr>
            <w:tcW w:w="1832" w:type="dxa"/>
            <w:gridSpan w:val="2"/>
            <w:vAlign w:val="center"/>
          </w:tcPr>
          <w:p w14:paraId="73D26B32">
            <w:pPr>
              <w:widowControl/>
              <w:jc w:val="center"/>
              <w:rPr>
                <w:rFonts w:hint="eastAsia" w:ascii="仿宋" w:hAnsi="仿宋" w:eastAsia="仿宋" w:cs="仿宋"/>
                <w:kern w:val="0"/>
                <w:sz w:val="20"/>
                <w:szCs w:val="20"/>
              </w:rPr>
            </w:pPr>
          </w:p>
        </w:tc>
      </w:tr>
      <w:tr w14:paraId="35B3A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14:paraId="16793EBC">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 xml:space="preserve">   3、公务接待</w:t>
            </w:r>
          </w:p>
        </w:tc>
        <w:tc>
          <w:tcPr>
            <w:tcW w:w="2038" w:type="dxa"/>
            <w:gridSpan w:val="2"/>
            <w:vAlign w:val="center"/>
          </w:tcPr>
          <w:p w14:paraId="44686A7E">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14.75</w:t>
            </w:r>
          </w:p>
        </w:tc>
        <w:tc>
          <w:tcPr>
            <w:tcW w:w="2240" w:type="dxa"/>
            <w:gridSpan w:val="2"/>
            <w:vAlign w:val="center"/>
          </w:tcPr>
          <w:p w14:paraId="74CA4673">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12.4</w:t>
            </w:r>
          </w:p>
        </w:tc>
        <w:tc>
          <w:tcPr>
            <w:tcW w:w="1832" w:type="dxa"/>
            <w:gridSpan w:val="2"/>
            <w:vAlign w:val="center"/>
          </w:tcPr>
          <w:p w14:paraId="0EFDB273">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9.32</w:t>
            </w:r>
          </w:p>
        </w:tc>
      </w:tr>
      <w:tr w14:paraId="64446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14:paraId="47D70F98">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项目支出：</w:t>
            </w:r>
          </w:p>
        </w:tc>
        <w:tc>
          <w:tcPr>
            <w:tcW w:w="2038" w:type="dxa"/>
            <w:gridSpan w:val="2"/>
            <w:vAlign w:val="center"/>
          </w:tcPr>
          <w:p w14:paraId="207E0C6B">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78.71</w:t>
            </w:r>
          </w:p>
        </w:tc>
        <w:tc>
          <w:tcPr>
            <w:tcW w:w="2240" w:type="dxa"/>
            <w:gridSpan w:val="2"/>
            <w:vAlign w:val="center"/>
          </w:tcPr>
          <w:p w14:paraId="1EAF2251">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84.27</w:t>
            </w:r>
          </w:p>
        </w:tc>
        <w:tc>
          <w:tcPr>
            <w:tcW w:w="1832" w:type="dxa"/>
            <w:gridSpan w:val="2"/>
            <w:vAlign w:val="center"/>
          </w:tcPr>
          <w:p w14:paraId="3FC42ECE">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256.71</w:t>
            </w:r>
          </w:p>
        </w:tc>
      </w:tr>
      <w:tr w14:paraId="53757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14:paraId="2E9EE84F">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 xml:space="preserve">    1、业务工作经费</w:t>
            </w:r>
          </w:p>
        </w:tc>
        <w:tc>
          <w:tcPr>
            <w:tcW w:w="2038" w:type="dxa"/>
            <w:gridSpan w:val="2"/>
            <w:vAlign w:val="center"/>
          </w:tcPr>
          <w:p w14:paraId="2142E270">
            <w:pPr>
              <w:widowControl/>
              <w:jc w:val="center"/>
              <w:rPr>
                <w:rFonts w:hint="eastAsia" w:ascii="仿宋" w:hAnsi="仿宋" w:eastAsia="仿宋" w:cs="仿宋"/>
                <w:kern w:val="0"/>
                <w:sz w:val="20"/>
                <w:szCs w:val="20"/>
              </w:rPr>
            </w:pPr>
          </w:p>
        </w:tc>
        <w:tc>
          <w:tcPr>
            <w:tcW w:w="2240" w:type="dxa"/>
            <w:gridSpan w:val="2"/>
            <w:vAlign w:val="center"/>
          </w:tcPr>
          <w:p w14:paraId="1DF59DF5">
            <w:pPr>
              <w:widowControl/>
              <w:jc w:val="center"/>
              <w:rPr>
                <w:rFonts w:hint="eastAsia" w:ascii="仿宋" w:hAnsi="仿宋" w:eastAsia="仿宋" w:cs="仿宋"/>
                <w:kern w:val="0"/>
                <w:sz w:val="20"/>
                <w:szCs w:val="20"/>
              </w:rPr>
            </w:pPr>
          </w:p>
        </w:tc>
        <w:tc>
          <w:tcPr>
            <w:tcW w:w="1832" w:type="dxa"/>
            <w:gridSpan w:val="2"/>
            <w:vAlign w:val="center"/>
          </w:tcPr>
          <w:p w14:paraId="72B98D7A">
            <w:pPr>
              <w:widowControl/>
              <w:jc w:val="center"/>
              <w:rPr>
                <w:rFonts w:hint="eastAsia" w:ascii="仿宋" w:hAnsi="仿宋" w:eastAsia="仿宋" w:cs="仿宋"/>
                <w:kern w:val="0"/>
                <w:sz w:val="20"/>
                <w:szCs w:val="20"/>
              </w:rPr>
            </w:pPr>
          </w:p>
        </w:tc>
      </w:tr>
      <w:tr w14:paraId="6C6B8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14:paraId="5CE88F95">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 xml:space="preserve">    2、运行维护经费</w:t>
            </w:r>
          </w:p>
        </w:tc>
        <w:tc>
          <w:tcPr>
            <w:tcW w:w="2038" w:type="dxa"/>
            <w:gridSpan w:val="2"/>
            <w:vAlign w:val="center"/>
          </w:tcPr>
          <w:p w14:paraId="60D92B3B">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78.71</w:t>
            </w:r>
          </w:p>
        </w:tc>
        <w:tc>
          <w:tcPr>
            <w:tcW w:w="2240" w:type="dxa"/>
            <w:gridSpan w:val="2"/>
            <w:vAlign w:val="center"/>
          </w:tcPr>
          <w:p w14:paraId="065C6A0D">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84.27</w:t>
            </w:r>
          </w:p>
        </w:tc>
        <w:tc>
          <w:tcPr>
            <w:tcW w:w="1832" w:type="dxa"/>
            <w:gridSpan w:val="2"/>
            <w:vAlign w:val="center"/>
          </w:tcPr>
          <w:p w14:paraId="225D329E">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256.71</w:t>
            </w:r>
          </w:p>
        </w:tc>
      </w:tr>
      <w:tr w14:paraId="744B6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54" w:type="dxa"/>
            <w:vAlign w:val="center"/>
          </w:tcPr>
          <w:p w14:paraId="74EF42B7">
            <w:pPr>
              <w:widowControl/>
              <w:ind w:firstLine="400" w:firstLineChars="200"/>
              <w:jc w:val="left"/>
              <w:rPr>
                <w:rFonts w:hint="eastAsia" w:ascii="仿宋" w:hAnsi="仿宋" w:eastAsia="仿宋" w:cs="仿宋"/>
                <w:kern w:val="0"/>
                <w:sz w:val="20"/>
                <w:szCs w:val="20"/>
              </w:rPr>
            </w:pPr>
            <w:r>
              <w:rPr>
                <w:rFonts w:hint="eastAsia" w:ascii="仿宋" w:hAnsi="仿宋" w:eastAsia="仿宋" w:cs="仿宋"/>
                <w:kern w:val="0"/>
                <w:sz w:val="20"/>
                <w:szCs w:val="20"/>
              </w:rPr>
              <w:t>3、市级专项资金</w:t>
            </w:r>
          </w:p>
          <w:p w14:paraId="19DF68C9">
            <w:pPr>
              <w:widowControl/>
              <w:ind w:firstLine="600" w:firstLineChars="300"/>
              <w:jc w:val="left"/>
              <w:rPr>
                <w:rFonts w:hint="eastAsia" w:ascii="仿宋" w:hAnsi="仿宋" w:eastAsia="仿宋" w:cs="仿宋"/>
                <w:kern w:val="0"/>
                <w:sz w:val="20"/>
                <w:szCs w:val="20"/>
              </w:rPr>
            </w:pPr>
            <w:r>
              <w:rPr>
                <w:rFonts w:hint="eastAsia" w:ascii="仿宋" w:hAnsi="仿宋" w:eastAsia="仿宋" w:cs="仿宋"/>
                <w:kern w:val="0"/>
                <w:sz w:val="20"/>
                <w:szCs w:val="20"/>
              </w:rPr>
              <w:t>（一个专项一行）</w:t>
            </w:r>
          </w:p>
        </w:tc>
        <w:tc>
          <w:tcPr>
            <w:tcW w:w="2038" w:type="dxa"/>
            <w:gridSpan w:val="2"/>
            <w:vAlign w:val="center"/>
          </w:tcPr>
          <w:p w14:paraId="2AC395B4">
            <w:pPr>
              <w:widowControl/>
              <w:jc w:val="center"/>
              <w:rPr>
                <w:rFonts w:hint="eastAsia" w:ascii="仿宋" w:hAnsi="仿宋" w:eastAsia="仿宋" w:cs="仿宋"/>
                <w:kern w:val="0"/>
                <w:sz w:val="20"/>
                <w:szCs w:val="20"/>
              </w:rPr>
            </w:pPr>
          </w:p>
        </w:tc>
        <w:tc>
          <w:tcPr>
            <w:tcW w:w="2240" w:type="dxa"/>
            <w:gridSpan w:val="2"/>
            <w:vAlign w:val="center"/>
          </w:tcPr>
          <w:p w14:paraId="2C52D416">
            <w:pPr>
              <w:widowControl/>
              <w:jc w:val="center"/>
              <w:rPr>
                <w:rFonts w:hint="eastAsia" w:ascii="仿宋" w:hAnsi="仿宋" w:eastAsia="仿宋" w:cs="仿宋"/>
                <w:kern w:val="0"/>
                <w:sz w:val="20"/>
                <w:szCs w:val="20"/>
              </w:rPr>
            </w:pPr>
          </w:p>
        </w:tc>
        <w:tc>
          <w:tcPr>
            <w:tcW w:w="1832" w:type="dxa"/>
            <w:gridSpan w:val="2"/>
            <w:vAlign w:val="center"/>
          </w:tcPr>
          <w:p w14:paraId="009F2497">
            <w:pPr>
              <w:widowControl/>
              <w:jc w:val="center"/>
              <w:rPr>
                <w:rFonts w:hint="eastAsia" w:ascii="仿宋" w:hAnsi="仿宋" w:eastAsia="仿宋" w:cs="仿宋"/>
                <w:kern w:val="0"/>
                <w:sz w:val="20"/>
                <w:szCs w:val="20"/>
              </w:rPr>
            </w:pPr>
          </w:p>
        </w:tc>
      </w:tr>
      <w:tr w14:paraId="5C8C3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14:paraId="0C58B1C5">
            <w:pPr>
              <w:widowControl/>
              <w:ind w:firstLine="400" w:firstLineChars="200"/>
              <w:jc w:val="left"/>
              <w:rPr>
                <w:rFonts w:hint="eastAsia" w:ascii="仿宋" w:hAnsi="仿宋" w:eastAsia="仿宋" w:cs="仿宋"/>
                <w:kern w:val="0"/>
                <w:sz w:val="20"/>
                <w:szCs w:val="20"/>
              </w:rPr>
            </w:pPr>
            <w:r>
              <w:rPr>
                <w:rFonts w:hint="eastAsia" w:ascii="仿宋" w:hAnsi="仿宋" w:eastAsia="仿宋" w:cs="仿宋"/>
                <w:kern w:val="0"/>
                <w:sz w:val="20"/>
                <w:szCs w:val="20"/>
              </w:rPr>
              <w:t>4、其他事业类发展资金</w:t>
            </w:r>
          </w:p>
        </w:tc>
        <w:tc>
          <w:tcPr>
            <w:tcW w:w="2038" w:type="dxa"/>
            <w:gridSpan w:val="2"/>
            <w:vAlign w:val="center"/>
          </w:tcPr>
          <w:p w14:paraId="41A8922E">
            <w:pPr>
              <w:widowControl/>
              <w:jc w:val="center"/>
              <w:rPr>
                <w:rFonts w:hint="eastAsia" w:ascii="仿宋" w:hAnsi="仿宋" w:eastAsia="仿宋" w:cs="仿宋"/>
                <w:kern w:val="0"/>
                <w:sz w:val="20"/>
                <w:szCs w:val="20"/>
              </w:rPr>
            </w:pPr>
          </w:p>
        </w:tc>
        <w:tc>
          <w:tcPr>
            <w:tcW w:w="2240" w:type="dxa"/>
            <w:gridSpan w:val="2"/>
            <w:vAlign w:val="center"/>
          </w:tcPr>
          <w:p w14:paraId="7AFCD0B7">
            <w:pPr>
              <w:widowControl/>
              <w:jc w:val="center"/>
              <w:rPr>
                <w:rFonts w:hint="eastAsia" w:ascii="仿宋" w:hAnsi="仿宋" w:eastAsia="仿宋" w:cs="仿宋"/>
                <w:kern w:val="0"/>
                <w:sz w:val="20"/>
                <w:szCs w:val="20"/>
              </w:rPr>
            </w:pPr>
          </w:p>
        </w:tc>
        <w:tc>
          <w:tcPr>
            <w:tcW w:w="1832" w:type="dxa"/>
            <w:gridSpan w:val="2"/>
            <w:vAlign w:val="center"/>
          </w:tcPr>
          <w:p w14:paraId="4FDFECCC">
            <w:pPr>
              <w:widowControl/>
              <w:jc w:val="center"/>
              <w:rPr>
                <w:rFonts w:hint="eastAsia" w:ascii="仿宋" w:hAnsi="仿宋" w:eastAsia="仿宋" w:cs="仿宋"/>
                <w:kern w:val="0"/>
                <w:sz w:val="20"/>
                <w:szCs w:val="20"/>
              </w:rPr>
            </w:pPr>
          </w:p>
        </w:tc>
      </w:tr>
      <w:tr w14:paraId="0C230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3354" w:type="dxa"/>
            <w:vAlign w:val="center"/>
          </w:tcPr>
          <w:p w14:paraId="09835454">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w:t>
            </w:r>
          </w:p>
        </w:tc>
        <w:tc>
          <w:tcPr>
            <w:tcW w:w="2038" w:type="dxa"/>
            <w:gridSpan w:val="2"/>
            <w:vAlign w:val="center"/>
          </w:tcPr>
          <w:p w14:paraId="0E46E1ED">
            <w:pPr>
              <w:widowControl/>
              <w:jc w:val="center"/>
              <w:rPr>
                <w:rFonts w:hint="eastAsia" w:ascii="仿宋" w:hAnsi="仿宋" w:eastAsia="仿宋" w:cs="仿宋"/>
                <w:kern w:val="0"/>
                <w:sz w:val="20"/>
                <w:szCs w:val="20"/>
              </w:rPr>
            </w:pPr>
          </w:p>
        </w:tc>
        <w:tc>
          <w:tcPr>
            <w:tcW w:w="2240" w:type="dxa"/>
            <w:gridSpan w:val="2"/>
            <w:vAlign w:val="center"/>
          </w:tcPr>
          <w:p w14:paraId="5055F88B">
            <w:pPr>
              <w:widowControl/>
              <w:jc w:val="center"/>
              <w:rPr>
                <w:rFonts w:hint="eastAsia" w:ascii="仿宋" w:hAnsi="仿宋" w:eastAsia="仿宋" w:cs="仿宋"/>
                <w:kern w:val="0"/>
                <w:sz w:val="20"/>
                <w:szCs w:val="20"/>
              </w:rPr>
            </w:pPr>
          </w:p>
        </w:tc>
        <w:tc>
          <w:tcPr>
            <w:tcW w:w="1832" w:type="dxa"/>
            <w:gridSpan w:val="2"/>
            <w:vAlign w:val="center"/>
          </w:tcPr>
          <w:p w14:paraId="0D2CD639">
            <w:pPr>
              <w:widowControl/>
              <w:jc w:val="center"/>
              <w:rPr>
                <w:rFonts w:hint="eastAsia" w:ascii="仿宋" w:hAnsi="仿宋" w:eastAsia="仿宋" w:cs="仿宋"/>
                <w:kern w:val="0"/>
                <w:sz w:val="20"/>
                <w:szCs w:val="20"/>
              </w:rPr>
            </w:pPr>
          </w:p>
        </w:tc>
      </w:tr>
      <w:tr w14:paraId="56356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14:paraId="36E37538">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公用经费</w:t>
            </w:r>
          </w:p>
        </w:tc>
        <w:tc>
          <w:tcPr>
            <w:tcW w:w="2038" w:type="dxa"/>
            <w:gridSpan w:val="2"/>
            <w:vAlign w:val="center"/>
          </w:tcPr>
          <w:p w14:paraId="4F14B644">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594.36</w:t>
            </w:r>
          </w:p>
        </w:tc>
        <w:tc>
          <w:tcPr>
            <w:tcW w:w="2240" w:type="dxa"/>
            <w:gridSpan w:val="2"/>
            <w:vAlign w:val="center"/>
          </w:tcPr>
          <w:p w14:paraId="68A12F22">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148.5</w:t>
            </w:r>
          </w:p>
        </w:tc>
        <w:tc>
          <w:tcPr>
            <w:tcW w:w="1832" w:type="dxa"/>
            <w:gridSpan w:val="2"/>
            <w:vAlign w:val="center"/>
          </w:tcPr>
          <w:p w14:paraId="0A9A22CA">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166.07</w:t>
            </w:r>
          </w:p>
        </w:tc>
      </w:tr>
      <w:tr w14:paraId="008ED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14:paraId="59CC3028">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 xml:space="preserve">    其中：办公费</w:t>
            </w:r>
          </w:p>
        </w:tc>
        <w:tc>
          <w:tcPr>
            <w:tcW w:w="2038" w:type="dxa"/>
            <w:gridSpan w:val="2"/>
            <w:vAlign w:val="center"/>
          </w:tcPr>
          <w:p w14:paraId="09605DA7">
            <w:pPr>
              <w:widowControl/>
              <w:jc w:val="center"/>
              <w:rPr>
                <w:rFonts w:hint="eastAsia" w:ascii="仿宋" w:hAnsi="仿宋" w:eastAsia="仿宋" w:cs="仿宋"/>
                <w:color w:val="FF0000"/>
                <w:kern w:val="0"/>
                <w:sz w:val="20"/>
                <w:szCs w:val="20"/>
              </w:rPr>
            </w:pPr>
            <w:r>
              <w:rPr>
                <w:rFonts w:hint="eastAsia" w:ascii="仿宋" w:hAnsi="仿宋" w:eastAsia="仿宋" w:cs="仿宋"/>
                <w:color w:val="FF0000"/>
                <w:kern w:val="0"/>
                <w:sz w:val="20"/>
                <w:szCs w:val="20"/>
              </w:rPr>
              <w:t>285.77</w:t>
            </w:r>
          </w:p>
        </w:tc>
        <w:tc>
          <w:tcPr>
            <w:tcW w:w="2240" w:type="dxa"/>
            <w:gridSpan w:val="2"/>
            <w:vAlign w:val="center"/>
          </w:tcPr>
          <w:p w14:paraId="50F59174">
            <w:pPr>
              <w:widowControl/>
              <w:jc w:val="center"/>
              <w:rPr>
                <w:rFonts w:hint="eastAsia" w:ascii="仿宋" w:hAnsi="仿宋" w:eastAsia="仿宋" w:cs="仿宋"/>
                <w:color w:val="FF0000"/>
                <w:kern w:val="0"/>
                <w:sz w:val="20"/>
                <w:szCs w:val="20"/>
              </w:rPr>
            </w:pPr>
            <w:r>
              <w:rPr>
                <w:rFonts w:hint="eastAsia" w:ascii="仿宋" w:hAnsi="仿宋" w:eastAsia="仿宋" w:cs="仿宋"/>
                <w:color w:val="FF0000"/>
                <w:kern w:val="0"/>
                <w:sz w:val="20"/>
                <w:szCs w:val="20"/>
              </w:rPr>
              <w:t>96.5</w:t>
            </w:r>
          </w:p>
        </w:tc>
        <w:tc>
          <w:tcPr>
            <w:tcW w:w="1832" w:type="dxa"/>
            <w:gridSpan w:val="2"/>
            <w:vAlign w:val="center"/>
          </w:tcPr>
          <w:p w14:paraId="77D9FB69">
            <w:pPr>
              <w:widowControl/>
              <w:jc w:val="center"/>
              <w:rPr>
                <w:rFonts w:hint="eastAsia" w:ascii="仿宋" w:hAnsi="仿宋" w:eastAsia="仿宋" w:cs="仿宋"/>
                <w:color w:val="FF0000"/>
                <w:kern w:val="0"/>
                <w:sz w:val="20"/>
                <w:szCs w:val="20"/>
              </w:rPr>
            </w:pPr>
            <w:r>
              <w:rPr>
                <w:rFonts w:hint="eastAsia" w:ascii="仿宋" w:hAnsi="仿宋" w:eastAsia="仿宋" w:cs="仿宋"/>
                <w:color w:val="FF0000"/>
                <w:kern w:val="0"/>
                <w:sz w:val="20"/>
                <w:szCs w:val="20"/>
              </w:rPr>
              <w:t>35.01</w:t>
            </w:r>
          </w:p>
        </w:tc>
      </w:tr>
      <w:tr w14:paraId="5D85D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14:paraId="02DC8A0E">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 xml:space="preserve">          水费、电费、差旅费</w:t>
            </w:r>
          </w:p>
        </w:tc>
        <w:tc>
          <w:tcPr>
            <w:tcW w:w="2038" w:type="dxa"/>
            <w:gridSpan w:val="2"/>
            <w:vAlign w:val="center"/>
          </w:tcPr>
          <w:p w14:paraId="61A8F262">
            <w:pPr>
              <w:widowControl/>
              <w:jc w:val="center"/>
              <w:rPr>
                <w:rFonts w:hint="eastAsia" w:ascii="仿宋" w:hAnsi="仿宋" w:eastAsia="仿宋" w:cs="仿宋"/>
                <w:color w:val="FF0000"/>
                <w:kern w:val="0"/>
                <w:sz w:val="20"/>
                <w:szCs w:val="20"/>
              </w:rPr>
            </w:pPr>
            <w:r>
              <w:rPr>
                <w:rFonts w:hint="eastAsia" w:ascii="仿宋" w:hAnsi="仿宋" w:eastAsia="仿宋" w:cs="仿宋"/>
                <w:color w:val="FF0000"/>
                <w:kern w:val="0"/>
                <w:sz w:val="20"/>
                <w:szCs w:val="20"/>
              </w:rPr>
              <w:t>14.75</w:t>
            </w:r>
          </w:p>
        </w:tc>
        <w:tc>
          <w:tcPr>
            <w:tcW w:w="2240" w:type="dxa"/>
            <w:gridSpan w:val="2"/>
            <w:vAlign w:val="center"/>
          </w:tcPr>
          <w:p w14:paraId="296780E4">
            <w:pPr>
              <w:widowControl/>
              <w:jc w:val="center"/>
              <w:rPr>
                <w:rFonts w:hint="eastAsia" w:ascii="仿宋" w:hAnsi="仿宋" w:eastAsia="仿宋" w:cs="仿宋"/>
                <w:color w:val="FF0000"/>
                <w:kern w:val="0"/>
                <w:sz w:val="20"/>
                <w:szCs w:val="20"/>
              </w:rPr>
            </w:pPr>
            <w:r>
              <w:rPr>
                <w:rFonts w:hint="eastAsia" w:ascii="仿宋" w:hAnsi="仿宋" w:eastAsia="仿宋" w:cs="仿宋"/>
                <w:color w:val="FF0000"/>
                <w:kern w:val="0"/>
                <w:sz w:val="20"/>
                <w:szCs w:val="20"/>
              </w:rPr>
              <w:t>6</w:t>
            </w:r>
          </w:p>
        </w:tc>
        <w:tc>
          <w:tcPr>
            <w:tcW w:w="1832" w:type="dxa"/>
            <w:gridSpan w:val="2"/>
            <w:vAlign w:val="center"/>
          </w:tcPr>
          <w:p w14:paraId="02C8698C">
            <w:pPr>
              <w:widowControl/>
              <w:jc w:val="center"/>
              <w:rPr>
                <w:rFonts w:hint="eastAsia" w:ascii="仿宋" w:hAnsi="仿宋" w:eastAsia="仿宋" w:cs="仿宋"/>
                <w:color w:val="FF0000"/>
                <w:kern w:val="0"/>
                <w:sz w:val="20"/>
                <w:szCs w:val="20"/>
              </w:rPr>
            </w:pPr>
            <w:r>
              <w:rPr>
                <w:rFonts w:hint="eastAsia" w:ascii="仿宋" w:hAnsi="仿宋" w:eastAsia="仿宋" w:cs="仿宋"/>
                <w:color w:val="FF0000"/>
                <w:kern w:val="0"/>
                <w:sz w:val="20"/>
                <w:szCs w:val="20"/>
              </w:rPr>
              <w:t>33，15</w:t>
            </w:r>
          </w:p>
        </w:tc>
      </w:tr>
      <w:tr w14:paraId="657CC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3354" w:type="dxa"/>
            <w:vAlign w:val="center"/>
          </w:tcPr>
          <w:p w14:paraId="723A39B7">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 xml:space="preserve">          会议费、培训费</w:t>
            </w:r>
          </w:p>
        </w:tc>
        <w:tc>
          <w:tcPr>
            <w:tcW w:w="2038" w:type="dxa"/>
            <w:gridSpan w:val="2"/>
            <w:vAlign w:val="center"/>
          </w:tcPr>
          <w:p w14:paraId="3EC5188B">
            <w:pPr>
              <w:widowControl/>
              <w:jc w:val="center"/>
              <w:rPr>
                <w:rFonts w:hint="eastAsia" w:ascii="仿宋" w:hAnsi="仿宋" w:eastAsia="仿宋" w:cs="仿宋"/>
                <w:color w:val="FF0000"/>
                <w:kern w:val="0"/>
                <w:sz w:val="20"/>
                <w:szCs w:val="20"/>
              </w:rPr>
            </w:pPr>
            <w:r>
              <w:rPr>
                <w:rFonts w:hint="eastAsia" w:ascii="仿宋" w:hAnsi="仿宋" w:eastAsia="仿宋" w:cs="仿宋"/>
                <w:color w:val="FF0000"/>
                <w:kern w:val="0"/>
                <w:sz w:val="20"/>
                <w:szCs w:val="20"/>
              </w:rPr>
              <w:t>4.97</w:t>
            </w:r>
          </w:p>
        </w:tc>
        <w:tc>
          <w:tcPr>
            <w:tcW w:w="2240" w:type="dxa"/>
            <w:gridSpan w:val="2"/>
            <w:vAlign w:val="center"/>
          </w:tcPr>
          <w:p w14:paraId="2A4B581A">
            <w:pPr>
              <w:widowControl/>
              <w:jc w:val="center"/>
              <w:rPr>
                <w:rFonts w:hint="eastAsia" w:ascii="仿宋" w:hAnsi="仿宋" w:eastAsia="仿宋" w:cs="仿宋"/>
                <w:color w:val="FF0000"/>
                <w:kern w:val="0"/>
                <w:sz w:val="20"/>
                <w:szCs w:val="20"/>
              </w:rPr>
            </w:pPr>
            <w:r>
              <w:rPr>
                <w:rFonts w:hint="eastAsia" w:ascii="仿宋" w:hAnsi="仿宋" w:eastAsia="仿宋" w:cs="仿宋"/>
                <w:color w:val="FF0000"/>
                <w:kern w:val="0"/>
                <w:sz w:val="20"/>
                <w:szCs w:val="20"/>
              </w:rPr>
              <w:t>6</w:t>
            </w:r>
          </w:p>
        </w:tc>
        <w:tc>
          <w:tcPr>
            <w:tcW w:w="1832" w:type="dxa"/>
            <w:gridSpan w:val="2"/>
            <w:vAlign w:val="center"/>
          </w:tcPr>
          <w:p w14:paraId="277F9B7D">
            <w:pPr>
              <w:widowControl/>
              <w:jc w:val="center"/>
              <w:rPr>
                <w:rFonts w:hint="eastAsia" w:ascii="仿宋" w:hAnsi="仿宋" w:eastAsia="仿宋" w:cs="仿宋"/>
                <w:color w:val="FF0000"/>
                <w:kern w:val="0"/>
                <w:sz w:val="20"/>
                <w:szCs w:val="20"/>
              </w:rPr>
            </w:pPr>
            <w:r>
              <w:rPr>
                <w:rFonts w:hint="eastAsia" w:ascii="仿宋" w:hAnsi="仿宋" w:eastAsia="仿宋" w:cs="仿宋"/>
                <w:color w:val="FF0000"/>
                <w:kern w:val="0"/>
                <w:sz w:val="20"/>
                <w:szCs w:val="20"/>
              </w:rPr>
              <w:t>0.75</w:t>
            </w:r>
          </w:p>
        </w:tc>
      </w:tr>
      <w:tr w14:paraId="40582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14:paraId="7FD7E4C0">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政府采购金额</w:t>
            </w:r>
          </w:p>
        </w:tc>
        <w:tc>
          <w:tcPr>
            <w:tcW w:w="2038" w:type="dxa"/>
            <w:gridSpan w:val="2"/>
            <w:vAlign w:val="center"/>
          </w:tcPr>
          <w:p w14:paraId="186F9CCD">
            <w:pPr>
              <w:widowControl/>
              <w:jc w:val="center"/>
              <w:rPr>
                <w:rFonts w:hint="eastAsia" w:ascii="仿宋" w:hAnsi="仿宋" w:eastAsia="仿宋" w:cs="仿宋"/>
                <w:kern w:val="0"/>
                <w:sz w:val="20"/>
                <w:szCs w:val="20"/>
              </w:rPr>
            </w:pPr>
          </w:p>
        </w:tc>
        <w:tc>
          <w:tcPr>
            <w:tcW w:w="2240" w:type="dxa"/>
            <w:gridSpan w:val="2"/>
            <w:vAlign w:val="center"/>
          </w:tcPr>
          <w:p w14:paraId="0CDF327A">
            <w:pPr>
              <w:widowControl/>
              <w:jc w:val="center"/>
              <w:rPr>
                <w:rFonts w:hint="eastAsia" w:ascii="仿宋" w:hAnsi="仿宋" w:eastAsia="仿宋" w:cs="仿宋"/>
                <w:kern w:val="0"/>
                <w:sz w:val="20"/>
                <w:szCs w:val="20"/>
              </w:rPr>
            </w:pPr>
          </w:p>
        </w:tc>
        <w:tc>
          <w:tcPr>
            <w:tcW w:w="1832" w:type="dxa"/>
            <w:gridSpan w:val="2"/>
            <w:vAlign w:val="center"/>
          </w:tcPr>
          <w:p w14:paraId="69A0292A">
            <w:pPr>
              <w:widowControl/>
              <w:jc w:val="center"/>
              <w:rPr>
                <w:rFonts w:hint="default" w:ascii="仿宋" w:hAnsi="仿宋" w:eastAsia="仿宋" w:cs="仿宋"/>
                <w:kern w:val="0"/>
                <w:sz w:val="20"/>
                <w:szCs w:val="20"/>
                <w:lang w:val="en-US" w:eastAsia="zh-CN"/>
              </w:rPr>
            </w:pPr>
            <w:r>
              <w:rPr>
                <w:rFonts w:hint="eastAsia" w:ascii="仿宋" w:hAnsi="仿宋" w:eastAsia="仿宋" w:cs="仿宋"/>
                <w:color w:val="auto"/>
                <w:kern w:val="0"/>
                <w:sz w:val="20"/>
                <w:szCs w:val="20"/>
                <w:highlight w:val="none"/>
                <w:lang w:val="en-US" w:eastAsia="zh-CN"/>
              </w:rPr>
              <w:t>24.17</w:t>
            </w:r>
          </w:p>
        </w:tc>
      </w:tr>
      <w:tr w14:paraId="70CE4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14:paraId="120E7321">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 xml:space="preserve">部门基本支出预算调整 </w:t>
            </w:r>
          </w:p>
        </w:tc>
        <w:tc>
          <w:tcPr>
            <w:tcW w:w="2038" w:type="dxa"/>
            <w:gridSpan w:val="2"/>
            <w:vAlign w:val="center"/>
          </w:tcPr>
          <w:p w14:paraId="4F6371B5">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w:t>
            </w:r>
          </w:p>
        </w:tc>
        <w:tc>
          <w:tcPr>
            <w:tcW w:w="2240" w:type="dxa"/>
            <w:gridSpan w:val="2"/>
            <w:vAlign w:val="center"/>
          </w:tcPr>
          <w:p w14:paraId="350E19DA">
            <w:pPr>
              <w:widowControl/>
              <w:jc w:val="center"/>
              <w:rPr>
                <w:rFonts w:hint="eastAsia" w:ascii="仿宋" w:hAnsi="仿宋" w:eastAsia="仿宋" w:cs="仿宋"/>
                <w:kern w:val="0"/>
                <w:sz w:val="20"/>
                <w:szCs w:val="20"/>
              </w:rPr>
            </w:pPr>
          </w:p>
        </w:tc>
        <w:tc>
          <w:tcPr>
            <w:tcW w:w="1832" w:type="dxa"/>
            <w:gridSpan w:val="2"/>
            <w:vAlign w:val="center"/>
          </w:tcPr>
          <w:p w14:paraId="790285A7">
            <w:pPr>
              <w:widowControl/>
              <w:jc w:val="center"/>
              <w:rPr>
                <w:rFonts w:hint="eastAsia" w:ascii="仿宋" w:hAnsi="仿宋" w:eastAsia="仿宋" w:cs="仿宋"/>
                <w:kern w:val="0"/>
                <w:sz w:val="20"/>
                <w:szCs w:val="20"/>
              </w:rPr>
            </w:pPr>
          </w:p>
        </w:tc>
      </w:tr>
      <w:tr w14:paraId="6DA6B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vAlign w:val="center"/>
          </w:tcPr>
          <w:p w14:paraId="337EA0D5">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楼堂馆所控制情况</w:t>
            </w:r>
            <w:r>
              <w:rPr>
                <w:rFonts w:hint="eastAsia" w:ascii="仿宋" w:hAnsi="仿宋" w:eastAsia="仿宋" w:cs="仿宋"/>
                <w:kern w:val="0"/>
                <w:sz w:val="20"/>
                <w:szCs w:val="20"/>
              </w:rPr>
              <w:br w:type="textWrapping"/>
            </w:r>
            <w:r>
              <w:rPr>
                <w:rFonts w:hint="eastAsia" w:ascii="仿宋" w:hAnsi="仿宋" w:eastAsia="仿宋" w:cs="仿宋"/>
                <w:kern w:val="0"/>
                <w:sz w:val="20"/>
                <w:szCs w:val="20"/>
              </w:rPr>
              <w:t>（2022年完工项目）</w:t>
            </w:r>
          </w:p>
        </w:tc>
        <w:tc>
          <w:tcPr>
            <w:tcW w:w="1189" w:type="dxa"/>
            <w:vAlign w:val="center"/>
          </w:tcPr>
          <w:p w14:paraId="1BECCE71">
            <w:pPr>
              <w:widowControl/>
              <w:spacing w:line="24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批复规模</w:t>
            </w:r>
            <w:r>
              <w:rPr>
                <w:rFonts w:hint="eastAsia" w:ascii="仿宋" w:hAnsi="仿宋" w:eastAsia="仿宋" w:cs="仿宋"/>
                <w:kern w:val="0"/>
                <w:sz w:val="20"/>
                <w:szCs w:val="20"/>
              </w:rPr>
              <w:br w:type="textWrapping"/>
            </w:r>
            <w:r>
              <w:rPr>
                <w:rFonts w:hint="eastAsia" w:ascii="仿宋" w:hAnsi="仿宋" w:eastAsia="仿宋" w:cs="仿宋"/>
                <w:kern w:val="0"/>
                <w:sz w:val="20"/>
                <w:szCs w:val="20"/>
              </w:rPr>
              <w:t>（㎡）</w:t>
            </w:r>
          </w:p>
        </w:tc>
        <w:tc>
          <w:tcPr>
            <w:tcW w:w="849" w:type="dxa"/>
            <w:vAlign w:val="center"/>
          </w:tcPr>
          <w:p w14:paraId="66B88E54">
            <w:pPr>
              <w:widowControl/>
              <w:spacing w:line="24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实际规模（㎡）</w:t>
            </w:r>
          </w:p>
        </w:tc>
        <w:tc>
          <w:tcPr>
            <w:tcW w:w="1129" w:type="dxa"/>
            <w:vAlign w:val="center"/>
          </w:tcPr>
          <w:p w14:paraId="51391F15">
            <w:pPr>
              <w:widowControl/>
              <w:spacing w:line="24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规模控制率</w:t>
            </w:r>
          </w:p>
        </w:tc>
        <w:tc>
          <w:tcPr>
            <w:tcW w:w="1111" w:type="dxa"/>
            <w:vAlign w:val="center"/>
          </w:tcPr>
          <w:p w14:paraId="176A380E">
            <w:pPr>
              <w:widowControl/>
              <w:spacing w:line="24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预算投资（万元）</w:t>
            </w:r>
          </w:p>
        </w:tc>
        <w:tc>
          <w:tcPr>
            <w:tcW w:w="969" w:type="dxa"/>
            <w:vAlign w:val="center"/>
          </w:tcPr>
          <w:p w14:paraId="60F5393D">
            <w:pPr>
              <w:widowControl/>
              <w:spacing w:line="24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实际投资（万元）</w:t>
            </w:r>
          </w:p>
        </w:tc>
        <w:tc>
          <w:tcPr>
            <w:tcW w:w="863" w:type="dxa"/>
            <w:vAlign w:val="center"/>
          </w:tcPr>
          <w:p w14:paraId="3AA1D64B">
            <w:pPr>
              <w:widowControl/>
              <w:spacing w:line="24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投资概算控制率</w:t>
            </w:r>
          </w:p>
        </w:tc>
      </w:tr>
      <w:tr w14:paraId="3BBFE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3354" w:type="dxa"/>
            <w:vMerge w:val="continue"/>
            <w:vAlign w:val="center"/>
          </w:tcPr>
          <w:p w14:paraId="307DEA61">
            <w:pPr>
              <w:widowControl/>
              <w:jc w:val="left"/>
              <w:rPr>
                <w:rFonts w:hint="eastAsia" w:ascii="仿宋" w:hAnsi="仿宋" w:eastAsia="仿宋" w:cs="仿宋"/>
                <w:kern w:val="0"/>
                <w:sz w:val="20"/>
                <w:szCs w:val="20"/>
              </w:rPr>
            </w:pPr>
          </w:p>
        </w:tc>
        <w:tc>
          <w:tcPr>
            <w:tcW w:w="1189" w:type="dxa"/>
            <w:vAlign w:val="center"/>
          </w:tcPr>
          <w:p w14:paraId="69954A1A">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　</w:t>
            </w:r>
          </w:p>
        </w:tc>
        <w:tc>
          <w:tcPr>
            <w:tcW w:w="849" w:type="dxa"/>
            <w:vAlign w:val="center"/>
          </w:tcPr>
          <w:p w14:paraId="1F48B07F">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　</w:t>
            </w:r>
          </w:p>
        </w:tc>
        <w:tc>
          <w:tcPr>
            <w:tcW w:w="1129" w:type="dxa"/>
            <w:vAlign w:val="center"/>
          </w:tcPr>
          <w:p w14:paraId="42A7C4F0">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　</w:t>
            </w:r>
          </w:p>
        </w:tc>
        <w:tc>
          <w:tcPr>
            <w:tcW w:w="1111" w:type="dxa"/>
            <w:vAlign w:val="center"/>
          </w:tcPr>
          <w:p w14:paraId="393B0BFF">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　</w:t>
            </w:r>
          </w:p>
        </w:tc>
        <w:tc>
          <w:tcPr>
            <w:tcW w:w="969" w:type="dxa"/>
            <w:vAlign w:val="center"/>
          </w:tcPr>
          <w:p w14:paraId="29480330">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　</w:t>
            </w:r>
          </w:p>
        </w:tc>
        <w:tc>
          <w:tcPr>
            <w:tcW w:w="863" w:type="dxa"/>
            <w:vAlign w:val="center"/>
          </w:tcPr>
          <w:p w14:paraId="4AAF2234">
            <w:pPr>
              <w:widowControl/>
              <w:jc w:val="left"/>
              <w:rPr>
                <w:rFonts w:hint="eastAsia" w:ascii="仿宋" w:hAnsi="仿宋" w:eastAsia="仿宋" w:cs="仿宋"/>
                <w:kern w:val="0"/>
                <w:sz w:val="20"/>
                <w:szCs w:val="20"/>
              </w:rPr>
            </w:pPr>
            <w:r>
              <w:rPr>
                <w:rFonts w:hint="eastAsia" w:ascii="仿宋" w:hAnsi="仿宋" w:eastAsia="仿宋" w:cs="仿宋"/>
                <w:kern w:val="0"/>
                <w:sz w:val="20"/>
                <w:szCs w:val="20"/>
              </w:rPr>
              <w:t>　</w:t>
            </w:r>
          </w:p>
        </w:tc>
      </w:tr>
      <w:tr w14:paraId="1DD90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3354" w:type="dxa"/>
            <w:vAlign w:val="center"/>
          </w:tcPr>
          <w:p w14:paraId="4D5777BB">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厉行节约保障措施</w:t>
            </w:r>
          </w:p>
        </w:tc>
        <w:tc>
          <w:tcPr>
            <w:tcW w:w="6110" w:type="dxa"/>
            <w:gridSpan w:val="6"/>
            <w:vAlign w:val="center"/>
          </w:tcPr>
          <w:p w14:paraId="2F990EC9">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　</w:t>
            </w:r>
          </w:p>
        </w:tc>
      </w:tr>
    </w:tbl>
    <w:p w14:paraId="298691D5">
      <w:pPr>
        <w:pStyle w:val="13"/>
        <w:spacing w:line="280" w:lineRule="exact"/>
        <w:ind w:firstLine="440"/>
      </w:pPr>
      <w:r>
        <w:rPr>
          <w:rFonts w:eastAsia="仿宋_GB2312"/>
          <w:kern w:val="0"/>
          <w:sz w:val="22"/>
        </w:rPr>
        <w:t>说明：“项目支出”需要填报基本支出以外的所有项目支出情况，“公用经费”填报基本支出中的一般商品和服务支出。</w:t>
      </w:r>
    </w:p>
    <w:p w14:paraId="2A955107">
      <w:pPr>
        <w:spacing w:line="600" w:lineRule="exact"/>
        <w:rPr>
          <w:rFonts w:hint="eastAsia" w:ascii="方正小标宋_GBK" w:hAnsi="方正小标宋_GBK" w:eastAsia="方正小标宋_GBK" w:cs="方正小标宋_GBK"/>
          <w:color w:val="000000"/>
          <w:sz w:val="32"/>
          <w:szCs w:val="32"/>
          <w:shd w:val="clear" w:color="auto" w:fill="FFFFFF"/>
        </w:rPr>
      </w:pPr>
      <w:r>
        <w:rPr>
          <w:rFonts w:eastAsia="仿宋_GB2312"/>
          <w:color w:val="000000"/>
          <w:kern w:val="0"/>
          <w:sz w:val="24"/>
        </w:rPr>
        <w:t>填表人：</w:t>
      </w:r>
      <w:r>
        <w:rPr>
          <w:rFonts w:hint="eastAsia" w:eastAsia="仿宋_GB2312"/>
          <w:color w:val="000000"/>
          <w:kern w:val="0"/>
          <w:sz w:val="24"/>
        </w:rPr>
        <w:t xml:space="preserve">于慧琪           </w:t>
      </w:r>
      <w:r>
        <w:rPr>
          <w:rFonts w:eastAsia="仿宋_GB2312"/>
          <w:color w:val="000000"/>
          <w:kern w:val="0"/>
          <w:sz w:val="24"/>
        </w:rPr>
        <w:t xml:space="preserve">  填报日期：</w:t>
      </w:r>
      <w:r>
        <w:rPr>
          <w:rFonts w:hint="eastAsia" w:eastAsia="仿宋_GB2312"/>
          <w:color w:val="000000"/>
          <w:kern w:val="0"/>
          <w:sz w:val="24"/>
        </w:rPr>
        <w:t xml:space="preserve"> 2024.</w:t>
      </w:r>
      <w:r>
        <w:rPr>
          <w:rFonts w:hint="eastAsia" w:eastAsia="仿宋_GB2312"/>
          <w:color w:val="000000"/>
          <w:kern w:val="0"/>
          <w:sz w:val="24"/>
          <w:lang w:val="en-US" w:eastAsia="zh-CN"/>
        </w:rPr>
        <w:t>08</w:t>
      </w:r>
      <w:r>
        <w:rPr>
          <w:rFonts w:hint="eastAsia" w:eastAsia="仿宋_GB2312"/>
          <w:color w:val="000000"/>
          <w:kern w:val="0"/>
          <w:sz w:val="24"/>
        </w:rPr>
        <w:t xml:space="preserve">.30    </w:t>
      </w:r>
      <w:r>
        <w:rPr>
          <w:rFonts w:eastAsia="仿宋_GB2312"/>
          <w:color w:val="000000"/>
          <w:kern w:val="0"/>
          <w:sz w:val="24"/>
        </w:rPr>
        <w:t xml:space="preserve"> </w:t>
      </w:r>
      <w:r>
        <w:rPr>
          <w:rFonts w:hint="eastAsia" w:eastAsia="仿宋_GB2312"/>
          <w:color w:val="000000"/>
          <w:kern w:val="0"/>
          <w:sz w:val="24"/>
        </w:rPr>
        <w:t xml:space="preserve">    </w:t>
      </w:r>
      <w:r>
        <w:rPr>
          <w:rFonts w:eastAsia="仿宋_GB2312"/>
          <w:color w:val="000000"/>
          <w:kern w:val="0"/>
          <w:sz w:val="24"/>
        </w:rPr>
        <w:t>联系电话：</w:t>
      </w:r>
      <w:r>
        <w:rPr>
          <w:rFonts w:hint="eastAsia" w:eastAsia="仿宋_GB2312"/>
          <w:color w:val="000000"/>
          <w:kern w:val="0"/>
          <w:sz w:val="24"/>
        </w:rPr>
        <w:t xml:space="preserve">15074562346 </w:t>
      </w:r>
    </w:p>
    <w:p w14:paraId="7B0B8202">
      <w:pPr>
        <w:pStyle w:val="10"/>
        <w:widowControl/>
        <w:shd w:val="clear" w:color="auto" w:fill="FFFFFF"/>
        <w:spacing w:before="0" w:beforeAutospacing="0" w:after="0" w:afterAutospacing="0" w:line="480" w:lineRule="atLeast"/>
        <w:rPr>
          <w:rFonts w:hint="eastAsia" w:ascii="方正小标宋简体" w:hAnsi="方正小标宋简体" w:eastAsia="方正小标宋简体" w:cs="方正小标宋简体"/>
          <w:color w:val="000000"/>
          <w:sz w:val="40"/>
          <w:szCs w:val="40"/>
          <w:shd w:val="clear" w:color="auto" w:fill="FFFFFF"/>
        </w:rPr>
      </w:pPr>
      <w:r>
        <w:rPr>
          <w:rFonts w:hint="eastAsia" w:ascii="仿宋_GB2312" w:hAnsi="仿宋_GB2312" w:eastAsia="仿宋_GB2312" w:cs="仿宋_GB2312"/>
          <w:color w:val="000000"/>
          <w:sz w:val="32"/>
          <w:szCs w:val="32"/>
          <w:shd w:val="clear" w:color="auto" w:fill="FFFFFF"/>
        </w:rPr>
        <w:t>附件1-2</w:t>
      </w:r>
    </w:p>
    <w:p w14:paraId="166D5548">
      <w:pPr>
        <w:pStyle w:val="10"/>
        <w:widowControl/>
        <w:shd w:val="clear" w:color="auto" w:fill="FFFFFF"/>
        <w:spacing w:before="0" w:beforeAutospacing="0" w:after="0" w:afterAutospacing="0" w:line="480" w:lineRule="atLeast"/>
        <w:jc w:val="center"/>
        <w:rPr>
          <w:rFonts w:hint="eastAsia" w:ascii="方正小标宋简体" w:hAnsi="方正小标宋简体" w:eastAsia="方正小标宋简体" w:cs="方正小标宋简体"/>
          <w:color w:val="000000"/>
          <w:sz w:val="40"/>
          <w:szCs w:val="40"/>
          <w:shd w:val="clear" w:color="auto" w:fill="FFFFFF"/>
        </w:rPr>
      </w:pPr>
      <w:r>
        <w:rPr>
          <w:rFonts w:hint="eastAsia" w:ascii="方正小标宋简体" w:hAnsi="方正小标宋简体" w:eastAsia="方正小标宋简体" w:cs="方正小标宋简体"/>
          <w:color w:val="000000"/>
          <w:sz w:val="40"/>
          <w:szCs w:val="40"/>
          <w:shd w:val="clear" w:color="auto" w:fill="FFFFFF"/>
        </w:rPr>
        <w:t>整体支出绩效自评表</w:t>
      </w:r>
    </w:p>
    <w:tbl>
      <w:tblPr>
        <w:tblStyle w:val="11"/>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0"/>
        <w:gridCol w:w="1167"/>
        <w:gridCol w:w="1117"/>
        <w:gridCol w:w="995"/>
        <w:gridCol w:w="94"/>
        <w:gridCol w:w="1195"/>
        <w:gridCol w:w="1131"/>
        <w:gridCol w:w="706"/>
        <w:gridCol w:w="617"/>
        <w:gridCol w:w="1080"/>
      </w:tblGrid>
      <w:tr w14:paraId="1AB20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160" w:type="dxa"/>
            <w:vAlign w:val="center"/>
          </w:tcPr>
          <w:p w14:paraId="7B6D6CDD">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预算单位名称</w:t>
            </w:r>
          </w:p>
        </w:tc>
        <w:tc>
          <w:tcPr>
            <w:tcW w:w="8102" w:type="dxa"/>
            <w:gridSpan w:val="9"/>
            <w:vAlign w:val="center"/>
          </w:tcPr>
          <w:p w14:paraId="2FF665F4">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金竹镇人民政府　</w:t>
            </w:r>
          </w:p>
        </w:tc>
      </w:tr>
      <w:tr w14:paraId="1603E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160" w:type="dxa"/>
            <w:vMerge w:val="restart"/>
            <w:vAlign w:val="center"/>
          </w:tcPr>
          <w:p w14:paraId="3B682B4A">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年度预</w:t>
            </w:r>
          </w:p>
          <w:p w14:paraId="26519711">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算申请</w:t>
            </w:r>
            <w:r>
              <w:rPr>
                <w:rFonts w:hint="eastAsia" w:ascii="仿宋" w:hAnsi="仿宋" w:eastAsia="仿宋" w:cs="仿宋"/>
                <w:color w:val="000000"/>
                <w:kern w:val="0"/>
                <w:sz w:val="20"/>
                <w:szCs w:val="20"/>
              </w:rPr>
              <w:br w:type="textWrapping"/>
            </w:r>
            <w:r>
              <w:rPr>
                <w:rFonts w:hint="eastAsia" w:ascii="仿宋" w:hAnsi="仿宋" w:eastAsia="仿宋" w:cs="仿宋"/>
                <w:color w:val="000000"/>
                <w:kern w:val="0"/>
                <w:sz w:val="20"/>
                <w:szCs w:val="20"/>
              </w:rPr>
              <w:t>（万元）</w:t>
            </w:r>
          </w:p>
        </w:tc>
        <w:tc>
          <w:tcPr>
            <w:tcW w:w="2284" w:type="dxa"/>
            <w:gridSpan w:val="2"/>
            <w:vAlign w:val="center"/>
          </w:tcPr>
          <w:p w14:paraId="231D3135">
            <w:pPr>
              <w:widowControl/>
              <w:spacing w:line="240" w:lineRule="exact"/>
              <w:jc w:val="center"/>
              <w:rPr>
                <w:rFonts w:hint="eastAsia" w:ascii="仿宋" w:hAnsi="仿宋" w:eastAsia="仿宋" w:cs="仿宋"/>
                <w:sz w:val="20"/>
                <w:szCs w:val="20"/>
              </w:rPr>
            </w:pPr>
            <w:r>
              <w:rPr>
                <w:rFonts w:hint="eastAsia" w:ascii="仿宋" w:hAnsi="仿宋" w:eastAsia="仿宋" w:cs="仿宋"/>
                <w:sz w:val="20"/>
                <w:szCs w:val="20"/>
              </w:rPr>
              <w:t xml:space="preserve"> </w:t>
            </w:r>
          </w:p>
        </w:tc>
        <w:tc>
          <w:tcPr>
            <w:tcW w:w="995" w:type="dxa"/>
            <w:vAlign w:val="center"/>
          </w:tcPr>
          <w:p w14:paraId="31F5836A">
            <w:pPr>
              <w:widowControl/>
              <w:spacing w:line="240" w:lineRule="exact"/>
              <w:jc w:val="center"/>
              <w:rPr>
                <w:rFonts w:hint="eastAsia" w:ascii="仿宋" w:hAnsi="仿宋" w:eastAsia="仿宋" w:cs="仿宋"/>
                <w:sz w:val="20"/>
                <w:szCs w:val="20"/>
              </w:rPr>
            </w:pPr>
            <w:r>
              <w:rPr>
                <w:rFonts w:hint="eastAsia" w:ascii="仿宋" w:hAnsi="仿宋" w:eastAsia="仿宋" w:cs="仿宋"/>
                <w:sz w:val="20"/>
                <w:szCs w:val="20"/>
              </w:rPr>
              <w:t>年初</w:t>
            </w:r>
          </w:p>
          <w:p w14:paraId="32BF4616">
            <w:pPr>
              <w:widowControl/>
              <w:spacing w:line="240" w:lineRule="exact"/>
              <w:jc w:val="center"/>
              <w:rPr>
                <w:rFonts w:hint="eastAsia" w:ascii="仿宋" w:hAnsi="仿宋" w:eastAsia="仿宋" w:cs="仿宋"/>
                <w:sz w:val="20"/>
                <w:szCs w:val="20"/>
              </w:rPr>
            </w:pPr>
            <w:r>
              <w:rPr>
                <w:rFonts w:hint="eastAsia" w:ascii="仿宋" w:hAnsi="仿宋" w:eastAsia="仿宋" w:cs="仿宋"/>
                <w:sz w:val="20"/>
                <w:szCs w:val="20"/>
              </w:rPr>
              <w:t>预算数</w:t>
            </w:r>
          </w:p>
        </w:tc>
        <w:tc>
          <w:tcPr>
            <w:tcW w:w="1289" w:type="dxa"/>
            <w:gridSpan w:val="2"/>
            <w:vAlign w:val="center"/>
          </w:tcPr>
          <w:p w14:paraId="6EF085E4">
            <w:pPr>
              <w:widowControl/>
              <w:spacing w:line="240" w:lineRule="exact"/>
              <w:jc w:val="center"/>
              <w:rPr>
                <w:rFonts w:hint="eastAsia" w:ascii="仿宋" w:hAnsi="仿宋" w:eastAsia="仿宋" w:cs="仿宋"/>
                <w:sz w:val="20"/>
                <w:szCs w:val="20"/>
              </w:rPr>
            </w:pPr>
            <w:r>
              <w:rPr>
                <w:rFonts w:hint="eastAsia" w:ascii="仿宋" w:hAnsi="仿宋" w:eastAsia="仿宋" w:cs="仿宋"/>
                <w:sz w:val="20"/>
                <w:szCs w:val="20"/>
              </w:rPr>
              <w:t>全年预算数</w:t>
            </w:r>
          </w:p>
        </w:tc>
        <w:tc>
          <w:tcPr>
            <w:tcW w:w="1131" w:type="dxa"/>
            <w:vAlign w:val="center"/>
          </w:tcPr>
          <w:p w14:paraId="1C4D7C1C">
            <w:pPr>
              <w:widowControl/>
              <w:spacing w:line="240" w:lineRule="exact"/>
              <w:jc w:val="center"/>
              <w:rPr>
                <w:rFonts w:hint="eastAsia" w:ascii="仿宋" w:hAnsi="仿宋" w:eastAsia="仿宋" w:cs="仿宋"/>
                <w:sz w:val="20"/>
                <w:szCs w:val="20"/>
              </w:rPr>
            </w:pPr>
            <w:r>
              <w:rPr>
                <w:rFonts w:hint="eastAsia" w:ascii="仿宋" w:hAnsi="仿宋" w:eastAsia="仿宋" w:cs="仿宋"/>
                <w:sz w:val="20"/>
                <w:szCs w:val="20"/>
              </w:rPr>
              <w:t>全年</w:t>
            </w:r>
          </w:p>
          <w:p w14:paraId="639EF072">
            <w:pPr>
              <w:widowControl/>
              <w:spacing w:line="240" w:lineRule="exact"/>
              <w:jc w:val="center"/>
              <w:rPr>
                <w:rFonts w:hint="eastAsia" w:ascii="仿宋" w:hAnsi="仿宋" w:eastAsia="仿宋" w:cs="仿宋"/>
                <w:sz w:val="20"/>
                <w:szCs w:val="20"/>
              </w:rPr>
            </w:pPr>
            <w:r>
              <w:rPr>
                <w:rFonts w:hint="eastAsia" w:ascii="仿宋" w:hAnsi="仿宋" w:eastAsia="仿宋" w:cs="仿宋"/>
                <w:sz w:val="20"/>
                <w:szCs w:val="20"/>
              </w:rPr>
              <w:t>执行数</w:t>
            </w:r>
          </w:p>
        </w:tc>
        <w:tc>
          <w:tcPr>
            <w:tcW w:w="706" w:type="dxa"/>
            <w:vAlign w:val="center"/>
          </w:tcPr>
          <w:p w14:paraId="637B410B">
            <w:pPr>
              <w:widowControl/>
              <w:spacing w:line="240" w:lineRule="exact"/>
              <w:jc w:val="center"/>
              <w:rPr>
                <w:rFonts w:hint="eastAsia" w:ascii="仿宋" w:hAnsi="仿宋" w:eastAsia="仿宋" w:cs="仿宋"/>
                <w:sz w:val="20"/>
                <w:szCs w:val="20"/>
              </w:rPr>
            </w:pPr>
            <w:r>
              <w:rPr>
                <w:rFonts w:hint="eastAsia" w:ascii="仿宋" w:hAnsi="仿宋" w:eastAsia="仿宋" w:cs="仿宋"/>
                <w:sz w:val="20"/>
                <w:szCs w:val="20"/>
              </w:rPr>
              <w:t>分值</w:t>
            </w:r>
          </w:p>
        </w:tc>
        <w:tc>
          <w:tcPr>
            <w:tcW w:w="617" w:type="dxa"/>
            <w:vAlign w:val="center"/>
          </w:tcPr>
          <w:p w14:paraId="0A7B37F6">
            <w:pPr>
              <w:widowControl/>
              <w:spacing w:line="240" w:lineRule="exact"/>
              <w:jc w:val="center"/>
              <w:rPr>
                <w:rFonts w:hint="eastAsia" w:ascii="仿宋" w:hAnsi="仿宋" w:eastAsia="仿宋" w:cs="仿宋"/>
                <w:sz w:val="20"/>
                <w:szCs w:val="20"/>
              </w:rPr>
            </w:pPr>
            <w:r>
              <w:rPr>
                <w:rFonts w:hint="eastAsia" w:ascii="仿宋" w:hAnsi="仿宋" w:eastAsia="仿宋" w:cs="仿宋"/>
                <w:sz w:val="20"/>
                <w:szCs w:val="20"/>
              </w:rPr>
              <w:t>执行率</w:t>
            </w:r>
          </w:p>
        </w:tc>
        <w:tc>
          <w:tcPr>
            <w:tcW w:w="1080" w:type="dxa"/>
            <w:vAlign w:val="center"/>
          </w:tcPr>
          <w:p w14:paraId="341EA099">
            <w:pPr>
              <w:widowControl/>
              <w:spacing w:line="240" w:lineRule="exact"/>
              <w:jc w:val="center"/>
              <w:rPr>
                <w:rFonts w:hint="eastAsia" w:ascii="仿宋" w:hAnsi="仿宋" w:eastAsia="仿宋" w:cs="仿宋"/>
                <w:sz w:val="20"/>
                <w:szCs w:val="20"/>
              </w:rPr>
            </w:pPr>
            <w:r>
              <w:rPr>
                <w:rFonts w:hint="eastAsia" w:ascii="仿宋" w:hAnsi="仿宋" w:eastAsia="仿宋" w:cs="仿宋"/>
                <w:sz w:val="20"/>
                <w:szCs w:val="20"/>
              </w:rPr>
              <w:t>得分</w:t>
            </w:r>
          </w:p>
        </w:tc>
      </w:tr>
      <w:tr w14:paraId="16B7F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0" w:type="dxa"/>
            <w:vMerge w:val="continue"/>
            <w:vAlign w:val="center"/>
          </w:tcPr>
          <w:p w14:paraId="2F67652F">
            <w:pPr>
              <w:widowControl/>
              <w:spacing w:line="240" w:lineRule="exact"/>
              <w:jc w:val="center"/>
              <w:rPr>
                <w:rFonts w:hint="eastAsia" w:ascii="仿宋" w:hAnsi="仿宋" w:eastAsia="仿宋" w:cs="仿宋"/>
                <w:color w:val="000000"/>
                <w:kern w:val="0"/>
                <w:sz w:val="20"/>
                <w:szCs w:val="20"/>
              </w:rPr>
            </w:pPr>
          </w:p>
        </w:tc>
        <w:tc>
          <w:tcPr>
            <w:tcW w:w="2284" w:type="dxa"/>
            <w:gridSpan w:val="2"/>
            <w:vAlign w:val="center"/>
          </w:tcPr>
          <w:p w14:paraId="2CA17EFD">
            <w:pPr>
              <w:widowControl/>
              <w:spacing w:line="240" w:lineRule="exact"/>
              <w:jc w:val="center"/>
              <w:rPr>
                <w:rFonts w:hint="eastAsia" w:ascii="仿宋" w:hAnsi="仿宋" w:eastAsia="仿宋" w:cs="仿宋"/>
                <w:sz w:val="20"/>
                <w:szCs w:val="20"/>
              </w:rPr>
            </w:pPr>
            <w:r>
              <w:rPr>
                <w:rFonts w:hint="eastAsia" w:ascii="仿宋" w:hAnsi="仿宋" w:eastAsia="仿宋" w:cs="仿宋"/>
                <w:color w:val="000000"/>
                <w:kern w:val="0"/>
                <w:sz w:val="20"/>
                <w:szCs w:val="20"/>
              </w:rPr>
              <w:t>年度资金总额</w:t>
            </w:r>
          </w:p>
        </w:tc>
        <w:tc>
          <w:tcPr>
            <w:tcW w:w="995" w:type="dxa"/>
            <w:vAlign w:val="center"/>
          </w:tcPr>
          <w:p w14:paraId="4A916B41">
            <w:pPr>
              <w:widowControl/>
              <w:spacing w:line="240" w:lineRule="exact"/>
              <w:jc w:val="center"/>
              <w:rPr>
                <w:rFonts w:hint="eastAsia" w:ascii="仿宋" w:hAnsi="仿宋" w:eastAsia="仿宋" w:cs="仿宋"/>
                <w:sz w:val="20"/>
                <w:szCs w:val="20"/>
              </w:rPr>
            </w:pPr>
            <w:r>
              <w:rPr>
                <w:rFonts w:hint="eastAsia" w:ascii="仿宋" w:hAnsi="仿宋" w:eastAsia="仿宋" w:cs="仿宋"/>
                <w:sz w:val="20"/>
                <w:szCs w:val="20"/>
              </w:rPr>
              <w:t>944.55</w:t>
            </w:r>
          </w:p>
        </w:tc>
        <w:tc>
          <w:tcPr>
            <w:tcW w:w="1289" w:type="dxa"/>
            <w:gridSpan w:val="2"/>
            <w:vAlign w:val="center"/>
          </w:tcPr>
          <w:p w14:paraId="47CC710F">
            <w:pPr>
              <w:widowControl/>
              <w:spacing w:line="240" w:lineRule="exact"/>
              <w:jc w:val="center"/>
              <w:rPr>
                <w:rFonts w:hint="eastAsia" w:ascii="仿宋" w:hAnsi="仿宋" w:eastAsia="仿宋" w:cs="仿宋"/>
                <w:sz w:val="20"/>
                <w:szCs w:val="20"/>
              </w:rPr>
            </w:pPr>
            <w:r>
              <w:rPr>
                <w:rFonts w:hint="eastAsia" w:ascii="仿宋" w:hAnsi="仿宋" w:eastAsia="仿宋" w:cs="仿宋"/>
                <w:sz w:val="20"/>
                <w:szCs w:val="20"/>
              </w:rPr>
              <w:t>1366.62</w:t>
            </w:r>
          </w:p>
        </w:tc>
        <w:tc>
          <w:tcPr>
            <w:tcW w:w="1131" w:type="dxa"/>
            <w:vAlign w:val="center"/>
          </w:tcPr>
          <w:p w14:paraId="091A1B21">
            <w:pPr>
              <w:widowControl/>
              <w:spacing w:line="240" w:lineRule="exact"/>
              <w:jc w:val="center"/>
              <w:rPr>
                <w:rFonts w:hint="eastAsia" w:ascii="仿宋" w:hAnsi="仿宋" w:eastAsia="仿宋" w:cs="仿宋"/>
                <w:sz w:val="20"/>
                <w:szCs w:val="20"/>
              </w:rPr>
            </w:pPr>
            <w:r>
              <w:rPr>
                <w:rFonts w:hint="eastAsia" w:ascii="仿宋" w:hAnsi="仿宋" w:eastAsia="仿宋" w:cs="仿宋"/>
                <w:sz w:val="20"/>
                <w:szCs w:val="20"/>
              </w:rPr>
              <w:t>1366.62</w:t>
            </w:r>
          </w:p>
        </w:tc>
        <w:tc>
          <w:tcPr>
            <w:tcW w:w="706" w:type="dxa"/>
            <w:vAlign w:val="center"/>
          </w:tcPr>
          <w:p w14:paraId="498F69D3">
            <w:pPr>
              <w:widowControl/>
              <w:spacing w:line="240" w:lineRule="exact"/>
              <w:jc w:val="center"/>
              <w:rPr>
                <w:rFonts w:hint="eastAsia" w:ascii="仿宋" w:hAnsi="仿宋" w:eastAsia="仿宋" w:cs="仿宋"/>
                <w:sz w:val="20"/>
                <w:szCs w:val="20"/>
              </w:rPr>
            </w:pPr>
            <w:r>
              <w:rPr>
                <w:rFonts w:hint="eastAsia" w:ascii="仿宋" w:hAnsi="仿宋" w:eastAsia="仿宋" w:cs="仿宋"/>
                <w:sz w:val="20"/>
                <w:szCs w:val="20"/>
              </w:rPr>
              <w:t>10</w:t>
            </w:r>
          </w:p>
        </w:tc>
        <w:tc>
          <w:tcPr>
            <w:tcW w:w="617" w:type="dxa"/>
            <w:vAlign w:val="center"/>
          </w:tcPr>
          <w:p w14:paraId="1DDB9D45">
            <w:pPr>
              <w:widowControl/>
              <w:spacing w:line="240" w:lineRule="exact"/>
              <w:jc w:val="center"/>
              <w:rPr>
                <w:rFonts w:hint="eastAsia" w:ascii="仿宋" w:hAnsi="仿宋" w:eastAsia="仿宋" w:cs="仿宋"/>
                <w:sz w:val="20"/>
                <w:szCs w:val="20"/>
              </w:rPr>
            </w:pPr>
            <w:r>
              <w:rPr>
                <w:rFonts w:hint="eastAsia" w:ascii="仿宋" w:hAnsi="仿宋" w:eastAsia="仿宋" w:cs="仿宋"/>
                <w:sz w:val="20"/>
                <w:szCs w:val="20"/>
              </w:rPr>
              <w:t>100</w:t>
            </w:r>
          </w:p>
        </w:tc>
        <w:tc>
          <w:tcPr>
            <w:tcW w:w="1080" w:type="dxa"/>
            <w:vAlign w:val="center"/>
          </w:tcPr>
          <w:p w14:paraId="0D2D1CD6">
            <w:pPr>
              <w:widowControl/>
              <w:spacing w:line="240" w:lineRule="exact"/>
              <w:jc w:val="center"/>
              <w:rPr>
                <w:rFonts w:hint="eastAsia" w:ascii="仿宋" w:hAnsi="仿宋" w:eastAsia="仿宋" w:cs="仿宋"/>
                <w:sz w:val="20"/>
                <w:szCs w:val="20"/>
              </w:rPr>
            </w:pPr>
            <w:r>
              <w:rPr>
                <w:rFonts w:hint="eastAsia" w:ascii="仿宋" w:hAnsi="仿宋" w:eastAsia="仿宋" w:cs="仿宋"/>
                <w:sz w:val="20"/>
                <w:szCs w:val="20"/>
              </w:rPr>
              <w:t>10</w:t>
            </w:r>
          </w:p>
        </w:tc>
      </w:tr>
      <w:tr w14:paraId="4F738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0" w:type="dxa"/>
            <w:vMerge w:val="continue"/>
            <w:vAlign w:val="center"/>
          </w:tcPr>
          <w:p w14:paraId="2B76CE74">
            <w:pPr>
              <w:widowControl/>
              <w:spacing w:line="240" w:lineRule="exact"/>
              <w:jc w:val="left"/>
              <w:rPr>
                <w:rFonts w:hint="eastAsia" w:ascii="仿宋" w:hAnsi="仿宋" w:eastAsia="仿宋" w:cs="仿宋"/>
                <w:color w:val="000000"/>
                <w:kern w:val="0"/>
                <w:sz w:val="20"/>
                <w:szCs w:val="20"/>
              </w:rPr>
            </w:pPr>
          </w:p>
        </w:tc>
        <w:tc>
          <w:tcPr>
            <w:tcW w:w="4568" w:type="dxa"/>
            <w:gridSpan w:val="5"/>
            <w:vAlign w:val="center"/>
          </w:tcPr>
          <w:p w14:paraId="07DB0E76">
            <w:pPr>
              <w:widowControl/>
              <w:spacing w:line="24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按收入性质分：</w:t>
            </w:r>
          </w:p>
        </w:tc>
        <w:tc>
          <w:tcPr>
            <w:tcW w:w="3534" w:type="dxa"/>
            <w:gridSpan w:val="4"/>
            <w:vAlign w:val="center"/>
          </w:tcPr>
          <w:p w14:paraId="79C681EE">
            <w:pPr>
              <w:widowControl/>
              <w:spacing w:line="24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按支出性质分：</w:t>
            </w:r>
          </w:p>
        </w:tc>
      </w:tr>
      <w:tr w14:paraId="38041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0" w:type="dxa"/>
            <w:vMerge w:val="continue"/>
            <w:vAlign w:val="center"/>
          </w:tcPr>
          <w:p w14:paraId="1E5EF420">
            <w:pPr>
              <w:widowControl/>
              <w:spacing w:line="240" w:lineRule="exact"/>
              <w:jc w:val="left"/>
              <w:rPr>
                <w:rFonts w:hint="eastAsia" w:ascii="仿宋" w:hAnsi="仿宋" w:eastAsia="仿宋" w:cs="仿宋"/>
                <w:color w:val="000000"/>
                <w:kern w:val="0"/>
                <w:sz w:val="20"/>
                <w:szCs w:val="20"/>
              </w:rPr>
            </w:pPr>
          </w:p>
        </w:tc>
        <w:tc>
          <w:tcPr>
            <w:tcW w:w="4568" w:type="dxa"/>
            <w:gridSpan w:val="5"/>
            <w:vAlign w:val="center"/>
          </w:tcPr>
          <w:p w14:paraId="3BC82F04">
            <w:pPr>
              <w:widowControl/>
              <w:spacing w:line="24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  其中：  一般公共预算：1324.36</w:t>
            </w:r>
          </w:p>
        </w:tc>
        <w:tc>
          <w:tcPr>
            <w:tcW w:w="3534" w:type="dxa"/>
            <w:gridSpan w:val="4"/>
            <w:vAlign w:val="center"/>
          </w:tcPr>
          <w:p w14:paraId="09C0798F">
            <w:pPr>
              <w:widowControl/>
              <w:spacing w:line="24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其中：基本支出：1109.91</w:t>
            </w:r>
          </w:p>
        </w:tc>
      </w:tr>
      <w:tr w14:paraId="0548E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0" w:type="dxa"/>
            <w:vMerge w:val="continue"/>
            <w:vAlign w:val="center"/>
          </w:tcPr>
          <w:p w14:paraId="0F560B5A">
            <w:pPr>
              <w:widowControl/>
              <w:spacing w:line="240" w:lineRule="exact"/>
              <w:jc w:val="left"/>
              <w:rPr>
                <w:rFonts w:hint="eastAsia" w:ascii="仿宋" w:hAnsi="仿宋" w:eastAsia="仿宋" w:cs="仿宋"/>
                <w:color w:val="000000"/>
                <w:kern w:val="0"/>
                <w:sz w:val="20"/>
                <w:szCs w:val="20"/>
              </w:rPr>
            </w:pPr>
          </w:p>
        </w:tc>
        <w:tc>
          <w:tcPr>
            <w:tcW w:w="4568" w:type="dxa"/>
            <w:gridSpan w:val="5"/>
            <w:vAlign w:val="center"/>
          </w:tcPr>
          <w:p w14:paraId="72FE3098">
            <w:pPr>
              <w:widowControl/>
              <w:spacing w:line="240" w:lineRule="exact"/>
              <w:ind w:firstLine="800" w:firstLineChars="400"/>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政府性基金拨款：</w:t>
            </w:r>
          </w:p>
        </w:tc>
        <w:tc>
          <w:tcPr>
            <w:tcW w:w="3534" w:type="dxa"/>
            <w:gridSpan w:val="4"/>
            <w:vAlign w:val="center"/>
          </w:tcPr>
          <w:p w14:paraId="1C9B1A34">
            <w:pPr>
              <w:widowControl/>
              <w:spacing w:line="240" w:lineRule="exact"/>
              <w:ind w:firstLine="600" w:firstLineChars="300"/>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项目支出：256.71</w:t>
            </w:r>
          </w:p>
        </w:tc>
      </w:tr>
      <w:tr w14:paraId="2800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0" w:type="dxa"/>
            <w:vMerge w:val="continue"/>
            <w:vAlign w:val="center"/>
          </w:tcPr>
          <w:p w14:paraId="59EF5B2E">
            <w:pPr>
              <w:widowControl/>
              <w:spacing w:line="240" w:lineRule="exact"/>
              <w:jc w:val="left"/>
              <w:rPr>
                <w:rFonts w:hint="eastAsia" w:ascii="仿宋" w:hAnsi="仿宋" w:eastAsia="仿宋" w:cs="仿宋"/>
                <w:color w:val="000000"/>
                <w:kern w:val="0"/>
                <w:sz w:val="20"/>
                <w:szCs w:val="20"/>
              </w:rPr>
            </w:pPr>
          </w:p>
        </w:tc>
        <w:tc>
          <w:tcPr>
            <w:tcW w:w="4568" w:type="dxa"/>
            <w:gridSpan w:val="5"/>
            <w:vAlign w:val="center"/>
          </w:tcPr>
          <w:p w14:paraId="4E89EB85">
            <w:pPr>
              <w:widowControl/>
              <w:spacing w:line="24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纳入专户管理的非税收入拨款：</w:t>
            </w:r>
          </w:p>
        </w:tc>
        <w:tc>
          <w:tcPr>
            <w:tcW w:w="3534" w:type="dxa"/>
            <w:gridSpan w:val="4"/>
            <w:vAlign w:val="center"/>
          </w:tcPr>
          <w:p w14:paraId="1C1D382B">
            <w:pPr>
              <w:widowControl/>
              <w:spacing w:line="240" w:lineRule="exact"/>
              <w:jc w:val="left"/>
              <w:rPr>
                <w:rFonts w:hint="eastAsia" w:ascii="仿宋" w:hAnsi="仿宋" w:eastAsia="仿宋" w:cs="仿宋"/>
                <w:color w:val="000000"/>
                <w:kern w:val="0"/>
                <w:sz w:val="20"/>
                <w:szCs w:val="20"/>
              </w:rPr>
            </w:pPr>
          </w:p>
        </w:tc>
      </w:tr>
      <w:tr w14:paraId="44F7E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160" w:type="dxa"/>
            <w:vMerge w:val="continue"/>
            <w:vAlign w:val="center"/>
          </w:tcPr>
          <w:p w14:paraId="35E8B876">
            <w:pPr>
              <w:widowControl/>
              <w:spacing w:line="240" w:lineRule="exact"/>
              <w:jc w:val="left"/>
              <w:rPr>
                <w:rFonts w:hint="eastAsia" w:ascii="仿宋" w:hAnsi="仿宋" w:eastAsia="仿宋" w:cs="仿宋"/>
                <w:color w:val="000000"/>
                <w:kern w:val="0"/>
                <w:sz w:val="20"/>
                <w:szCs w:val="20"/>
              </w:rPr>
            </w:pPr>
          </w:p>
        </w:tc>
        <w:tc>
          <w:tcPr>
            <w:tcW w:w="4568" w:type="dxa"/>
            <w:gridSpan w:val="5"/>
            <w:vAlign w:val="center"/>
          </w:tcPr>
          <w:p w14:paraId="3BF95D69">
            <w:pPr>
              <w:widowControl/>
              <w:spacing w:line="240" w:lineRule="exact"/>
              <w:ind w:firstLine="1400" w:firstLineChars="700"/>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其他资金：42.26</w:t>
            </w:r>
          </w:p>
        </w:tc>
        <w:tc>
          <w:tcPr>
            <w:tcW w:w="3534" w:type="dxa"/>
            <w:gridSpan w:val="4"/>
            <w:vAlign w:val="center"/>
          </w:tcPr>
          <w:p w14:paraId="6881571D">
            <w:pPr>
              <w:widowControl/>
              <w:spacing w:line="240" w:lineRule="exact"/>
              <w:jc w:val="left"/>
              <w:rPr>
                <w:rFonts w:hint="eastAsia" w:ascii="仿宋" w:hAnsi="仿宋" w:eastAsia="仿宋" w:cs="仿宋"/>
                <w:color w:val="000000"/>
                <w:kern w:val="0"/>
                <w:sz w:val="20"/>
                <w:szCs w:val="20"/>
              </w:rPr>
            </w:pPr>
          </w:p>
        </w:tc>
      </w:tr>
      <w:tr w14:paraId="783B6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0" w:type="dxa"/>
            <w:vMerge w:val="restart"/>
            <w:vAlign w:val="center"/>
          </w:tcPr>
          <w:p w14:paraId="75AABE36">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年度总体目标</w:t>
            </w:r>
          </w:p>
        </w:tc>
        <w:tc>
          <w:tcPr>
            <w:tcW w:w="4568" w:type="dxa"/>
            <w:gridSpan w:val="5"/>
            <w:vAlign w:val="center"/>
          </w:tcPr>
          <w:p w14:paraId="3250113C">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预期目标</w:t>
            </w:r>
          </w:p>
        </w:tc>
        <w:tc>
          <w:tcPr>
            <w:tcW w:w="3534" w:type="dxa"/>
            <w:gridSpan w:val="4"/>
            <w:vAlign w:val="center"/>
          </w:tcPr>
          <w:p w14:paraId="44B1E8C3">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实际完成情况　</w:t>
            </w:r>
          </w:p>
        </w:tc>
      </w:tr>
      <w:tr w14:paraId="75092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1160" w:type="dxa"/>
            <w:vMerge w:val="continue"/>
            <w:vAlign w:val="center"/>
          </w:tcPr>
          <w:p w14:paraId="1951A888">
            <w:pPr>
              <w:widowControl/>
              <w:spacing w:line="240" w:lineRule="exact"/>
              <w:jc w:val="left"/>
              <w:rPr>
                <w:rFonts w:hint="eastAsia" w:ascii="仿宋" w:hAnsi="仿宋" w:eastAsia="仿宋" w:cs="仿宋"/>
                <w:color w:val="000000"/>
                <w:kern w:val="0"/>
                <w:sz w:val="20"/>
                <w:szCs w:val="20"/>
              </w:rPr>
            </w:pPr>
          </w:p>
        </w:tc>
        <w:tc>
          <w:tcPr>
            <w:tcW w:w="4568" w:type="dxa"/>
            <w:gridSpan w:val="5"/>
            <w:vAlign w:val="center"/>
          </w:tcPr>
          <w:p w14:paraId="6CBB1F6D">
            <w:pPr>
              <w:widowControl/>
              <w:spacing w:line="24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一)制定和组织实施经济、科技和社会发展计划，制定资源开发技术改造和产业结构调整方案，组织指导好各业生产，组织经济运行，促进经济发展。(二)制定并组织实施村镇建设规划，部署重点工程建设，地方道路建设及公共设施，水利设施的管理，负责土地、林木、水等自然资源和生态环境的保护，做好护林防火工作。(三)负责本行政区域内的民政、计划生育、文化教育、卫生、体育等社会公益事业的综合性工作，维护一切经济单位和个人的正当经济权益，取缔非法经济活动，调解和处理民事纠纷，打击刑事犯罪维护社会稳定。(四)按计划组织本级财政收入，完成国家财政计划，不断培植税源，管好财政资金，增强财政实力。(五)抓好精神文明建设，丰富群众文化生活，提倡移风易俗，反对封建迷信，破除陈规陋习，树立社会主义新风尚。</w:t>
            </w:r>
          </w:p>
        </w:tc>
        <w:tc>
          <w:tcPr>
            <w:tcW w:w="3534" w:type="dxa"/>
            <w:gridSpan w:val="4"/>
            <w:vAlign w:val="center"/>
          </w:tcPr>
          <w:p w14:paraId="61B19760">
            <w:pPr>
              <w:pStyle w:val="10"/>
              <w:widowControl/>
              <w:shd w:val="clear" w:color="auto" w:fill="FFFFFF"/>
              <w:snapToGrid w:val="0"/>
              <w:spacing w:before="0" w:beforeAutospacing="0" w:after="0" w:afterAutospacing="0"/>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　2023年，在县委、县政府的坚强领导下，我镇坚持以习近平新时代中国特色社会主义思想为指导，深入学习宣传贯彻党的二十大精神，认真开展学习贯彻习近平新时代中国特色社会主义思想主题教育，本年度取得主要事业成效为：坚持全面推进乡村振兴，进一步巩固脱贫攻坚成果；坚持打造特色楠竹小镇，进一步推动农业产业发展；坚持践行绿水青山就是金山银山，进一步改善生态坏境质量；坚持预防为主、防治结合，进一步防范化解风险隐患；坚持落实各项惠民政策，进一步增进民生福祉；此外，民族、宗教、教育、农技、档案、史志、政务服务、工会、共青团等各项工作也取得了新进步新成效。</w:t>
            </w:r>
          </w:p>
        </w:tc>
      </w:tr>
      <w:tr w14:paraId="659C6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160" w:type="dxa"/>
            <w:vMerge w:val="restart"/>
            <w:vAlign w:val="center"/>
          </w:tcPr>
          <w:p w14:paraId="7ACE02E8">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绩</w:t>
            </w:r>
          </w:p>
          <w:p w14:paraId="4C526BE7">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w:t>
            </w:r>
          </w:p>
          <w:p w14:paraId="11024CDF">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w:t>
            </w:r>
          </w:p>
          <w:p w14:paraId="204BB339">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标</w:t>
            </w:r>
          </w:p>
        </w:tc>
        <w:tc>
          <w:tcPr>
            <w:tcW w:w="1167" w:type="dxa"/>
            <w:vAlign w:val="center"/>
          </w:tcPr>
          <w:p w14:paraId="13274BA1">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一级指标</w:t>
            </w:r>
          </w:p>
        </w:tc>
        <w:tc>
          <w:tcPr>
            <w:tcW w:w="1117" w:type="dxa"/>
            <w:vAlign w:val="center"/>
          </w:tcPr>
          <w:p w14:paraId="658D229F">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二级指标</w:t>
            </w:r>
          </w:p>
        </w:tc>
        <w:tc>
          <w:tcPr>
            <w:tcW w:w="1089" w:type="dxa"/>
            <w:gridSpan w:val="2"/>
            <w:vAlign w:val="center"/>
          </w:tcPr>
          <w:p w14:paraId="7276245F">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三级指标</w:t>
            </w:r>
          </w:p>
        </w:tc>
        <w:tc>
          <w:tcPr>
            <w:tcW w:w="1195" w:type="dxa"/>
            <w:vAlign w:val="center"/>
          </w:tcPr>
          <w:p w14:paraId="395E3EF5">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w:t>
            </w:r>
          </w:p>
          <w:p w14:paraId="6FA20CF3">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指标值</w:t>
            </w:r>
          </w:p>
        </w:tc>
        <w:tc>
          <w:tcPr>
            <w:tcW w:w="1131" w:type="dxa"/>
            <w:vAlign w:val="center"/>
          </w:tcPr>
          <w:p w14:paraId="36D7BF36">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w:t>
            </w:r>
          </w:p>
          <w:p w14:paraId="0DCF5B0E">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完成值</w:t>
            </w:r>
          </w:p>
        </w:tc>
        <w:tc>
          <w:tcPr>
            <w:tcW w:w="706" w:type="dxa"/>
            <w:vAlign w:val="center"/>
          </w:tcPr>
          <w:p w14:paraId="66E4D2CB">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分值</w:t>
            </w:r>
          </w:p>
        </w:tc>
        <w:tc>
          <w:tcPr>
            <w:tcW w:w="617" w:type="dxa"/>
            <w:vAlign w:val="center"/>
          </w:tcPr>
          <w:p w14:paraId="7377A41D">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得分</w:t>
            </w:r>
          </w:p>
        </w:tc>
        <w:tc>
          <w:tcPr>
            <w:tcW w:w="1080" w:type="dxa"/>
          </w:tcPr>
          <w:p w14:paraId="4FDFDBBA">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偏差原因</w:t>
            </w:r>
          </w:p>
          <w:p w14:paraId="59FD5DB0">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分析及</w:t>
            </w:r>
          </w:p>
          <w:p w14:paraId="68001116">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改进措施</w:t>
            </w:r>
          </w:p>
        </w:tc>
      </w:tr>
      <w:tr w14:paraId="7838B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0" w:type="dxa"/>
            <w:vMerge w:val="continue"/>
            <w:vAlign w:val="center"/>
          </w:tcPr>
          <w:p w14:paraId="3BE5A73D">
            <w:pPr>
              <w:widowControl/>
              <w:spacing w:line="240" w:lineRule="exact"/>
              <w:jc w:val="center"/>
              <w:rPr>
                <w:rFonts w:hint="eastAsia" w:ascii="仿宋" w:hAnsi="仿宋" w:eastAsia="仿宋" w:cs="仿宋"/>
                <w:color w:val="000000"/>
                <w:kern w:val="0"/>
                <w:sz w:val="20"/>
                <w:szCs w:val="20"/>
              </w:rPr>
            </w:pPr>
          </w:p>
        </w:tc>
        <w:tc>
          <w:tcPr>
            <w:tcW w:w="1167" w:type="dxa"/>
            <w:vMerge w:val="restart"/>
            <w:vAlign w:val="center"/>
          </w:tcPr>
          <w:p w14:paraId="744D9836">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产出指标</w:t>
            </w:r>
          </w:p>
          <w:p w14:paraId="5FD553A4">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（50分)</w:t>
            </w:r>
          </w:p>
        </w:tc>
        <w:tc>
          <w:tcPr>
            <w:tcW w:w="1117" w:type="dxa"/>
            <w:vMerge w:val="restart"/>
            <w:vAlign w:val="center"/>
          </w:tcPr>
          <w:p w14:paraId="15F69685">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数量</w:t>
            </w:r>
          </w:p>
          <w:p w14:paraId="2FF91AEC">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tc>
        <w:tc>
          <w:tcPr>
            <w:tcW w:w="1089" w:type="dxa"/>
            <w:gridSpan w:val="2"/>
            <w:vAlign w:val="center"/>
          </w:tcPr>
          <w:p w14:paraId="59A008B6">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服务重点工作涵盖村（居）数</w:t>
            </w:r>
          </w:p>
          <w:p w14:paraId="028AA8D4">
            <w:pPr>
              <w:widowControl/>
              <w:spacing w:line="240" w:lineRule="exact"/>
              <w:jc w:val="center"/>
              <w:rPr>
                <w:rFonts w:hint="eastAsia" w:ascii="仿宋" w:hAnsi="仿宋" w:eastAsia="仿宋" w:cs="仿宋"/>
                <w:color w:val="000000"/>
                <w:kern w:val="0"/>
                <w:sz w:val="20"/>
                <w:szCs w:val="20"/>
              </w:rPr>
            </w:pPr>
          </w:p>
        </w:tc>
        <w:tc>
          <w:tcPr>
            <w:tcW w:w="1195" w:type="dxa"/>
            <w:vAlign w:val="center"/>
          </w:tcPr>
          <w:p w14:paraId="1C7B7F5F">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=15</w:t>
            </w:r>
          </w:p>
        </w:tc>
        <w:tc>
          <w:tcPr>
            <w:tcW w:w="1131" w:type="dxa"/>
            <w:vAlign w:val="center"/>
          </w:tcPr>
          <w:p w14:paraId="48D21563">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15</w:t>
            </w:r>
          </w:p>
        </w:tc>
        <w:tc>
          <w:tcPr>
            <w:tcW w:w="706" w:type="dxa"/>
            <w:vAlign w:val="center"/>
          </w:tcPr>
          <w:p w14:paraId="3E8B5872">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w:t>
            </w:r>
          </w:p>
        </w:tc>
        <w:tc>
          <w:tcPr>
            <w:tcW w:w="617" w:type="dxa"/>
            <w:vAlign w:val="center"/>
          </w:tcPr>
          <w:p w14:paraId="02CCF352">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w:t>
            </w:r>
          </w:p>
        </w:tc>
        <w:tc>
          <w:tcPr>
            <w:tcW w:w="1080" w:type="dxa"/>
            <w:vAlign w:val="center"/>
          </w:tcPr>
          <w:p w14:paraId="0B9F4578">
            <w:pPr>
              <w:widowControl/>
              <w:spacing w:line="240" w:lineRule="exact"/>
              <w:jc w:val="center"/>
              <w:rPr>
                <w:rFonts w:hint="eastAsia" w:ascii="仿宋" w:hAnsi="仿宋" w:eastAsia="仿宋" w:cs="仿宋"/>
                <w:color w:val="000000"/>
                <w:kern w:val="0"/>
                <w:sz w:val="20"/>
                <w:szCs w:val="20"/>
              </w:rPr>
            </w:pPr>
          </w:p>
        </w:tc>
      </w:tr>
      <w:tr w14:paraId="3C222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0" w:type="dxa"/>
            <w:vMerge w:val="continue"/>
            <w:vAlign w:val="center"/>
          </w:tcPr>
          <w:p w14:paraId="326A0F83">
            <w:pPr>
              <w:widowControl/>
              <w:spacing w:line="240" w:lineRule="exact"/>
              <w:jc w:val="center"/>
              <w:rPr>
                <w:rFonts w:hint="eastAsia" w:ascii="仿宋" w:hAnsi="仿宋" w:eastAsia="仿宋" w:cs="仿宋"/>
                <w:color w:val="000000"/>
                <w:kern w:val="0"/>
                <w:sz w:val="20"/>
                <w:szCs w:val="20"/>
              </w:rPr>
            </w:pPr>
          </w:p>
        </w:tc>
        <w:tc>
          <w:tcPr>
            <w:tcW w:w="1167" w:type="dxa"/>
            <w:vMerge w:val="continue"/>
            <w:vAlign w:val="center"/>
          </w:tcPr>
          <w:p w14:paraId="29E1D09C">
            <w:pPr>
              <w:widowControl/>
              <w:spacing w:line="240" w:lineRule="exact"/>
              <w:jc w:val="left"/>
              <w:rPr>
                <w:rFonts w:hint="eastAsia" w:ascii="仿宋" w:hAnsi="仿宋" w:eastAsia="仿宋" w:cs="仿宋"/>
                <w:color w:val="000000"/>
                <w:kern w:val="0"/>
                <w:sz w:val="20"/>
                <w:szCs w:val="20"/>
              </w:rPr>
            </w:pPr>
          </w:p>
        </w:tc>
        <w:tc>
          <w:tcPr>
            <w:tcW w:w="1117" w:type="dxa"/>
            <w:vMerge w:val="continue"/>
            <w:vAlign w:val="center"/>
          </w:tcPr>
          <w:p w14:paraId="570CB71A">
            <w:pPr>
              <w:widowControl/>
              <w:spacing w:line="240" w:lineRule="exact"/>
              <w:jc w:val="center"/>
              <w:rPr>
                <w:rFonts w:hint="eastAsia" w:ascii="仿宋" w:hAnsi="仿宋" w:eastAsia="仿宋" w:cs="仿宋"/>
                <w:color w:val="000000"/>
                <w:kern w:val="0"/>
                <w:sz w:val="20"/>
                <w:szCs w:val="20"/>
              </w:rPr>
            </w:pPr>
          </w:p>
        </w:tc>
        <w:tc>
          <w:tcPr>
            <w:tcW w:w="1089" w:type="dxa"/>
            <w:gridSpan w:val="2"/>
            <w:vAlign w:val="center"/>
          </w:tcPr>
          <w:p w14:paraId="1C29AAA7">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各项工作会议</w:t>
            </w:r>
          </w:p>
          <w:p w14:paraId="1DD956C2">
            <w:pPr>
              <w:widowControl/>
              <w:spacing w:line="240" w:lineRule="exact"/>
              <w:jc w:val="center"/>
              <w:rPr>
                <w:rFonts w:hint="eastAsia" w:ascii="仿宋" w:hAnsi="仿宋" w:eastAsia="仿宋" w:cs="仿宋"/>
                <w:color w:val="000000"/>
                <w:kern w:val="0"/>
                <w:sz w:val="20"/>
                <w:szCs w:val="20"/>
              </w:rPr>
            </w:pPr>
          </w:p>
        </w:tc>
        <w:tc>
          <w:tcPr>
            <w:tcW w:w="1195" w:type="dxa"/>
            <w:vAlign w:val="center"/>
          </w:tcPr>
          <w:p w14:paraId="35E2230C">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≥40次</w:t>
            </w:r>
          </w:p>
        </w:tc>
        <w:tc>
          <w:tcPr>
            <w:tcW w:w="1131" w:type="dxa"/>
            <w:vAlign w:val="center"/>
          </w:tcPr>
          <w:p w14:paraId="3F6763A5">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≥40次</w:t>
            </w:r>
          </w:p>
        </w:tc>
        <w:tc>
          <w:tcPr>
            <w:tcW w:w="706" w:type="dxa"/>
            <w:vAlign w:val="center"/>
          </w:tcPr>
          <w:p w14:paraId="7C667413">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w:t>
            </w:r>
          </w:p>
        </w:tc>
        <w:tc>
          <w:tcPr>
            <w:tcW w:w="617" w:type="dxa"/>
            <w:vAlign w:val="center"/>
          </w:tcPr>
          <w:p w14:paraId="017FF385">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w:t>
            </w:r>
          </w:p>
        </w:tc>
        <w:tc>
          <w:tcPr>
            <w:tcW w:w="1080" w:type="dxa"/>
            <w:vAlign w:val="center"/>
          </w:tcPr>
          <w:p w14:paraId="24ADD71C">
            <w:pPr>
              <w:widowControl/>
              <w:spacing w:line="240" w:lineRule="exact"/>
              <w:jc w:val="center"/>
              <w:rPr>
                <w:rFonts w:hint="eastAsia" w:ascii="仿宋" w:hAnsi="仿宋" w:eastAsia="仿宋" w:cs="仿宋"/>
                <w:color w:val="000000"/>
                <w:kern w:val="0"/>
                <w:sz w:val="20"/>
                <w:szCs w:val="20"/>
              </w:rPr>
            </w:pPr>
          </w:p>
        </w:tc>
      </w:tr>
      <w:tr w14:paraId="1EFEE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0" w:type="dxa"/>
            <w:vMerge w:val="continue"/>
            <w:vAlign w:val="center"/>
          </w:tcPr>
          <w:p w14:paraId="04C9A092">
            <w:pPr>
              <w:widowControl/>
              <w:spacing w:line="240" w:lineRule="exact"/>
              <w:jc w:val="center"/>
              <w:rPr>
                <w:rFonts w:hint="eastAsia" w:ascii="仿宋" w:hAnsi="仿宋" w:eastAsia="仿宋" w:cs="仿宋"/>
                <w:color w:val="000000"/>
                <w:kern w:val="0"/>
                <w:sz w:val="20"/>
                <w:szCs w:val="20"/>
              </w:rPr>
            </w:pPr>
          </w:p>
        </w:tc>
        <w:tc>
          <w:tcPr>
            <w:tcW w:w="1167" w:type="dxa"/>
            <w:vMerge w:val="continue"/>
            <w:vAlign w:val="center"/>
          </w:tcPr>
          <w:p w14:paraId="4621ABE6">
            <w:pPr>
              <w:widowControl/>
              <w:spacing w:line="240" w:lineRule="exact"/>
              <w:jc w:val="left"/>
              <w:rPr>
                <w:rFonts w:hint="eastAsia" w:ascii="仿宋" w:hAnsi="仿宋" w:eastAsia="仿宋" w:cs="仿宋"/>
                <w:color w:val="000000"/>
                <w:kern w:val="0"/>
                <w:sz w:val="20"/>
                <w:szCs w:val="20"/>
              </w:rPr>
            </w:pPr>
          </w:p>
        </w:tc>
        <w:tc>
          <w:tcPr>
            <w:tcW w:w="1117" w:type="dxa"/>
            <w:vMerge w:val="restart"/>
            <w:vAlign w:val="center"/>
          </w:tcPr>
          <w:p w14:paraId="14CC6C80">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质量</w:t>
            </w:r>
          </w:p>
          <w:p w14:paraId="016B2B18">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tc>
        <w:tc>
          <w:tcPr>
            <w:tcW w:w="1089" w:type="dxa"/>
            <w:gridSpan w:val="2"/>
            <w:vAlign w:val="center"/>
          </w:tcPr>
          <w:p w14:paraId="0760DADD">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人员经费保障率</w:t>
            </w:r>
          </w:p>
        </w:tc>
        <w:tc>
          <w:tcPr>
            <w:tcW w:w="1195" w:type="dxa"/>
            <w:vAlign w:val="center"/>
          </w:tcPr>
          <w:p w14:paraId="29B90B08">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1131" w:type="dxa"/>
            <w:vAlign w:val="center"/>
          </w:tcPr>
          <w:p w14:paraId="3AE90078">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706" w:type="dxa"/>
            <w:vAlign w:val="center"/>
          </w:tcPr>
          <w:p w14:paraId="17C3D386">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w:t>
            </w:r>
          </w:p>
        </w:tc>
        <w:tc>
          <w:tcPr>
            <w:tcW w:w="617" w:type="dxa"/>
            <w:vAlign w:val="center"/>
          </w:tcPr>
          <w:p w14:paraId="4E968841">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w:t>
            </w:r>
          </w:p>
        </w:tc>
        <w:tc>
          <w:tcPr>
            <w:tcW w:w="1080" w:type="dxa"/>
            <w:vAlign w:val="center"/>
          </w:tcPr>
          <w:p w14:paraId="7FF617E0">
            <w:pPr>
              <w:widowControl/>
              <w:spacing w:line="240" w:lineRule="exact"/>
              <w:jc w:val="center"/>
              <w:rPr>
                <w:rFonts w:hint="eastAsia" w:ascii="仿宋" w:hAnsi="仿宋" w:eastAsia="仿宋" w:cs="仿宋"/>
                <w:color w:val="000000"/>
                <w:kern w:val="0"/>
                <w:sz w:val="20"/>
                <w:szCs w:val="20"/>
              </w:rPr>
            </w:pPr>
          </w:p>
        </w:tc>
      </w:tr>
      <w:tr w14:paraId="7F6EC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0" w:type="dxa"/>
            <w:vMerge w:val="continue"/>
            <w:vAlign w:val="center"/>
          </w:tcPr>
          <w:p w14:paraId="34C99B4F">
            <w:pPr>
              <w:widowControl/>
              <w:spacing w:line="240" w:lineRule="exact"/>
              <w:jc w:val="center"/>
              <w:rPr>
                <w:rFonts w:hint="eastAsia" w:ascii="仿宋" w:hAnsi="仿宋" w:eastAsia="仿宋" w:cs="仿宋"/>
                <w:color w:val="000000"/>
                <w:kern w:val="0"/>
                <w:sz w:val="20"/>
                <w:szCs w:val="20"/>
              </w:rPr>
            </w:pPr>
          </w:p>
        </w:tc>
        <w:tc>
          <w:tcPr>
            <w:tcW w:w="1167" w:type="dxa"/>
            <w:vMerge w:val="continue"/>
            <w:vAlign w:val="center"/>
          </w:tcPr>
          <w:p w14:paraId="3557FAF8">
            <w:pPr>
              <w:widowControl/>
              <w:spacing w:line="240" w:lineRule="exact"/>
              <w:jc w:val="left"/>
              <w:rPr>
                <w:rFonts w:hint="eastAsia" w:ascii="仿宋" w:hAnsi="仿宋" w:eastAsia="仿宋" w:cs="仿宋"/>
                <w:color w:val="000000"/>
                <w:kern w:val="0"/>
                <w:sz w:val="20"/>
                <w:szCs w:val="20"/>
              </w:rPr>
            </w:pPr>
          </w:p>
        </w:tc>
        <w:tc>
          <w:tcPr>
            <w:tcW w:w="1117" w:type="dxa"/>
            <w:vMerge w:val="continue"/>
            <w:vAlign w:val="center"/>
          </w:tcPr>
          <w:p w14:paraId="0B43CAB2">
            <w:pPr>
              <w:widowControl/>
              <w:spacing w:line="240" w:lineRule="exact"/>
              <w:jc w:val="center"/>
              <w:rPr>
                <w:rFonts w:hint="eastAsia" w:ascii="仿宋" w:hAnsi="仿宋" w:eastAsia="仿宋" w:cs="仿宋"/>
                <w:color w:val="000000"/>
                <w:kern w:val="0"/>
                <w:sz w:val="20"/>
                <w:szCs w:val="20"/>
              </w:rPr>
            </w:pPr>
          </w:p>
        </w:tc>
        <w:tc>
          <w:tcPr>
            <w:tcW w:w="1089" w:type="dxa"/>
            <w:gridSpan w:val="2"/>
            <w:vAlign w:val="center"/>
          </w:tcPr>
          <w:p w14:paraId="42C3D6E5">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各项工作完成率和合格率</w:t>
            </w:r>
          </w:p>
        </w:tc>
        <w:tc>
          <w:tcPr>
            <w:tcW w:w="1195" w:type="dxa"/>
            <w:vAlign w:val="center"/>
          </w:tcPr>
          <w:p w14:paraId="6E17ECED">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≥90%</w:t>
            </w:r>
          </w:p>
        </w:tc>
        <w:tc>
          <w:tcPr>
            <w:tcW w:w="1131" w:type="dxa"/>
            <w:vAlign w:val="center"/>
          </w:tcPr>
          <w:p w14:paraId="26E922DB">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≥90%</w:t>
            </w:r>
          </w:p>
        </w:tc>
        <w:tc>
          <w:tcPr>
            <w:tcW w:w="706" w:type="dxa"/>
            <w:vAlign w:val="center"/>
          </w:tcPr>
          <w:p w14:paraId="58EAEE9E">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w:t>
            </w:r>
          </w:p>
        </w:tc>
        <w:tc>
          <w:tcPr>
            <w:tcW w:w="617" w:type="dxa"/>
            <w:vAlign w:val="center"/>
          </w:tcPr>
          <w:p w14:paraId="47D1130B">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w:t>
            </w:r>
          </w:p>
        </w:tc>
        <w:tc>
          <w:tcPr>
            <w:tcW w:w="1080" w:type="dxa"/>
            <w:vAlign w:val="center"/>
          </w:tcPr>
          <w:p w14:paraId="3AD45933">
            <w:pPr>
              <w:widowControl/>
              <w:spacing w:line="240" w:lineRule="exact"/>
              <w:jc w:val="center"/>
              <w:rPr>
                <w:rFonts w:hint="eastAsia" w:ascii="仿宋" w:hAnsi="仿宋" w:eastAsia="仿宋" w:cs="仿宋"/>
                <w:color w:val="000000"/>
                <w:kern w:val="0"/>
                <w:sz w:val="20"/>
                <w:szCs w:val="20"/>
              </w:rPr>
            </w:pPr>
          </w:p>
        </w:tc>
      </w:tr>
      <w:tr w14:paraId="5D45C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0" w:type="dxa"/>
            <w:vMerge w:val="continue"/>
            <w:vAlign w:val="center"/>
          </w:tcPr>
          <w:p w14:paraId="582000CC">
            <w:pPr>
              <w:widowControl/>
              <w:spacing w:line="240" w:lineRule="exact"/>
              <w:jc w:val="center"/>
              <w:rPr>
                <w:rFonts w:hint="eastAsia" w:ascii="仿宋" w:hAnsi="仿宋" w:eastAsia="仿宋" w:cs="仿宋"/>
                <w:color w:val="000000"/>
                <w:kern w:val="0"/>
                <w:sz w:val="20"/>
                <w:szCs w:val="20"/>
              </w:rPr>
            </w:pPr>
          </w:p>
        </w:tc>
        <w:tc>
          <w:tcPr>
            <w:tcW w:w="1167" w:type="dxa"/>
            <w:vMerge w:val="continue"/>
            <w:vAlign w:val="center"/>
          </w:tcPr>
          <w:p w14:paraId="5ECB68F3">
            <w:pPr>
              <w:widowControl/>
              <w:spacing w:line="240" w:lineRule="exact"/>
              <w:jc w:val="left"/>
              <w:rPr>
                <w:rFonts w:hint="eastAsia" w:ascii="仿宋" w:hAnsi="仿宋" w:eastAsia="仿宋" w:cs="仿宋"/>
                <w:color w:val="000000"/>
                <w:kern w:val="0"/>
                <w:sz w:val="20"/>
                <w:szCs w:val="20"/>
              </w:rPr>
            </w:pPr>
          </w:p>
        </w:tc>
        <w:tc>
          <w:tcPr>
            <w:tcW w:w="1117" w:type="dxa"/>
            <w:vAlign w:val="center"/>
          </w:tcPr>
          <w:p w14:paraId="3C86201F">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时效</w:t>
            </w:r>
          </w:p>
          <w:p w14:paraId="008B2A0B">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tc>
        <w:tc>
          <w:tcPr>
            <w:tcW w:w="1089" w:type="dxa"/>
            <w:gridSpan w:val="2"/>
            <w:vAlign w:val="center"/>
          </w:tcPr>
          <w:p w14:paraId="75D8A73C">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资金支付及时率</w:t>
            </w:r>
          </w:p>
        </w:tc>
        <w:tc>
          <w:tcPr>
            <w:tcW w:w="1195" w:type="dxa"/>
            <w:vAlign w:val="center"/>
          </w:tcPr>
          <w:p w14:paraId="13948E54">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≥90%</w:t>
            </w:r>
          </w:p>
        </w:tc>
        <w:tc>
          <w:tcPr>
            <w:tcW w:w="1131" w:type="dxa"/>
            <w:vAlign w:val="center"/>
          </w:tcPr>
          <w:p w14:paraId="4524F053">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w:t>
            </w:r>
            <w:r>
              <w:rPr>
                <w:rFonts w:hint="eastAsia" w:ascii="仿宋" w:hAnsi="仿宋" w:eastAsia="仿宋" w:cs="仿宋"/>
                <w:color w:val="000000"/>
                <w:kern w:val="0"/>
                <w:sz w:val="20"/>
                <w:szCs w:val="20"/>
                <w:lang w:val="en-US" w:eastAsia="zh-CN"/>
              </w:rPr>
              <w:t>8</w:t>
            </w:r>
            <w:r>
              <w:rPr>
                <w:rFonts w:hint="eastAsia" w:ascii="仿宋" w:hAnsi="仿宋" w:eastAsia="仿宋" w:cs="仿宋"/>
                <w:color w:val="000000"/>
                <w:kern w:val="0"/>
                <w:sz w:val="20"/>
                <w:szCs w:val="20"/>
              </w:rPr>
              <w:t>%</w:t>
            </w:r>
          </w:p>
        </w:tc>
        <w:tc>
          <w:tcPr>
            <w:tcW w:w="706" w:type="dxa"/>
            <w:vAlign w:val="center"/>
          </w:tcPr>
          <w:p w14:paraId="352488C1">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w:t>
            </w:r>
          </w:p>
        </w:tc>
        <w:tc>
          <w:tcPr>
            <w:tcW w:w="617" w:type="dxa"/>
            <w:vAlign w:val="center"/>
          </w:tcPr>
          <w:p w14:paraId="559F1D78">
            <w:pPr>
              <w:widowControl/>
              <w:spacing w:line="240" w:lineRule="exact"/>
              <w:jc w:val="center"/>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val="en-US" w:eastAsia="zh-CN"/>
              </w:rPr>
              <w:t>9</w:t>
            </w:r>
          </w:p>
        </w:tc>
        <w:tc>
          <w:tcPr>
            <w:tcW w:w="1080" w:type="dxa"/>
            <w:vAlign w:val="center"/>
          </w:tcPr>
          <w:p w14:paraId="543A57C3">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有些“过路”资金未及时支付</w:t>
            </w:r>
          </w:p>
        </w:tc>
      </w:tr>
      <w:tr w14:paraId="2AF98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0" w:type="dxa"/>
            <w:vMerge w:val="continue"/>
            <w:vAlign w:val="center"/>
          </w:tcPr>
          <w:p w14:paraId="0F6381CF">
            <w:pPr>
              <w:widowControl/>
              <w:spacing w:line="240" w:lineRule="exact"/>
              <w:jc w:val="center"/>
              <w:rPr>
                <w:rFonts w:hint="eastAsia" w:ascii="仿宋" w:hAnsi="仿宋" w:eastAsia="仿宋" w:cs="仿宋"/>
                <w:color w:val="000000"/>
                <w:kern w:val="0"/>
                <w:sz w:val="20"/>
                <w:szCs w:val="20"/>
              </w:rPr>
            </w:pPr>
          </w:p>
        </w:tc>
        <w:tc>
          <w:tcPr>
            <w:tcW w:w="1167" w:type="dxa"/>
            <w:vMerge w:val="continue"/>
            <w:vAlign w:val="center"/>
          </w:tcPr>
          <w:p w14:paraId="7777ADE0">
            <w:pPr>
              <w:widowControl/>
              <w:spacing w:line="240" w:lineRule="exact"/>
              <w:jc w:val="left"/>
              <w:rPr>
                <w:rFonts w:hint="eastAsia" w:ascii="仿宋" w:hAnsi="仿宋" w:eastAsia="仿宋" w:cs="仿宋"/>
                <w:color w:val="000000"/>
                <w:kern w:val="0"/>
                <w:sz w:val="20"/>
                <w:szCs w:val="20"/>
              </w:rPr>
            </w:pPr>
          </w:p>
        </w:tc>
        <w:tc>
          <w:tcPr>
            <w:tcW w:w="1117" w:type="dxa"/>
            <w:vMerge w:val="restart"/>
            <w:vAlign w:val="center"/>
          </w:tcPr>
          <w:p w14:paraId="56490733">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成本</w:t>
            </w:r>
          </w:p>
          <w:p w14:paraId="455655BF">
            <w:pPr>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tc>
        <w:tc>
          <w:tcPr>
            <w:tcW w:w="1089" w:type="dxa"/>
            <w:gridSpan w:val="2"/>
            <w:vAlign w:val="center"/>
          </w:tcPr>
          <w:p w14:paraId="1C246578">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社会成本节约率</w:t>
            </w:r>
          </w:p>
        </w:tc>
        <w:tc>
          <w:tcPr>
            <w:tcW w:w="1195" w:type="dxa"/>
            <w:vAlign w:val="center"/>
          </w:tcPr>
          <w:p w14:paraId="3B556158">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≥0</w:t>
            </w:r>
          </w:p>
        </w:tc>
        <w:tc>
          <w:tcPr>
            <w:tcW w:w="1131" w:type="dxa"/>
            <w:vAlign w:val="center"/>
          </w:tcPr>
          <w:p w14:paraId="55844203">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≥0</w:t>
            </w:r>
          </w:p>
        </w:tc>
        <w:tc>
          <w:tcPr>
            <w:tcW w:w="706" w:type="dxa"/>
            <w:vAlign w:val="center"/>
          </w:tcPr>
          <w:p w14:paraId="4DE54D26">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7</w:t>
            </w:r>
          </w:p>
        </w:tc>
        <w:tc>
          <w:tcPr>
            <w:tcW w:w="617" w:type="dxa"/>
            <w:vAlign w:val="center"/>
          </w:tcPr>
          <w:p w14:paraId="70CD7F65">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7</w:t>
            </w:r>
          </w:p>
        </w:tc>
        <w:tc>
          <w:tcPr>
            <w:tcW w:w="1080" w:type="dxa"/>
            <w:vAlign w:val="center"/>
          </w:tcPr>
          <w:p w14:paraId="169D48AB">
            <w:pPr>
              <w:widowControl/>
              <w:spacing w:line="240" w:lineRule="exact"/>
              <w:jc w:val="center"/>
              <w:rPr>
                <w:rFonts w:hint="eastAsia" w:ascii="仿宋" w:hAnsi="仿宋" w:eastAsia="仿宋" w:cs="仿宋"/>
                <w:color w:val="000000"/>
                <w:kern w:val="0"/>
                <w:sz w:val="20"/>
                <w:szCs w:val="20"/>
              </w:rPr>
            </w:pPr>
          </w:p>
        </w:tc>
      </w:tr>
      <w:tr w14:paraId="237E5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0" w:type="dxa"/>
            <w:vMerge w:val="continue"/>
            <w:vAlign w:val="center"/>
          </w:tcPr>
          <w:p w14:paraId="27ADE018">
            <w:pPr>
              <w:widowControl/>
              <w:spacing w:line="240" w:lineRule="exact"/>
              <w:jc w:val="center"/>
              <w:rPr>
                <w:rFonts w:hint="eastAsia" w:ascii="仿宋" w:hAnsi="仿宋" w:eastAsia="仿宋" w:cs="仿宋"/>
                <w:color w:val="000000"/>
                <w:kern w:val="0"/>
                <w:sz w:val="20"/>
                <w:szCs w:val="20"/>
              </w:rPr>
            </w:pPr>
          </w:p>
        </w:tc>
        <w:tc>
          <w:tcPr>
            <w:tcW w:w="1167" w:type="dxa"/>
            <w:vMerge w:val="continue"/>
            <w:vAlign w:val="center"/>
          </w:tcPr>
          <w:p w14:paraId="547AD21B">
            <w:pPr>
              <w:widowControl/>
              <w:spacing w:line="240" w:lineRule="exact"/>
              <w:jc w:val="left"/>
              <w:rPr>
                <w:rFonts w:hint="eastAsia" w:ascii="仿宋" w:hAnsi="仿宋" w:eastAsia="仿宋" w:cs="仿宋"/>
                <w:color w:val="000000"/>
                <w:kern w:val="0"/>
                <w:sz w:val="20"/>
                <w:szCs w:val="20"/>
              </w:rPr>
            </w:pPr>
          </w:p>
        </w:tc>
        <w:tc>
          <w:tcPr>
            <w:tcW w:w="1117" w:type="dxa"/>
            <w:vMerge w:val="continue"/>
            <w:vAlign w:val="center"/>
          </w:tcPr>
          <w:p w14:paraId="06DB4A67">
            <w:pPr>
              <w:spacing w:line="240" w:lineRule="exact"/>
              <w:jc w:val="center"/>
              <w:rPr>
                <w:rFonts w:hint="eastAsia" w:ascii="仿宋" w:hAnsi="仿宋" w:eastAsia="仿宋" w:cs="仿宋"/>
                <w:color w:val="000000"/>
                <w:kern w:val="0"/>
                <w:sz w:val="20"/>
                <w:szCs w:val="20"/>
              </w:rPr>
            </w:pPr>
          </w:p>
        </w:tc>
        <w:tc>
          <w:tcPr>
            <w:tcW w:w="1089" w:type="dxa"/>
            <w:gridSpan w:val="2"/>
            <w:vAlign w:val="center"/>
          </w:tcPr>
          <w:p w14:paraId="25C1F6CF">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生态环境成本节约率</w:t>
            </w:r>
          </w:p>
        </w:tc>
        <w:tc>
          <w:tcPr>
            <w:tcW w:w="1195" w:type="dxa"/>
            <w:vAlign w:val="center"/>
          </w:tcPr>
          <w:p w14:paraId="1D262F2E">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≥0</w:t>
            </w:r>
          </w:p>
        </w:tc>
        <w:tc>
          <w:tcPr>
            <w:tcW w:w="1131" w:type="dxa"/>
            <w:vAlign w:val="center"/>
          </w:tcPr>
          <w:p w14:paraId="5CECB23A">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≥0</w:t>
            </w:r>
          </w:p>
        </w:tc>
        <w:tc>
          <w:tcPr>
            <w:tcW w:w="706" w:type="dxa"/>
            <w:vAlign w:val="center"/>
          </w:tcPr>
          <w:p w14:paraId="7F7E55F3">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7</w:t>
            </w:r>
          </w:p>
        </w:tc>
        <w:tc>
          <w:tcPr>
            <w:tcW w:w="617" w:type="dxa"/>
            <w:vAlign w:val="center"/>
          </w:tcPr>
          <w:p w14:paraId="2CB44749">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7</w:t>
            </w:r>
          </w:p>
        </w:tc>
        <w:tc>
          <w:tcPr>
            <w:tcW w:w="1080" w:type="dxa"/>
            <w:vAlign w:val="center"/>
          </w:tcPr>
          <w:p w14:paraId="1B1F86AD">
            <w:pPr>
              <w:widowControl/>
              <w:spacing w:line="240" w:lineRule="exact"/>
              <w:jc w:val="center"/>
              <w:rPr>
                <w:rFonts w:hint="eastAsia" w:ascii="仿宋" w:hAnsi="仿宋" w:eastAsia="仿宋" w:cs="仿宋"/>
                <w:color w:val="000000"/>
                <w:kern w:val="0"/>
                <w:sz w:val="20"/>
                <w:szCs w:val="20"/>
              </w:rPr>
            </w:pPr>
          </w:p>
        </w:tc>
      </w:tr>
      <w:tr w14:paraId="3DA98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0" w:type="dxa"/>
            <w:vMerge w:val="continue"/>
            <w:vAlign w:val="center"/>
          </w:tcPr>
          <w:p w14:paraId="4F009464">
            <w:pPr>
              <w:widowControl/>
              <w:spacing w:line="240" w:lineRule="exact"/>
              <w:jc w:val="center"/>
              <w:rPr>
                <w:rFonts w:hint="eastAsia" w:ascii="仿宋" w:hAnsi="仿宋" w:eastAsia="仿宋" w:cs="仿宋"/>
                <w:color w:val="000000"/>
                <w:kern w:val="0"/>
                <w:sz w:val="20"/>
                <w:szCs w:val="20"/>
              </w:rPr>
            </w:pPr>
          </w:p>
        </w:tc>
        <w:tc>
          <w:tcPr>
            <w:tcW w:w="1167" w:type="dxa"/>
            <w:vMerge w:val="continue"/>
            <w:vAlign w:val="center"/>
          </w:tcPr>
          <w:p w14:paraId="64499F09">
            <w:pPr>
              <w:widowControl/>
              <w:spacing w:line="240" w:lineRule="exact"/>
              <w:jc w:val="left"/>
              <w:rPr>
                <w:rFonts w:hint="eastAsia" w:ascii="仿宋" w:hAnsi="仿宋" w:eastAsia="仿宋" w:cs="仿宋"/>
                <w:color w:val="000000"/>
                <w:kern w:val="0"/>
                <w:sz w:val="20"/>
                <w:szCs w:val="20"/>
              </w:rPr>
            </w:pPr>
          </w:p>
        </w:tc>
        <w:tc>
          <w:tcPr>
            <w:tcW w:w="1117" w:type="dxa"/>
            <w:vMerge w:val="continue"/>
            <w:vAlign w:val="center"/>
          </w:tcPr>
          <w:p w14:paraId="47663A87">
            <w:pPr>
              <w:widowControl/>
              <w:spacing w:line="240" w:lineRule="exact"/>
              <w:jc w:val="center"/>
              <w:rPr>
                <w:rFonts w:hint="eastAsia" w:ascii="仿宋" w:hAnsi="仿宋" w:eastAsia="仿宋" w:cs="仿宋"/>
                <w:color w:val="000000"/>
                <w:kern w:val="0"/>
                <w:sz w:val="20"/>
                <w:szCs w:val="20"/>
              </w:rPr>
            </w:pPr>
          </w:p>
        </w:tc>
        <w:tc>
          <w:tcPr>
            <w:tcW w:w="1089" w:type="dxa"/>
            <w:gridSpan w:val="2"/>
            <w:vAlign w:val="center"/>
          </w:tcPr>
          <w:p w14:paraId="37E033C5">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三公经费控制率</w:t>
            </w:r>
          </w:p>
        </w:tc>
        <w:tc>
          <w:tcPr>
            <w:tcW w:w="1195" w:type="dxa"/>
            <w:vAlign w:val="center"/>
          </w:tcPr>
          <w:p w14:paraId="2F2EE788">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1131" w:type="dxa"/>
            <w:vAlign w:val="center"/>
          </w:tcPr>
          <w:p w14:paraId="35751384">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706" w:type="dxa"/>
            <w:vAlign w:val="center"/>
          </w:tcPr>
          <w:p w14:paraId="677A70E3">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6</w:t>
            </w:r>
          </w:p>
        </w:tc>
        <w:tc>
          <w:tcPr>
            <w:tcW w:w="617" w:type="dxa"/>
            <w:vAlign w:val="center"/>
          </w:tcPr>
          <w:p w14:paraId="5F49AEAC">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6</w:t>
            </w:r>
          </w:p>
        </w:tc>
        <w:tc>
          <w:tcPr>
            <w:tcW w:w="1080" w:type="dxa"/>
            <w:vAlign w:val="center"/>
          </w:tcPr>
          <w:p w14:paraId="28BEE024">
            <w:pPr>
              <w:widowControl/>
              <w:spacing w:line="240" w:lineRule="exact"/>
              <w:jc w:val="center"/>
              <w:rPr>
                <w:rFonts w:hint="eastAsia" w:ascii="仿宋" w:hAnsi="仿宋" w:eastAsia="仿宋" w:cs="仿宋"/>
                <w:color w:val="000000"/>
                <w:kern w:val="0"/>
                <w:sz w:val="20"/>
                <w:szCs w:val="20"/>
              </w:rPr>
            </w:pPr>
          </w:p>
        </w:tc>
      </w:tr>
      <w:tr w14:paraId="76276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0" w:type="dxa"/>
            <w:vMerge w:val="continue"/>
            <w:vAlign w:val="center"/>
          </w:tcPr>
          <w:p w14:paraId="7C296C56">
            <w:pPr>
              <w:widowControl/>
              <w:spacing w:line="240" w:lineRule="exact"/>
              <w:jc w:val="center"/>
              <w:rPr>
                <w:rFonts w:hint="eastAsia" w:ascii="仿宋" w:hAnsi="仿宋" w:eastAsia="仿宋" w:cs="仿宋"/>
                <w:color w:val="000000"/>
                <w:kern w:val="0"/>
                <w:sz w:val="20"/>
                <w:szCs w:val="20"/>
              </w:rPr>
            </w:pPr>
          </w:p>
        </w:tc>
        <w:tc>
          <w:tcPr>
            <w:tcW w:w="1167" w:type="dxa"/>
            <w:vMerge w:val="restart"/>
            <w:vAlign w:val="center"/>
          </w:tcPr>
          <w:p w14:paraId="5C2E2D01">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效益指标</w:t>
            </w:r>
          </w:p>
          <w:p w14:paraId="728172AD">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（30分）</w:t>
            </w:r>
          </w:p>
        </w:tc>
        <w:tc>
          <w:tcPr>
            <w:tcW w:w="1117" w:type="dxa"/>
            <w:vAlign w:val="center"/>
          </w:tcPr>
          <w:p w14:paraId="6B194597">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经济效</w:t>
            </w:r>
          </w:p>
          <w:p w14:paraId="438F9DAD">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089" w:type="dxa"/>
            <w:gridSpan w:val="2"/>
            <w:vAlign w:val="center"/>
          </w:tcPr>
          <w:p w14:paraId="77A0DE5F">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农村经济发展，增加群众收入</w:t>
            </w:r>
          </w:p>
        </w:tc>
        <w:tc>
          <w:tcPr>
            <w:tcW w:w="1195" w:type="dxa"/>
            <w:vAlign w:val="center"/>
          </w:tcPr>
          <w:p w14:paraId="27D1948E">
            <w:pPr>
              <w:widowControl/>
              <w:spacing w:line="240" w:lineRule="exact"/>
              <w:jc w:val="center"/>
              <w:rPr>
                <w:rFonts w:hint="eastAsia" w:ascii="仿宋" w:hAnsi="仿宋" w:eastAsia="仿宋" w:cs="仿宋"/>
                <w:color w:val="000000"/>
                <w:kern w:val="0"/>
                <w:sz w:val="20"/>
                <w:szCs w:val="20"/>
              </w:rPr>
            </w:pPr>
          </w:p>
          <w:p w14:paraId="517AEA57">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p w14:paraId="717FCB42">
            <w:pPr>
              <w:widowControl/>
              <w:spacing w:line="240" w:lineRule="exact"/>
              <w:jc w:val="center"/>
              <w:rPr>
                <w:rFonts w:hint="eastAsia" w:ascii="仿宋" w:hAnsi="仿宋" w:eastAsia="仿宋" w:cs="仿宋"/>
                <w:color w:val="000000"/>
                <w:kern w:val="0"/>
                <w:sz w:val="20"/>
                <w:szCs w:val="20"/>
              </w:rPr>
            </w:pPr>
          </w:p>
        </w:tc>
        <w:tc>
          <w:tcPr>
            <w:tcW w:w="1131" w:type="dxa"/>
            <w:vAlign w:val="center"/>
          </w:tcPr>
          <w:p w14:paraId="2E2F2CB4">
            <w:pPr>
              <w:widowControl/>
              <w:spacing w:line="240" w:lineRule="exact"/>
              <w:jc w:val="center"/>
              <w:rPr>
                <w:rFonts w:hint="eastAsia" w:ascii="仿宋" w:hAnsi="仿宋" w:eastAsia="仿宋" w:cs="仿宋"/>
                <w:color w:val="000000"/>
                <w:kern w:val="0"/>
                <w:sz w:val="20"/>
                <w:szCs w:val="20"/>
              </w:rPr>
            </w:pPr>
          </w:p>
          <w:p w14:paraId="12640DA8">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w:t>
            </w:r>
            <w:bookmarkStart w:id="0" w:name="_GoBack"/>
            <w:bookmarkEnd w:id="0"/>
            <w:r>
              <w:rPr>
                <w:rFonts w:hint="eastAsia" w:ascii="仿宋" w:hAnsi="仿宋" w:eastAsia="仿宋" w:cs="仿宋"/>
                <w:color w:val="000000"/>
                <w:kern w:val="0"/>
                <w:sz w:val="20"/>
                <w:szCs w:val="20"/>
              </w:rPr>
              <w:t>明显</w:t>
            </w:r>
          </w:p>
          <w:p w14:paraId="4EA5A0C8">
            <w:pPr>
              <w:widowControl/>
              <w:spacing w:line="240" w:lineRule="exact"/>
              <w:jc w:val="center"/>
              <w:rPr>
                <w:rFonts w:hint="eastAsia" w:ascii="仿宋" w:hAnsi="仿宋" w:eastAsia="仿宋" w:cs="仿宋"/>
                <w:color w:val="000000"/>
                <w:kern w:val="0"/>
                <w:sz w:val="20"/>
                <w:szCs w:val="20"/>
              </w:rPr>
            </w:pPr>
          </w:p>
        </w:tc>
        <w:tc>
          <w:tcPr>
            <w:tcW w:w="706" w:type="dxa"/>
            <w:vAlign w:val="center"/>
          </w:tcPr>
          <w:p w14:paraId="4315F199">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w:t>
            </w:r>
          </w:p>
        </w:tc>
        <w:tc>
          <w:tcPr>
            <w:tcW w:w="617" w:type="dxa"/>
            <w:vAlign w:val="center"/>
          </w:tcPr>
          <w:p w14:paraId="3BE2455C">
            <w:pPr>
              <w:widowControl/>
              <w:spacing w:line="240" w:lineRule="exact"/>
              <w:jc w:val="center"/>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val="en-US" w:eastAsia="zh-CN"/>
              </w:rPr>
              <w:t>8</w:t>
            </w:r>
          </w:p>
        </w:tc>
        <w:tc>
          <w:tcPr>
            <w:tcW w:w="1080" w:type="dxa"/>
            <w:vAlign w:val="center"/>
          </w:tcPr>
          <w:p w14:paraId="728BBEE6">
            <w:pPr>
              <w:widowControl/>
              <w:spacing w:line="240" w:lineRule="exact"/>
              <w:jc w:val="center"/>
              <w:rPr>
                <w:rFonts w:hint="eastAsia" w:ascii="仿宋" w:hAnsi="仿宋" w:eastAsia="仿宋" w:cs="仿宋"/>
                <w:color w:val="000000"/>
                <w:kern w:val="0"/>
                <w:sz w:val="20"/>
                <w:szCs w:val="20"/>
              </w:rPr>
            </w:pPr>
          </w:p>
        </w:tc>
      </w:tr>
      <w:tr w14:paraId="28054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0" w:type="dxa"/>
            <w:vMerge w:val="continue"/>
            <w:vAlign w:val="center"/>
          </w:tcPr>
          <w:p w14:paraId="6768C7CE">
            <w:pPr>
              <w:widowControl/>
              <w:spacing w:line="240" w:lineRule="exact"/>
              <w:jc w:val="center"/>
              <w:rPr>
                <w:rFonts w:hint="eastAsia" w:ascii="仿宋" w:hAnsi="仿宋" w:eastAsia="仿宋" w:cs="仿宋"/>
                <w:color w:val="000000"/>
                <w:kern w:val="0"/>
                <w:sz w:val="20"/>
                <w:szCs w:val="20"/>
              </w:rPr>
            </w:pPr>
          </w:p>
        </w:tc>
        <w:tc>
          <w:tcPr>
            <w:tcW w:w="1167" w:type="dxa"/>
            <w:vMerge w:val="continue"/>
            <w:vAlign w:val="center"/>
          </w:tcPr>
          <w:p w14:paraId="39C6197B">
            <w:pPr>
              <w:widowControl/>
              <w:spacing w:line="240" w:lineRule="exact"/>
              <w:jc w:val="left"/>
              <w:rPr>
                <w:rFonts w:hint="eastAsia" w:ascii="仿宋" w:hAnsi="仿宋" w:eastAsia="仿宋" w:cs="仿宋"/>
                <w:color w:val="000000"/>
                <w:kern w:val="0"/>
                <w:sz w:val="20"/>
                <w:szCs w:val="20"/>
              </w:rPr>
            </w:pPr>
          </w:p>
        </w:tc>
        <w:tc>
          <w:tcPr>
            <w:tcW w:w="1117" w:type="dxa"/>
            <w:vAlign w:val="center"/>
          </w:tcPr>
          <w:p w14:paraId="7FCC4FE2">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w:t>
            </w:r>
          </w:p>
          <w:p w14:paraId="5C2186E3">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089" w:type="dxa"/>
            <w:gridSpan w:val="2"/>
            <w:vAlign w:val="center"/>
          </w:tcPr>
          <w:p w14:paraId="0D40A0FD">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经济增长、物价稳定、社会和谐</w:t>
            </w:r>
          </w:p>
        </w:tc>
        <w:tc>
          <w:tcPr>
            <w:tcW w:w="1195" w:type="dxa"/>
            <w:vAlign w:val="center"/>
          </w:tcPr>
          <w:p w14:paraId="211493FB">
            <w:pPr>
              <w:widowControl/>
              <w:spacing w:line="240" w:lineRule="exact"/>
              <w:jc w:val="center"/>
              <w:rPr>
                <w:rFonts w:hint="eastAsia" w:ascii="仿宋" w:hAnsi="仿宋" w:eastAsia="仿宋" w:cs="仿宋"/>
                <w:color w:val="000000"/>
                <w:kern w:val="0"/>
                <w:sz w:val="20"/>
                <w:szCs w:val="20"/>
              </w:rPr>
            </w:pPr>
          </w:p>
          <w:p w14:paraId="03A7FDA4">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p w14:paraId="036CBA51">
            <w:pPr>
              <w:widowControl/>
              <w:spacing w:line="240" w:lineRule="exact"/>
              <w:jc w:val="center"/>
              <w:rPr>
                <w:rFonts w:hint="eastAsia" w:ascii="仿宋" w:hAnsi="仿宋" w:eastAsia="仿宋" w:cs="仿宋"/>
                <w:color w:val="000000"/>
                <w:kern w:val="0"/>
                <w:sz w:val="20"/>
                <w:szCs w:val="20"/>
              </w:rPr>
            </w:pPr>
          </w:p>
        </w:tc>
        <w:tc>
          <w:tcPr>
            <w:tcW w:w="1131" w:type="dxa"/>
            <w:vAlign w:val="center"/>
          </w:tcPr>
          <w:p w14:paraId="1D3FA629">
            <w:pPr>
              <w:widowControl/>
              <w:spacing w:line="240" w:lineRule="exact"/>
              <w:jc w:val="center"/>
              <w:rPr>
                <w:rFonts w:hint="eastAsia" w:ascii="仿宋" w:hAnsi="仿宋" w:eastAsia="仿宋" w:cs="仿宋"/>
                <w:color w:val="000000"/>
                <w:kern w:val="0"/>
                <w:sz w:val="20"/>
                <w:szCs w:val="20"/>
              </w:rPr>
            </w:pPr>
          </w:p>
          <w:p w14:paraId="38452A2E">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p w14:paraId="7D3475F0">
            <w:pPr>
              <w:widowControl/>
              <w:spacing w:line="240" w:lineRule="exact"/>
              <w:jc w:val="center"/>
              <w:rPr>
                <w:rFonts w:hint="eastAsia" w:ascii="仿宋" w:hAnsi="仿宋" w:eastAsia="仿宋" w:cs="仿宋"/>
                <w:color w:val="000000"/>
                <w:kern w:val="0"/>
                <w:sz w:val="20"/>
                <w:szCs w:val="20"/>
              </w:rPr>
            </w:pPr>
          </w:p>
        </w:tc>
        <w:tc>
          <w:tcPr>
            <w:tcW w:w="706" w:type="dxa"/>
            <w:vAlign w:val="center"/>
          </w:tcPr>
          <w:p w14:paraId="609D6116">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w:t>
            </w:r>
          </w:p>
        </w:tc>
        <w:tc>
          <w:tcPr>
            <w:tcW w:w="617" w:type="dxa"/>
            <w:vAlign w:val="center"/>
          </w:tcPr>
          <w:p w14:paraId="10A26E39">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w:t>
            </w:r>
          </w:p>
        </w:tc>
        <w:tc>
          <w:tcPr>
            <w:tcW w:w="1080" w:type="dxa"/>
            <w:vAlign w:val="center"/>
          </w:tcPr>
          <w:p w14:paraId="426B4365">
            <w:pPr>
              <w:widowControl/>
              <w:spacing w:line="240" w:lineRule="exact"/>
              <w:jc w:val="center"/>
              <w:rPr>
                <w:rFonts w:hint="eastAsia" w:ascii="仿宋" w:hAnsi="仿宋" w:eastAsia="仿宋" w:cs="仿宋"/>
                <w:color w:val="000000"/>
                <w:kern w:val="0"/>
                <w:sz w:val="20"/>
                <w:szCs w:val="20"/>
              </w:rPr>
            </w:pPr>
          </w:p>
        </w:tc>
      </w:tr>
      <w:tr w14:paraId="7CF2F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0" w:type="dxa"/>
            <w:vMerge w:val="continue"/>
            <w:vAlign w:val="center"/>
          </w:tcPr>
          <w:p w14:paraId="168E9E9B">
            <w:pPr>
              <w:widowControl/>
              <w:spacing w:line="240" w:lineRule="exact"/>
              <w:jc w:val="center"/>
              <w:rPr>
                <w:rFonts w:hint="eastAsia" w:ascii="仿宋" w:hAnsi="仿宋" w:eastAsia="仿宋" w:cs="仿宋"/>
                <w:color w:val="000000"/>
                <w:kern w:val="0"/>
                <w:sz w:val="20"/>
                <w:szCs w:val="20"/>
              </w:rPr>
            </w:pPr>
          </w:p>
        </w:tc>
        <w:tc>
          <w:tcPr>
            <w:tcW w:w="1167" w:type="dxa"/>
            <w:vMerge w:val="continue"/>
            <w:vAlign w:val="center"/>
          </w:tcPr>
          <w:p w14:paraId="78675C06">
            <w:pPr>
              <w:widowControl/>
              <w:spacing w:line="240" w:lineRule="exact"/>
              <w:jc w:val="left"/>
              <w:rPr>
                <w:rFonts w:hint="eastAsia" w:ascii="仿宋" w:hAnsi="仿宋" w:eastAsia="仿宋" w:cs="仿宋"/>
                <w:color w:val="000000"/>
                <w:kern w:val="0"/>
                <w:sz w:val="20"/>
                <w:szCs w:val="20"/>
              </w:rPr>
            </w:pPr>
          </w:p>
        </w:tc>
        <w:tc>
          <w:tcPr>
            <w:tcW w:w="1117" w:type="dxa"/>
            <w:vAlign w:val="center"/>
          </w:tcPr>
          <w:p w14:paraId="30424978">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生态效</w:t>
            </w:r>
          </w:p>
          <w:p w14:paraId="7A093AA9">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089" w:type="dxa"/>
            <w:gridSpan w:val="2"/>
            <w:vAlign w:val="center"/>
          </w:tcPr>
          <w:p w14:paraId="4F1C5CD4">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生产生活环境改善，提升村民环境保护意识</w:t>
            </w:r>
          </w:p>
        </w:tc>
        <w:tc>
          <w:tcPr>
            <w:tcW w:w="1195" w:type="dxa"/>
            <w:vAlign w:val="center"/>
          </w:tcPr>
          <w:p w14:paraId="73FEF31A">
            <w:pPr>
              <w:widowControl/>
              <w:spacing w:line="240" w:lineRule="exact"/>
              <w:jc w:val="center"/>
              <w:rPr>
                <w:rFonts w:hint="eastAsia" w:ascii="仿宋" w:hAnsi="仿宋" w:eastAsia="仿宋" w:cs="仿宋"/>
                <w:color w:val="000000"/>
                <w:kern w:val="0"/>
                <w:sz w:val="20"/>
                <w:szCs w:val="20"/>
              </w:rPr>
            </w:pPr>
          </w:p>
          <w:p w14:paraId="091543EB">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p w14:paraId="0E221F8A">
            <w:pPr>
              <w:widowControl/>
              <w:spacing w:line="240" w:lineRule="exact"/>
              <w:jc w:val="center"/>
              <w:rPr>
                <w:rFonts w:hint="eastAsia" w:ascii="仿宋" w:hAnsi="仿宋" w:eastAsia="仿宋" w:cs="仿宋"/>
                <w:color w:val="000000"/>
                <w:kern w:val="0"/>
                <w:sz w:val="20"/>
                <w:szCs w:val="20"/>
              </w:rPr>
            </w:pPr>
          </w:p>
        </w:tc>
        <w:tc>
          <w:tcPr>
            <w:tcW w:w="1131" w:type="dxa"/>
            <w:vAlign w:val="center"/>
          </w:tcPr>
          <w:p w14:paraId="375BB95B">
            <w:pPr>
              <w:widowControl/>
              <w:spacing w:line="240" w:lineRule="exact"/>
              <w:jc w:val="center"/>
              <w:rPr>
                <w:rFonts w:hint="eastAsia" w:ascii="仿宋" w:hAnsi="仿宋" w:eastAsia="仿宋" w:cs="仿宋"/>
                <w:color w:val="000000"/>
                <w:kern w:val="0"/>
                <w:sz w:val="20"/>
                <w:szCs w:val="20"/>
              </w:rPr>
            </w:pPr>
          </w:p>
          <w:p w14:paraId="2E65A50A">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p w14:paraId="4E20A189">
            <w:pPr>
              <w:widowControl/>
              <w:spacing w:line="240" w:lineRule="exact"/>
              <w:jc w:val="center"/>
              <w:rPr>
                <w:rFonts w:hint="eastAsia" w:ascii="仿宋" w:hAnsi="仿宋" w:eastAsia="仿宋" w:cs="仿宋"/>
                <w:color w:val="000000"/>
                <w:kern w:val="0"/>
                <w:sz w:val="20"/>
                <w:szCs w:val="20"/>
              </w:rPr>
            </w:pPr>
          </w:p>
        </w:tc>
        <w:tc>
          <w:tcPr>
            <w:tcW w:w="706" w:type="dxa"/>
            <w:vAlign w:val="center"/>
          </w:tcPr>
          <w:p w14:paraId="54E1EBA5">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7</w:t>
            </w:r>
          </w:p>
        </w:tc>
        <w:tc>
          <w:tcPr>
            <w:tcW w:w="617" w:type="dxa"/>
            <w:vAlign w:val="center"/>
          </w:tcPr>
          <w:p w14:paraId="7A1A01D6">
            <w:pPr>
              <w:widowControl/>
              <w:spacing w:line="240" w:lineRule="exact"/>
              <w:jc w:val="center"/>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val="en-US" w:eastAsia="zh-CN"/>
              </w:rPr>
              <w:t>7</w:t>
            </w:r>
          </w:p>
        </w:tc>
        <w:tc>
          <w:tcPr>
            <w:tcW w:w="1080" w:type="dxa"/>
            <w:vAlign w:val="center"/>
          </w:tcPr>
          <w:p w14:paraId="52C57A55">
            <w:pPr>
              <w:widowControl/>
              <w:spacing w:line="240" w:lineRule="exact"/>
              <w:jc w:val="center"/>
              <w:rPr>
                <w:rFonts w:hint="eastAsia" w:ascii="仿宋" w:hAnsi="仿宋" w:eastAsia="仿宋" w:cs="仿宋"/>
                <w:color w:val="000000"/>
                <w:kern w:val="0"/>
                <w:sz w:val="20"/>
                <w:szCs w:val="20"/>
              </w:rPr>
            </w:pPr>
          </w:p>
        </w:tc>
      </w:tr>
      <w:tr w14:paraId="10632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0" w:type="dxa"/>
            <w:vMerge w:val="continue"/>
            <w:vAlign w:val="center"/>
          </w:tcPr>
          <w:p w14:paraId="4F88039E">
            <w:pPr>
              <w:widowControl/>
              <w:spacing w:line="240" w:lineRule="exact"/>
              <w:jc w:val="center"/>
              <w:rPr>
                <w:rFonts w:hint="eastAsia" w:ascii="仿宋" w:hAnsi="仿宋" w:eastAsia="仿宋" w:cs="仿宋"/>
                <w:color w:val="000000"/>
                <w:kern w:val="0"/>
                <w:sz w:val="20"/>
                <w:szCs w:val="20"/>
              </w:rPr>
            </w:pPr>
          </w:p>
        </w:tc>
        <w:tc>
          <w:tcPr>
            <w:tcW w:w="1167" w:type="dxa"/>
            <w:vMerge w:val="continue"/>
            <w:vAlign w:val="center"/>
          </w:tcPr>
          <w:p w14:paraId="2FFFA62E">
            <w:pPr>
              <w:widowControl/>
              <w:spacing w:line="240" w:lineRule="exact"/>
              <w:jc w:val="left"/>
              <w:rPr>
                <w:rFonts w:hint="eastAsia" w:ascii="仿宋" w:hAnsi="仿宋" w:eastAsia="仿宋" w:cs="仿宋"/>
                <w:color w:val="000000"/>
                <w:kern w:val="0"/>
                <w:sz w:val="20"/>
                <w:szCs w:val="20"/>
              </w:rPr>
            </w:pPr>
          </w:p>
        </w:tc>
        <w:tc>
          <w:tcPr>
            <w:tcW w:w="1117" w:type="dxa"/>
            <w:vAlign w:val="center"/>
          </w:tcPr>
          <w:p w14:paraId="7D970E1F">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可持续影响指标</w:t>
            </w:r>
          </w:p>
        </w:tc>
        <w:tc>
          <w:tcPr>
            <w:tcW w:w="1089" w:type="dxa"/>
            <w:gridSpan w:val="2"/>
            <w:vAlign w:val="center"/>
          </w:tcPr>
          <w:p w14:paraId="2705AC2E">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政府机关运转稳定，管理功能完善</w:t>
            </w:r>
          </w:p>
        </w:tc>
        <w:tc>
          <w:tcPr>
            <w:tcW w:w="1195" w:type="dxa"/>
            <w:vAlign w:val="center"/>
          </w:tcPr>
          <w:p w14:paraId="14FA5AC6">
            <w:pPr>
              <w:widowControl/>
              <w:spacing w:line="240" w:lineRule="exact"/>
              <w:jc w:val="center"/>
              <w:rPr>
                <w:rFonts w:hint="eastAsia" w:ascii="仿宋" w:hAnsi="仿宋" w:eastAsia="仿宋" w:cs="仿宋"/>
                <w:color w:val="000000"/>
                <w:kern w:val="0"/>
                <w:sz w:val="20"/>
                <w:szCs w:val="20"/>
              </w:rPr>
            </w:pPr>
          </w:p>
          <w:p w14:paraId="7B5BAD90">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p w14:paraId="1FAB305D">
            <w:pPr>
              <w:widowControl/>
              <w:spacing w:line="240" w:lineRule="exact"/>
              <w:jc w:val="center"/>
              <w:rPr>
                <w:rFonts w:hint="eastAsia" w:ascii="仿宋" w:hAnsi="仿宋" w:eastAsia="仿宋" w:cs="仿宋"/>
                <w:color w:val="000000"/>
                <w:kern w:val="0"/>
                <w:sz w:val="20"/>
                <w:szCs w:val="20"/>
              </w:rPr>
            </w:pPr>
          </w:p>
        </w:tc>
        <w:tc>
          <w:tcPr>
            <w:tcW w:w="1131" w:type="dxa"/>
            <w:vAlign w:val="center"/>
          </w:tcPr>
          <w:p w14:paraId="2009FA65">
            <w:pPr>
              <w:widowControl/>
              <w:spacing w:line="240" w:lineRule="exact"/>
              <w:jc w:val="center"/>
              <w:rPr>
                <w:rFonts w:hint="eastAsia" w:ascii="仿宋" w:hAnsi="仿宋" w:eastAsia="仿宋" w:cs="仿宋"/>
                <w:color w:val="000000"/>
                <w:kern w:val="0"/>
                <w:sz w:val="20"/>
                <w:szCs w:val="20"/>
              </w:rPr>
            </w:pPr>
          </w:p>
          <w:p w14:paraId="0BD9F1DD">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p w14:paraId="056B167D">
            <w:pPr>
              <w:widowControl/>
              <w:spacing w:line="240" w:lineRule="exact"/>
              <w:jc w:val="center"/>
              <w:rPr>
                <w:rFonts w:hint="eastAsia" w:ascii="仿宋" w:hAnsi="仿宋" w:eastAsia="仿宋" w:cs="仿宋"/>
                <w:color w:val="000000"/>
                <w:kern w:val="0"/>
                <w:sz w:val="20"/>
                <w:szCs w:val="20"/>
              </w:rPr>
            </w:pPr>
          </w:p>
        </w:tc>
        <w:tc>
          <w:tcPr>
            <w:tcW w:w="706" w:type="dxa"/>
            <w:vAlign w:val="center"/>
          </w:tcPr>
          <w:p w14:paraId="784A5D73">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7</w:t>
            </w:r>
          </w:p>
        </w:tc>
        <w:tc>
          <w:tcPr>
            <w:tcW w:w="617" w:type="dxa"/>
            <w:vAlign w:val="center"/>
          </w:tcPr>
          <w:p w14:paraId="57EFECC7">
            <w:pPr>
              <w:widowControl/>
              <w:spacing w:line="240" w:lineRule="exact"/>
              <w:jc w:val="center"/>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val="en-US" w:eastAsia="zh-CN"/>
              </w:rPr>
              <w:t>7</w:t>
            </w:r>
          </w:p>
        </w:tc>
        <w:tc>
          <w:tcPr>
            <w:tcW w:w="1080" w:type="dxa"/>
            <w:vAlign w:val="center"/>
          </w:tcPr>
          <w:p w14:paraId="2A5B6CA1">
            <w:pPr>
              <w:widowControl/>
              <w:spacing w:line="240" w:lineRule="exact"/>
              <w:jc w:val="center"/>
              <w:rPr>
                <w:rFonts w:hint="eastAsia" w:ascii="仿宋" w:hAnsi="仿宋" w:eastAsia="仿宋" w:cs="仿宋"/>
                <w:color w:val="000000"/>
                <w:kern w:val="0"/>
                <w:sz w:val="20"/>
                <w:szCs w:val="20"/>
              </w:rPr>
            </w:pPr>
          </w:p>
        </w:tc>
      </w:tr>
      <w:tr w14:paraId="433A2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0" w:type="dxa"/>
            <w:vMerge w:val="continue"/>
            <w:vAlign w:val="center"/>
          </w:tcPr>
          <w:p w14:paraId="5E844569">
            <w:pPr>
              <w:widowControl/>
              <w:spacing w:line="240" w:lineRule="exact"/>
              <w:jc w:val="left"/>
              <w:rPr>
                <w:rFonts w:hint="eastAsia" w:ascii="仿宋" w:hAnsi="仿宋" w:eastAsia="仿宋" w:cs="仿宋"/>
                <w:color w:val="000000"/>
                <w:kern w:val="0"/>
                <w:sz w:val="20"/>
                <w:szCs w:val="20"/>
              </w:rPr>
            </w:pPr>
          </w:p>
        </w:tc>
        <w:tc>
          <w:tcPr>
            <w:tcW w:w="1167" w:type="dxa"/>
            <w:vAlign w:val="center"/>
          </w:tcPr>
          <w:p w14:paraId="1367B034">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满意度</w:t>
            </w:r>
          </w:p>
          <w:p w14:paraId="0BDF7351">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p w14:paraId="1657954A">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（10分）</w:t>
            </w:r>
          </w:p>
        </w:tc>
        <w:tc>
          <w:tcPr>
            <w:tcW w:w="1117" w:type="dxa"/>
            <w:vAlign w:val="center"/>
          </w:tcPr>
          <w:p w14:paraId="3906E777">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服务对象满意度指标</w:t>
            </w:r>
          </w:p>
        </w:tc>
        <w:tc>
          <w:tcPr>
            <w:tcW w:w="1089" w:type="dxa"/>
            <w:gridSpan w:val="2"/>
            <w:vAlign w:val="center"/>
          </w:tcPr>
          <w:p w14:paraId="58EA80D1">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群众对政府工作满意度</w:t>
            </w:r>
          </w:p>
        </w:tc>
        <w:tc>
          <w:tcPr>
            <w:tcW w:w="1195" w:type="dxa"/>
            <w:vAlign w:val="center"/>
          </w:tcPr>
          <w:p w14:paraId="375CC1CB">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≥90%</w:t>
            </w:r>
          </w:p>
        </w:tc>
        <w:tc>
          <w:tcPr>
            <w:tcW w:w="1131" w:type="dxa"/>
            <w:vAlign w:val="center"/>
          </w:tcPr>
          <w:p w14:paraId="7C8369DA">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≥90%</w:t>
            </w:r>
          </w:p>
        </w:tc>
        <w:tc>
          <w:tcPr>
            <w:tcW w:w="706" w:type="dxa"/>
            <w:vAlign w:val="center"/>
          </w:tcPr>
          <w:p w14:paraId="5880B99E">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w:t>
            </w:r>
          </w:p>
        </w:tc>
        <w:tc>
          <w:tcPr>
            <w:tcW w:w="617" w:type="dxa"/>
            <w:vAlign w:val="center"/>
          </w:tcPr>
          <w:p w14:paraId="5D5DD21D">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w:t>
            </w:r>
          </w:p>
        </w:tc>
        <w:tc>
          <w:tcPr>
            <w:tcW w:w="1080" w:type="dxa"/>
            <w:vAlign w:val="center"/>
          </w:tcPr>
          <w:p w14:paraId="73529C11">
            <w:pPr>
              <w:widowControl/>
              <w:spacing w:line="240" w:lineRule="exact"/>
              <w:jc w:val="center"/>
              <w:rPr>
                <w:rFonts w:hint="eastAsia" w:ascii="仿宋" w:hAnsi="仿宋" w:eastAsia="仿宋" w:cs="仿宋"/>
                <w:color w:val="000000"/>
                <w:kern w:val="0"/>
                <w:sz w:val="20"/>
                <w:szCs w:val="20"/>
              </w:rPr>
            </w:pPr>
          </w:p>
        </w:tc>
      </w:tr>
      <w:tr w14:paraId="5D0B1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59" w:type="dxa"/>
            <w:gridSpan w:val="7"/>
            <w:vAlign w:val="center"/>
          </w:tcPr>
          <w:p w14:paraId="57FBDA1E">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总分</w:t>
            </w:r>
          </w:p>
        </w:tc>
        <w:tc>
          <w:tcPr>
            <w:tcW w:w="706" w:type="dxa"/>
            <w:vAlign w:val="center"/>
          </w:tcPr>
          <w:p w14:paraId="73EB9693">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617" w:type="dxa"/>
            <w:vAlign w:val="center"/>
          </w:tcPr>
          <w:p w14:paraId="2FFC71E6">
            <w:pPr>
              <w:widowControl/>
              <w:spacing w:line="240" w:lineRule="exact"/>
              <w:jc w:val="left"/>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rPr>
              <w:t>　9</w:t>
            </w:r>
            <w:r>
              <w:rPr>
                <w:rFonts w:hint="eastAsia" w:ascii="仿宋" w:hAnsi="仿宋" w:eastAsia="仿宋" w:cs="仿宋"/>
                <w:color w:val="000000"/>
                <w:kern w:val="0"/>
                <w:sz w:val="20"/>
                <w:szCs w:val="20"/>
                <w:lang w:val="en-US" w:eastAsia="zh-CN"/>
              </w:rPr>
              <w:t>9</w:t>
            </w:r>
          </w:p>
        </w:tc>
        <w:tc>
          <w:tcPr>
            <w:tcW w:w="1080" w:type="dxa"/>
            <w:vAlign w:val="center"/>
          </w:tcPr>
          <w:p w14:paraId="02AA5EFF">
            <w:pPr>
              <w:widowControl/>
              <w:spacing w:line="24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bl>
    <w:p w14:paraId="0DD78A4E">
      <w:pPr>
        <w:spacing w:line="600" w:lineRule="exact"/>
        <w:rPr>
          <w:rFonts w:eastAsia="仿宋_GB2312"/>
          <w:color w:val="000000"/>
          <w:kern w:val="0"/>
          <w:sz w:val="24"/>
        </w:rPr>
      </w:pPr>
      <w:r>
        <w:rPr>
          <w:rFonts w:eastAsia="仿宋_GB2312"/>
          <w:color w:val="000000"/>
          <w:kern w:val="0"/>
          <w:sz w:val="24"/>
        </w:rPr>
        <w:t>填表人：</w:t>
      </w:r>
      <w:r>
        <w:rPr>
          <w:rFonts w:hint="eastAsia" w:eastAsia="仿宋_GB2312"/>
          <w:color w:val="000000"/>
          <w:kern w:val="0"/>
          <w:sz w:val="24"/>
        </w:rPr>
        <w:t xml:space="preserve">于慧琪        </w:t>
      </w:r>
      <w:r>
        <w:rPr>
          <w:rFonts w:eastAsia="仿宋_GB2312"/>
          <w:color w:val="000000"/>
          <w:kern w:val="0"/>
          <w:sz w:val="24"/>
        </w:rPr>
        <w:t xml:space="preserve">  填报日期：</w:t>
      </w:r>
      <w:r>
        <w:rPr>
          <w:rFonts w:hint="eastAsia" w:eastAsia="仿宋_GB2312"/>
          <w:color w:val="000000"/>
          <w:kern w:val="0"/>
          <w:sz w:val="24"/>
        </w:rPr>
        <w:t xml:space="preserve"> 2024.0</w:t>
      </w:r>
      <w:r>
        <w:rPr>
          <w:rFonts w:hint="eastAsia" w:eastAsia="仿宋_GB2312"/>
          <w:color w:val="000000"/>
          <w:kern w:val="0"/>
          <w:sz w:val="24"/>
          <w:lang w:val="en-US" w:eastAsia="zh-CN"/>
        </w:rPr>
        <w:t>6</w:t>
      </w:r>
      <w:r>
        <w:rPr>
          <w:rFonts w:hint="eastAsia" w:eastAsia="仿宋_GB2312"/>
          <w:color w:val="000000"/>
          <w:kern w:val="0"/>
          <w:sz w:val="24"/>
        </w:rPr>
        <w:t xml:space="preserve">.30        </w:t>
      </w:r>
      <w:r>
        <w:rPr>
          <w:rFonts w:eastAsia="仿宋_GB2312"/>
          <w:color w:val="000000"/>
          <w:kern w:val="0"/>
          <w:sz w:val="24"/>
        </w:rPr>
        <w:t>联系电话：</w:t>
      </w:r>
      <w:r>
        <w:rPr>
          <w:rFonts w:hint="eastAsia" w:eastAsia="仿宋_GB2312"/>
          <w:color w:val="000000"/>
          <w:kern w:val="0"/>
          <w:sz w:val="24"/>
        </w:rPr>
        <w:t xml:space="preserve">15074562346 </w:t>
      </w:r>
    </w:p>
    <w:p w14:paraId="03315B96">
      <w:pPr>
        <w:pStyle w:val="2"/>
        <w:ind w:firstLine="0" w:firstLineChars="0"/>
      </w:pPr>
    </w:p>
    <w:sectPr>
      <w:footerReference r:id="rId3" w:type="default"/>
      <w:pgSz w:w="11906" w:h="16838"/>
      <w:pgMar w:top="2041" w:right="1531" w:bottom="1757" w:left="153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小标宋简体">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AA977">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ACC6C9">
                          <w:pPr>
                            <w:pStyle w:val="8"/>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- 1 -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FACC6C9">
                    <w:pPr>
                      <w:pStyle w:val="8"/>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- 1 -</w:t>
                    </w:r>
                    <w:r>
                      <w:rPr>
                        <w:rFonts w:hint="eastAsia" w:ascii="宋体" w:hAnsi="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8A5F9E"/>
    <w:multiLevelType w:val="singleLevel"/>
    <w:tmpl w:val="BC8A5F9E"/>
    <w:lvl w:ilvl="0" w:tentative="0">
      <w:start w:val="2"/>
      <w:numFmt w:val="chineseCounting"/>
      <w:suff w:val="nothing"/>
      <w:lvlText w:val="（%1）"/>
      <w:lvlJc w:val="left"/>
      <w:rPr>
        <w:rFonts w:hint="eastAsia"/>
      </w:rPr>
    </w:lvl>
  </w:abstractNum>
  <w:abstractNum w:abstractNumId="1">
    <w:nsid w:val="322E3B14"/>
    <w:multiLevelType w:val="multilevel"/>
    <w:tmpl w:val="322E3B14"/>
    <w:lvl w:ilvl="0" w:tentative="0">
      <w:start w:val="1"/>
      <w:numFmt w:val="decimal"/>
      <w:lvlText w:val="%1."/>
      <w:lvlJc w:val="left"/>
      <w:pPr>
        <w:ind w:left="1000" w:hanging="360"/>
      </w:pPr>
      <w:rPr>
        <w:rFonts w:hint="default"/>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abstractNum w:abstractNumId="2">
    <w:nsid w:val="49FFD679"/>
    <w:multiLevelType w:val="singleLevel"/>
    <w:tmpl w:val="49FFD679"/>
    <w:lvl w:ilvl="0" w:tentative="0">
      <w:start w:val="1"/>
      <w:numFmt w:val="decimal"/>
      <w:suff w:val="nothing"/>
      <w:lvlText w:val="（%1）"/>
      <w:lvlJc w:val="left"/>
      <w:pPr>
        <w:ind w:left="26" w:firstLine="400"/>
      </w:pPr>
      <w:rPr>
        <w:rFonts w:ascii="仿宋_GB2312" w:hAnsi="Times New Roman" w:eastAsia="仿宋_GB2312" w:cs="仿宋_GB2312"/>
        <w:lang w:val="en-U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0ZDVkNDhlODllYWI0M2MwODQ0NWQzNGJhOGRhNGUifQ=="/>
  </w:docVars>
  <w:rsids>
    <w:rsidRoot w:val="0005160F"/>
    <w:rsid w:val="0000673B"/>
    <w:rsid w:val="00041C3A"/>
    <w:rsid w:val="00047FB6"/>
    <w:rsid w:val="0005160F"/>
    <w:rsid w:val="00062670"/>
    <w:rsid w:val="00081D19"/>
    <w:rsid w:val="000A3AE7"/>
    <w:rsid w:val="00102523"/>
    <w:rsid w:val="00121EDC"/>
    <w:rsid w:val="0015222B"/>
    <w:rsid w:val="001565A3"/>
    <w:rsid w:val="001B3DE7"/>
    <w:rsid w:val="001D7BF4"/>
    <w:rsid w:val="00223D08"/>
    <w:rsid w:val="002E6CF8"/>
    <w:rsid w:val="00382D4D"/>
    <w:rsid w:val="003A6995"/>
    <w:rsid w:val="003B2D36"/>
    <w:rsid w:val="00454E2C"/>
    <w:rsid w:val="004630CE"/>
    <w:rsid w:val="004653D0"/>
    <w:rsid w:val="0049142F"/>
    <w:rsid w:val="00537AE5"/>
    <w:rsid w:val="0054576E"/>
    <w:rsid w:val="00555C4A"/>
    <w:rsid w:val="005825BD"/>
    <w:rsid w:val="005A4E8D"/>
    <w:rsid w:val="005A6E86"/>
    <w:rsid w:val="005B4D10"/>
    <w:rsid w:val="005E540A"/>
    <w:rsid w:val="006056EA"/>
    <w:rsid w:val="006527E0"/>
    <w:rsid w:val="006647F9"/>
    <w:rsid w:val="006C77C6"/>
    <w:rsid w:val="00710BE7"/>
    <w:rsid w:val="00740710"/>
    <w:rsid w:val="00785130"/>
    <w:rsid w:val="00795C07"/>
    <w:rsid w:val="007A33E3"/>
    <w:rsid w:val="007A665D"/>
    <w:rsid w:val="007D47F5"/>
    <w:rsid w:val="0081149B"/>
    <w:rsid w:val="008753E0"/>
    <w:rsid w:val="00897FD0"/>
    <w:rsid w:val="009200E9"/>
    <w:rsid w:val="00921DE8"/>
    <w:rsid w:val="0095555E"/>
    <w:rsid w:val="009556F8"/>
    <w:rsid w:val="009560DF"/>
    <w:rsid w:val="009F2B63"/>
    <w:rsid w:val="00A11516"/>
    <w:rsid w:val="00A91B1D"/>
    <w:rsid w:val="00A96E9A"/>
    <w:rsid w:val="00AF5FE2"/>
    <w:rsid w:val="00B24E04"/>
    <w:rsid w:val="00B6389C"/>
    <w:rsid w:val="00BA17C5"/>
    <w:rsid w:val="00BC3AE2"/>
    <w:rsid w:val="00BE32E5"/>
    <w:rsid w:val="00C061ED"/>
    <w:rsid w:val="00C2778A"/>
    <w:rsid w:val="00C359C1"/>
    <w:rsid w:val="00CC027C"/>
    <w:rsid w:val="00CF407D"/>
    <w:rsid w:val="00D35313"/>
    <w:rsid w:val="00D4379F"/>
    <w:rsid w:val="00D55102"/>
    <w:rsid w:val="00DA4F22"/>
    <w:rsid w:val="00DB3DCF"/>
    <w:rsid w:val="00E04763"/>
    <w:rsid w:val="00E10062"/>
    <w:rsid w:val="00E11D86"/>
    <w:rsid w:val="00E42755"/>
    <w:rsid w:val="00F135F8"/>
    <w:rsid w:val="00F177FD"/>
    <w:rsid w:val="00F23071"/>
    <w:rsid w:val="00F336F5"/>
    <w:rsid w:val="00F8478A"/>
    <w:rsid w:val="00FD5FF0"/>
    <w:rsid w:val="00FE780E"/>
    <w:rsid w:val="02B074AC"/>
    <w:rsid w:val="0BDE0CED"/>
    <w:rsid w:val="11497DFD"/>
    <w:rsid w:val="15B624A2"/>
    <w:rsid w:val="22574E59"/>
    <w:rsid w:val="250824DF"/>
    <w:rsid w:val="2AEC6B2B"/>
    <w:rsid w:val="33ED56C2"/>
    <w:rsid w:val="391334D5"/>
    <w:rsid w:val="415C7589"/>
    <w:rsid w:val="446C43E1"/>
    <w:rsid w:val="48471705"/>
    <w:rsid w:val="4AE41970"/>
    <w:rsid w:val="606326E4"/>
    <w:rsid w:val="62816765"/>
    <w:rsid w:val="62DA299F"/>
    <w:rsid w:val="674D75B2"/>
    <w:rsid w:val="6B7255A0"/>
    <w:rsid w:val="6D2E1290"/>
    <w:rsid w:val="6E7004A6"/>
    <w:rsid w:val="73AA3A48"/>
    <w:rsid w:val="78542F4B"/>
    <w:rsid w:val="7B853EC3"/>
    <w:rsid w:val="7D957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6" w:lineRule="auto"/>
      <w:outlineLvl w:val="0"/>
    </w:pPr>
    <w:rPr>
      <w:b/>
      <w:kern w:val="44"/>
      <w:sz w:val="44"/>
    </w:rPr>
  </w:style>
  <w:style w:type="paragraph" w:styleId="5">
    <w:name w:val="heading 2"/>
    <w:basedOn w:val="1"/>
    <w:next w:val="1"/>
    <w:unhideWhenUsed/>
    <w:qFormat/>
    <w:uiPriority w:val="0"/>
    <w:pPr>
      <w:keepNext/>
      <w:keepLines/>
      <w:spacing w:line="560" w:lineRule="exact"/>
      <w:ind w:firstLine="880" w:firstLineChars="200"/>
      <w:outlineLvl w:val="1"/>
    </w:pPr>
    <w:rPr>
      <w:rFonts w:ascii="Arial" w:hAnsi="Arial" w:eastAsia="黑体"/>
      <w:sz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pPr>
  </w:style>
  <w:style w:type="paragraph" w:styleId="3">
    <w:name w:val="Body Text Indent"/>
    <w:basedOn w:val="1"/>
    <w:unhideWhenUsed/>
    <w:qFormat/>
    <w:uiPriority w:val="0"/>
    <w:pPr>
      <w:ind w:firstLine="640" w:firstLineChars="200"/>
    </w:pPr>
    <w:rPr>
      <w:sz w:val="32"/>
    </w:rPr>
  </w:style>
  <w:style w:type="paragraph" w:styleId="6">
    <w:name w:val="toc 3"/>
    <w:basedOn w:val="1"/>
    <w:next w:val="1"/>
    <w:qFormat/>
    <w:uiPriority w:val="0"/>
    <w:pPr>
      <w:ind w:left="840" w:leftChars="400"/>
    </w:pPr>
  </w:style>
  <w:style w:type="paragraph" w:styleId="7">
    <w:name w:val="Date"/>
    <w:basedOn w:val="1"/>
    <w:next w:val="1"/>
    <w:link w:val="14"/>
    <w:qFormat/>
    <w:uiPriority w:val="0"/>
    <w:pPr>
      <w:ind w:left="100" w:leftChars="25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link w:val="16"/>
    <w:qFormat/>
    <w:uiPriority w:val="0"/>
    <w:pPr>
      <w:tabs>
        <w:tab w:val="center" w:pos="4153"/>
        <w:tab w:val="right" w:pos="8306"/>
      </w:tabs>
      <w:snapToGrid w:val="0"/>
      <w:jc w:val="center"/>
    </w:pPr>
    <w:rPr>
      <w:sz w:val="18"/>
      <w:szCs w:val="18"/>
    </w:rPr>
  </w:style>
  <w:style w:type="paragraph" w:styleId="10">
    <w:name w:val="Normal (Web)"/>
    <w:basedOn w:val="1"/>
    <w:qFormat/>
    <w:uiPriority w:val="0"/>
    <w:pPr>
      <w:spacing w:before="100" w:beforeAutospacing="1" w:after="100" w:afterAutospacing="1"/>
      <w:jc w:val="left"/>
    </w:pPr>
    <w:rPr>
      <w:kern w:val="0"/>
      <w:sz w:val="24"/>
    </w:rPr>
  </w:style>
  <w:style w:type="paragraph" w:customStyle="1" w:styleId="13">
    <w:name w:val="标题1"/>
    <w:basedOn w:val="5"/>
    <w:qFormat/>
    <w:uiPriority w:val="0"/>
  </w:style>
  <w:style w:type="character" w:customStyle="1" w:styleId="14">
    <w:name w:val="日期 字符"/>
    <w:basedOn w:val="12"/>
    <w:link w:val="7"/>
    <w:qFormat/>
    <w:uiPriority w:val="0"/>
    <w:rPr>
      <w:rFonts w:ascii="Times New Roman" w:hAnsi="Times New Roman" w:eastAsia="宋体" w:cs="Times New Roman"/>
      <w:kern w:val="2"/>
      <w:sz w:val="21"/>
      <w:szCs w:val="24"/>
    </w:rPr>
  </w:style>
  <w:style w:type="paragraph" w:styleId="15">
    <w:name w:val="List Paragraph"/>
    <w:basedOn w:val="1"/>
    <w:unhideWhenUsed/>
    <w:qFormat/>
    <w:uiPriority w:val="99"/>
    <w:pPr>
      <w:ind w:firstLine="420" w:firstLineChars="200"/>
    </w:pPr>
  </w:style>
  <w:style w:type="character" w:customStyle="1" w:styleId="16">
    <w:name w:val="页眉 字符"/>
    <w:basedOn w:val="12"/>
    <w:link w:val="9"/>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5968</Words>
  <Characters>6644</Characters>
  <Lines>52</Lines>
  <Paragraphs>14</Paragraphs>
  <TotalTime>331</TotalTime>
  <ScaleCrop>false</ScaleCrop>
  <LinksUpToDate>false</LinksUpToDate>
  <CharactersWithSpaces>6820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2024-08-27T10:02:00Z</dcterms:created>
  <dc:creator>Administrator</dc:creator>
  <cp:lastModifiedBy>陌殇</cp:lastModifiedBy>
  <cp:lastPrinted>2024-08-30T02:45:00Z</cp:lastPrinted>
  <dcterms:modified xsi:type="dcterms:W3CDTF">2024-08-30T02:56:59Z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8158D3329F99414D85E4BA64E62B6B92_12</vt:lpwstr>
  </property>
</Properties>
</file>