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1842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14:paraId="7726196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lang w:val="en-US" w:eastAsia="zh-CN"/>
        </w:rPr>
        <w:t>非税收入执收成本</w:t>
      </w: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14:paraId="1C15A35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16880DC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2964CF1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green"/>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green"/>
          <w:shd w:val="clear" w:color="auto" w:fill="FFFFFF"/>
          <w:lang w:val="en-US" w:eastAsia="zh-CN" w:bidi="ar"/>
        </w:rPr>
        <w:t>1.项目决策背景：为了更好地完成非税收入征缴工作，在取得非税收入过程之中会发生人力、物力、财力的消耗。</w:t>
      </w:r>
    </w:p>
    <w:p w14:paraId="54E2D05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green"/>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green"/>
          <w:shd w:val="clear" w:color="auto" w:fill="FFFFFF"/>
          <w:lang w:val="en-US" w:eastAsia="zh-CN" w:bidi="ar"/>
        </w:rPr>
        <w:t>2.项目主要内容：在非税收入执收过程之产生的水电费，工本费，办公耗材及印等费用。</w:t>
      </w:r>
    </w:p>
    <w:p w14:paraId="40E69CA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green"/>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green"/>
          <w:shd w:val="clear" w:color="auto" w:fill="FFFFFF"/>
          <w:lang w:val="en-US" w:eastAsia="zh-CN" w:bidi="ar"/>
        </w:rPr>
        <w:t>3.项目组织管理机构：车辆管理所及处罚中心。</w:t>
      </w:r>
    </w:p>
    <w:p w14:paraId="446F89A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2DCEB550">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0"/>
    </w:p>
    <w:p w14:paraId="37F29C5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1）</w:t>
      </w:r>
      <w:r>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资金来源及拨付流程</w:t>
      </w:r>
      <w:r>
        <w:rPr>
          <w:rFonts w:hint="eastAsia"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：资金来源为财政局，由财政非税事务中心上指标，经过预算批复再拨付至单位。</w:t>
      </w:r>
    </w:p>
    <w:p w14:paraId="546428D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资金到位情况</w:t>
      </w:r>
      <w:r>
        <w:rPr>
          <w:rFonts w:hint="eastAsia"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：资金到位320.6万元，到位率100%</w:t>
      </w:r>
    </w:p>
    <w:p w14:paraId="49365E9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3</w:t>
      </w: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资金使用情况</w:t>
      </w:r>
      <w:r>
        <w:rPr>
          <w:rFonts w:hint="eastAsia"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：资金使用率100%</w:t>
      </w:r>
    </w:p>
    <w:p w14:paraId="5D62EF2C">
      <w:pPr>
        <w:pStyle w:val="9"/>
        <w:widowControl w:val="0"/>
        <w:tabs>
          <w:tab w:val="left" w:pos="1040"/>
        </w:tabs>
        <w:spacing w:line="560" w:lineRule="exact"/>
        <w:ind w:left="0" w:firstLine="548" w:firstLineChars="200"/>
        <w:rPr>
          <w:rFonts w:hint="eastAsia" w:ascii="仿宋" w:hAnsi="仿宋" w:eastAsia="仿宋"/>
          <w:sz w:val="32"/>
          <w:szCs w:val="32"/>
          <w:highlight w:val="yellow"/>
        </w:rPr>
      </w:pP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4</w:t>
      </w: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资金管理制度及执行情况</w:t>
      </w:r>
      <w:r>
        <w:rPr>
          <w:rFonts w:hint="eastAsia"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w:t>
      </w:r>
      <w:r>
        <w:rPr>
          <w:rFonts w:hint="eastAsia" w:ascii="仿宋" w:hAnsi="仿宋" w:eastAsia="仿宋" w:cs="宋体"/>
          <w:color w:val="333333"/>
          <w:sz w:val="32"/>
          <w:szCs w:val="32"/>
          <w:highlight w:val="yellow"/>
        </w:rPr>
        <w:t>一是</w:t>
      </w:r>
      <w:r>
        <w:rPr>
          <w:rFonts w:hint="eastAsia" w:ascii="仿宋" w:hAnsi="仿宋" w:eastAsia="仿宋"/>
          <w:sz w:val="32"/>
          <w:szCs w:val="32"/>
          <w:highlight w:val="yellow"/>
        </w:rPr>
        <w:t>制定《会同县</w:t>
      </w:r>
      <w:r>
        <w:rPr>
          <w:rFonts w:hint="eastAsia" w:ascii="仿宋" w:hAnsi="仿宋" w:eastAsia="仿宋"/>
          <w:sz w:val="32"/>
          <w:szCs w:val="32"/>
          <w:highlight w:val="yellow"/>
          <w:lang w:eastAsia="zh-CN"/>
        </w:rPr>
        <w:t>交警大队</w:t>
      </w:r>
      <w:r>
        <w:rPr>
          <w:rFonts w:hint="eastAsia" w:ascii="仿宋" w:hAnsi="仿宋" w:eastAsia="仿宋"/>
          <w:sz w:val="32"/>
          <w:szCs w:val="32"/>
          <w:highlight w:val="yellow"/>
        </w:rPr>
        <w:t>专项资金管理办法（试行)》及相关管理措施，对各实施项目进行规范管理。项目资金实行专账管理、分项核算的管理模</w:t>
      </w:r>
      <w:r>
        <w:rPr>
          <w:rFonts w:hint="eastAsia" w:ascii="仿宋" w:hAnsi="仿宋" w:eastAsia="仿宋"/>
          <w:spacing w:val="-6"/>
          <w:sz w:val="32"/>
          <w:szCs w:val="32"/>
          <w:highlight w:val="yellow"/>
        </w:rPr>
        <w:t>式，做到专款专用，无挤占、挪用、串用的现象。二是</w:t>
      </w:r>
      <w:r>
        <w:rPr>
          <w:rFonts w:hint="eastAsia" w:ascii="仿宋" w:hAnsi="仿宋" w:eastAsia="仿宋"/>
          <w:sz w:val="32"/>
          <w:szCs w:val="32"/>
          <w:highlight w:val="yellow"/>
        </w:rPr>
        <w:t>规范项目资金发放程序，对各项目资金使用情况进行公示。</w:t>
      </w:r>
    </w:p>
    <w:p w14:paraId="159DE515">
      <w:pPr>
        <w:pStyle w:val="9"/>
        <w:widowControl w:val="0"/>
        <w:numPr>
          <w:ilvl w:val="0"/>
          <w:numId w:val="0"/>
        </w:numPr>
        <w:tabs>
          <w:tab w:val="left" w:pos="1040"/>
        </w:tabs>
        <w:spacing w:line="560" w:lineRule="exact"/>
        <w:ind w:firstLine="640" w:firstLineChars="200"/>
        <w:rPr>
          <w:rFonts w:hint="eastAsia" w:ascii="仿宋" w:hAnsi="仿宋" w:eastAsia="仿宋"/>
          <w:sz w:val="32"/>
          <w:szCs w:val="32"/>
          <w:highlight w:val="none"/>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ab/>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r>
        <w:rPr>
          <w:rFonts w:hint="eastAsia" w:ascii="仿宋" w:hAnsi="仿宋" w:eastAsia="仿宋"/>
          <w:sz w:val="32"/>
          <w:szCs w:val="32"/>
          <w:highlight w:val="none"/>
        </w:rPr>
        <w:t>一是加强组织领导，成立项目实施领导小组，促进项目顺利实施。二是严格按照项目批复、作业设计和实施方案组织项目实施。三是推行政府采购制度和项目工程专人负责制，对项目工程所需设备、基础设施建设，积极推行政府采购和招标制度，并建立事先、事中、事后全过程监督机制。四是健全项目质量保证体系，实行项目责任终身负责制、质量责任追究制、并成立项目工程督查和质检小组，对各项目施工中的各环节采取分工序检</w:t>
      </w:r>
      <w:r>
        <w:rPr>
          <w:rFonts w:hint="eastAsia" w:ascii="仿宋_GB2312" w:eastAsia="仿宋_GB2312"/>
          <w:sz w:val="32"/>
          <w:szCs w:val="32"/>
          <w:highlight w:val="none"/>
        </w:rPr>
        <w:t>（</w:t>
      </w:r>
      <w:r>
        <w:rPr>
          <w:rFonts w:hint="eastAsia" w:ascii="仿宋" w:hAnsi="仿宋" w:eastAsia="仿宋"/>
          <w:sz w:val="32"/>
          <w:szCs w:val="32"/>
          <w:highlight w:val="none"/>
        </w:rPr>
        <w:t>查验收的办法，严把项目质量关</w:t>
      </w:r>
      <w:r>
        <w:rPr>
          <w:rFonts w:hint="eastAsia" w:ascii="仿宋" w:hAnsi="仿宋" w:eastAsia="仿宋"/>
          <w:sz w:val="32"/>
          <w:szCs w:val="32"/>
          <w:highlight w:val="none"/>
          <w:lang w:eastAsia="zh-CN"/>
        </w:rPr>
        <w:t>）</w:t>
      </w:r>
      <w:r>
        <w:rPr>
          <w:rFonts w:hint="eastAsia" w:ascii="仿宋" w:hAnsi="仿宋" w:eastAsia="仿宋"/>
          <w:sz w:val="32"/>
          <w:szCs w:val="32"/>
          <w:highlight w:val="none"/>
        </w:rPr>
        <w:t>。</w:t>
      </w:r>
    </w:p>
    <w:p w14:paraId="6315ED5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abs>
          <w:tab w:val="center" w:pos="4422"/>
        </w:tabs>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p>
    <w:p w14:paraId="6BC0898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14:paraId="0443290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 w:cs="仿宋_GB2312"/>
          <w:i w:val="0"/>
          <w:iCs w:val="0"/>
          <w:caps w:val="0"/>
          <w:color w:val="000000"/>
          <w:spacing w:val="0"/>
          <w:kern w:val="0"/>
          <w:sz w:val="32"/>
          <w:szCs w:val="32"/>
          <w:highlight w:val="yellow"/>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1.绩效目标：</w:t>
      </w:r>
      <w:r>
        <w:rPr>
          <w:rFonts w:hint="eastAsia" w:ascii="仿宋" w:hAnsi="仿宋" w:eastAsia="仿宋"/>
          <w:sz w:val="32"/>
          <w:szCs w:val="32"/>
          <w:highlight w:val="yellow"/>
        </w:rPr>
        <w:t>解决非税收入征收成本经费不足的问题，促进了非税收入的征收</w:t>
      </w:r>
      <w:r>
        <w:rPr>
          <w:rFonts w:hint="eastAsia" w:ascii="仿宋" w:hAnsi="仿宋" w:eastAsia="仿宋"/>
          <w:sz w:val="32"/>
          <w:szCs w:val="32"/>
          <w:highlight w:val="yellow"/>
          <w:lang w:eastAsia="zh-CN"/>
        </w:rPr>
        <w:t>。</w:t>
      </w:r>
    </w:p>
    <w:p w14:paraId="6F8FA79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2.绩效指标：包括产出指标、效益指标、成本指标。</w:t>
      </w:r>
    </w:p>
    <w:p w14:paraId="403B89D3">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14:paraId="610BD89D">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绩效评价目的：为单位部门决策提供科学依据，促进预算管理效率、资金使用效益的提升。</w:t>
      </w:r>
    </w:p>
    <w:p w14:paraId="23D26CE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 w:name="_Toc1184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：该项目绩效评价范围是非税收入执收成本，该项目绩效评价时段是2023年1月1日至2023年12月31日。</w:t>
      </w:r>
    </w:p>
    <w:p w14:paraId="23E4505C">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 w:name="_Toc31835"/>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p>
    <w:p w14:paraId="6034078C">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评价原则：结合绩效评价对象具体情况，确定绩效评价的具体依据。</w:t>
      </w:r>
    </w:p>
    <w:p w14:paraId="007F952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评价指标体系：根据预算的支出决策、过程、产出和效益等方面设定绩效评价指标；同时设置符合预算支出特点的，能够反映预算支出绩效的基础数据。对预算支出个性指标的核心指标要说明其设定理由。</w:t>
      </w:r>
    </w:p>
    <w:p w14:paraId="484E688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评价方法：绩效评价组应当明确绩效评价所选用的技术和方法，并说明其理由。</w:t>
      </w:r>
    </w:p>
    <w:p w14:paraId="42A122F9">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3" w:name="_Toc7615"/>
      <w:bookmarkStart w:id="4" w:name="_Toc32076"/>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3"/>
      <w:bookmarkEnd w:id="4"/>
    </w:p>
    <w:p w14:paraId="6DEF5BAE">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cyan"/>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t>社会效益：</w:t>
      </w:r>
      <w:r>
        <w:rPr>
          <w:rFonts w:hint="eastAsia" w:ascii="仿宋" w:hAnsi="仿宋" w:eastAsia="仿宋"/>
          <w:sz w:val="32"/>
          <w:szCs w:val="32"/>
          <w:highlight w:val="cyan"/>
        </w:rPr>
        <w:t>项目实施后，有效地</w:t>
      </w:r>
      <w:r>
        <w:rPr>
          <w:rFonts w:hint="eastAsia" w:ascii="仿宋" w:hAnsi="仿宋" w:eastAsia="仿宋"/>
          <w:sz w:val="32"/>
          <w:szCs w:val="32"/>
          <w:highlight w:val="cyan"/>
          <w:lang w:eastAsia="zh-CN"/>
        </w:rPr>
        <w:t>保障了县内的道路安全畅通，营造了良好的出行环境，对</w:t>
      </w:r>
      <w:r>
        <w:rPr>
          <w:rFonts w:hint="eastAsia" w:ascii="仿宋" w:hAnsi="仿宋" w:eastAsia="仿宋"/>
          <w:sz w:val="32"/>
          <w:szCs w:val="32"/>
          <w:highlight w:val="cyan"/>
        </w:rPr>
        <w:t>促进当地经济发展和社会稳定起到良好的作用。</w:t>
      </w:r>
    </w:p>
    <w:p w14:paraId="73A9385D">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cyan"/>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t>生态效益：项目区域内节能减排效果明显，提升了水电能源节约率；</w:t>
      </w:r>
    </w:p>
    <w:p w14:paraId="7D616B9D">
      <w:pPr>
        <w:numPr>
          <w:ilvl w:val="0"/>
          <w:numId w:val="0"/>
        </w:numPr>
        <w:spacing w:line="560" w:lineRule="exact"/>
        <w:ind w:leftChars="197"/>
        <w:rPr>
          <w:rFonts w:hint="eastAsia" w:ascii="仿宋" w:hAnsi="仿宋" w:eastAsia="仿宋"/>
          <w:sz w:val="32"/>
          <w:szCs w:val="32"/>
          <w:highlight w:val="cyan"/>
          <w:lang w:eastAsia="zh-CN"/>
        </w:rPr>
      </w:pPr>
      <w:r>
        <w:rPr>
          <w:rFonts w:hint="eastAsia" w:ascii="楷体_GB2312" w:hAnsi="楷体_GB2312" w:eastAsia="楷体_GB2312" w:cs="楷体_GB2312"/>
          <w:b w:val="0"/>
          <w:bCs w:val="0"/>
          <w:i w:val="0"/>
          <w:iCs w:val="0"/>
          <w:caps w:val="0"/>
          <w:color w:val="000000"/>
          <w:spacing w:val="-23"/>
          <w:kern w:val="0"/>
          <w:sz w:val="32"/>
          <w:szCs w:val="32"/>
          <w:highlight w:val="cyan"/>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t>可持续影响：</w:t>
      </w:r>
      <w:r>
        <w:rPr>
          <w:rFonts w:hint="eastAsia" w:ascii="仿宋" w:hAnsi="仿宋" w:eastAsia="仿宋"/>
          <w:sz w:val="32"/>
          <w:szCs w:val="32"/>
          <w:highlight w:val="cyan"/>
          <w:lang w:eastAsia="zh-CN"/>
        </w:rPr>
        <w:t>非税收入的征收，提高了人们遵守道路交通规则的意识，营造了良好的出行环境，加速了人口的流动，带动了相关行业经济的可持续发展。</w:t>
      </w:r>
    </w:p>
    <w:p w14:paraId="7CFCAC4D">
      <w:pPr>
        <w:numPr>
          <w:ilvl w:val="0"/>
          <w:numId w:val="0"/>
        </w:numPr>
        <w:spacing w:line="560" w:lineRule="exact"/>
        <w:ind w:leftChars="197"/>
        <w:rPr>
          <w:rFonts w:hint="eastAsia" w:ascii="仿宋" w:hAnsi="仿宋" w:eastAsia="仿宋"/>
          <w:sz w:val="32"/>
          <w:szCs w:val="32"/>
          <w:highlight w:val="cyan"/>
        </w:rPr>
      </w:pPr>
      <w:r>
        <w:rPr>
          <w:rFonts w:hint="eastAsia" w:ascii="楷体_GB2312" w:hAnsi="楷体_GB2312" w:eastAsia="楷体_GB2312" w:cs="楷体_GB2312"/>
          <w:b w:val="0"/>
          <w:bCs w:val="0"/>
          <w:i w:val="0"/>
          <w:iCs w:val="0"/>
          <w:caps w:val="0"/>
          <w:color w:val="000000"/>
          <w:spacing w:val="-23"/>
          <w:kern w:val="0"/>
          <w:sz w:val="32"/>
          <w:szCs w:val="32"/>
          <w:highlight w:val="cyan"/>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t>满意度情况：</w:t>
      </w:r>
      <w:r>
        <w:rPr>
          <w:rFonts w:hint="eastAsia" w:ascii="仿宋" w:hAnsi="仿宋" w:eastAsia="仿宋" w:cs="Times New Roman"/>
          <w:sz w:val="32"/>
          <w:szCs w:val="32"/>
          <w:highlight w:val="cyan"/>
          <w:lang w:eastAsia="zh-CN"/>
        </w:rPr>
        <w:t>营造了良好的出行氛围，</w:t>
      </w:r>
      <w:r>
        <w:rPr>
          <w:rFonts w:hint="eastAsia" w:ascii="仿宋" w:hAnsi="仿宋" w:eastAsia="仿宋"/>
          <w:sz w:val="32"/>
          <w:szCs w:val="32"/>
          <w:highlight w:val="cyan"/>
          <w:lang w:eastAsia="zh-CN"/>
        </w:rPr>
        <w:t>提升了群众的幸福感，</w:t>
      </w:r>
      <w:r>
        <w:rPr>
          <w:rFonts w:hint="eastAsia" w:ascii="仿宋" w:hAnsi="仿宋" w:eastAsia="仿宋" w:cs="Times New Roman"/>
          <w:sz w:val="32"/>
          <w:szCs w:val="32"/>
          <w:highlight w:val="cyan"/>
          <w:lang w:eastAsia="zh-CN"/>
        </w:rPr>
        <w:t>社会群众满意度很高。</w:t>
      </w:r>
    </w:p>
    <w:p w14:paraId="79311FFA">
      <w:pPr>
        <w:widowControl w:val="0"/>
        <w:spacing w:line="560" w:lineRule="exact"/>
        <w:rPr>
          <w:rFonts w:hint="eastAsia" w:ascii="仿宋" w:hAnsi="仿宋" w:eastAsia="仿宋" w:cs="Times New Roman"/>
          <w:sz w:val="32"/>
          <w:szCs w:val="32"/>
          <w:highlight w:val="cyan"/>
          <w:lang w:val="en-US" w:eastAsia="zh-CN"/>
        </w:rPr>
      </w:pPr>
      <w:r>
        <w:rPr>
          <w:rFonts w:hint="eastAsia" w:ascii="楷体_GB2312" w:hAnsi="楷体_GB2312" w:eastAsia="楷体_GB2312" w:cs="楷体_GB2312"/>
          <w:b w:val="0"/>
          <w:bCs w:val="0"/>
          <w:i w:val="0"/>
          <w:iCs w:val="0"/>
          <w:caps w:val="0"/>
          <w:color w:val="000000"/>
          <w:spacing w:val="-23"/>
          <w:kern w:val="0"/>
          <w:sz w:val="32"/>
          <w:szCs w:val="32"/>
          <w:highlight w:val="cyan"/>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t>评价结论：</w:t>
      </w:r>
      <w:r>
        <w:rPr>
          <w:rFonts w:hint="eastAsia" w:ascii="仿宋" w:hAnsi="仿宋" w:eastAsia="仿宋"/>
          <w:sz w:val="32"/>
          <w:szCs w:val="32"/>
          <w:highlight w:val="cyan"/>
        </w:rPr>
        <w:t>经</w:t>
      </w:r>
      <w:r>
        <w:rPr>
          <w:rFonts w:hint="eastAsia" w:ascii="仿宋" w:hAnsi="仿宋" w:eastAsia="仿宋" w:cs="Times New Roman"/>
          <w:sz w:val="32"/>
          <w:szCs w:val="32"/>
          <w:highlight w:val="cyan"/>
          <w:lang w:val="en-US" w:eastAsia="zh-CN"/>
        </w:rPr>
        <w:t>自评，项目已基本按照规划作业设计和实施方案实施完工，项目支出达到预期绩效目标。根据对非税收入征收成本项目绩效评价共性指标体系自检自评结果统计：2023年我大队非税收入征收成本项目绩效自评为“优”，自查评分为90分。</w:t>
      </w:r>
    </w:p>
    <w:p w14:paraId="74021EB8">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58B0A5AF">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5" w:name="_Toc27541"/>
      <w:bookmarkStart w:id="6" w:name="_Toc16332"/>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5"/>
      <w:bookmarkEnd w:id="6"/>
    </w:p>
    <w:p w14:paraId="6F5E652A">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p>
    <w:p w14:paraId="0B884DB3">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t>1、项目环境和条件的调查与分析：当前本县交通环境状况良好，交通违法行为得到有效处罚。</w:t>
      </w:r>
    </w:p>
    <w:p w14:paraId="2D0B980C">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t>2、组织策划：项目各个成员为执行非税收入征缴工作的民辅警工作人员。</w:t>
      </w:r>
    </w:p>
    <w:p w14:paraId="3A16428C">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t>3、管理策划：主要是对项目的目标、进度、成本、风险及质量进行管控。</w:t>
      </w:r>
    </w:p>
    <w:p w14:paraId="650ADFA6">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t>4、合同策划</w:t>
      </w:r>
    </w:p>
    <w:p w14:paraId="4757E691">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8" w:name="_Toc2841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18E426B3">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highlight w:val="darkGreen"/>
          <w:shd w:val="clear" w:color="auto" w:fill="FFFFFF"/>
          <w:lang w:val="en-US" w:eastAsia="zh-CN" w:bidi="ar"/>
        </w:rPr>
      </w:pPr>
      <w:bookmarkStart w:id="9" w:name="_Toc10140"/>
      <w:r>
        <w:rPr>
          <w:rFonts w:hint="eastAsia" w:ascii="仿宋_GB2312" w:hAnsi="Calibri" w:eastAsia="仿宋_GB2312" w:cs="仿宋_GB2312"/>
          <w:i w:val="0"/>
          <w:iCs w:val="0"/>
          <w:caps w:val="0"/>
          <w:color w:val="000000"/>
          <w:spacing w:val="0"/>
          <w:kern w:val="0"/>
          <w:sz w:val="32"/>
          <w:szCs w:val="32"/>
          <w:highlight w:val="darkGreen"/>
          <w:shd w:val="clear" w:color="auto" w:fill="FFFFFF"/>
          <w:lang w:val="en-US" w:eastAsia="zh-CN" w:bidi="ar"/>
        </w:rPr>
        <w:t>1.资金管理</w:t>
      </w:r>
      <w:bookmarkEnd w:id="9"/>
      <w:bookmarkStart w:id="10" w:name="_Toc1210"/>
      <w:r>
        <w:rPr>
          <w:rFonts w:hint="eastAsia" w:ascii="仿宋_GB2312" w:hAnsi="Calibri" w:eastAsia="仿宋_GB2312" w:cs="仿宋_GB2312"/>
          <w:i w:val="0"/>
          <w:iCs w:val="0"/>
          <w:caps w:val="0"/>
          <w:color w:val="000000"/>
          <w:spacing w:val="0"/>
          <w:kern w:val="0"/>
          <w:sz w:val="32"/>
          <w:szCs w:val="32"/>
          <w:highlight w:val="darkGreen"/>
          <w:shd w:val="clear" w:color="auto" w:fill="FFFFFF"/>
          <w:lang w:val="en-US" w:eastAsia="zh-CN" w:bidi="ar"/>
        </w:rPr>
        <w:t>：</w:t>
      </w:r>
      <w:r>
        <w:rPr>
          <w:rFonts w:hint="eastAsia" w:ascii="仿宋" w:hAnsi="仿宋" w:eastAsia="仿宋" w:cs="宋体"/>
          <w:color w:val="333333"/>
          <w:sz w:val="32"/>
          <w:szCs w:val="32"/>
          <w:highlight w:val="darkGreen"/>
        </w:rPr>
        <w:t>一是</w:t>
      </w:r>
      <w:r>
        <w:rPr>
          <w:rFonts w:hint="eastAsia" w:ascii="仿宋" w:hAnsi="仿宋" w:eastAsia="仿宋"/>
          <w:sz w:val="32"/>
          <w:szCs w:val="32"/>
          <w:highlight w:val="darkGreen"/>
        </w:rPr>
        <w:t>制定《会同县</w:t>
      </w:r>
      <w:r>
        <w:rPr>
          <w:rFonts w:hint="eastAsia" w:ascii="仿宋" w:hAnsi="仿宋" w:eastAsia="仿宋"/>
          <w:sz w:val="32"/>
          <w:szCs w:val="32"/>
          <w:highlight w:val="darkGreen"/>
          <w:lang w:eastAsia="zh-CN"/>
        </w:rPr>
        <w:t>交警大队</w:t>
      </w:r>
      <w:r>
        <w:rPr>
          <w:rFonts w:hint="eastAsia" w:ascii="仿宋" w:hAnsi="仿宋" w:eastAsia="仿宋"/>
          <w:sz w:val="32"/>
          <w:szCs w:val="32"/>
          <w:highlight w:val="darkGreen"/>
        </w:rPr>
        <w:t>专项资金管理办法（试行)》及相关管理措施，对各实施项目进行规范管理。项目资金实行专账管理、分项核算的管理模</w:t>
      </w:r>
      <w:r>
        <w:rPr>
          <w:rFonts w:hint="eastAsia" w:ascii="仿宋" w:hAnsi="仿宋" w:eastAsia="仿宋"/>
          <w:spacing w:val="-6"/>
          <w:sz w:val="32"/>
          <w:szCs w:val="32"/>
          <w:highlight w:val="darkGreen"/>
        </w:rPr>
        <w:t>式，做到专款专用，无挤占、挪用、串用的现象。二是</w:t>
      </w:r>
      <w:r>
        <w:rPr>
          <w:rFonts w:hint="eastAsia" w:ascii="仿宋" w:hAnsi="仿宋" w:eastAsia="仿宋"/>
          <w:sz w:val="32"/>
          <w:szCs w:val="32"/>
          <w:highlight w:val="darkGreen"/>
        </w:rPr>
        <w:t>规范项目资金发放程序，对各项目资金使用情况进行公示。</w:t>
      </w:r>
    </w:p>
    <w:p w14:paraId="051B70FE">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highlight w:val="darkGreen"/>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darkGreen"/>
          <w:shd w:val="clear" w:color="auto" w:fill="FFFFFF"/>
          <w:lang w:val="en-US" w:eastAsia="zh-CN" w:bidi="ar"/>
        </w:rPr>
        <w:t>2.项目实施</w:t>
      </w:r>
      <w:bookmarkEnd w:id="10"/>
    </w:p>
    <w:p w14:paraId="14A9DF08">
      <w:pPr>
        <w:pStyle w:val="9"/>
        <w:widowControl w:val="0"/>
        <w:numPr>
          <w:ilvl w:val="0"/>
          <w:numId w:val="0"/>
        </w:numPr>
        <w:tabs>
          <w:tab w:val="left" w:pos="1040"/>
        </w:tabs>
        <w:spacing w:line="560" w:lineRule="exact"/>
        <w:ind w:leftChars="200" w:firstLine="320" w:firstLineChars="100"/>
        <w:rPr>
          <w:rFonts w:hint="eastAsia" w:ascii="仿宋" w:hAnsi="仿宋" w:eastAsia="仿宋"/>
          <w:sz w:val="32"/>
          <w:szCs w:val="32"/>
          <w:highlight w:val="darkGreen"/>
          <w:lang w:eastAsia="zh-CN"/>
        </w:rPr>
      </w:pPr>
      <w:r>
        <w:rPr>
          <w:rFonts w:hint="eastAsia" w:ascii="仿宋" w:hAnsi="仿宋" w:eastAsia="仿宋"/>
          <w:sz w:val="32"/>
          <w:szCs w:val="32"/>
          <w:highlight w:val="darkGreen"/>
        </w:rPr>
        <w:t>一是加强组织领导，成立项目实施领导小组，促进项目顺利实施。二是严格按照项目批复、作业设计和实施方案组织项目实施。三是推行政府采购制度和项目工程专人负责制，对项目工程所需设备、基础设施建设，积极推行政府采购和招标制度，并建立事先、事中、事后全过程监督机制。四是健全项目质量保证体系，实行项目责任终身负责制、质量责任追究制、并成立项目工程督查和质检小组，对各项目施工中的各环节采取分工序检</w:t>
      </w:r>
      <w:r>
        <w:rPr>
          <w:rFonts w:hint="eastAsia" w:ascii="仿宋" w:hAnsi="仿宋" w:eastAsia="仿宋"/>
          <w:sz w:val="32"/>
          <w:szCs w:val="32"/>
          <w:highlight w:val="darkGreen"/>
          <w:lang w:eastAsia="zh-CN"/>
        </w:rPr>
        <w:t>。</w:t>
      </w:r>
    </w:p>
    <w:p w14:paraId="3528A042">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p>
    <w:p w14:paraId="11C315D2">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1"/>
    </w:p>
    <w:p w14:paraId="262906FF">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2" w:name="_Toc2074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w:t>
      </w:r>
      <w:bookmarkEnd w:id="1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：车管所购置车辆牌照、证芯2万副、征缴罚没收入503.26万元。</w:t>
      </w:r>
    </w:p>
    <w:p w14:paraId="45D84983">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3" w:name="_Toc53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w:t>
      </w:r>
      <w:bookmarkEnd w:id="13"/>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：非税收入完成准确率100%</w:t>
      </w:r>
    </w:p>
    <w:p w14:paraId="486EA47D">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4" w:name="_Toc2594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w:t>
      </w:r>
      <w:bookmarkEnd w:id="14"/>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：非税收入执收成本320.4万元</w:t>
      </w:r>
    </w:p>
    <w:p w14:paraId="2A17EBC8">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5" w:name="_Toc2147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w:t>
      </w:r>
      <w:bookmarkEnd w:id="15"/>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：非税 收入执收成本按时完成。</w:t>
      </w:r>
    </w:p>
    <w:p w14:paraId="1C8A0D98">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6" w:name="_Toc12690"/>
      <w:bookmarkStart w:id="17" w:name="_Toc30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6"/>
      <w:bookmarkEnd w:id="17"/>
    </w:p>
    <w:p w14:paraId="6746739A">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yellow"/>
          <w:shd w:val="clear" w:color="auto" w:fill="FFFFFF"/>
          <w:lang w:val="en-US" w:eastAsia="zh-CN" w:bidi="ar"/>
        </w:rPr>
        <w:t>该项目促进了交通事故案件的顺利办结，有利于社会稳定和谐，促进了经济可持续发展。</w:t>
      </w:r>
    </w:p>
    <w:p w14:paraId="701E8447">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18" w:name="_Toc390267055"/>
      <w:bookmarkStart w:id="19" w:name="_Toc390096931"/>
      <w:bookmarkStart w:id="20" w:name="_Toc24241"/>
      <w:bookmarkStart w:id="21" w:name="_Toc12414"/>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20"/>
      <w:bookmarkEnd w:id="21"/>
    </w:p>
    <w:p w14:paraId="36F4549B">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：首先一定要制定工作计划，执行计划前，大概理清思路及任务重的重点细节，要明确各方责任，及时反馈项目的风险、问题并及时解决。</w:t>
      </w:r>
    </w:p>
    <w:p w14:paraId="0D16A7EA">
      <w:pPr>
        <w:keepNext w:val="0"/>
        <w:keepLines w:val="0"/>
        <w:pageBreakBefore w:val="0"/>
        <w:widowControl w:val="0"/>
        <w:kinsoku/>
        <w:wordWrap/>
        <w:overflowPunct/>
        <w:topLinePunct w:val="0"/>
        <w:autoSpaceDE/>
        <w:autoSpaceDN/>
        <w:bidi w:val="0"/>
        <w:adjustRightInd/>
        <w:snapToGrid/>
        <w:ind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4" w:name="_Toc6772"/>
      <w:bookmarkStart w:id="25" w:name="_Toc2597"/>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仿宋" w:hAnsi="仿宋" w:eastAsia="仿宋" w:cs="Times New Roman"/>
          <w:sz w:val="32"/>
          <w:szCs w:val="32"/>
          <w:highlight w:val="none"/>
          <w:lang w:val="en-US" w:eastAsia="zh-CN"/>
        </w:rPr>
        <w:t>随着经济的发展和社会的进步，我单位非税收入执收任务和压力也越来越重，工作人员精力有限，经费严重不足。</w:t>
      </w:r>
    </w:p>
    <w:p w14:paraId="16CB572E">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6" w:name="_Toc29278"/>
      <w:bookmarkStart w:id="27" w:name="_Toc1627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p>
    <w:p w14:paraId="1B8C56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Times New Roman"/>
          <w:sz w:val="32"/>
          <w:szCs w:val="32"/>
          <w:highlight w:val="none"/>
          <w:lang w:val="en-US" w:eastAsia="zh-CN"/>
        </w:rPr>
        <w:t>为了能够保障非税收入按时高效的完成，希望各级各部门高度重视，县财政明年加大该项目经费的投入，营造良好的道路出行环境。</w:t>
      </w:r>
    </w:p>
    <w:p w14:paraId="13DBAD49">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00EDAE49">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07926679">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54FC2C41">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7F7AB10B">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07664D80">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067D0AA6">
      <w:pPr>
        <w:keepNext w:val="0"/>
        <w:keepLines w:val="0"/>
        <w:pageBreakBefore w:val="0"/>
        <w:widowControl w:val="0"/>
        <w:kinsoku/>
        <w:wordWrap/>
        <w:overflowPunct/>
        <w:topLinePunct w:val="0"/>
        <w:autoSpaceDE/>
        <w:autoSpaceDN/>
        <w:bidi w:val="0"/>
        <w:adjustRightInd/>
        <w:snapToGrid w:val="0"/>
        <w:spacing w:line="520" w:lineRule="exact"/>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4CCDA6D5">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129274B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firstLine="640" w:firstLineChars="200"/>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报告应包括以下附件：</w:t>
      </w:r>
    </w:p>
    <w:p w14:paraId="2E30D71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firstLine="640" w:firstLineChars="200"/>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项目支出绩效自评表（一个项目支出一张表）</w:t>
      </w:r>
    </w:p>
    <w:p w14:paraId="4A57E1F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color="auto" w:fill="FFFFFF"/>
          <w:lang w:val="en-US" w:eastAsia="zh-CN"/>
        </w:rPr>
      </w:pPr>
    </w:p>
    <w:p w14:paraId="136C6D9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color="auto" w:fill="FFFFFF"/>
          <w:lang w:val="en-US" w:eastAsia="zh-CN"/>
        </w:rPr>
      </w:pPr>
    </w:p>
    <w:p w14:paraId="7034117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124C736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附件2-1</w:t>
      </w:r>
    </w:p>
    <w:p w14:paraId="3836449A">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t>项目支出绩效自评表</w:t>
      </w:r>
    </w:p>
    <w:tbl>
      <w:tblPr>
        <w:tblStyle w:val="7"/>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796D6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53D0F05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28B3F5B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8"/>
            <w:noWrap w:val="0"/>
            <w:vAlign w:val="center"/>
          </w:tcPr>
          <w:p w14:paraId="5682572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非税收入征收成本</w:t>
            </w:r>
            <w:r>
              <w:rPr>
                <w:rFonts w:hint="eastAsia" w:ascii="仿宋" w:hAnsi="仿宋" w:eastAsia="仿宋" w:cs="仿宋"/>
                <w:color w:val="000000"/>
                <w:kern w:val="0"/>
                <w:sz w:val="20"/>
                <w:szCs w:val="20"/>
              </w:rPr>
              <w:t>　</w:t>
            </w:r>
          </w:p>
        </w:tc>
      </w:tr>
      <w:tr w14:paraId="58D6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1A83FA9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18" w:type="dxa"/>
            <w:gridSpan w:val="4"/>
            <w:noWrap w:val="0"/>
            <w:vAlign w:val="center"/>
          </w:tcPr>
          <w:p w14:paraId="7540C9E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会同县公安局交通管理中心</w:t>
            </w:r>
          </w:p>
        </w:tc>
        <w:tc>
          <w:tcPr>
            <w:tcW w:w="1134" w:type="dxa"/>
            <w:noWrap w:val="0"/>
            <w:vAlign w:val="center"/>
          </w:tcPr>
          <w:p w14:paraId="4184758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19" w:type="dxa"/>
            <w:gridSpan w:val="3"/>
            <w:noWrap w:val="0"/>
            <w:vAlign w:val="center"/>
          </w:tcPr>
          <w:p w14:paraId="6F660C1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会同县公安局交通管理中心</w:t>
            </w:r>
          </w:p>
        </w:tc>
      </w:tr>
      <w:tr w14:paraId="28AFD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13564B0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160" w:type="dxa"/>
            <w:gridSpan w:val="2"/>
            <w:noWrap w:val="0"/>
            <w:vAlign w:val="center"/>
          </w:tcPr>
          <w:p w14:paraId="75424EB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49" w:type="dxa"/>
            <w:noWrap w:val="0"/>
            <w:vAlign w:val="center"/>
          </w:tcPr>
          <w:p w14:paraId="00C4E45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5F9EE93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09" w:type="dxa"/>
            <w:noWrap w:val="0"/>
            <w:vAlign w:val="center"/>
          </w:tcPr>
          <w:p w14:paraId="1406995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2927BC9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134" w:type="dxa"/>
            <w:noWrap w:val="0"/>
            <w:vAlign w:val="center"/>
          </w:tcPr>
          <w:p w14:paraId="419D9E5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14:paraId="11AFACD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828" w:type="dxa"/>
            <w:noWrap w:val="0"/>
            <w:vAlign w:val="center"/>
          </w:tcPr>
          <w:p w14:paraId="6BB0BDD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873" w:type="dxa"/>
            <w:noWrap w:val="0"/>
            <w:vAlign w:val="center"/>
          </w:tcPr>
          <w:p w14:paraId="518038C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418" w:type="dxa"/>
            <w:noWrap w:val="0"/>
            <w:vAlign w:val="center"/>
          </w:tcPr>
          <w:p w14:paraId="54BA150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14:paraId="7498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256E21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4E9F903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149" w:type="dxa"/>
            <w:noWrap w:val="0"/>
            <w:vAlign w:val="center"/>
          </w:tcPr>
          <w:p w14:paraId="07A1DD8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320.4</w:t>
            </w:r>
          </w:p>
        </w:tc>
        <w:tc>
          <w:tcPr>
            <w:tcW w:w="1209" w:type="dxa"/>
            <w:noWrap w:val="0"/>
            <w:vAlign w:val="center"/>
          </w:tcPr>
          <w:p w14:paraId="1456A38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320.4</w:t>
            </w:r>
          </w:p>
        </w:tc>
        <w:tc>
          <w:tcPr>
            <w:tcW w:w="1134" w:type="dxa"/>
            <w:noWrap w:val="0"/>
            <w:vAlign w:val="center"/>
          </w:tcPr>
          <w:p w14:paraId="4D8FFF6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320.4</w:t>
            </w:r>
          </w:p>
        </w:tc>
        <w:tc>
          <w:tcPr>
            <w:tcW w:w="828" w:type="dxa"/>
            <w:noWrap w:val="0"/>
            <w:vAlign w:val="center"/>
          </w:tcPr>
          <w:p w14:paraId="2FCFE7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w:t>
            </w:r>
          </w:p>
        </w:tc>
        <w:tc>
          <w:tcPr>
            <w:tcW w:w="873" w:type="dxa"/>
            <w:noWrap w:val="0"/>
            <w:vAlign w:val="center"/>
          </w:tcPr>
          <w:p w14:paraId="05C0585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3147915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10</w:t>
            </w:r>
            <w:r>
              <w:rPr>
                <w:rFonts w:hint="eastAsia" w:ascii="仿宋" w:hAnsi="仿宋" w:eastAsia="仿宋" w:cs="仿宋"/>
                <w:color w:val="000000"/>
                <w:kern w:val="0"/>
                <w:sz w:val="20"/>
                <w:szCs w:val="20"/>
              </w:rPr>
              <w:t>　</w:t>
            </w:r>
          </w:p>
        </w:tc>
      </w:tr>
      <w:tr w14:paraId="08945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ED2341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4B84A80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149" w:type="dxa"/>
            <w:noWrap w:val="0"/>
            <w:vAlign w:val="center"/>
          </w:tcPr>
          <w:p w14:paraId="38BB102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320.4</w:t>
            </w:r>
          </w:p>
        </w:tc>
        <w:tc>
          <w:tcPr>
            <w:tcW w:w="1209" w:type="dxa"/>
            <w:noWrap w:val="0"/>
            <w:vAlign w:val="center"/>
          </w:tcPr>
          <w:p w14:paraId="58DDCF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320.4</w:t>
            </w:r>
          </w:p>
        </w:tc>
        <w:tc>
          <w:tcPr>
            <w:tcW w:w="1134" w:type="dxa"/>
            <w:noWrap w:val="0"/>
            <w:vAlign w:val="center"/>
          </w:tcPr>
          <w:p w14:paraId="4018DB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320.4</w:t>
            </w:r>
          </w:p>
        </w:tc>
        <w:tc>
          <w:tcPr>
            <w:tcW w:w="828" w:type="dxa"/>
            <w:noWrap w:val="0"/>
            <w:vAlign w:val="center"/>
          </w:tcPr>
          <w:p w14:paraId="58A2225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274BA61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5869406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074BB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67FCA1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02CD61A5">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149" w:type="dxa"/>
            <w:noWrap w:val="0"/>
            <w:vAlign w:val="center"/>
          </w:tcPr>
          <w:p w14:paraId="78029A8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noWrap w:val="0"/>
            <w:vAlign w:val="center"/>
          </w:tcPr>
          <w:p w14:paraId="4E0ACEF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6AECED7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2FB66C6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7B1DFEE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6672B30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DE1B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7013C93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34600E9A">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49" w:type="dxa"/>
            <w:noWrap w:val="0"/>
            <w:vAlign w:val="center"/>
          </w:tcPr>
          <w:p w14:paraId="0281B6F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noWrap w:val="0"/>
            <w:vAlign w:val="center"/>
          </w:tcPr>
          <w:p w14:paraId="09A6F4C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01C2F8A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202E92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18888C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14F2F47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78D6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noWrap w:val="0"/>
            <w:vAlign w:val="center"/>
          </w:tcPr>
          <w:p w14:paraId="300F825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18" w:type="dxa"/>
            <w:gridSpan w:val="4"/>
            <w:noWrap w:val="0"/>
            <w:vAlign w:val="center"/>
          </w:tcPr>
          <w:p w14:paraId="294A21B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noWrap w:val="0"/>
            <w:vAlign w:val="center"/>
          </w:tcPr>
          <w:p w14:paraId="007517F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36851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60BE72E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4518" w:type="dxa"/>
            <w:gridSpan w:val="4"/>
            <w:noWrap w:val="0"/>
            <w:vAlign w:val="center"/>
          </w:tcPr>
          <w:p w14:paraId="0CF73E5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320.4</w:t>
            </w:r>
            <w:r>
              <w:rPr>
                <w:rFonts w:hint="eastAsia" w:ascii="仿宋" w:hAnsi="仿宋" w:eastAsia="仿宋" w:cs="仿宋"/>
                <w:color w:val="000000"/>
                <w:kern w:val="0"/>
                <w:sz w:val="20"/>
                <w:szCs w:val="20"/>
              </w:rPr>
              <w:t>　　</w:t>
            </w:r>
          </w:p>
        </w:tc>
        <w:tc>
          <w:tcPr>
            <w:tcW w:w="4253" w:type="dxa"/>
            <w:gridSpan w:val="4"/>
            <w:noWrap w:val="0"/>
            <w:vAlign w:val="center"/>
          </w:tcPr>
          <w:p w14:paraId="7DD1F4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320.4</w:t>
            </w:r>
          </w:p>
        </w:tc>
      </w:tr>
      <w:tr w14:paraId="7FB3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69B53CA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534A3AA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3EBC32A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0C4372F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0F668CE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noWrap w:val="0"/>
            <w:vAlign w:val="center"/>
          </w:tcPr>
          <w:p w14:paraId="6C400BA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149" w:type="dxa"/>
            <w:noWrap w:val="0"/>
            <w:vAlign w:val="center"/>
          </w:tcPr>
          <w:p w14:paraId="2392404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209" w:type="dxa"/>
            <w:noWrap w:val="0"/>
            <w:vAlign w:val="center"/>
          </w:tcPr>
          <w:p w14:paraId="0D458EA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4D926A0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134" w:type="dxa"/>
            <w:noWrap w:val="0"/>
            <w:vAlign w:val="center"/>
          </w:tcPr>
          <w:p w14:paraId="05F58F2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44EBE3B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828" w:type="dxa"/>
            <w:noWrap w:val="0"/>
            <w:vAlign w:val="center"/>
          </w:tcPr>
          <w:p w14:paraId="255A9F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3" w:type="dxa"/>
            <w:noWrap w:val="0"/>
            <w:vAlign w:val="center"/>
          </w:tcPr>
          <w:p w14:paraId="7B860A6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18" w:type="dxa"/>
            <w:noWrap w:val="0"/>
            <w:vAlign w:val="center"/>
          </w:tcPr>
          <w:p w14:paraId="2CEE2B0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1C0DFCA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76C8B86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58D9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422197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7801538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12C0097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r>
              <w:rPr>
                <w:rFonts w:hint="eastAsia" w:ascii="仿宋" w:hAnsi="仿宋" w:eastAsia="仿宋" w:cs="仿宋"/>
                <w:color w:val="000000"/>
                <w:kern w:val="0"/>
                <w:sz w:val="20"/>
                <w:szCs w:val="20"/>
                <w:lang w:eastAsia="zh-CN"/>
              </w:rPr>
              <w:t>）</w:t>
            </w:r>
          </w:p>
        </w:tc>
        <w:tc>
          <w:tcPr>
            <w:tcW w:w="1080" w:type="dxa"/>
            <w:vMerge w:val="restart"/>
            <w:noWrap w:val="0"/>
            <w:vAlign w:val="center"/>
          </w:tcPr>
          <w:p w14:paraId="43439B8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149" w:type="dxa"/>
            <w:noWrap w:val="0"/>
            <w:vAlign w:val="center"/>
          </w:tcPr>
          <w:p w14:paraId="0A648D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车管所购牌照、证芯数</w:t>
            </w:r>
          </w:p>
        </w:tc>
        <w:tc>
          <w:tcPr>
            <w:tcW w:w="1209" w:type="dxa"/>
            <w:noWrap w:val="0"/>
            <w:vAlign w:val="center"/>
          </w:tcPr>
          <w:p w14:paraId="13BA2D0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车管所购置车辆牌照、证芯2万副</w:t>
            </w:r>
          </w:p>
        </w:tc>
        <w:tc>
          <w:tcPr>
            <w:tcW w:w="1134" w:type="dxa"/>
            <w:noWrap w:val="0"/>
            <w:vAlign w:val="center"/>
          </w:tcPr>
          <w:p w14:paraId="2EC2F4E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828" w:type="dxa"/>
            <w:noWrap w:val="0"/>
            <w:vAlign w:val="center"/>
          </w:tcPr>
          <w:p w14:paraId="49D4241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590460A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5F63D56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EE2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77E4B3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7E16032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5F94C7C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49" w:type="dxa"/>
            <w:noWrap w:val="0"/>
            <w:vAlign w:val="center"/>
          </w:tcPr>
          <w:p w14:paraId="1080C85E">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取得罚没收入</w:t>
            </w:r>
          </w:p>
        </w:tc>
        <w:tc>
          <w:tcPr>
            <w:tcW w:w="1209" w:type="dxa"/>
            <w:noWrap w:val="0"/>
            <w:vAlign w:val="center"/>
          </w:tcPr>
          <w:p w14:paraId="75519F8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征缴罚没收入503.26万元。</w:t>
            </w:r>
          </w:p>
          <w:p w14:paraId="10F53F3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34" w:type="dxa"/>
            <w:noWrap w:val="0"/>
            <w:vAlign w:val="center"/>
          </w:tcPr>
          <w:p w14:paraId="5A381B4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828" w:type="dxa"/>
            <w:noWrap w:val="0"/>
            <w:vAlign w:val="center"/>
          </w:tcPr>
          <w:p w14:paraId="4035A22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20BC968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14EB11A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00A7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3FE36C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4757E12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77D761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149" w:type="dxa"/>
            <w:noWrap w:val="0"/>
            <w:vAlign w:val="center"/>
          </w:tcPr>
          <w:p w14:paraId="7FF50C9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非税收入完成准确率</w:t>
            </w:r>
          </w:p>
        </w:tc>
        <w:tc>
          <w:tcPr>
            <w:tcW w:w="1209" w:type="dxa"/>
            <w:noWrap w:val="0"/>
            <w:vAlign w:val="center"/>
          </w:tcPr>
          <w:p w14:paraId="20C768FA">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考察全年非税收入完成质量情况</w:t>
            </w:r>
          </w:p>
        </w:tc>
        <w:tc>
          <w:tcPr>
            <w:tcW w:w="1134" w:type="dxa"/>
            <w:noWrap w:val="0"/>
            <w:vAlign w:val="center"/>
          </w:tcPr>
          <w:p w14:paraId="32E28DC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828" w:type="dxa"/>
            <w:noWrap w:val="0"/>
            <w:vAlign w:val="center"/>
          </w:tcPr>
          <w:p w14:paraId="5B6DD3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2E251E2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0F96E41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1089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C8C7A9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00CFE24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2AF4658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49" w:type="dxa"/>
            <w:noWrap w:val="0"/>
            <w:vAlign w:val="center"/>
          </w:tcPr>
          <w:p w14:paraId="68E5073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08B7233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047975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7BD47D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p>
        </w:tc>
        <w:tc>
          <w:tcPr>
            <w:tcW w:w="873" w:type="dxa"/>
            <w:noWrap w:val="0"/>
            <w:vAlign w:val="center"/>
          </w:tcPr>
          <w:p w14:paraId="22ACEB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7FC302C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392C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E9909B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7AF89D1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1CF0FD5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149" w:type="dxa"/>
            <w:noWrap w:val="0"/>
            <w:vAlign w:val="center"/>
          </w:tcPr>
          <w:p w14:paraId="148FA2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工作完成的及时率</w:t>
            </w:r>
          </w:p>
        </w:tc>
        <w:tc>
          <w:tcPr>
            <w:tcW w:w="1209" w:type="dxa"/>
            <w:noWrap w:val="0"/>
            <w:vAlign w:val="center"/>
          </w:tcPr>
          <w:p w14:paraId="7DDA1597">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考核工作完成的及时率。</w:t>
            </w:r>
          </w:p>
        </w:tc>
        <w:tc>
          <w:tcPr>
            <w:tcW w:w="1134" w:type="dxa"/>
            <w:noWrap w:val="0"/>
            <w:vAlign w:val="center"/>
          </w:tcPr>
          <w:p w14:paraId="6BE23A5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828" w:type="dxa"/>
            <w:noWrap w:val="0"/>
            <w:vAlign w:val="center"/>
          </w:tcPr>
          <w:p w14:paraId="7E4191F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59A21BC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12606D1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EC28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FAB742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44061F2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6FFB5A2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49" w:type="dxa"/>
            <w:noWrap w:val="0"/>
            <w:vAlign w:val="center"/>
          </w:tcPr>
          <w:p w14:paraId="02CE95B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4446BF1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4388368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1ECE088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73CD23C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36527E2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F33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0072C0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0A2FD8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25FC3D4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149" w:type="dxa"/>
            <w:noWrap w:val="0"/>
            <w:vAlign w:val="center"/>
          </w:tcPr>
          <w:p w14:paraId="5A45B59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预算成本控制情况</w:t>
            </w:r>
          </w:p>
        </w:tc>
        <w:tc>
          <w:tcPr>
            <w:tcW w:w="1209" w:type="dxa"/>
            <w:noWrap w:val="0"/>
            <w:vAlign w:val="center"/>
          </w:tcPr>
          <w:p w14:paraId="14414FCD">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考核项目成本控制情况。</w:t>
            </w:r>
          </w:p>
        </w:tc>
        <w:tc>
          <w:tcPr>
            <w:tcW w:w="1134" w:type="dxa"/>
            <w:noWrap w:val="0"/>
            <w:vAlign w:val="center"/>
          </w:tcPr>
          <w:p w14:paraId="32E1275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98%</w:t>
            </w:r>
          </w:p>
        </w:tc>
        <w:tc>
          <w:tcPr>
            <w:tcW w:w="828" w:type="dxa"/>
            <w:noWrap w:val="0"/>
            <w:vAlign w:val="center"/>
          </w:tcPr>
          <w:p w14:paraId="5C4C7B2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77821BF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8</w:t>
            </w:r>
          </w:p>
        </w:tc>
        <w:tc>
          <w:tcPr>
            <w:tcW w:w="1418" w:type="dxa"/>
            <w:noWrap w:val="0"/>
            <w:vAlign w:val="center"/>
          </w:tcPr>
          <w:p w14:paraId="568B2BB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存在浪费水电资源情况</w:t>
            </w:r>
          </w:p>
          <w:p w14:paraId="19FFB9B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积极厉行节约，降低成本</w:t>
            </w:r>
          </w:p>
        </w:tc>
      </w:tr>
      <w:tr w14:paraId="2141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F8D71B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73864CF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651A4B2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9" w:type="dxa"/>
            <w:noWrap w:val="0"/>
            <w:vAlign w:val="center"/>
          </w:tcPr>
          <w:p w14:paraId="34F2AB6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6DF3346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612D3E4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1944B7C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5282722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1CF98B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81CF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5F132C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2779D8B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32F76B8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vMerge w:val="restart"/>
            <w:noWrap w:val="0"/>
            <w:vAlign w:val="center"/>
          </w:tcPr>
          <w:p w14:paraId="22E16C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4D287F4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641812C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保障资金使用效率是否明显</w:t>
            </w:r>
          </w:p>
        </w:tc>
        <w:tc>
          <w:tcPr>
            <w:tcW w:w="1209" w:type="dxa"/>
            <w:noWrap w:val="0"/>
            <w:vAlign w:val="center"/>
          </w:tcPr>
          <w:p w14:paraId="0B2ADE5F">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1134" w:type="dxa"/>
            <w:noWrap w:val="0"/>
            <w:vAlign w:val="center"/>
          </w:tcPr>
          <w:p w14:paraId="6D102ED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99%</w:t>
            </w:r>
          </w:p>
        </w:tc>
        <w:tc>
          <w:tcPr>
            <w:tcW w:w="828" w:type="dxa"/>
            <w:noWrap w:val="0"/>
            <w:vAlign w:val="center"/>
          </w:tcPr>
          <w:p w14:paraId="58FC776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6361341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w:t>
            </w:r>
          </w:p>
        </w:tc>
        <w:tc>
          <w:tcPr>
            <w:tcW w:w="1418" w:type="dxa"/>
            <w:noWrap w:val="0"/>
            <w:vAlign w:val="center"/>
          </w:tcPr>
          <w:p w14:paraId="087DC8A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力促经济发展</w:t>
            </w:r>
          </w:p>
        </w:tc>
      </w:tr>
      <w:tr w14:paraId="6FDB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F9C522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ADCFE6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47E468B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49" w:type="dxa"/>
            <w:noWrap w:val="0"/>
            <w:vAlign w:val="center"/>
          </w:tcPr>
          <w:p w14:paraId="3130EC0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015795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6B94B6F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37AA25F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10AF81A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7E761F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6E1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shd w:val="clear" w:color="auto" w:fill="auto"/>
            <w:noWrap w:val="0"/>
            <w:vAlign w:val="center"/>
          </w:tcPr>
          <w:p w14:paraId="7AEEA78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shd w:val="clear" w:color="auto" w:fill="auto"/>
            <w:noWrap w:val="0"/>
            <w:vAlign w:val="center"/>
          </w:tcPr>
          <w:p w14:paraId="4C44B6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shd w:val="clear" w:color="auto" w:fill="auto"/>
            <w:noWrap w:val="0"/>
            <w:vAlign w:val="center"/>
          </w:tcPr>
          <w:p w14:paraId="792CADD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1DECC65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shd w:val="clear" w:color="auto" w:fill="auto"/>
            <w:noWrap w:val="0"/>
            <w:vAlign w:val="center"/>
          </w:tcPr>
          <w:p w14:paraId="7B8AB841">
            <w:pPr>
              <w:keepNext w:val="0"/>
              <w:keepLines w:val="0"/>
              <w:widowControl/>
              <w:suppressLineNumbers w:val="0"/>
              <w:jc w:val="left"/>
              <w:textAlignment w:val="center"/>
              <w:rPr>
                <w:rFonts w:hint="default" w:ascii="Arial Unicode MS" w:hAnsi="Arial Unicode MS" w:eastAsia="Arial Unicode MS" w:cs="Arial Unicode MS"/>
                <w:i w:val="0"/>
                <w:iCs w:val="0"/>
                <w:color w:val="000000"/>
                <w:kern w:val="2"/>
                <w:sz w:val="20"/>
                <w:szCs w:val="20"/>
                <w:u w:val="none"/>
                <w:lang w:val="en-US" w:eastAsia="zh-CN" w:bidi="ar-SA"/>
              </w:rPr>
            </w:pPr>
            <w:r>
              <w:rPr>
                <w:rFonts w:hint="eastAsia" w:ascii="Arial Unicode MS" w:hAnsi="Arial Unicode MS" w:eastAsia="Arial Unicode MS" w:cs="Arial Unicode MS"/>
                <w:i w:val="0"/>
                <w:iCs w:val="0"/>
                <w:color w:val="000000"/>
                <w:kern w:val="0"/>
                <w:sz w:val="20"/>
                <w:szCs w:val="20"/>
                <w:u w:val="none"/>
                <w:lang w:val="en-US" w:eastAsia="zh-CN" w:bidi="ar"/>
              </w:rPr>
              <w:t>是否</w:t>
            </w:r>
            <w:r>
              <w:rPr>
                <w:rFonts w:hint="default" w:ascii="Arial Unicode MS" w:hAnsi="Arial Unicode MS" w:eastAsia="Arial Unicode MS" w:cs="Arial Unicode MS"/>
                <w:i w:val="0"/>
                <w:iCs w:val="0"/>
                <w:color w:val="000000"/>
                <w:kern w:val="0"/>
                <w:sz w:val="20"/>
                <w:szCs w:val="20"/>
                <w:u w:val="none"/>
                <w:lang w:val="en-US" w:eastAsia="zh-CN" w:bidi="ar"/>
              </w:rPr>
              <w:t>有利于社会的稳定。</w:t>
            </w:r>
          </w:p>
        </w:tc>
        <w:tc>
          <w:tcPr>
            <w:tcW w:w="1209" w:type="dxa"/>
            <w:shd w:val="clear" w:color="auto" w:fill="F8F9FB"/>
            <w:noWrap w:val="0"/>
            <w:vAlign w:val="center"/>
          </w:tcPr>
          <w:p w14:paraId="5037645A">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2"/>
                <w:sz w:val="18"/>
                <w:szCs w:val="18"/>
                <w:u w:val="none"/>
                <w:lang w:val="en-US" w:eastAsia="zh-CN" w:bidi="ar-SA"/>
              </w:rPr>
              <w:t>100%</w:t>
            </w:r>
          </w:p>
        </w:tc>
        <w:tc>
          <w:tcPr>
            <w:tcW w:w="1134" w:type="dxa"/>
            <w:noWrap w:val="0"/>
            <w:vAlign w:val="center"/>
          </w:tcPr>
          <w:p w14:paraId="6D61960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99%</w:t>
            </w:r>
          </w:p>
        </w:tc>
        <w:tc>
          <w:tcPr>
            <w:tcW w:w="828" w:type="dxa"/>
            <w:noWrap w:val="0"/>
            <w:vAlign w:val="center"/>
          </w:tcPr>
          <w:p w14:paraId="5C1B84F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3E106AC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4</w:t>
            </w:r>
          </w:p>
        </w:tc>
        <w:tc>
          <w:tcPr>
            <w:tcW w:w="1418" w:type="dxa"/>
            <w:noWrap w:val="0"/>
            <w:vAlign w:val="center"/>
          </w:tcPr>
          <w:p w14:paraId="554564A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促进经济社会语序发展</w:t>
            </w:r>
          </w:p>
        </w:tc>
      </w:tr>
      <w:tr w14:paraId="4DD85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D427A3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5080C06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B4982D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49" w:type="dxa"/>
            <w:noWrap w:val="0"/>
            <w:vAlign w:val="center"/>
          </w:tcPr>
          <w:p w14:paraId="37DDC50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4232445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2C45CFA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5B9D85C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70F159E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5D68E90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94DC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A9160B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0DC582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50E96AD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57A5BCF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140B100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对生态环境的保护力度</w:t>
            </w:r>
          </w:p>
        </w:tc>
        <w:tc>
          <w:tcPr>
            <w:tcW w:w="1209" w:type="dxa"/>
            <w:noWrap w:val="0"/>
            <w:vAlign w:val="center"/>
          </w:tcPr>
          <w:p w14:paraId="2BBD8D07">
            <w:pPr>
              <w:keepNext w:val="0"/>
              <w:keepLines w:val="0"/>
              <w:widowControl/>
              <w:suppressLineNumbers w:val="0"/>
              <w:jc w:val="left"/>
              <w:textAlignment w:val="center"/>
              <w:rPr>
                <w:rFonts w:hint="default" w:ascii="Arial Unicode MS" w:hAnsi="Arial Unicode MS" w:eastAsia="Arial Unicode MS" w:cs="Arial Unicode MS"/>
                <w:i w:val="0"/>
                <w:iCs w:val="0"/>
                <w:color w:val="000000"/>
                <w:kern w:val="2"/>
                <w:sz w:val="20"/>
                <w:szCs w:val="20"/>
                <w:u w:val="none"/>
                <w:lang w:val="en-US" w:eastAsia="zh-CN" w:bidi="ar-SA"/>
              </w:rPr>
            </w:pPr>
            <w:r>
              <w:rPr>
                <w:rFonts w:hint="eastAsia" w:ascii="Arial Unicode MS" w:hAnsi="Arial Unicode MS" w:eastAsia="Arial Unicode MS" w:cs="Arial Unicode MS"/>
                <w:i w:val="0"/>
                <w:iCs w:val="0"/>
                <w:color w:val="000000"/>
                <w:kern w:val="2"/>
                <w:sz w:val="20"/>
                <w:szCs w:val="20"/>
                <w:u w:val="none"/>
                <w:lang w:val="en-US" w:eastAsia="zh-CN" w:bidi="ar-SA"/>
              </w:rPr>
              <w:t>100%</w:t>
            </w:r>
          </w:p>
        </w:tc>
        <w:tc>
          <w:tcPr>
            <w:tcW w:w="1134" w:type="dxa"/>
            <w:noWrap w:val="0"/>
            <w:vAlign w:val="center"/>
          </w:tcPr>
          <w:p w14:paraId="5C1C4F8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97%</w:t>
            </w:r>
          </w:p>
        </w:tc>
        <w:tc>
          <w:tcPr>
            <w:tcW w:w="828" w:type="dxa"/>
            <w:noWrap w:val="0"/>
            <w:vAlign w:val="center"/>
          </w:tcPr>
          <w:p w14:paraId="582C833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330F23E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w:t>
            </w:r>
          </w:p>
        </w:tc>
        <w:tc>
          <w:tcPr>
            <w:tcW w:w="1418" w:type="dxa"/>
            <w:noWrap w:val="0"/>
            <w:vAlign w:val="center"/>
          </w:tcPr>
          <w:p w14:paraId="0011B34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促进生态环境有效保护</w:t>
            </w:r>
          </w:p>
        </w:tc>
      </w:tr>
      <w:tr w14:paraId="3180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EAA641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0C05360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68DCDCF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9" w:type="dxa"/>
            <w:noWrap w:val="0"/>
            <w:vAlign w:val="center"/>
          </w:tcPr>
          <w:p w14:paraId="6FEAB9D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76FDB65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67FEABE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035AA40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5B97DC0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777474C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2AF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827994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vMerge w:val="continue"/>
            <w:noWrap w:val="0"/>
            <w:vAlign w:val="center"/>
          </w:tcPr>
          <w:p w14:paraId="059FA0F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0ECAF15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149" w:type="dxa"/>
            <w:noWrap w:val="0"/>
            <w:vAlign w:val="center"/>
          </w:tcPr>
          <w:p w14:paraId="38AFFD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对社会经济带来的可持续性影响</w:t>
            </w:r>
          </w:p>
        </w:tc>
        <w:tc>
          <w:tcPr>
            <w:tcW w:w="1209" w:type="dxa"/>
            <w:noWrap w:val="0"/>
            <w:vAlign w:val="center"/>
          </w:tcPr>
          <w:p w14:paraId="7BF515F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134" w:type="dxa"/>
            <w:noWrap w:val="0"/>
            <w:vAlign w:val="center"/>
          </w:tcPr>
          <w:p w14:paraId="2FD2C33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97%</w:t>
            </w:r>
          </w:p>
        </w:tc>
        <w:tc>
          <w:tcPr>
            <w:tcW w:w="828" w:type="dxa"/>
            <w:noWrap w:val="0"/>
            <w:vAlign w:val="center"/>
          </w:tcPr>
          <w:p w14:paraId="16D86E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09E1412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8</w:t>
            </w:r>
          </w:p>
        </w:tc>
        <w:tc>
          <w:tcPr>
            <w:tcW w:w="1418" w:type="dxa"/>
            <w:noWrap w:val="0"/>
            <w:vAlign w:val="center"/>
          </w:tcPr>
          <w:p w14:paraId="6B99637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促进经济可持续发展</w:t>
            </w:r>
          </w:p>
        </w:tc>
      </w:tr>
      <w:tr w14:paraId="6800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21CA70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E5F0A7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B2CC33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9" w:type="dxa"/>
            <w:noWrap w:val="0"/>
            <w:vAlign w:val="center"/>
          </w:tcPr>
          <w:p w14:paraId="0BCBA47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3AFD9F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2A14E95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187A7C2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1CC7AEE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275222F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CB9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1DD7A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0D9C54D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5278DB5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40A20C6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vMerge w:val="restart"/>
            <w:noWrap w:val="0"/>
            <w:vAlign w:val="center"/>
          </w:tcPr>
          <w:p w14:paraId="7AF6205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149" w:type="dxa"/>
            <w:noWrap w:val="0"/>
            <w:vAlign w:val="center"/>
          </w:tcPr>
          <w:p w14:paraId="19FBBAD9">
            <w:pPr>
              <w:keepNext w:val="0"/>
              <w:keepLines w:val="0"/>
              <w:widowControl/>
              <w:suppressLineNumbers w:val="0"/>
              <w:jc w:val="left"/>
              <w:textAlignment w:val="center"/>
              <w:rPr>
                <w:rFonts w:hint="eastAsia" w:ascii="Arial Unicode MS" w:hAnsi="Arial Unicode MS" w:eastAsia="Arial Unicode MS" w:cs="Arial Unicode MS"/>
                <w:i w:val="0"/>
                <w:iCs w:val="0"/>
                <w:color w:val="000000"/>
                <w:kern w:val="2"/>
                <w:sz w:val="20"/>
                <w:szCs w:val="20"/>
                <w:u w:val="none"/>
                <w:lang w:val="en-US" w:eastAsia="zh-CN" w:bidi="ar-SA"/>
              </w:rPr>
            </w:pPr>
            <w:r>
              <w:rPr>
                <w:rFonts w:hint="default" w:ascii="Arial Unicode MS" w:hAnsi="Arial Unicode MS" w:eastAsia="Arial Unicode MS" w:cs="Arial Unicode MS"/>
                <w:i w:val="0"/>
                <w:iCs w:val="0"/>
                <w:color w:val="000000"/>
                <w:kern w:val="0"/>
                <w:sz w:val="20"/>
                <w:szCs w:val="20"/>
                <w:u w:val="none"/>
                <w:lang w:val="en-US" w:eastAsia="zh-CN" w:bidi="ar"/>
              </w:rPr>
              <w:t>考核服务对象满意度。</w:t>
            </w:r>
          </w:p>
        </w:tc>
        <w:tc>
          <w:tcPr>
            <w:tcW w:w="1209" w:type="dxa"/>
            <w:noWrap w:val="0"/>
            <w:vAlign w:val="center"/>
          </w:tcPr>
          <w:p w14:paraId="2E812950">
            <w:pPr>
              <w:keepNext w:val="0"/>
              <w:keepLines w:val="0"/>
              <w:widowControl/>
              <w:suppressLineNumbers w:val="0"/>
              <w:jc w:val="left"/>
              <w:textAlignment w:val="center"/>
              <w:rPr>
                <w:rFonts w:hint="default" w:ascii="Arial Unicode MS" w:hAnsi="Arial Unicode MS" w:eastAsia="Arial Unicode MS" w:cs="Arial Unicode MS"/>
                <w:i w:val="0"/>
                <w:iCs w:val="0"/>
                <w:color w:val="000000"/>
                <w:kern w:val="2"/>
                <w:sz w:val="20"/>
                <w:szCs w:val="20"/>
                <w:u w:val="none"/>
                <w:lang w:val="en-US" w:eastAsia="zh-CN" w:bidi="ar-SA"/>
              </w:rPr>
            </w:pPr>
            <w:r>
              <w:rPr>
                <w:rFonts w:hint="eastAsia" w:ascii="Arial Unicode MS" w:hAnsi="Arial Unicode MS" w:eastAsia="Arial Unicode MS" w:cs="Arial Unicode MS"/>
                <w:i w:val="0"/>
                <w:iCs w:val="0"/>
                <w:color w:val="000000"/>
                <w:kern w:val="2"/>
                <w:sz w:val="20"/>
                <w:szCs w:val="20"/>
                <w:u w:val="none"/>
                <w:lang w:val="en-US" w:eastAsia="zh-CN" w:bidi="ar-SA"/>
              </w:rPr>
              <w:t>100%</w:t>
            </w:r>
          </w:p>
        </w:tc>
        <w:tc>
          <w:tcPr>
            <w:tcW w:w="1134" w:type="dxa"/>
            <w:noWrap w:val="0"/>
            <w:vAlign w:val="center"/>
          </w:tcPr>
          <w:p w14:paraId="21887E5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97%</w:t>
            </w:r>
          </w:p>
        </w:tc>
        <w:tc>
          <w:tcPr>
            <w:tcW w:w="828" w:type="dxa"/>
            <w:noWrap w:val="0"/>
            <w:vAlign w:val="center"/>
          </w:tcPr>
          <w:p w14:paraId="755BA19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33EA27C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8</w:t>
            </w:r>
          </w:p>
        </w:tc>
        <w:tc>
          <w:tcPr>
            <w:tcW w:w="1418" w:type="dxa"/>
            <w:noWrap w:val="0"/>
            <w:vAlign w:val="center"/>
          </w:tcPr>
          <w:p w14:paraId="4E427ED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优化服务职能，提升服务效率</w:t>
            </w:r>
          </w:p>
        </w:tc>
      </w:tr>
      <w:tr w14:paraId="1442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705C46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634566F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71BF918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9" w:type="dxa"/>
            <w:noWrap w:val="0"/>
            <w:vAlign w:val="center"/>
          </w:tcPr>
          <w:p w14:paraId="718B54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2F420A2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3ECE25E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0AC31EB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705E21F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0A4F404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442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14:paraId="690BACA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828" w:type="dxa"/>
            <w:noWrap w:val="0"/>
            <w:vAlign w:val="center"/>
          </w:tcPr>
          <w:p w14:paraId="125741D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3" w:type="dxa"/>
            <w:noWrap w:val="0"/>
            <w:vAlign w:val="center"/>
          </w:tcPr>
          <w:p w14:paraId="761096B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90</w:t>
            </w:r>
          </w:p>
        </w:tc>
        <w:tc>
          <w:tcPr>
            <w:tcW w:w="1418" w:type="dxa"/>
            <w:noWrap w:val="0"/>
            <w:vAlign w:val="center"/>
          </w:tcPr>
          <w:p w14:paraId="0F3FDB3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p>
        </w:tc>
      </w:tr>
    </w:tbl>
    <w:p w14:paraId="71C9F686">
      <w:pPr>
        <w:widowControl w:val="0"/>
        <w:kinsoku/>
        <w:autoSpaceDE/>
        <w:autoSpaceDN/>
        <w:adjustRightInd/>
        <w:snapToGrid/>
        <w:spacing w:line="600" w:lineRule="exact"/>
        <w:jc w:val="both"/>
        <w:textAlignment w:val="auto"/>
        <w:rPr>
          <w:rFonts w:hint="default"/>
          <w:lang w:val="en-US" w:eastAsia="zh-CN"/>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ascii="Times New Roman" w:hAnsi="Times New Roman" w:eastAsia="仿宋_GB2312" w:cs="Times New Roman"/>
          <w:snapToGrid/>
          <w:color w:val="000000"/>
          <w:kern w:val="0"/>
          <w:sz w:val="24"/>
          <w:szCs w:val="24"/>
          <w:lang w:val="en-US" w:eastAsia="zh-CN" w:bidi="ar-SA"/>
        </w:rPr>
        <w:t xml:space="preserve"> 蒋晓珍        </w:t>
      </w:r>
      <w:r>
        <w:rPr>
          <w:rFonts w:hint="default" w:ascii="Times New Roman" w:hAnsi="Times New Roman" w:eastAsia="仿宋_GB2312" w:cs="Times New Roman"/>
          <w:snapToGrid/>
          <w:color w:val="000000"/>
          <w:kern w:val="0"/>
          <w:sz w:val="24"/>
          <w:szCs w:val="24"/>
          <w:lang w:val="en-US" w:eastAsia="zh-CN" w:bidi="ar-SA"/>
        </w:rPr>
        <w:t xml:space="preserve"> 填报日期：</w:t>
      </w:r>
      <w:r>
        <w:rPr>
          <w:rFonts w:hint="eastAsia" w:ascii="Times New Roman" w:hAnsi="Times New Roman" w:eastAsia="仿宋_GB2312" w:cs="Times New Roman"/>
          <w:snapToGrid/>
          <w:color w:val="000000"/>
          <w:kern w:val="0"/>
          <w:sz w:val="24"/>
          <w:szCs w:val="24"/>
          <w:lang w:val="en-US" w:eastAsia="zh-CN" w:bidi="ar-SA"/>
        </w:rPr>
        <w:t xml:space="preserve"> 2024年9月1日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ascii="Times New Roman" w:hAnsi="Times New Roman" w:eastAsia="仿宋_GB2312" w:cs="Times New Roman"/>
          <w:snapToGrid/>
          <w:color w:val="000000"/>
          <w:kern w:val="0"/>
          <w:sz w:val="24"/>
          <w:szCs w:val="24"/>
          <w:lang w:val="en-US" w:eastAsia="zh-CN" w:bidi="ar-SA"/>
        </w:rPr>
        <w:t xml:space="preserve">18075590981 </w:t>
      </w:r>
    </w:p>
    <w:p w14:paraId="40944D54">
      <w:pPr>
        <w:rPr>
          <w:rFonts w:hint="eastAsia"/>
        </w:rPr>
      </w:pPr>
    </w:p>
    <w:p w14:paraId="7D6AB860">
      <w:pPr>
        <w:rPr>
          <w:rFonts w:hint="eastAsia"/>
        </w:rPr>
      </w:pPr>
    </w:p>
    <w:p w14:paraId="5ED3EF4E">
      <w:pPr>
        <w:rPr>
          <w:rFonts w:hint="eastAsia"/>
        </w:rPr>
      </w:pPr>
    </w:p>
    <w:p w14:paraId="20AAE230">
      <w:pPr>
        <w:rPr>
          <w:rFonts w:hint="eastAsia"/>
        </w:rPr>
      </w:pPr>
    </w:p>
    <w:p w14:paraId="38B431C6">
      <w:pPr>
        <w:pStyle w:val="3"/>
        <w:rPr>
          <w:rFonts w:hint="eastAsia"/>
        </w:rPr>
      </w:pPr>
    </w:p>
    <w:p w14:paraId="7F5D18E1">
      <w:pPr>
        <w:rPr>
          <w:rFonts w:hint="eastAsia"/>
        </w:rPr>
      </w:pPr>
    </w:p>
    <w:p w14:paraId="544A85D6">
      <w:pPr>
        <w:rPr>
          <w:rFonts w:hint="eastAsia"/>
        </w:rPr>
      </w:pPr>
    </w:p>
    <w:p w14:paraId="63733CBF">
      <w:pPr>
        <w:rPr>
          <w:rFonts w:hint="eastAsia"/>
        </w:rPr>
      </w:pPr>
    </w:p>
    <w:p w14:paraId="413FC7EA">
      <w:pPr>
        <w:rPr>
          <w:rFonts w:hint="eastAsia"/>
        </w:rPr>
      </w:pPr>
    </w:p>
    <w:p w14:paraId="226126E0">
      <w:pPr>
        <w:rPr>
          <w:rFonts w:hint="eastAsia"/>
        </w:rPr>
      </w:pPr>
    </w:p>
    <w:p w14:paraId="497ACD39">
      <w:pPr>
        <w:rPr>
          <w:rFonts w:hint="eastAsia"/>
        </w:rPr>
      </w:pPr>
    </w:p>
    <w:p w14:paraId="4B075D3A">
      <w:pPr>
        <w:rPr>
          <w:rFonts w:hint="eastAsia"/>
        </w:rPr>
      </w:pPr>
    </w:p>
    <w:p w14:paraId="7C32789D">
      <w:pPr>
        <w:rPr>
          <w:rFonts w:hint="eastAsia"/>
        </w:rPr>
      </w:pPr>
    </w:p>
    <w:p w14:paraId="5E114B1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lang w:val="en-US" w:eastAsia="zh-CN"/>
        </w:rPr>
        <w:t>检验鉴定费</w:t>
      </w: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14:paraId="593F7FF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568A3D6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6EB16FE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green"/>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green"/>
          <w:shd w:val="clear" w:color="auto" w:fill="FFFFFF"/>
          <w:lang w:val="en-US" w:eastAsia="zh-CN" w:bidi="ar"/>
        </w:rPr>
        <w:t>1.项目决策背景：为了更好地完成非税收入征缴工作，在取得非税收入过程之中会发生人力、物力、财力的消耗。</w:t>
      </w:r>
    </w:p>
    <w:p w14:paraId="18B4A20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green"/>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green"/>
          <w:shd w:val="clear" w:color="auto" w:fill="FFFFFF"/>
          <w:lang w:val="en-US" w:eastAsia="zh-CN" w:bidi="ar"/>
        </w:rPr>
        <w:t>2.项目主要内容：在案件办理过程中，对事故的车辆级人员情况进行鉴定检验所产生的费用。</w:t>
      </w:r>
    </w:p>
    <w:p w14:paraId="6B7A25D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green"/>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green"/>
          <w:shd w:val="clear" w:color="auto" w:fill="FFFFFF"/>
          <w:lang w:val="en-US" w:eastAsia="zh-CN" w:bidi="ar"/>
        </w:rPr>
        <w:t>3.项目组织管理机构：交通管理股级各个乡下中队。</w:t>
      </w:r>
    </w:p>
    <w:p w14:paraId="7816195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3A171E59">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p>
    <w:p w14:paraId="6F2CC4C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1）</w:t>
      </w:r>
      <w:r>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资金来源及拨付流程</w:t>
      </w:r>
      <w:r>
        <w:rPr>
          <w:rFonts w:hint="eastAsia"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：资金来源为财政局，由财政非税事务中心上指标，经过预算股批复再拨付至单位。</w:t>
      </w:r>
    </w:p>
    <w:p w14:paraId="5C8CD55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资金到位情况</w:t>
      </w:r>
      <w:r>
        <w:rPr>
          <w:rFonts w:hint="eastAsia"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：资金到位5.8万元，到位率100%</w:t>
      </w:r>
    </w:p>
    <w:p w14:paraId="23CBE7A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3</w:t>
      </w: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资金使用情况</w:t>
      </w:r>
      <w:r>
        <w:rPr>
          <w:rFonts w:hint="eastAsia"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：资金使用率100%</w:t>
      </w:r>
    </w:p>
    <w:p w14:paraId="1088D212">
      <w:pPr>
        <w:pStyle w:val="9"/>
        <w:widowControl w:val="0"/>
        <w:tabs>
          <w:tab w:val="left" w:pos="1040"/>
        </w:tabs>
        <w:spacing w:line="560" w:lineRule="exact"/>
        <w:ind w:left="0" w:firstLine="548" w:firstLineChars="200"/>
        <w:rPr>
          <w:rFonts w:hint="eastAsia" w:ascii="仿宋" w:hAnsi="仿宋" w:eastAsia="仿宋"/>
          <w:sz w:val="32"/>
          <w:szCs w:val="32"/>
          <w:highlight w:val="yellow"/>
        </w:rPr>
      </w:pP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4</w:t>
      </w:r>
      <w:r>
        <w:rPr>
          <w:rFonts w:hint="default" w:ascii="仿宋_GB2312" w:hAnsi="Calibri" w:eastAsia="仿宋_GB2312" w:cs="仿宋_GB2312"/>
          <w:i w:val="0"/>
          <w:iCs w:val="0"/>
          <w:caps w:val="0"/>
          <w:color w:val="000000"/>
          <w:spacing w:val="-23"/>
          <w:kern w:val="0"/>
          <w:sz w:val="32"/>
          <w:szCs w:val="32"/>
          <w:highlight w:val="yellow"/>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资金管理制度及执行情况</w:t>
      </w:r>
      <w:r>
        <w:rPr>
          <w:rFonts w:hint="eastAsia" w:ascii="仿宋_GB2312" w:hAnsi="Calibri" w:eastAsia="仿宋_GB2312" w:cs="仿宋_GB2312"/>
          <w:i w:val="0"/>
          <w:iCs w:val="0"/>
          <w:caps w:val="0"/>
          <w:color w:val="000000"/>
          <w:spacing w:val="0"/>
          <w:kern w:val="0"/>
          <w:sz w:val="32"/>
          <w:szCs w:val="32"/>
          <w:highlight w:val="yellow"/>
          <w:shd w:val="clear" w:color="auto" w:fill="FFFFFF"/>
          <w:lang w:val="en-US" w:eastAsia="zh-CN" w:bidi="ar"/>
        </w:rPr>
        <w:t>：</w:t>
      </w:r>
      <w:r>
        <w:rPr>
          <w:rFonts w:hint="eastAsia" w:ascii="仿宋" w:hAnsi="仿宋" w:eastAsia="仿宋" w:cs="宋体"/>
          <w:color w:val="333333"/>
          <w:sz w:val="32"/>
          <w:szCs w:val="32"/>
          <w:highlight w:val="yellow"/>
        </w:rPr>
        <w:t>一是</w:t>
      </w:r>
      <w:r>
        <w:rPr>
          <w:rFonts w:hint="eastAsia" w:ascii="仿宋" w:hAnsi="仿宋" w:eastAsia="仿宋"/>
          <w:sz w:val="32"/>
          <w:szCs w:val="32"/>
          <w:highlight w:val="yellow"/>
        </w:rPr>
        <w:t>制定《会同县</w:t>
      </w:r>
      <w:r>
        <w:rPr>
          <w:rFonts w:hint="eastAsia" w:ascii="仿宋" w:hAnsi="仿宋" w:eastAsia="仿宋"/>
          <w:sz w:val="32"/>
          <w:szCs w:val="32"/>
          <w:highlight w:val="yellow"/>
          <w:lang w:eastAsia="zh-CN"/>
        </w:rPr>
        <w:t>交警大队</w:t>
      </w:r>
      <w:r>
        <w:rPr>
          <w:rFonts w:hint="eastAsia" w:ascii="仿宋" w:hAnsi="仿宋" w:eastAsia="仿宋"/>
          <w:sz w:val="32"/>
          <w:szCs w:val="32"/>
          <w:highlight w:val="yellow"/>
        </w:rPr>
        <w:t>专项资金管理办法（试行)》及相关管理措施，对各实施项目进行规范管理。项目资金实行专账管理、分项核算的管理模</w:t>
      </w:r>
      <w:r>
        <w:rPr>
          <w:rFonts w:hint="eastAsia" w:ascii="仿宋" w:hAnsi="仿宋" w:eastAsia="仿宋"/>
          <w:spacing w:val="-6"/>
          <w:sz w:val="32"/>
          <w:szCs w:val="32"/>
          <w:highlight w:val="yellow"/>
        </w:rPr>
        <w:t>式，做到专款专用，无挤占、挪用、串用的现象。二是</w:t>
      </w:r>
      <w:r>
        <w:rPr>
          <w:rFonts w:hint="eastAsia" w:ascii="仿宋" w:hAnsi="仿宋" w:eastAsia="仿宋"/>
          <w:sz w:val="32"/>
          <w:szCs w:val="32"/>
          <w:highlight w:val="yellow"/>
        </w:rPr>
        <w:t>规范项目资金发放程序，对各项目资金使用情况进行公示。</w:t>
      </w:r>
    </w:p>
    <w:p w14:paraId="1F16AAA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14:paraId="727C07A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 w:hAnsi="仿宋" w:eastAsia="仿宋"/>
          <w:sz w:val="32"/>
          <w:szCs w:val="32"/>
          <w:highlight w:val="none"/>
        </w:rPr>
        <w:t>一是加强组织领导，成立项目实施领导小组，促进项目顺利实施。二是严格按照项目批复、作业设计和实施方案组织项目实施。三是推行政府采购制度和项目工程专人负责制，对项目工程所需设备、基础设施建设，积极推行政府采购和招标制度，并建立事先、事中、事后全过程监督机制。四是健全项目质量保证体系，实行项目责任终身负责制、质量责任追究制、并成立项目工程督查和质检小组，对各项目施工中的各环节采取分工序检</w:t>
      </w:r>
      <w:r>
        <w:rPr>
          <w:rFonts w:hint="eastAsia" w:ascii="仿宋_GB2312" w:eastAsia="仿宋_GB2312"/>
          <w:sz w:val="32"/>
          <w:szCs w:val="32"/>
          <w:highlight w:val="none"/>
        </w:rPr>
        <w:t>（</w:t>
      </w:r>
      <w:r>
        <w:rPr>
          <w:rFonts w:hint="eastAsia" w:ascii="仿宋" w:hAnsi="仿宋" w:eastAsia="仿宋"/>
          <w:sz w:val="32"/>
          <w:szCs w:val="32"/>
          <w:highlight w:val="none"/>
        </w:rPr>
        <w:t>查验收的办法，严把项目质量关</w:t>
      </w:r>
      <w:r>
        <w:rPr>
          <w:rFonts w:hint="eastAsia" w:ascii="仿宋" w:hAnsi="仿宋" w:eastAsia="仿宋"/>
          <w:sz w:val="32"/>
          <w:szCs w:val="32"/>
          <w:highlight w:val="none"/>
          <w:lang w:eastAsia="zh-CN"/>
        </w:rPr>
        <w:t>）</w:t>
      </w:r>
      <w:r>
        <w:rPr>
          <w:rFonts w:hint="eastAsia" w:ascii="仿宋" w:hAnsi="仿宋" w:eastAsia="仿宋"/>
          <w:sz w:val="32"/>
          <w:szCs w:val="32"/>
          <w:highlight w:val="none"/>
        </w:rPr>
        <w:t>。</w:t>
      </w:r>
    </w:p>
    <w:p w14:paraId="21C4475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14:paraId="55C04D6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1.绩效目标：为交通事故案件的办理提供充足的证据，有利于案件的顺利办结。</w:t>
      </w:r>
    </w:p>
    <w:p w14:paraId="4FFCA44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2.绩效指标：包括产出指标、效益指标、成本指标。</w:t>
      </w:r>
    </w:p>
    <w:p w14:paraId="23D84540">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14:paraId="560B9BA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绩效评价目的：为单位部门决策提供科学依据，促进预算管理效率、资金使用效益的提升。</w:t>
      </w:r>
    </w:p>
    <w:p w14:paraId="6E4FA09E">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被评价单位、绩效评价范围与时段：该项目绩效评价范围是检验鉴定费，该项目绩效评价时段是2023年1月1日至2023年12月31日。</w:t>
      </w:r>
    </w:p>
    <w:p w14:paraId="707DAA35">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p>
    <w:p w14:paraId="2181AA39">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评价原则：结合绩效评价对象具体情况，确定绩效评价的具体依据。</w:t>
      </w:r>
    </w:p>
    <w:p w14:paraId="3024D5F9">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评价指标体系：根据预算的支出决策、过程、产出和效益等方面设定绩效评价指标；同时设置符合预算支出特点的，能够反映预算支出绩效的基础数据。对预算支出个性指标的核心指标要说明其设定理由。</w:t>
      </w:r>
    </w:p>
    <w:p w14:paraId="1E7DEBC4">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评价方法：绩效评价组应当明确绩效评价所选用的技术和方法，并说明其理由。</w:t>
      </w:r>
    </w:p>
    <w:p w14:paraId="56C4FB94">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p>
    <w:p w14:paraId="6AC8420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cyan"/>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t>社会效益：</w:t>
      </w:r>
      <w:r>
        <w:rPr>
          <w:rFonts w:hint="eastAsia" w:ascii="仿宋" w:hAnsi="仿宋" w:eastAsia="仿宋"/>
          <w:sz w:val="32"/>
          <w:szCs w:val="32"/>
          <w:highlight w:val="cyan"/>
        </w:rPr>
        <w:t>项目实施后，有效地</w:t>
      </w:r>
      <w:r>
        <w:rPr>
          <w:rFonts w:hint="eastAsia" w:ascii="仿宋" w:hAnsi="仿宋" w:eastAsia="仿宋"/>
          <w:sz w:val="32"/>
          <w:szCs w:val="32"/>
          <w:highlight w:val="cyan"/>
          <w:lang w:eastAsia="zh-CN"/>
        </w:rPr>
        <w:t>保障了县内的道路安全畅通，营造了良好的出行环境，对</w:t>
      </w:r>
      <w:r>
        <w:rPr>
          <w:rFonts w:hint="eastAsia" w:ascii="仿宋" w:hAnsi="仿宋" w:eastAsia="仿宋"/>
          <w:sz w:val="32"/>
          <w:szCs w:val="32"/>
          <w:highlight w:val="cyan"/>
        </w:rPr>
        <w:t>促进当地经济发展和社会稳定起到良好的作用。</w:t>
      </w:r>
    </w:p>
    <w:p w14:paraId="2772AD7B">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cyan"/>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t>生态效益：项目区域内节能减排效果明显，提升了水电能源节约率；</w:t>
      </w:r>
    </w:p>
    <w:p w14:paraId="2D549271">
      <w:pPr>
        <w:numPr>
          <w:ilvl w:val="0"/>
          <w:numId w:val="0"/>
        </w:numPr>
        <w:spacing w:line="560" w:lineRule="exact"/>
        <w:ind w:leftChars="197"/>
        <w:rPr>
          <w:rFonts w:hint="default" w:ascii="仿宋" w:hAnsi="仿宋" w:eastAsia="仿宋"/>
          <w:sz w:val="32"/>
          <w:szCs w:val="32"/>
          <w:highlight w:val="cyan"/>
          <w:lang w:val="en-US" w:eastAsia="zh-CN"/>
        </w:rPr>
      </w:pPr>
      <w:r>
        <w:rPr>
          <w:rFonts w:hint="eastAsia" w:ascii="楷体_GB2312" w:hAnsi="楷体_GB2312" w:eastAsia="楷体_GB2312" w:cs="楷体_GB2312"/>
          <w:b w:val="0"/>
          <w:bCs w:val="0"/>
          <w:i w:val="0"/>
          <w:iCs w:val="0"/>
          <w:caps w:val="0"/>
          <w:color w:val="000000"/>
          <w:spacing w:val="-23"/>
          <w:kern w:val="0"/>
          <w:sz w:val="32"/>
          <w:szCs w:val="32"/>
          <w:highlight w:val="cyan"/>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t>可持续影响：检验鉴定费</w:t>
      </w:r>
      <w:r>
        <w:rPr>
          <w:rFonts w:hint="eastAsia" w:ascii="仿宋" w:hAnsi="仿宋" w:eastAsia="仿宋"/>
          <w:sz w:val="32"/>
          <w:szCs w:val="32"/>
          <w:highlight w:val="cyan"/>
          <w:lang w:eastAsia="zh-CN"/>
        </w:rPr>
        <w:t>，</w:t>
      </w:r>
      <w:r>
        <w:rPr>
          <w:rFonts w:hint="eastAsia" w:ascii="仿宋" w:hAnsi="仿宋" w:eastAsia="仿宋"/>
          <w:sz w:val="32"/>
          <w:szCs w:val="32"/>
          <w:highlight w:val="cyan"/>
          <w:lang w:val="en-US" w:eastAsia="zh-CN"/>
        </w:rPr>
        <w:t>提升了交通事故案件的办理效率，缓解了社会矛盾，有利于社会的从长治久安。</w:t>
      </w:r>
    </w:p>
    <w:p w14:paraId="6BDFC865">
      <w:pPr>
        <w:numPr>
          <w:ilvl w:val="0"/>
          <w:numId w:val="0"/>
        </w:numPr>
        <w:spacing w:line="560" w:lineRule="exact"/>
        <w:ind w:leftChars="197"/>
        <w:rPr>
          <w:rFonts w:hint="eastAsia" w:ascii="仿宋" w:hAnsi="仿宋" w:eastAsia="仿宋"/>
          <w:sz w:val="32"/>
          <w:szCs w:val="32"/>
          <w:highlight w:val="cyan"/>
        </w:rPr>
      </w:pPr>
      <w:r>
        <w:rPr>
          <w:rFonts w:hint="eastAsia" w:ascii="楷体_GB2312" w:hAnsi="楷体_GB2312" w:eastAsia="楷体_GB2312" w:cs="楷体_GB2312"/>
          <w:b w:val="0"/>
          <w:bCs w:val="0"/>
          <w:i w:val="0"/>
          <w:iCs w:val="0"/>
          <w:caps w:val="0"/>
          <w:color w:val="000000"/>
          <w:spacing w:val="-23"/>
          <w:kern w:val="0"/>
          <w:sz w:val="32"/>
          <w:szCs w:val="32"/>
          <w:highlight w:val="cyan"/>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t>满意度情况：</w:t>
      </w:r>
      <w:r>
        <w:rPr>
          <w:rFonts w:hint="eastAsia" w:ascii="仿宋" w:hAnsi="仿宋" w:eastAsia="仿宋" w:cs="Times New Roman"/>
          <w:sz w:val="32"/>
          <w:szCs w:val="32"/>
          <w:highlight w:val="cyan"/>
          <w:lang w:eastAsia="zh-CN"/>
        </w:rPr>
        <w:t>营造了良好的出行氛围，</w:t>
      </w:r>
      <w:r>
        <w:rPr>
          <w:rFonts w:hint="eastAsia" w:ascii="仿宋" w:hAnsi="仿宋" w:eastAsia="仿宋"/>
          <w:sz w:val="32"/>
          <w:szCs w:val="32"/>
          <w:highlight w:val="cyan"/>
          <w:lang w:eastAsia="zh-CN"/>
        </w:rPr>
        <w:t>提升了群众的幸福感，</w:t>
      </w:r>
      <w:r>
        <w:rPr>
          <w:rFonts w:hint="eastAsia" w:ascii="仿宋" w:hAnsi="仿宋" w:eastAsia="仿宋" w:cs="Times New Roman"/>
          <w:sz w:val="32"/>
          <w:szCs w:val="32"/>
          <w:highlight w:val="cyan"/>
          <w:lang w:eastAsia="zh-CN"/>
        </w:rPr>
        <w:t>社会群众满意度很高。</w:t>
      </w:r>
    </w:p>
    <w:p w14:paraId="1F67285F">
      <w:pPr>
        <w:widowControl w:val="0"/>
        <w:spacing w:line="560" w:lineRule="exact"/>
        <w:rPr>
          <w:rFonts w:hint="eastAsia" w:ascii="仿宋" w:hAnsi="仿宋" w:eastAsia="仿宋" w:cs="Times New Roman"/>
          <w:sz w:val="32"/>
          <w:szCs w:val="32"/>
          <w:highlight w:val="cyan"/>
          <w:lang w:val="en-US" w:eastAsia="zh-CN"/>
        </w:rPr>
      </w:pPr>
      <w:r>
        <w:rPr>
          <w:rFonts w:hint="eastAsia" w:ascii="楷体_GB2312" w:hAnsi="楷体_GB2312" w:eastAsia="楷体_GB2312" w:cs="楷体_GB2312"/>
          <w:b w:val="0"/>
          <w:bCs w:val="0"/>
          <w:i w:val="0"/>
          <w:iCs w:val="0"/>
          <w:caps w:val="0"/>
          <w:color w:val="000000"/>
          <w:spacing w:val="-23"/>
          <w:kern w:val="0"/>
          <w:sz w:val="32"/>
          <w:szCs w:val="32"/>
          <w:highlight w:val="cyan"/>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highlight w:val="cyan"/>
          <w:shd w:val="clear" w:color="auto" w:fill="FFFFFF"/>
          <w:lang w:val="en-US" w:eastAsia="zh-CN" w:bidi="ar"/>
        </w:rPr>
        <w:t>评价结论：</w:t>
      </w:r>
      <w:r>
        <w:rPr>
          <w:rFonts w:hint="eastAsia" w:ascii="仿宋" w:hAnsi="仿宋" w:eastAsia="仿宋"/>
          <w:sz w:val="32"/>
          <w:szCs w:val="32"/>
          <w:highlight w:val="cyan"/>
        </w:rPr>
        <w:t>经</w:t>
      </w:r>
      <w:r>
        <w:rPr>
          <w:rFonts w:hint="eastAsia" w:ascii="仿宋" w:hAnsi="仿宋" w:eastAsia="仿宋" w:cs="Times New Roman"/>
          <w:sz w:val="32"/>
          <w:szCs w:val="32"/>
          <w:highlight w:val="cyan"/>
          <w:lang w:val="en-US" w:eastAsia="zh-CN"/>
        </w:rPr>
        <w:t>自评，项目已基本按照规划作业设计和实施方案实施完工，项目支出达到预期绩效目标。根据对检验鉴定费项目绩效评价共性指标体系自检自评结果统计：2023年我大队检验鉴定费项目绩效自评为“优”，自查评分</w:t>
      </w:r>
      <w:r>
        <w:rPr>
          <w:rFonts w:hint="eastAsia" w:ascii="仿宋" w:hAnsi="仿宋" w:eastAsia="仿宋" w:cs="Times New Roman"/>
          <w:sz w:val="32"/>
          <w:szCs w:val="32"/>
          <w:highlight w:val="red"/>
          <w:lang w:val="en-US" w:eastAsia="zh-CN"/>
        </w:rPr>
        <w:t>为95分。</w:t>
      </w:r>
    </w:p>
    <w:p w14:paraId="09B2CFA4">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p>
    <w:p w14:paraId="47141E02">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t>1、项目环境和条件的调查与分析：当前本县交通环境状况良好，交通违法行为得到有效处罚。</w:t>
      </w:r>
    </w:p>
    <w:p w14:paraId="0DFD989B">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t>2、组织策划：项目各个成员为执行非税收入征缴工作的民辅警工作人员。</w:t>
      </w:r>
    </w:p>
    <w:p w14:paraId="603BFFE9">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t>3、管理策划：主要是对项目的目标、进度、成本、风险及质量进行管控。</w:t>
      </w:r>
    </w:p>
    <w:p w14:paraId="78C74D47">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darkYellow"/>
          <w:shd w:val="clear" w:color="auto" w:fill="FFFFFF"/>
          <w:lang w:val="en-US" w:eastAsia="zh-CN" w:bidi="ar"/>
        </w:rPr>
        <w:t>4、合同策划</w:t>
      </w:r>
    </w:p>
    <w:p w14:paraId="0C585DB5">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p>
    <w:p w14:paraId="2DFD00D2">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highlight w:val="darkGreen"/>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darkGreen"/>
          <w:shd w:val="clear" w:color="auto" w:fill="FFFFFF"/>
          <w:lang w:val="en-US" w:eastAsia="zh-CN" w:bidi="ar"/>
        </w:rPr>
        <w:t>1.资金管理：</w:t>
      </w:r>
      <w:r>
        <w:rPr>
          <w:rFonts w:hint="eastAsia" w:ascii="仿宋" w:hAnsi="仿宋" w:eastAsia="仿宋" w:cs="宋体"/>
          <w:color w:val="333333"/>
          <w:sz w:val="32"/>
          <w:szCs w:val="32"/>
          <w:highlight w:val="darkGreen"/>
        </w:rPr>
        <w:t>一是</w:t>
      </w:r>
      <w:r>
        <w:rPr>
          <w:rFonts w:hint="eastAsia" w:ascii="仿宋" w:hAnsi="仿宋" w:eastAsia="仿宋"/>
          <w:sz w:val="32"/>
          <w:szCs w:val="32"/>
          <w:highlight w:val="darkGreen"/>
        </w:rPr>
        <w:t>制定《会同县</w:t>
      </w:r>
      <w:r>
        <w:rPr>
          <w:rFonts w:hint="eastAsia" w:ascii="仿宋" w:hAnsi="仿宋" w:eastAsia="仿宋"/>
          <w:sz w:val="32"/>
          <w:szCs w:val="32"/>
          <w:highlight w:val="darkGreen"/>
          <w:lang w:eastAsia="zh-CN"/>
        </w:rPr>
        <w:t>交警大队</w:t>
      </w:r>
      <w:r>
        <w:rPr>
          <w:rFonts w:hint="eastAsia" w:ascii="仿宋" w:hAnsi="仿宋" w:eastAsia="仿宋"/>
          <w:sz w:val="32"/>
          <w:szCs w:val="32"/>
          <w:highlight w:val="darkGreen"/>
        </w:rPr>
        <w:t>专项资金管理办法（试行)》及相关管理措施，对各实施项目进行规范管理。项目资金实行专账管理、分项核算的管理模</w:t>
      </w:r>
      <w:r>
        <w:rPr>
          <w:rFonts w:hint="eastAsia" w:ascii="仿宋" w:hAnsi="仿宋" w:eastAsia="仿宋"/>
          <w:spacing w:val="-6"/>
          <w:sz w:val="32"/>
          <w:szCs w:val="32"/>
          <w:highlight w:val="darkGreen"/>
        </w:rPr>
        <w:t>式，做到专款专用，无挤占、挪用、串用的现象。二是</w:t>
      </w:r>
      <w:r>
        <w:rPr>
          <w:rFonts w:hint="eastAsia" w:ascii="仿宋" w:hAnsi="仿宋" w:eastAsia="仿宋"/>
          <w:sz w:val="32"/>
          <w:szCs w:val="32"/>
          <w:highlight w:val="darkGreen"/>
        </w:rPr>
        <w:t>规范项目资金发放程序，对各项目资金使用情况进行公示。</w:t>
      </w:r>
    </w:p>
    <w:p w14:paraId="09B9EA0B">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highlight w:val="darkGreen"/>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darkGreen"/>
          <w:shd w:val="clear" w:color="auto" w:fill="FFFFFF"/>
          <w:lang w:val="en-US" w:eastAsia="zh-CN" w:bidi="ar"/>
        </w:rPr>
        <w:t>2.项目实施</w:t>
      </w:r>
    </w:p>
    <w:p w14:paraId="7DB3EF66">
      <w:pPr>
        <w:pStyle w:val="9"/>
        <w:widowControl w:val="0"/>
        <w:numPr>
          <w:ilvl w:val="0"/>
          <w:numId w:val="0"/>
        </w:numPr>
        <w:tabs>
          <w:tab w:val="left" w:pos="1040"/>
        </w:tabs>
        <w:spacing w:line="560" w:lineRule="exact"/>
        <w:ind w:leftChars="200" w:firstLine="320" w:firstLineChars="100"/>
        <w:rPr>
          <w:rFonts w:hint="eastAsia" w:ascii="仿宋" w:hAnsi="仿宋" w:eastAsia="仿宋"/>
          <w:sz w:val="32"/>
          <w:szCs w:val="32"/>
          <w:highlight w:val="darkGreen"/>
          <w:lang w:eastAsia="zh-CN"/>
        </w:rPr>
      </w:pPr>
      <w:r>
        <w:rPr>
          <w:rFonts w:hint="eastAsia" w:ascii="仿宋" w:hAnsi="仿宋" w:eastAsia="仿宋"/>
          <w:sz w:val="32"/>
          <w:szCs w:val="32"/>
          <w:highlight w:val="darkGreen"/>
        </w:rPr>
        <w:t>一是加强组织领导，成立项目实施领导小组，促进项目顺利实施。二是严格按照项目批复、作业设计和实施方案组织项目实施。三是推行政府采购制度和项目工程专人负责制，对项目工程所需设备、基础设施建设，积极推行政府采购和招标制度，并建立事先、事中、事后全过程监督机制。四是健全项目质量保证体系，实行项目责任终身负责制、质量责任追究制、并成立项目工程督查和质检小组，对各项目施工中的各环节采取分工序检</w:t>
      </w:r>
      <w:r>
        <w:rPr>
          <w:rFonts w:hint="eastAsia" w:ascii="仿宋" w:hAnsi="仿宋" w:eastAsia="仿宋"/>
          <w:sz w:val="32"/>
          <w:szCs w:val="32"/>
          <w:highlight w:val="darkGreen"/>
          <w:lang w:eastAsia="zh-CN"/>
        </w:rPr>
        <w:t>。</w:t>
      </w:r>
    </w:p>
    <w:p w14:paraId="3935A324">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p>
    <w:p w14:paraId="2D4E9D4F">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1.产出数量：血液检测450起，事故车辆鉴定60起。</w:t>
      </w:r>
    </w:p>
    <w:p w14:paraId="4D4DF1AF">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2.产出质量：检验鉴定完成准确率100%</w:t>
      </w:r>
    </w:p>
    <w:p w14:paraId="371298F5">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3.产出成本：检验鉴定费用320.4万元</w:t>
      </w:r>
    </w:p>
    <w:p w14:paraId="5152D75B">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4.产出时效：检验鉴定工作按时完成。</w:t>
      </w:r>
    </w:p>
    <w:p w14:paraId="18354AE9">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p>
    <w:p w14:paraId="5FF976FD">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p>
    <w:p w14:paraId="3C50ED0F">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yellow"/>
          <w:shd w:val="clear" w:color="auto" w:fill="FFFFFF"/>
          <w:lang w:val="en-US" w:eastAsia="zh-CN" w:bidi="ar"/>
        </w:rPr>
        <w:t>该项目促进了交通事故案件的顺利办结，有利于社会稳定和谐，促进了经济可持续发展。</w:t>
      </w:r>
    </w:p>
    <w:p w14:paraId="6BA2D502">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五、项目主要经验、存在的问题及建议</w:t>
      </w:r>
    </w:p>
    <w:p w14:paraId="77C22717">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项目主要经验及做法：首先一定要制定工作计划，执行计划前，大概理清思路及任务重的重点细节，要明确各方责任，及时反馈项目的风险、问题并及时解决。</w:t>
      </w:r>
    </w:p>
    <w:p w14:paraId="08F8584E">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r>
        <w:rPr>
          <w:rFonts w:hint="eastAsia" w:ascii="仿宋" w:hAnsi="仿宋" w:eastAsia="仿宋" w:cs="Times New Roman"/>
          <w:sz w:val="32"/>
          <w:szCs w:val="32"/>
          <w:highlight w:val="none"/>
          <w:lang w:val="en-US" w:eastAsia="zh-CN"/>
        </w:rPr>
        <w:t>随着经济的发展和社会的进步，我单位检验鉴定费和压力也越来越重，工作人员精力有限，经费严重不足；</w:t>
      </w: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p>
    <w:p w14:paraId="5F2DD9B2">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 w:hAnsi="仿宋" w:eastAsia="仿宋" w:cs="Times New Roman"/>
          <w:sz w:val="32"/>
          <w:szCs w:val="32"/>
          <w:highlight w:val="none"/>
          <w:lang w:val="en-US" w:eastAsia="zh-CN"/>
        </w:rPr>
      </w:pPr>
      <w:r>
        <w:rPr>
          <w:rFonts w:hint="eastAsia" w:ascii="仿宋" w:hAnsi="仿宋" w:eastAsia="仿宋" w:cs="Times New Roman"/>
          <w:sz w:val="32"/>
          <w:szCs w:val="32"/>
          <w:highlight w:val="none"/>
          <w:lang w:val="en-US" w:eastAsia="zh-CN"/>
        </w:rPr>
        <w:t>为了能够保障检验鉴定工作的完成，希望各级各部门高度重视，县财政明年能够加大该项目经费的投入，营造良好的道路出行环境。</w:t>
      </w:r>
    </w:p>
    <w:p w14:paraId="6A84F0C2">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145BB0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firstLine="640" w:firstLineChars="200"/>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报告应包括以下附件：</w:t>
      </w:r>
    </w:p>
    <w:p w14:paraId="493FA1C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firstLine="640" w:firstLineChars="200"/>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项目支出绩效自评表（一个项目支出一张表）</w:t>
      </w:r>
    </w:p>
    <w:p w14:paraId="61FDCEB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color="auto" w:fill="FFFFFF"/>
          <w:lang w:val="en-US" w:eastAsia="zh-CN"/>
        </w:rPr>
      </w:pPr>
    </w:p>
    <w:p w14:paraId="691C0AF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color="auto" w:fill="FFFFFF"/>
          <w:lang w:val="en-US" w:eastAsia="zh-CN"/>
        </w:rPr>
      </w:pPr>
    </w:p>
    <w:p w14:paraId="01B2C98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2BE0F2C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附件2-1</w:t>
      </w:r>
    </w:p>
    <w:p w14:paraId="18255F0A">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t>项目支出绩效自评表</w:t>
      </w:r>
    </w:p>
    <w:tbl>
      <w:tblPr>
        <w:tblStyle w:val="7"/>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6926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51C6AAB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1A1C899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8"/>
            <w:noWrap w:val="0"/>
            <w:vAlign w:val="center"/>
          </w:tcPr>
          <w:p w14:paraId="1C0625F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检验鉴定费</w:t>
            </w:r>
            <w:r>
              <w:rPr>
                <w:rFonts w:hint="eastAsia" w:ascii="仿宋" w:hAnsi="仿宋" w:eastAsia="仿宋" w:cs="仿宋"/>
                <w:color w:val="000000"/>
                <w:kern w:val="0"/>
                <w:sz w:val="20"/>
                <w:szCs w:val="20"/>
              </w:rPr>
              <w:t>　</w:t>
            </w:r>
          </w:p>
        </w:tc>
      </w:tr>
      <w:tr w14:paraId="3BB0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3F5C580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18" w:type="dxa"/>
            <w:gridSpan w:val="4"/>
            <w:noWrap w:val="0"/>
            <w:vAlign w:val="center"/>
          </w:tcPr>
          <w:p w14:paraId="6C11593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会同县公安局交通管理中心</w:t>
            </w:r>
          </w:p>
        </w:tc>
        <w:tc>
          <w:tcPr>
            <w:tcW w:w="1134" w:type="dxa"/>
            <w:noWrap w:val="0"/>
            <w:vAlign w:val="center"/>
          </w:tcPr>
          <w:p w14:paraId="7051044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19" w:type="dxa"/>
            <w:gridSpan w:val="3"/>
            <w:noWrap w:val="0"/>
            <w:vAlign w:val="center"/>
          </w:tcPr>
          <w:p w14:paraId="1A57292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会同县公安局交通管理中心</w:t>
            </w:r>
          </w:p>
        </w:tc>
      </w:tr>
      <w:tr w14:paraId="3DE2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62A41ED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160" w:type="dxa"/>
            <w:gridSpan w:val="2"/>
            <w:noWrap w:val="0"/>
            <w:vAlign w:val="center"/>
          </w:tcPr>
          <w:p w14:paraId="4232783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49" w:type="dxa"/>
            <w:noWrap w:val="0"/>
            <w:vAlign w:val="center"/>
          </w:tcPr>
          <w:p w14:paraId="6190A9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20C8E9D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09" w:type="dxa"/>
            <w:noWrap w:val="0"/>
            <w:vAlign w:val="center"/>
          </w:tcPr>
          <w:p w14:paraId="37E6F7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6F209BF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134" w:type="dxa"/>
            <w:noWrap w:val="0"/>
            <w:vAlign w:val="center"/>
          </w:tcPr>
          <w:p w14:paraId="446FC0F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14:paraId="6FF5087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828" w:type="dxa"/>
            <w:noWrap w:val="0"/>
            <w:vAlign w:val="center"/>
          </w:tcPr>
          <w:p w14:paraId="20598BA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873" w:type="dxa"/>
            <w:noWrap w:val="0"/>
            <w:vAlign w:val="center"/>
          </w:tcPr>
          <w:p w14:paraId="6E04A38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418" w:type="dxa"/>
            <w:noWrap w:val="0"/>
            <w:vAlign w:val="center"/>
          </w:tcPr>
          <w:p w14:paraId="05A64F6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14:paraId="6371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C2F955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33C1E64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149" w:type="dxa"/>
            <w:noWrap w:val="0"/>
            <w:vAlign w:val="center"/>
          </w:tcPr>
          <w:p w14:paraId="53DE6AA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5.8</w:t>
            </w:r>
          </w:p>
        </w:tc>
        <w:tc>
          <w:tcPr>
            <w:tcW w:w="1209" w:type="dxa"/>
            <w:noWrap w:val="0"/>
            <w:vAlign w:val="center"/>
          </w:tcPr>
          <w:p w14:paraId="2C7F8D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5.8</w:t>
            </w:r>
          </w:p>
        </w:tc>
        <w:tc>
          <w:tcPr>
            <w:tcW w:w="1134" w:type="dxa"/>
            <w:noWrap w:val="0"/>
            <w:vAlign w:val="center"/>
          </w:tcPr>
          <w:p w14:paraId="7BEEC85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5.8</w:t>
            </w:r>
          </w:p>
        </w:tc>
        <w:tc>
          <w:tcPr>
            <w:tcW w:w="828" w:type="dxa"/>
            <w:noWrap w:val="0"/>
            <w:vAlign w:val="center"/>
          </w:tcPr>
          <w:p w14:paraId="190F54C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w:t>
            </w:r>
          </w:p>
        </w:tc>
        <w:tc>
          <w:tcPr>
            <w:tcW w:w="873" w:type="dxa"/>
            <w:noWrap w:val="0"/>
            <w:vAlign w:val="center"/>
          </w:tcPr>
          <w:p w14:paraId="0717472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46E1AE2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r>
      <w:tr w14:paraId="71E7D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B42734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0ACE131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149" w:type="dxa"/>
            <w:noWrap w:val="0"/>
            <w:vAlign w:val="center"/>
          </w:tcPr>
          <w:p w14:paraId="6C90FCA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5.8</w:t>
            </w:r>
          </w:p>
        </w:tc>
        <w:tc>
          <w:tcPr>
            <w:tcW w:w="1209" w:type="dxa"/>
            <w:noWrap w:val="0"/>
            <w:vAlign w:val="center"/>
          </w:tcPr>
          <w:p w14:paraId="1CC260A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5.8</w:t>
            </w:r>
          </w:p>
        </w:tc>
        <w:tc>
          <w:tcPr>
            <w:tcW w:w="1134" w:type="dxa"/>
            <w:noWrap w:val="0"/>
            <w:vAlign w:val="center"/>
          </w:tcPr>
          <w:p w14:paraId="222F5D2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5.8</w:t>
            </w:r>
          </w:p>
        </w:tc>
        <w:tc>
          <w:tcPr>
            <w:tcW w:w="828" w:type="dxa"/>
            <w:noWrap w:val="0"/>
            <w:vAlign w:val="center"/>
          </w:tcPr>
          <w:p w14:paraId="4F049CD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2EA9FE4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4F5159B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80B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8A5ED7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7BFE2137">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149" w:type="dxa"/>
            <w:noWrap w:val="0"/>
            <w:vAlign w:val="center"/>
          </w:tcPr>
          <w:p w14:paraId="4BC9911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noWrap w:val="0"/>
            <w:vAlign w:val="center"/>
          </w:tcPr>
          <w:p w14:paraId="267422F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576C8FB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626F9B2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212ED93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65AC3DE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5A1E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6B37AA2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49BE97BC">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49" w:type="dxa"/>
            <w:noWrap w:val="0"/>
            <w:vAlign w:val="center"/>
          </w:tcPr>
          <w:p w14:paraId="0269422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noWrap w:val="0"/>
            <w:vAlign w:val="center"/>
          </w:tcPr>
          <w:p w14:paraId="2D7F905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5D04BF5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19195BD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6B7F3E3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6DA364D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7DD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noWrap w:val="0"/>
            <w:vAlign w:val="center"/>
          </w:tcPr>
          <w:p w14:paraId="46F0FB5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18" w:type="dxa"/>
            <w:gridSpan w:val="4"/>
            <w:noWrap w:val="0"/>
            <w:vAlign w:val="center"/>
          </w:tcPr>
          <w:p w14:paraId="253501F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noWrap w:val="0"/>
            <w:vAlign w:val="center"/>
          </w:tcPr>
          <w:p w14:paraId="1D53FF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6E65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0FD6A13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4518" w:type="dxa"/>
            <w:gridSpan w:val="4"/>
            <w:noWrap w:val="0"/>
            <w:vAlign w:val="center"/>
          </w:tcPr>
          <w:p w14:paraId="1CE419E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完成检验鉴定费5.8万元</w:t>
            </w:r>
          </w:p>
        </w:tc>
        <w:tc>
          <w:tcPr>
            <w:tcW w:w="4253" w:type="dxa"/>
            <w:gridSpan w:val="4"/>
            <w:noWrap w:val="0"/>
            <w:vAlign w:val="center"/>
          </w:tcPr>
          <w:p w14:paraId="0B9A7BE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5.8万元</w:t>
            </w:r>
          </w:p>
        </w:tc>
      </w:tr>
      <w:tr w14:paraId="3D30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4481CA1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323F485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2E4D3FE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69703A0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0B86825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noWrap w:val="0"/>
            <w:vAlign w:val="center"/>
          </w:tcPr>
          <w:p w14:paraId="60B7E46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149" w:type="dxa"/>
            <w:noWrap w:val="0"/>
            <w:vAlign w:val="center"/>
          </w:tcPr>
          <w:p w14:paraId="3F1B575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209" w:type="dxa"/>
            <w:noWrap w:val="0"/>
            <w:vAlign w:val="center"/>
          </w:tcPr>
          <w:p w14:paraId="27E1A3A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2CFC336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134" w:type="dxa"/>
            <w:noWrap w:val="0"/>
            <w:vAlign w:val="center"/>
          </w:tcPr>
          <w:p w14:paraId="3375AA3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336D1EC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828" w:type="dxa"/>
            <w:noWrap w:val="0"/>
            <w:vAlign w:val="center"/>
          </w:tcPr>
          <w:p w14:paraId="5EB0232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3" w:type="dxa"/>
            <w:noWrap w:val="0"/>
            <w:vAlign w:val="center"/>
          </w:tcPr>
          <w:p w14:paraId="26F468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18" w:type="dxa"/>
            <w:noWrap w:val="0"/>
            <w:vAlign w:val="center"/>
          </w:tcPr>
          <w:p w14:paraId="6F1690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186D068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272D940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60EF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E6CF8A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2501E51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05D64CD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r>
              <w:rPr>
                <w:rFonts w:hint="eastAsia" w:ascii="仿宋" w:hAnsi="仿宋" w:eastAsia="仿宋" w:cs="仿宋"/>
                <w:color w:val="000000"/>
                <w:kern w:val="0"/>
                <w:sz w:val="20"/>
                <w:szCs w:val="20"/>
                <w:lang w:eastAsia="zh-CN"/>
              </w:rPr>
              <w:t>）</w:t>
            </w:r>
          </w:p>
        </w:tc>
        <w:tc>
          <w:tcPr>
            <w:tcW w:w="1080" w:type="dxa"/>
            <w:vMerge w:val="restart"/>
            <w:noWrap w:val="0"/>
            <w:vAlign w:val="center"/>
          </w:tcPr>
          <w:p w14:paraId="64EA1C2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149" w:type="dxa"/>
            <w:noWrap w:val="0"/>
            <w:vAlign w:val="center"/>
          </w:tcPr>
          <w:p w14:paraId="1F6299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血液检测达标次数</w:t>
            </w:r>
          </w:p>
        </w:tc>
        <w:tc>
          <w:tcPr>
            <w:tcW w:w="1209" w:type="dxa"/>
            <w:noWrap w:val="0"/>
            <w:vAlign w:val="center"/>
          </w:tcPr>
          <w:p w14:paraId="43D5EFD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450</w:t>
            </w:r>
          </w:p>
        </w:tc>
        <w:tc>
          <w:tcPr>
            <w:tcW w:w="1134" w:type="dxa"/>
            <w:noWrap w:val="0"/>
            <w:vAlign w:val="center"/>
          </w:tcPr>
          <w:p w14:paraId="6DFBA71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450</w:t>
            </w:r>
          </w:p>
        </w:tc>
        <w:tc>
          <w:tcPr>
            <w:tcW w:w="828" w:type="dxa"/>
            <w:noWrap w:val="0"/>
            <w:vAlign w:val="center"/>
          </w:tcPr>
          <w:p w14:paraId="1E4033B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2789C91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76B89AA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4594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C00DB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6B1977D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0266CDD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49" w:type="dxa"/>
            <w:noWrap w:val="0"/>
            <w:vAlign w:val="center"/>
          </w:tcPr>
          <w:p w14:paraId="572EF18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车辆属性鉴定达标次数</w:t>
            </w:r>
          </w:p>
        </w:tc>
        <w:tc>
          <w:tcPr>
            <w:tcW w:w="1209" w:type="dxa"/>
            <w:noWrap w:val="0"/>
            <w:vAlign w:val="center"/>
          </w:tcPr>
          <w:p w14:paraId="1C9FBE6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60</w:t>
            </w:r>
          </w:p>
        </w:tc>
        <w:tc>
          <w:tcPr>
            <w:tcW w:w="1134" w:type="dxa"/>
            <w:noWrap w:val="0"/>
            <w:vAlign w:val="center"/>
          </w:tcPr>
          <w:p w14:paraId="515A98B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60</w:t>
            </w:r>
          </w:p>
        </w:tc>
        <w:tc>
          <w:tcPr>
            <w:tcW w:w="828" w:type="dxa"/>
            <w:noWrap w:val="0"/>
            <w:vAlign w:val="center"/>
          </w:tcPr>
          <w:p w14:paraId="58695B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047335F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746A535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121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B7651E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5762D2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30EEFBA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149" w:type="dxa"/>
            <w:noWrap w:val="0"/>
            <w:vAlign w:val="center"/>
          </w:tcPr>
          <w:p w14:paraId="62DC170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检测结果合格率</w:t>
            </w:r>
          </w:p>
        </w:tc>
        <w:tc>
          <w:tcPr>
            <w:tcW w:w="1209" w:type="dxa"/>
            <w:noWrap w:val="0"/>
            <w:vAlign w:val="center"/>
          </w:tcPr>
          <w:p w14:paraId="3F3D10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134" w:type="dxa"/>
            <w:noWrap w:val="0"/>
            <w:vAlign w:val="center"/>
          </w:tcPr>
          <w:p w14:paraId="3BA3C4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828" w:type="dxa"/>
            <w:noWrap w:val="0"/>
            <w:vAlign w:val="center"/>
          </w:tcPr>
          <w:p w14:paraId="27FEAFB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0113A1A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4EF4451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3A58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28E97B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0281F55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5D9DA8E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49" w:type="dxa"/>
            <w:noWrap w:val="0"/>
            <w:vAlign w:val="center"/>
          </w:tcPr>
          <w:p w14:paraId="104888B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09" w:type="dxa"/>
            <w:noWrap w:val="0"/>
            <w:vAlign w:val="center"/>
          </w:tcPr>
          <w:p w14:paraId="0338B0E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2909CF2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744FD88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51459C8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69FFE06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F79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B6B1A8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0B1192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4728468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149" w:type="dxa"/>
            <w:noWrap w:val="0"/>
            <w:vAlign w:val="center"/>
          </w:tcPr>
          <w:p w14:paraId="4727404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工作完成的及时率</w:t>
            </w:r>
          </w:p>
        </w:tc>
        <w:tc>
          <w:tcPr>
            <w:tcW w:w="1209" w:type="dxa"/>
            <w:noWrap w:val="0"/>
            <w:vAlign w:val="center"/>
          </w:tcPr>
          <w:p w14:paraId="5B7BC39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134" w:type="dxa"/>
            <w:noWrap w:val="0"/>
            <w:vAlign w:val="center"/>
          </w:tcPr>
          <w:p w14:paraId="6310DAE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98%</w:t>
            </w:r>
          </w:p>
        </w:tc>
        <w:tc>
          <w:tcPr>
            <w:tcW w:w="828" w:type="dxa"/>
            <w:noWrap w:val="0"/>
            <w:vAlign w:val="center"/>
          </w:tcPr>
          <w:p w14:paraId="17C9EC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20E32C2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8</w:t>
            </w:r>
          </w:p>
        </w:tc>
        <w:tc>
          <w:tcPr>
            <w:tcW w:w="1418" w:type="dxa"/>
            <w:noWrap w:val="0"/>
            <w:vAlign w:val="center"/>
          </w:tcPr>
          <w:p w14:paraId="59B692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按时按量完成检测程序，提升办案效率</w:t>
            </w:r>
          </w:p>
        </w:tc>
      </w:tr>
      <w:tr w14:paraId="39D40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F1BCC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52F0AC7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0166F51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49" w:type="dxa"/>
            <w:noWrap w:val="0"/>
            <w:vAlign w:val="center"/>
          </w:tcPr>
          <w:p w14:paraId="25F93F9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28F884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7B48C7D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46C2689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34CB614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4DC85EC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71D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53B14E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7DBC4D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51011F2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149" w:type="dxa"/>
            <w:noWrap w:val="0"/>
            <w:vAlign w:val="center"/>
          </w:tcPr>
          <w:p w14:paraId="6F129974">
            <w:pPr>
              <w:keepNext w:val="0"/>
              <w:keepLines w:val="0"/>
              <w:widowControl/>
              <w:suppressLineNumbers w:val="0"/>
              <w:jc w:val="center"/>
              <w:textAlignment w:val="center"/>
              <w:rPr>
                <w:rFonts w:hint="eastAsia" w:ascii="Arial Unicode MS" w:hAnsi="Arial Unicode MS" w:eastAsia="Arial Unicode MS" w:cs="Arial Unicode MS"/>
                <w:i w:val="0"/>
                <w:iCs w:val="0"/>
                <w:color w:val="000000"/>
                <w:kern w:val="2"/>
                <w:sz w:val="20"/>
                <w:szCs w:val="20"/>
                <w:u w:val="none"/>
                <w:lang w:val="en-US" w:eastAsia="zh-CN" w:bidi="ar-SA"/>
              </w:rPr>
            </w:pPr>
            <w:r>
              <w:rPr>
                <w:rFonts w:hint="default" w:ascii="Arial Unicode MS" w:hAnsi="Arial Unicode MS" w:eastAsia="Arial Unicode MS" w:cs="Arial Unicode MS"/>
                <w:i w:val="0"/>
                <w:iCs w:val="0"/>
                <w:color w:val="000000"/>
                <w:kern w:val="0"/>
                <w:sz w:val="20"/>
                <w:szCs w:val="20"/>
                <w:u w:val="none"/>
                <w:lang w:val="en-US" w:eastAsia="zh-CN" w:bidi="ar"/>
              </w:rPr>
              <w:t>社会成本节约率</w:t>
            </w:r>
          </w:p>
        </w:tc>
        <w:tc>
          <w:tcPr>
            <w:tcW w:w="1209" w:type="dxa"/>
            <w:noWrap w:val="0"/>
            <w:vAlign w:val="center"/>
          </w:tcPr>
          <w:p w14:paraId="433FEDD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134" w:type="dxa"/>
            <w:noWrap w:val="0"/>
            <w:vAlign w:val="center"/>
          </w:tcPr>
          <w:p w14:paraId="02C15F7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99%</w:t>
            </w:r>
          </w:p>
        </w:tc>
        <w:tc>
          <w:tcPr>
            <w:tcW w:w="828" w:type="dxa"/>
            <w:noWrap w:val="0"/>
            <w:vAlign w:val="center"/>
          </w:tcPr>
          <w:p w14:paraId="3F76753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202CC02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w:t>
            </w:r>
          </w:p>
        </w:tc>
        <w:tc>
          <w:tcPr>
            <w:tcW w:w="1418" w:type="dxa"/>
            <w:noWrap w:val="0"/>
            <w:vAlign w:val="center"/>
          </w:tcPr>
          <w:p w14:paraId="7AC815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加强成本控制，厉行节约</w:t>
            </w:r>
          </w:p>
        </w:tc>
      </w:tr>
      <w:tr w14:paraId="5B8DD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7EAC7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2E9E3AC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63A7100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9" w:type="dxa"/>
            <w:noWrap w:val="0"/>
            <w:vAlign w:val="center"/>
          </w:tcPr>
          <w:p w14:paraId="24F64BE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6D9A91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6BB0B25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30CE0B5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688B9FA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7C34791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9C4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EAFFBD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7C59141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632652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vMerge w:val="restart"/>
            <w:noWrap w:val="0"/>
            <w:vAlign w:val="center"/>
          </w:tcPr>
          <w:p w14:paraId="57C3987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4222C22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53E29DC7">
            <w:pPr>
              <w:keepNext w:val="0"/>
              <w:keepLines w:val="0"/>
              <w:widowControl/>
              <w:suppressLineNumbers w:val="0"/>
              <w:jc w:val="left"/>
              <w:textAlignment w:val="center"/>
              <w:rPr>
                <w:rFonts w:hint="eastAsia" w:ascii="Arial Unicode MS" w:hAnsi="Arial Unicode MS" w:eastAsia="Arial Unicode MS" w:cs="Arial Unicode MS"/>
                <w:i w:val="0"/>
                <w:iCs w:val="0"/>
                <w:color w:val="000000"/>
                <w:kern w:val="2"/>
                <w:sz w:val="16"/>
                <w:szCs w:val="16"/>
                <w:u w:val="none"/>
                <w:lang w:val="en-US" w:eastAsia="zh-CN" w:bidi="ar-SA"/>
              </w:rPr>
            </w:pPr>
            <w:r>
              <w:rPr>
                <w:rFonts w:hint="default" w:ascii="Arial Unicode MS" w:hAnsi="Arial Unicode MS" w:eastAsia="Arial Unicode MS" w:cs="Arial Unicode MS"/>
                <w:i w:val="0"/>
                <w:iCs w:val="0"/>
                <w:color w:val="000000"/>
                <w:kern w:val="0"/>
                <w:sz w:val="16"/>
                <w:szCs w:val="16"/>
                <w:u w:val="none"/>
                <w:lang w:val="en-US" w:eastAsia="zh-CN" w:bidi="ar"/>
              </w:rPr>
              <w:t>项目实施对经济发展所带来的直接或间接影响情况。</w:t>
            </w:r>
          </w:p>
        </w:tc>
        <w:tc>
          <w:tcPr>
            <w:tcW w:w="1209" w:type="dxa"/>
            <w:noWrap w:val="0"/>
            <w:vAlign w:val="center"/>
          </w:tcPr>
          <w:p w14:paraId="588BD51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134" w:type="dxa"/>
            <w:noWrap w:val="0"/>
            <w:vAlign w:val="center"/>
          </w:tcPr>
          <w:p w14:paraId="533B85C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97%</w:t>
            </w:r>
          </w:p>
        </w:tc>
        <w:tc>
          <w:tcPr>
            <w:tcW w:w="828" w:type="dxa"/>
            <w:noWrap w:val="0"/>
            <w:vAlign w:val="center"/>
          </w:tcPr>
          <w:p w14:paraId="0783877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22B35FD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8</w:t>
            </w:r>
          </w:p>
        </w:tc>
        <w:tc>
          <w:tcPr>
            <w:tcW w:w="1418" w:type="dxa"/>
            <w:noWrap w:val="0"/>
            <w:vAlign w:val="center"/>
          </w:tcPr>
          <w:p w14:paraId="4B48E30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促进经济平稳提升</w:t>
            </w:r>
          </w:p>
        </w:tc>
      </w:tr>
      <w:tr w14:paraId="1A79F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D12465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76B0E53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768E8A5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49" w:type="dxa"/>
            <w:noWrap w:val="0"/>
            <w:vAlign w:val="center"/>
          </w:tcPr>
          <w:p w14:paraId="043FE2A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4EC57E1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1E5350B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7CE85BB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4BF075D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7442E95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7C6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DD49C6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0AAC9F6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2C0BE1C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2FBE26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51BA394F">
            <w:pPr>
              <w:keepNext w:val="0"/>
              <w:keepLines w:val="0"/>
              <w:widowControl/>
              <w:suppressLineNumbers w:val="0"/>
              <w:jc w:val="left"/>
              <w:textAlignment w:val="center"/>
              <w:rPr>
                <w:rFonts w:hint="eastAsia" w:ascii="Arial Unicode MS" w:hAnsi="Arial Unicode MS" w:eastAsia="Arial Unicode MS" w:cs="Arial Unicode MS"/>
                <w:i w:val="0"/>
                <w:iCs w:val="0"/>
                <w:color w:val="000000"/>
                <w:kern w:val="2"/>
                <w:sz w:val="15"/>
                <w:szCs w:val="15"/>
                <w:u w:val="none"/>
                <w:lang w:val="en-US" w:eastAsia="zh-CN" w:bidi="ar-SA"/>
              </w:rPr>
            </w:pPr>
            <w:r>
              <w:rPr>
                <w:rFonts w:hint="default" w:ascii="Arial Unicode MS" w:hAnsi="Arial Unicode MS" w:eastAsia="Arial Unicode MS" w:cs="Arial Unicode MS"/>
                <w:i w:val="0"/>
                <w:iCs w:val="0"/>
                <w:color w:val="000000"/>
                <w:kern w:val="0"/>
                <w:sz w:val="15"/>
                <w:szCs w:val="15"/>
                <w:u w:val="none"/>
                <w:lang w:val="en-US" w:eastAsia="zh-CN" w:bidi="ar"/>
              </w:rPr>
              <w:t>考核项目实施后，准确有效的办理事故案件，有利于社会的稳定</w:t>
            </w:r>
          </w:p>
        </w:tc>
        <w:tc>
          <w:tcPr>
            <w:tcW w:w="1209" w:type="dxa"/>
            <w:noWrap w:val="0"/>
            <w:vAlign w:val="center"/>
          </w:tcPr>
          <w:p w14:paraId="21F03F9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134" w:type="dxa"/>
            <w:noWrap w:val="0"/>
            <w:vAlign w:val="center"/>
          </w:tcPr>
          <w:p w14:paraId="611CE40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828" w:type="dxa"/>
            <w:noWrap w:val="0"/>
            <w:vAlign w:val="center"/>
          </w:tcPr>
          <w:p w14:paraId="5D9030F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0F7A669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43A6279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p>
        </w:tc>
      </w:tr>
      <w:tr w14:paraId="25CF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410BF1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48956BE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6423E88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49" w:type="dxa"/>
            <w:noWrap w:val="0"/>
            <w:vAlign w:val="center"/>
          </w:tcPr>
          <w:p w14:paraId="696670B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1319213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7D41064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7AD20BE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15F67E2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226B382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288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16FB78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5115DDB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73B1DC1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2D10E60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6D23ACC9">
            <w:pPr>
              <w:keepNext w:val="0"/>
              <w:keepLines w:val="0"/>
              <w:widowControl/>
              <w:suppressLineNumbers w:val="0"/>
              <w:jc w:val="left"/>
              <w:textAlignment w:val="center"/>
              <w:rPr>
                <w:rFonts w:hint="eastAsia" w:ascii="Arial Unicode MS" w:hAnsi="Arial Unicode MS" w:eastAsia="Arial Unicode MS" w:cs="Arial Unicode MS"/>
                <w:i w:val="0"/>
                <w:iCs w:val="0"/>
                <w:color w:val="000000"/>
                <w:kern w:val="2"/>
                <w:sz w:val="13"/>
                <w:szCs w:val="13"/>
                <w:u w:val="none"/>
                <w:lang w:val="en-US" w:eastAsia="zh-CN" w:bidi="ar-SA"/>
              </w:rPr>
            </w:pPr>
            <w:r>
              <w:rPr>
                <w:rFonts w:hint="default" w:ascii="Arial Unicode MS" w:hAnsi="Arial Unicode MS" w:eastAsia="Arial Unicode MS" w:cs="Arial Unicode MS"/>
                <w:i w:val="0"/>
                <w:iCs w:val="0"/>
                <w:color w:val="000000"/>
                <w:kern w:val="0"/>
                <w:sz w:val="13"/>
                <w:szCs w:val="13"/>
                <w:u w:val="none"/>
                <w:lang w:val="en-US" w:eastAsia="zh-CN" w:bidi="ar"/>
              </w:rPr>
              <w:t>考核项目实施对生态环境所带来的直接或间接影响情况。</w:t>
            </w:r>
          </w:p>
        </w:tc>
        <w:tc>
          <w:tcPr>
            <w:tcW w:w="1209" w:type="dxa"/>
            <w:noWrap w:val="0"/>
            <w:vAlign w:val="center"/>
          </w:tcPr>
          <w:p w14:paraId="35F6D40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134" w:type="dxa"/>
            <w:noWrap w:val="0"/>
            <w:vAlign w:val="center"/>
          </w:tcPr>
          <w:p w14:paraId="339F9CC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97%</w:t>
            </w:r>
          </w:p>
        </w:tc>
        <w:tc>
          <w:tcPr>
            <w:tcW w:w="828" w:type="dxa"/>
            <w:noWrap w:val="0"/>
            <w:vAlign w:val="center"/>
          </w:tcPr>
          <w:p w14:paraId="5A71B49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07E825A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w:t>
            </w:r>
          </w:p>
        </w:tc>
        <w:tc>
          <w:tcPr>
            <w:tcW w:w="1418" w:type="dxa"/>
            <w:noWrap w:val="0"/>
            <w:vAlign w:val="center"/>
          </w:tcPr>
          <w:p w14:paraId="36A2803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在保护环境方面，形成良好节约习惯</w:t>
            </w:r>
          </w:p>
        </w:tc>
      </w:tr>
      <w:tr w14:paraId="4EF6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5D2D1F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5E36A20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5CCF4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9" w:type="dxa"/>
            <w:noWrap w:val="0"/>
            <w:vAlign w:val="center"/>
          </w:tcPr>
          <w:p w14:paraId="1EAFFAC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552B7A7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4A86D6A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3256977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21D61F3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6F24889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31F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9EBC75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vMerge w:val="continue"/>
            <w:noWrap w:val="0"/>
            <w:vAlign w:val="center"/>
          </w:tcPr>
          <w:p w14:paraId="3F11F5B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781CFA2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149" w:type="dxa"/>
            <w:noWrap w:val="0"/>
            <w:vAlign w:val="center"/>
          </w:tcPr>
          <w:p w14:paraId="7B909E6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有利于促进社会稳定，保持良好的交通秩序</w:t>
            </w:r>
          </w:p>
        </w:tc>
        <w:tc>
          <w:tcPr>
            <w:tcW w:w="1209" w:type="dxa"/>
            <w:noWrap w:val="0"/>
            <w:vAlign w:val="center"/>
          </w:tcPr>
          <w:p w14:paraId="2A8C85A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134" w:type="dxa"/>
            <w:noWrap w:val="0"/>
            <w:vAlign w:val="center"/>
          </w:tcPr>
          <w:p w14:paraId="00B6A62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98%</w:t>
            </w:r>
          </w:p>
        </w:tc>
        <w:tc>
          <w:tcPr>
            <w:tcW w:w="828" w:type="dxa"/>
            <w:noWrap w:val="0"/>
            <w:vAlign w:val="center"/>
          </w:tcPr>
          <w:p w14:paraId="1A82693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2278E1A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8</w:t>
            </w:r>
          </w:p>
        </w:tc>
        <w:tc>
          <w:tcPr>
            <w:tcW w:w="1418" w:type="dxa"/>
            <w:noWrap w:val="0"/>
            <w:vAlign w:val="center"/>
          </w:tcPr>
          <w:p w14:paraId="67BA2CA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更好地办理案件，促进社会长治久安</w:t>
            </w:r>
          </w:p>
        </w:tc>
      </w:tr>
      <w:tr w14:paraId="2E52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89D607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2BC89D4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E1CDE9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9" w:type="dxa"/>
            <w:noWrap w:val="0"/>
            <w:vAlign w:val="center"/>
          </w:tcPr>
          <w:p w14:paraId="78748F2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064D881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1A15808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7BC90CC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17558AF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6E3B98E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74A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3D4A24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5ECCB32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6D9BFEB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2A7A42A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vMerge w:val="restart"/>
            <w:noWrap w:val="0"/>
            <w:vAlign w:val="center"/>
          </w:tcPr>
          <w:p w14:paraId="29C9A27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149" w:type="dxa"/>
            <w:noWrap w:val="0"/>
            <w:vAlign w:val="center"/>
          </w:tcPr>
          <w:p w14:paraId="3B3931B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服务对象的满意度</w:t>
            </w:r>
          </w:p>
        </w:tc>
        <w:tc>
          <w:tcPr>
            <w:tcW w:w="1209" w:type="dxa"/>
            <w:noWrap w:val="0"/>
            <w:vAlign w:val="center"/>
          </w:tcPr>
          <w:p w14:paraId="79CF69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134" w:type="dxa"/>
            <w:noWrap w:val="0"/>
            <w:vAlign w:val="center"/>
          </w:tcPr>
          <w:p w14:paraId="70640BE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99%</w:t>
            </w:r>
          </w:p>
        </w:tc>
        <w:tc>
          <w:tcPr>
            <w:tcW w:w="828" w:type="dxa"/>
            <w:noWrap w:val="0"/>
            <w:vAlign w:val="center"/>
          </w:tcPr>
          <w:p w14:paraId="7428368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3384222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w:t>
            </w:r>
          </w:p>
        </w:tc>
        <w:tc>
          <w:tcPr>
            <w:tcW w:w="1418" w:type="dxa"/>
            <w:noWrap w:val="0"/>
            <w:vAlign w:val="center"/>
          </w:tcPr>
          <w:p w14:paraId="59501A5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以更加好的服务态度服务群众，提升群众满意度</w:t>
            </w:r>
          </w:p>
        </w:tc>
      </w:tr>
      <w:tr w14:paraId="502FE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18B322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446EC8E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26D0C17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9" w:type="dxa"/>
            <w:noWrap w:val="0"/>
            <w:vAlign w:val="center"/>
          </w:tcPr>
          <w:p w14:paraId="7B7FDB0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w:t>
            </w:r>
          </w:p>
        </w:tc>
        <w:tc>
          <w:tcPr>
            <w:tcW w:w="1209" w:type="dxa"/>
            <w:noWrap w:val="0"/>
            <w:vAlign w:val="center"/>
          </w:tcPr>
          <w:p w14:paraId="23AFD65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6BF3421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22F55C5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4249932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6B6751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AB7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14:paraId="11D0644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828" w:type="dxa"/>
            <w:noWrap w:val="0"/>
            <w:vAlign w:val="center"/>
          </w:tcPr>
          <w:p w14:paraId="511E687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3" w:type="dxa"/>
            <w:noWrap w:val="0"/>
            <w:vAlign w:val="center"/>
          </w:tcPr>
          <w:p w14:paraId="1112CF5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90</w:t>
            </w:r>
          </w:p>
        </w:tc>
        <w:tc>
          <w:tcPr>
            <w:tcW w:w="1418" w:type="dxa"/>
            <w:noWrap w:val="0"/>
            <w:vAlign w:val="center"/>
          </w:tcPr>
          <w:p w14:paraId="12DF585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bl>
    <w:p w14:paraId="1F01F8D3">
      <w:pPr>
        <w:widowControl w:val="0"/>
        <w:kinsoku/>
        <w:autoSpaceDE/>
        <w:autoSpaceDN/>
        <w:adjustRightInd/>
        <w:snapToGrid/>
        <w:spacing w:line="600" w:lineRule="exact"/>
        <w:jc w:val="both"/>
        <w:textAlignment w:val="auto"/>
        <w:rPr>
          <w:rFonts w:hint="default"/>
          <w:lang w:val="en-US" w:eastAsia="zh-CN"/>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ascii="Times New Roman" w:hAnsi="Times New Roman" w:eastAsia="仿宋_GB2312" w:cs="Times New Roman"/>
          <w:snapToGrid/>
          <w:color w:val="000000"/>
          <w:kern w:val="0"/>
          <w:sz w:val="24"/>
          <w:szCs w:val="24"/>
          <w:lang w:val="en-US" w:eastAsia="zh-CN" w:bidi="ar-SA"/>
        </w:rPr>
        <w:t xml:space="preserve">蒋晓珍           </w:t>
      </w:r>
      <w:r>
        <w:rPr>
          <w:rFonts w:hint="default" w:ascii="Times New Roman" w:hAnsi="Times New Roman" w:eastAsia="仿宋_GB2312" w:cs="Times New Roman"/>
          <w:snapToGrid/>
          <w:color w:val="000000"/>
          <w:kern w:val="0"/>
          <w:sz w:val="24"/>
          <w:szCs w:val="24"/>
          <w:lang w:val="en-US" w:eastAsia="zh-CN" w:bidi="ar-SA"/>
        </w:rPr>
        <w:t>填报日期：</w:t>
      </w:r>
      <w:r>
        <w:rPr>
          <w:rFonts w:hint="eastAsia" w:ascii="Times New Roman" w:hAnsi="Times New Roman" w:eastAsia="仿宋_GB2312" w:cs="Times New Roman"/>
          <w:snapToGrid/>
          <w:color w:val="000000"/>
          <w:kern w:val="0"/>
          <w:sz w:val="24"/>
          <w:szCs w:val="24"/>
          <w:lang w:val="en-US" w:eastAsia="zh-CN" w:bidi="ar-SA"/>
        </w:rPr>
        <w:t xml:space="preserve">2024年9月1日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ascii="Times New Roman" w:hAnsi="Times New Roman" w:eastAsia="仿宋_GB2312" w:cs="Times New Roman"/>
          <w:snapToGrid/>
          <w:color w:val="000000"/>
          <w:kern w:val="0"/>
          <w:sz w:val="24"/>
          <w:szCs w:val="24"/>
          <w:lang w:val="en-US" w:eastAsia="zh-CN" w:bidi="ar-SA"/>
        </w:rPr>
        <w:t xml:space="preserve"> 15096230067</w:t>
      </w:r>
    </w:p>
    <w:p w14:paraId="43555F50">
      <w:pPr>
        <w:rPr>
          <w:rFonts w:hint="eastAsia"/>
        </w:rPr>
      </w:pPr>
    </w:p>
    <w:p w14:paraId="30D0BA6B">
      <w:pPr>
        <w:rPr>
          <w:rFonts w:hint="eastAsia"/>
        </w:rPr>
      </w:pPr>
    </w:p>
    <w:p w14:paraId="0728754B">
      <w:pPr>
        <w:rPr>
          <w:rFonts w:hint="eastAsia"/>
        </w:rPr>
      </w:pPr>
    </w:p>
    <w:p w14:paraId="37FA2B18">
      <w:pPr>
        <w:rPr>
          <w:rFonts w:hint="eastAsia"/>
        </w:rPr>
      </w:pPr>
    </w:p>
    <w:p w14:paraId="423A8556">
      <w:pPr>
        <w:rPr>
          <w:rFonts w:hint="eastAsia" w:ascii="仿宋_GB2312" w:hAnsi="宋体" w:eastAsia="仿宋_GB2312"/>
          <w:sz w:val="28"/>
          <w:szCs w:val="28"/>
        </w:rPr>
        <w:sectPr>
          <w:footerReference r:id="rId3" w:type="default"/>
          <w:pgSz w:w="11906" w:h="16838"/>
          <w:pgMar w:top="2041" w:right="1531" w:bottom="1757" w:left="1531" w:header="851" w:footer="992" w:gutter="0"/>
          <w:pgNumType w:fmt="numberInDash"/>
          <w:cols w:space="720" w:num="1"/>
          <w:docGrid w:type="lines" w:linePitch="312" w:charSpace="0"/>
        </w:sectPr>
      </w:pPr>
    </w:p>
    <w:p w14:paraId="2F3BBFD4">
      <w:pPr>
        <w:rPr>
          <w:rFonts w:hint="eastAsia" w:ascii="仿宋_GB2312" w:hAnsi="宋体" w:eastAsia="仿宋_GB2312"/>
          <w:sz w:val="28"/>
          <w:szCs w:val="28"/>
        </w:rPr>
        <w:sectPr>
          <w:pgSz w:w="11906" w:h="16838"/>
          <w:pgMar w:top="2041" w:right="1531" w:bottom="1757" w:left="1531" w:header="851" w:footer="992" w:gutter="0"/>
          <w:pgNumType w:fmt="numberInDash"/>
          <w:cols w:space="720" w:num="1"/>
          <w:docGrid w:type="lines" w:linePitch="312" w:charSpace="0"/>
        </w:sectPr>
      </w:pPr>
    </w:p>
    <w:p w14:paraId="1F62AF79">
      <w:pPr>
        <w:rPr>
          <w:rFonts w:hint="eastAsia" w:ascii="仿宋_GB2312" w:hAnsi="宋体" w:eastAsia="仿宋_GB2312"/>
          <w:sz w:val="28"/>
          <w:szCs w:val="28"/>
        </w:rPr>
        <w:sectPr>
          <w:pgSz w:w="11906" w:h="16838"/>
          <w:pgMar w:top="2041" w:right="1531" w:bottom="1757" w:left="1531" w:header="851" w:footer="992" w:gutter="0"/>
          <w:pgNumType w:fmt="numberInDash"/>
          <w:cols w:space="720" w:num="1"/>
          <w:docGrid w:type="lines" w:linePitch="312" w:charSpace="0"/>
        </w:sectPr>
      </w:pPr>
    </w:p>
    <w:p w14:paraId="50DADF83">
      <w:pPr>
        <w:rPr>
          <w:rFonts w:hint="eastAsia" w:ascii="仿宋_GB2312" w:hAnsi="宋体" w:eastAsia="仿宋_GB2312"/>
          <w:sz w:val="28"/>
          <w:szCs w:val="28"/>
        </w:rPr>
        <w:sectPr>
          <w:pgSz w:w="11906" w:h="16838"/>
          <w:pgMar w:top="2041" w:right="1531" w:bottom="1757" w:left="1531" w:header="851" w:footer="992" w:gutter="0"/>
          <w:pgNumType w:fmt="numberInDash"/>
          <w:cols w:space="720" w:num="1"/>
          <w:docGrid w:type="lines" w:linePitch="312" w:charSpace="0"/>
        </w:sectPr>
      </w:pPr>
    </w:p>
    <w:p w14:paraId="33CC4FEB">
      <w:bookmarkStart w:id="28" w:name="_GoBack"/>
      <w:bookmarkEnd w:id="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99BA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80301C">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4D80301C">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hYmIxN2EyOTRlMTFkZDA1YmViNWRjMGE1ODU3YzEifQ=="/>
  </w:docVars>
  <w:rsids>
    <w:rsidRoot w:val="00000000"/>
    <w:rsid w:val="45444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Indent"/>
    <w:basedOn w:val="1"/>
    <w:unhideWhenUsed/>
    <w:qFormat/>
    <w:uiPriority w:val="0"/>
    <w:pPr>
      <w:spacing w:beforeLines="0" w:afterLines="0"/>
      <w:ind w:firstLine="640" w:firstLineChars="200"/>
    </w:pPr>
    <w:rPr>
      <w:rFonts w:hint="default"/>
      <w:sz w:val="32"/>
    </w:rPr>
  </w:style>
  <w:style w:type="paragraph" w:styleId="3">
    <w:name w:val="toc 3"/>
    <w:basedOn w:val="1"/>
    <w:next w:val="1"/>
    <w:qFormat/>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2"/>
    <w:basedOn w:val="2"/>
    <w:unhideWhenUsed/>
    <w:qFormat/>
    <w:uiPriority w:val="99"/>
    <w:pPr>
      <w:spacing w:beforeLines="0" w:afterLines="0"/>
      <w:ind w:firstLine="420"/>
    </w:pPr>
    <w:rPr>
      <w:rFonts w:hint="default"/>
      <w:sz w:val="32"/>
    </w:rPr>
  </w:style>
  <w:style w:type="paragraph" w:customStyle="1" w:styleId="9">
    <w:name w:val="p0"/>
    <w:basedOn w:val="1"/>
    <w:qFormat/>
    <w:uiPriority w:val="0"/>
    <w:pPr>
      <w:spacing w:line="365" w:lineRule="atLeast"/>
      <w:ind w:left="1"/>
      <w:jc w:val="both"/>
    </w:pPr>
    <w:rPr>
      <w:rFonts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2024-09-06T09:05:09Z</dcterms:created>
  <dc:creator>财务</dc:creator>
  <cp:lastModifiedBy>财务</cp:lastModifiedBy>
  <dcterms:modified xsi:type="dcterms:W3CDTF">2024-09-06T09:05:33Z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7FB1DE54A3E84046934F3C7159708618_12</vt:lpwstr>
  </property>
</Properties>
</file>